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E2" w:rsidRPr="007060DF" w:rsidRDefault="00CF67E2" w:rsidP="00513DBA">
      <w:pPr>
        <w:jc w:val="center"/>
        <w:rPr>
          <w:b/>
        </w:rPr>
      </w:pPr>
      <w:r w:rsidRPr="007060DF">
        <w:rPr>
          <w:b/>
        </w:rPr>
        <w:t>Návrh</w:t>
      </w:r>
    </w:p>
    <w:p w:rsidR="00D96F6C" w:rsidRDefault="00D96F6C" w:rsidP="00187710">
      <w:pPr>
        <w:jc w:val="right"/>
        <w:rPr>
          <w:i/>
          <w:color w:val="0000FF"/>
          <w:lang w:val="it-IT"/>
        </w:rPr>
      </w:pPr>
    </w:p>
    <w:p w:rsidR="0097056E" w:rsidRDefault="0097056E" w:rsidP="00513DBA">
      <w:pPr>
        <w:jc w:val="center"/>
        <w:rPr>
          <w:i/>
          <w:color w:val="0000FF"/>
          <w:lang w:val="it-IT"/>
        </w:rPr>
      </w:pPr>
    </w:p>
    <w:p w:rsidR="00513DBA" w:rsidRPr="007060DF" w:rsidRDefault="00513DBA" w:rsidP="00513DBA">
      <w:pPr>
        <w:jc w:val="center"/>
        <w:rPr>
          <w:b/>
        </w:rPr>
      </w:pPr>
      <w:r w:rsidRPr="007060DF">
        <w:rPr>
          <w:b/>
        </w:rPr>
        <w:t>VYHLÁŠKA</w:t>
      </w:r>
    </w:p>
    <w:p w:rsidR="00A45EF4" w:rsidRPr="007060DF" w:rsidRDefault="00A45EF4" w:rsidP="00513DBA">
      <w:pPr>
        <w:jc w:val="center"/>
        <w:rPr>
          <w:b/>
        </w:rPr>
      </w:pPr>
    </w:p>
    <w:p w:rsidR="00BD363F" w:rsidRPr="007060DF" w:rsidRDefault="00513DBA" w:rsidP="00513DBA">
      <w:pPr>
        <w:jc w:val="center"/>
        <w:rPr>
          <w:b/>
        </w:rPr>
      </w:pPr>
      <w:r w:rsidRPr="007060DF">
        <w:rPr>
          <w:b/>
        </w:rPr>
        <w:t>Ministerstva zdravotníctva Slovenskej republiky</w:t>
      </w:r>
    </w:p>
    <w:p w:rsidR="007060DF" w:rsidRPr="007060DF" w:rsidRDefault="007060DF" w:rsidP="00513DBA">
      <w:pPr>
        <w:jc w:val="center"/>
        <w:rPr>
          <w:b/>
        </w:rPr>
      </w:pPr>
    </w:p>
    <w:p w:rsidR="00513DBA" w:rsidRPr="007060DF" w:rsidRDefault="00BD363F" w:rsidP="00513DBA">
      <w:pPr>
        <w:jc w:val="center"/>
        <w:rPr>
          <w:b/>
        </w:rPr>
      </w:pPr>
      <w:r w:rsidRPr="007060DF">
        <w:rPr>
          <w:b/>
        </w:rPr>
        <w:t>z..............</w:t>
      </w:r>
      <w:r w:rsidR="00AD306A">
        <w:rPr>
          <w:b/>
        </w:rPr>
        <w:t>2023</w:t>
      </w:r>
      <w:r w:rsidR="00E1754F">
        <w:rPr>
          <w:b/>
        </w:rPr>
        <w:t>,</w:t>
      </w:r>
    </w:p>
    <w:p w:rsidR="00A45EF4" w:rsidRPr="007060DF" w:rsidRDefault="00A45EF4" w:rsidP="00513DBA">
      <w:pPr>
        <w:jc w:val="center"/>
      </w:pPr>
    </w:p>
    <w:p w:rsidR="00513DBA" w:rsidRPr="007060DF" w:rsidRDefault="00513DBA" w:rsidP="00513DBA">
      <w:pPr>
        <w:jc w:val="center"/>
        <w:rPr>
          <w:b/>
        </w:rPr>
      </w:pPr>
      <w:r w:rsidRPr="007060DF">
        <w:rPr>
          <w:b/>
        </w:rPr>
        <w:t>ktorou sa mení a dopĺňa vyhláška Ministerstva zdravotníctva Slovenskej republiky</w:t>
      </w:r>
    </w:p>
    <w:p w:rsidR="00513DBA" w:rsidRPr="007060DF" w:rsidRDefault="00513DBA" w:rsidP="00513DBA">
      <w:pPr>
        <w:jc w:val="center"/>
        <w:rPr>
          <w:b/>
        </w:rPr>
      </w:pPr>
      <w:r w:rsidRPr="007060DF">
        <w:rPr>
          <w:b/>
        </w:rPr>
        <w:t xml:space="preserve">č. 448/2007 Z. z. o podrobnostiach o faktoroch práce a pracovného prostredia vo vzťahu ku kategorizácii prác z hľadiska zdravotných rizík a o náležitostiach návrhu na zaradenie prác do kategórií v znení </w:t>
      </w:r>
      <w:r w:rsidR="00835FE5" w:rsidRPr="007060DF">
        <w:rPr>
          <w:b/>
        </w:rPr>
        <w:t>neskorších predpisov</w:t>
      </w:r>
    </w:p>
    <w:p w:rsidR="00513DBA" w:rsidRPr="007060DF" w:rsidRDefault="00513DBA" w:rsidP="00513DBA"/>
    <w:p w:rsidR="00513DBA" w:rsidRPr="007060DF" w:rsidRDefault="00513DBA" w:rsidP="00513DBA"/>
    <w:p w:rsidR="00513DBA" w:rsidRPr="007060DF" w:rsidRDefault="00513DBA" w:rsidP="00513DBA">
      <w:pPr>
        <w:jc w:val="both"/>
      </w:pPr>
      <w:r w:rsidRPr="007060DF">
        <w:tab/>
        <w:t xml:space="preserve">Ministerstvo zdravotníctva Slovenskej republiky podľa § 62 </w:t>
      </w:r>
      <w:r w:rsidR="00A430AE">
        <w:t xml:space="preserve">ods. 1 </w:t>
      </w:r>
      <w:r w:rsidRPr="007060DF">
        <w:t xml:space="preserve">písm. p) zákona č. 355/2007 Z. z. o ochrane, podpore a rozvoji verejného zdravia a o zmene a doplnení niektorých zákonov </w:t>
      </w:r>
      <w:r w:rsidR="008D2669" w:rsidRPr="007060DF">
        <w:t>(ď</w:t>
      </w:r>
      <w:r w:rsidR="0021227B" w:rsidRPr="007060DF">
        <w:t>alej len „zákon“</w:t>
      </w:r>
      <w:r w:rsidR="008D2669" w:rsidRPr="007060DF">
        <w:t>)</w:t>
      </w:r>
      <w:r w:rsidR="0021227B" w:rsidRPr="007060DF">
        <w:t xml:space="preserve"> </w:t>
      </w:r>
      <w:r w:rsidRPr="007060DF">
        <w:t xml:space="preserve">ustanovuje: </w:t>
      </w:r>
    </w:p>
    <w:p w:rsidR="00513DBA" w:rsidRPr="007060DF" w:rsidRDefault="00513DBA" w:rsidP="00513DBA">
      <w:pPr>
        <w:jc w:val="both"/>
      </w:pPr>
    </w:p>
    <w:p w:rsidR="00513DBA" w:rsidRPr="007060DF" w:rsidRDefault="00513DBA" w:rsidP="00513DBA">
      <w:pPr>
        <w:jc w:val="center"/>
      </w:pPr>
      <w:r w:rsidRPr="007060DF">
        <w:t>Čl. I</w:t>
      </w:r>
    </w:p>
    <w:p w:rsidR="00513DBA" w:rsidRPr="007060DF" w:rsidRDefault="00513DBA" w:rsidP="00513DBA">
      <w:pPr>
        <w:jc w:val="center"/>
      </w:pPr>
    </w:p>
    <w:p w:rsidR="00513DBA" w:rsidRPr="007060DF" w:rsidRDefault="00513DBA" w:rsidP="00513DBA">
      <w:pPr>
        <w:ind w:firstLine="708"/>
        <w:jc w:val="both"/>
      </w:pPr>
      <w:r w:rsidRPr="007060DF">
        <w:t xml:space="preserve">Vyhláška Ministerstva zdravotníctva Slovenskej republiky č. 448/2007 Z. z. o podrobnostiach o faktoroch práce a pracovného prostredia vo vzťahu ku kategorizácii prác z hľadiska zdravotných rizík a o náležitostiach návrhu na zaradenie prác do kategórií </w:t>
      </w:r>
      <w:r w:rsidR="009F5165" w:rsidRPr="007060DF">
        <w:t>v znení vyhlášky č. 98/2016 Z. z.</w:t>
      </w:r>
      <w:r w:rsidR="00DF210C" w:rsidRPr="007060DF">
        <w:t xml:space="preserve">, </w:t>
      </w:r>
      <w:r w:rsidR="00083967" w:rsidRPr="007060DF">
        <w:t>vyhlášky</w:t>
      </w:r>
      <w:r w:rsidR="00B64A51" w:rsidRPr="007060DF">
        <w:t xml:space="preserve"> </w:t>
      </w:r>
      <w:r w:rsidR="009F5165" w:rsidRPr="007060DF">
        <w:t>č. 283/2016 Z. z.</w:t>
      </w:r>
      <w:r w:rsidR="004F3701">
        <w:t>,</w:t>
      </w:r>
      <w:r w:rsidR="00DF210C" w:rsidRPr="007060DF">
        <w:t xml:space="preserve"> vyhlášky č. 91/2018 Z. z. </w:t>
      </w:r>
      <w:r w:rsidR="004F3701">
        <w:t xml:space="preserve">a </w:t>
      </w:r>
      <w:r w:rsidR="004F3701" w:rsidRPr="007060DF">
        <w:t xml:space="preserve">vyhlášky č. </w:t>
      </w:r>
      <w:r w:rsidR="004F3701">
        <w:t>220</w:t>
      </w:r>
      <w:r w:rsidR="004F3701" w:rsidRPr="007060DF">
        <w:t>/201</w:t>
      </w:r>
      <w:r w:rsidR="004F3701">
        <w:t>9</w:t>
      </w:r>
      <w:r w:rsidR="004F3701" w:rsidRPr="007060DF">
        <w:t xml:space="preserve"> Z. z.</w:t>
      </w:r>
      <w:r w:rsidR="004F3701">
        <w:t xml:space="preserve"> </w:t>
      </w:r>
      <w:r w:rsidRPr="007060DF">
        <w:t xml:space="preserve">sa mení </w:t>
      </w:r>
      <w:r w:rsidR="00BD363F" w:rsidRPr="007060DF">
        <w:t xml:space="preserve">a dopĺňa </w:t>
      </w:r>
      <w:r w:rsidRPr="007060DF">
        <w:t xml:space="preserve">takto: </w:t>
      </w:r>
    </w:p>
    <w:p w:rsidR="00157BB8" w:rsidRPr="007060DF" w:rsidRDefault="00157BB8" w:rsidP="00AF214F">
      <w:pPr>
        <w:autoSpaceDE/>
        <w:autoSpaceDN/>
        <w:jc w:val="both"/>
      </w:pPr>
    </w:p>
    <w:p w:rsidR="00A93B2E" w:rsidRPr="007060DF" w:rsidRDefault="00FA060E" w:rsidP="007549E5">
      <w:pPr>
        <w:numPr>
          <w:ilvl w:val="0"/>
          <w:numId w:val="2"/>
        </w:numPr>
        <w:autoSpaceDE/>
        <w:autoSpaceDN/>
        <w:ind w:left="284" w:hanging="284"/>
        <w:jc w:val="both"/>
      </w:pPr>
      <w:r w:rsidRPr="007060DF">
        <w:t>V p</w:t>
      </w:r>
      <w:r w:rsidR="00A93B2E" w:rsidRPr="007060DF">
        <w:t>ríloh</w:t>
      </w:r>
      <w:r w:rsidRPr="007060DF">
        <w:t>e</w:t>
      </w:r>
      <w:r w:rsidR="00A93B2E" w:rsidRPr="007060DF">
        <w:t xml:space="preserve"> č. 1 </w:t>
      </w:r>
      <w:r w:rsidR="00E11C3C" w:rsidRPr="007060DF">
        <w:t>písmeno</w:t>
      </w:r>
      <w:r w:rsidR="00A93B2E" w:rsidRPr="007060DF">
        <w:t xml:space="preserve"> </w:t>
      </w:r>
      <w:r w:rsidR="004F3701">
        <w:t>O</w:t>
      </w:r>
      <w:r w:rsidR="00A93B2E" w:rsidRPr="007060DF">
        <w:t xml:space="preserve">. </w:t>
      </w:r>
      <w:r w:rsidR="004F3701">
        <w:t>Fyzická záťaž podľa § 38 ods. 1 a 2 zákona</w:t>
      </w:r>
      <w:r w:rsidR="00A93B2E" w:rsidRPr="007060DF">
        <w:t xml:space="preserve"> </w:t>
      </w:r>
      <w:r w:rsidRPr="007060DF">
        <w:t xml:space="preserve">vrátane nadpisu nad </w:t>
      </w:r>
      <w:r w:rsidR="00E11C3C" w:rsidRPr="007060DF">
        <w:t>písmenom</w:t>
      </w:r>
      <w:r w:rsidRPr="007060DF">
        <w:t xml:space="preserve"> </w:t>
      </w:r>
      <w:r w:rsidR="00C53764">
        <w:t xml:space="preserve">O </w:t>
      </w:r>
      <w:r w:rsidRPr="007060DF">
        <w:t>znie</w:t>
      </w:r>
      <w:r w:rsidR="00A93B2E" w:rsidRPr="007060DF">
        <w:t>:</w:t>
      </w:r>
    </w:p>
    <w:p w:rsidR="0006747C" w:rsidRDefault="0006747C" w:rsidP="00A93B2E">
      <w:pPr>
        <w:autoSpaceDE/>
        <w:autoSpaceDN/>
        <w:jc w:val="both"/>
      </w:pPr>
    </w:p>
    <w:p w:rsidR="0006747C" w:rsidRPr="007060DF" w:rsidRDefault="0006747C" w:rsidP="0006747C">
      <w:pPr>
        <w:autoSpaceDE/>
        <w:autoSpaceDN/>
        <w:jc w:val="both"/>
      </w:pPr>
      <w:r w:rsidRPr="007060DF"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396"/>
      </w:tblGrid>
      <w:tr w:rsidR="0006747C" w:rsidRPr="007060DF" w:rsidTr="00D50456">
        <w:trPr>
          <w:cantSplit/>
        </w:trPr>
        <w:tc>
          <w:tcPr>
            <w:tcW w:w="9546" w:type="dxa"/>
            <w:gridSpan w:val="2"/>
            <w:vAlign w:val="center"/>
          </w:tcPr>
          <w:p w:rsidR="0006747C" w:rsidRPr="007060DF" w:rsidRDefault="0006747C" w:rsidP="0006747C">
            <w:pPr>
              <w:pStyle w:val="Nadpis3"/>
              <w:rPr>
                <w:color w:val="auto"/>
              </w:rPr>
            </w:pPr>
            <w:r>
              <w:rPr>
                <w:bCs w:val="0"/>
                <w:color w:val="auto"/>
              </w:rPr>
              <w:t xml:space="preserve">Fyzická záťaž </w:t>
            </w:r>
            <w:r w:rsidRPr="0073189B">
              <w:rPr>
                <w:b w:val="0"/>
              </w:rPr>
              <w:t>podľa § 38 ods.</w:t>
            </w:r>
            <w:r>
              <w:rPr>
                <w:b w:val="0"/>
              </w:rPr>
              <w:t xml:space="preserve"> 1 a 2 zákona</w:t>
            </w:r>
          </w:p>
        </w:tc>
      </w:tr>
      <w:tr w:rsidR="0006747C" w:rsidRPr="007060DF" w:rsidTr="00D50456">
        <w:trPr>
          <w:cantSplit/>
        </w:trPr>
        <w:tc>
          <w:tcPr>
            <w:tcW w:w="9546" w:type="dxa"/>
            <w:gridSpan w:val="2"/>
            <w:vAlign w:val="center"/>
          </w:tcPr>
          <w:p w:rsidR="0006747C" w:rsidRPr="007060DF" w:rsidRDefault="0006747C" w:rsidP="0006747C">
            <w:r>
              <w:rPr>
                <w:b/>
                <w:bCs/>
              </w:rPr>
              <w:t>O</w:t>
            </w:r>
            <w:r w:rsidRPr="007060DF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it-IT"/>
              </w:rPr>
              <w:t>Energetický výdaj</w:t>
            </w:r>
            <w:r w:rsidRPr="00501B9E">
              <w:rPr>
                <w:b/>
                <w:bCs/>
                <w:vertAlign w:val="superscript"/>
              </w:rPr>
              <w:t>10</w:t>
            </w:r>
            <w:r w:rsidRPr="00501B9E">
              <w:rPr>
                <w:b/>
                <w:bCs/>
              </w:rPr>
              <w:t>)</w:t>
            </w:r>
          </w:p>
        </w:tc>
      </w:tr>
      <w:tr w:rsidR="0006747C" w:rsidRPr="007060DF" w:rsidTr="00D50456">
        <w:tc>
          <w:tcPr>
            <w:tcW w:w="1150" w:type="dxa"/>
            <w:vAlign w:val="center"/>
          </w:tcPr>
          <w:p w:rsidR="0006747C" w:rsidRPr="007060DF" w:rsidRDefault="0006747C" w:rsidP="00D50456">
            <w:pPr>
              <w:jc w:val="center"/>
            </w:pPr>
            <w:r w:rsidRPr="007060DF">
              <w:t>Kategória</w:t>
            </w:r>
          </w:p>
        </w:tc>
        <w:tc>
          <w:tcPr>
            <w:tcW w:w="8396" w:type="dxa"/>
          </w:tcPr>
          <w:p w:rsidR="0006747C" w:rsidRPr="007060DF" w:rsidRDefault="0006747C" w:rsidP="00D50456">
            <w:pPr>
              <w:jc w:val="center"/>
            </w:pPr>
            <w:r w:rsidRPr="007060DF">
              <w:t>Charakteristika prác</w:t>
            </w:r>
          </w:p>
        </w:tc>
      </w:tr>
      <w:tr w:rsidR="0006747C" w:rsidRPr="007060DF" w:rsidTr="00D50456">
        <w:tc>
          <w:tcPr>
            <w:tcW w:w="1150" w:type="dxa"/>
            <w:vAlign w:val="center"/>
          </w:tcPr>
          <w:p w:rsidR="0006747C" w:rsidRPr="007060DF" w:rsidRDefault="0006747C" w:rsidP="00D50456">
            <w:pPr>
              <w:jc w:val="center"/>
            </w:pPr>
            <w:r w:rsidRPr="007060DF">
              <w:t>1.</w:t>
            </w:r>
          </w:p>
        </w:tc>
        <w:tc>
          <w:tcPr>
            <w:tcW w:w="8396" w:type="dxa"/>
          </w:tcPr>
          <w:p w:rsidR="00935523" w:rsidRPr="0051666B" w:rsidRDefault="00935523" w:rsidP="00BF1011">
            <w:pPr>
              <w:tabs>
                <w:tab w:val="left" w:pos="268"/>
              </w:tabs>
              <w:jc w:val="both"/>
              <w:rPr>
                <w:lang w:val="it-IT"/>
              </w:rPr>
            </w:pPr>
            <w:r w:rsidRPr="0051666B">
              <w:rPr>
                <w:lang w:val="it-IT"/>
              </w:rPr>
              <w:t>P</w:t>
            </w:r>
            <w:r w:rsidR="0006747C" w:rsidRPr="0051666B">
              <w:rPr>
                <w:lang w:val="it-IT"/>
              </w:rPr>
              <w:t>ráce urč</w:t>
            </w:r>
            <w:r w:rsidRPr="0051666B">
              <w:rPr>
                <w:lang w:val="it-IT"/>
              </w:rPr>
              <w:t>ené</w:t>
            </w:r>
            <w:r w:rsidR="0006747C" w:rsidRPr="0051666B">
              <w:rPr>
                <w:lang w:val="it-IT"/>
              </w:rPr>
              <w:t xml:space="preserve"> kontrolným list</w:t>
            </w:r>
            <w:r w:rsidR="00BF1011">
              <w:rPr>
                <w:lang w:val="it-IT"/>
              </w:rPr>
              <w:t>o</w:t>
            </w:r>
            <w:r w:rsidRPr="0051666B">
              <w:rPr>
                <w:lang w:val="it-IT"/>
              </w:rPr>
              <w:t>m</w:t>
            </w:r>
            <w:r w:rsidR="00DC6EAC" w:rsidRPr="0051666B">
              <w:rPr>
                <w:lang w:val="it-IT"/>
              </w:rPr>
              <w:t>,</w:t>
            </w:r>
            <w:r w:rsidR="00AB3A36" w:rsidRPr="0051666B">
              <w:rPr>
                <w:vertAlign w:val="superscript"/>
                <w:lang w:val="it-IT"/>
              </w:rPr>
              <w:t>10a</w:t>
            </w:r>
            <w:r w:rsidR="00AB3A36" w:rsidRPr="0051666B">
              <w:rPr>
                <w:lang w:val="it-IT"/>
              </w:rPr>
              <w:t>)</w:t>
            </w:r>
            <w:r w:rsidR="00B333C4" w:rsidRPr="0051666B">
              <w:rPr>
                <w:lang w:val="it-IT"/>
              </w:rPr>
              <w:t xml:space="preserve"> alebo práce </w:t>
            </w:r>
            <w:r w:rsidR="0006747C" w:rsidRPr="0051666B">
              <w:rPr>
                <w:lang w:val="it-IT"/>
              </w:rPr>
              <w:t xml:space="preserve">prevažne dynamické, vykonávané veľkými svalovými skupinami, pri ktorých </w:t>
            </w:r>
            <w:r w:rsidR="00B333C4" w:rsidRPr="0051666B">
              <w:rPr>
                <w:lang w:val="it-IT"/>
              </w:rPr>
              <w:t>je prekročený</w:t>
            </w:r>
            <w:r w:rsidR="0006747C" w:rsidRPr="0051666B">
              <w:rPr>
                <w:lang w:val="it-IT"/>
              </w:rPr>
              <w:t xml:space="preserve"> 0,65-násobok najvyššie prípustných hodnôt energetického výdaja zmenového priemerného pre vekové skupiny mužov a žien, ale </w:t>
            </w:r>
            <w:r w:rsidR="00B333C4" w:rsidRPr="0051666B">
              <w:rPr>
                <w:lang w:val="it-IT"/>
              </w:rPr>
              <w:t xml:space="preserve">nie je </w:t>
            </w:r>
            <w:r w:rsidR="0006747C" w:rsidRPr="0051666B">
              <w:rPr>
                <w:lang w:val="it-IT"/>
              </w:rPr>
              <w:t>prekroč</w:t>
            </w:r>
            <w:r w:rsidR="00B333C4" w:rsidRPr="0051666B">
              <w:rPr>
                <w:lang w:val="it-IT"/>
              </w:rPr>
              <w:t>ený</w:t>
            </w:r>
            <w:r w:rsidR="0006747C" w:rsidRPr="0051666B">
              <w:rPr>
                <w:lang w:val="it-IT"/>
              </w:rPr>
              <w:t xml:space="preserve"> 0,8</w:t>
            </w:r>
            <w:r w:rsidR="00B333C4" w:rsidRPr="0051666B">
              <w:rPr>
                <w:lang w:val="it-IT"/>
              </w:rPr>
              <w:t>5</w:t>
            </w:r>
            <w:r w:rsidR="0006747C" w:rsidRPr="0051666B">
              <w:rPr>
                <w:lang w:val="it-IT"/>
              </w:rPr>
              <w:t xml:space="preserve">-násobok najvyššie prípustných hodnôt energetického výdaja zmenového priemerného pre vekové skupiny mužov a žien a zároveň </w:t>
            </w:r>
            <w:r w:rsidR="009F74B0" w:rsidRPr="0051666B">
              <w:rPr>
                <w:lang w:val="it-IT"/>
              </w:rPr>
              <w:t xml:space="preserve">nie je prekročená </w:t>
            </w:r>
            <w:r w:rsidR="0006747C" w:rsidRPr="0051666B">
              <w:rPr>
                <w:lang w:val="it-IT"/>
              </w:rPr>
              <w:t xml:space="preserve">najvyššie prípustná hodnota energetického výdaja krátkodobého ani u niekoľko minút trvajúcej </w:t>
            </w:r>
            <w:r w:rsidR="0027343E" w:rsidRPr="0051666B">
              <w:rPr>
                <w:lang w:val="it-IT"/>
              </w:rPr>
              <w:t xml:space="preserve">pravidelnej </w:t>
            </w:r>
            <w:r w:rsidR="0006747C" w:rsidRPr="0051666B">
              <w:rPr>
                <w:lang w:val="it-IT"/>
              </w:rPr>
              <w:t>pracovnej činnosti s vysokou intenzitou svalovej práce.</w:t>
            </w:r>
          </w:p>
        </w:tc>
      </w:tr>
      <w:tr w:rsidR="0006747C" w:rsidRPr="007060DF" w:rsidTr="00D50456">
        <w:tc>
          <w:tcPr>
            <w:tcW w:w="1150" w:type="dxa"/>
            <w:vAlign w:val="center"/>
          </w:tcPr>
          <w:p w:rsidR="0006747C" w:rsidRPr="007060DF" w:rsidRDefault="0006747C" w:rsidP="00D50456">
            <w:pPr>
              <w:jc w:val="center"/>
            </w:pPr>
            <w:r w:rsidRPr="007060DF">
              <w:t>2.</w:t>
            </w:r>
          </w:p>
        </w:tc>
        <w:tc>
          <w:tcPr>
            <w:tcW w:w="8396" w:type="dxa"/>
          </w:tcPr>
          <w:p w:rsidR="0006747C" w:rsidRPr="0051666B" w:rsidRDefault="0006747C" w:rsidP="009F74B0">
            <w:pPr>
              <w:jc w:val="both"/>
            </w:pPr>
            <w:r w:rsidRPr="0051666B">
              <w:rPr>
                <w:lang w:val="it-IT"/>
              </w:rPr>
              <w:t xml:space="preserve">Práce prevažne dynamické, vykonávané veľkými svalovými skupinami, pri ktorých </w:t>
            </w:r>
            <w:r w:rsidR="00B333C4" w:rsidRPr="0051666B">
              <w:rPr>
                <w:lang w:val="it-IT"/>
              </w:rPr>
              <w:t xml:space="preserve">je prekročený </w:t>
            </w:r>
            <w:r w:rsidRPr="0051666B">
              <w:rPr>
                <w:lang w:val="it-IT"/>
              </w:rPr>
              <w:t>0,8</w:t>
            </w:r>
            <w:r w:rsidR="00B333C4" w:rsidRPr="0051666B">
              <w:rPr>
                <w:lang w:val="it-IT"/>
              </w:rPr>
              <w:t>5</w:t>
            </w:r>
            <w:r w:rsidRPr="0051666B">
              <w:rPr>
                <w:lang w:val="it-IT"/>
              </w:rPr>
              <w:t xml:space="preserve">-násobok najvyššie prípustných hodnôt energetického výdaja zmenového priemerného pre vekové skupiny mužov a žien, ale </w:t>
            </w:r>
            <w:r w:rsidR="0027343E" w:rsidRPr="0051666B">
              <w:rPr>
                <w:lang w:val="it-IT"/>
              </w:rPr>
              <w:t xml:space="preserve">nie </w:t>
            </w:r>
            <w:r w:rsidR="009F74B0" w:rsidRPr="0051666B">
              <w:rPr>
                <w:lang w:val="it-IT"/>
              </w:rPr>
              <w:t>je</w:t>
            </w:r>
            <w:r w:rsidR="0027343E" w:rsidRPr="0051666B">
              <w:rPr>
                <w:lang w:val="it-IT"/>
              </w:rPr>
              <w:t xml:space="preserve"> prekročen</w:t>
            </w:r>
            <w:r w:rsidR="009F74B0" w:rsidRPr="0051666B">
              <w:rPr>
                <w:lang w:val="it-IT"/>
              </w:rPr>
              <w:t>á</w:t>
            </w:r>
            <w:r w:rsidR="0027343E" w:rsidRPr="0051666B">
              <w:rPr>
                <w:lang w:val="it-IT"/>
              </w:rPr>
              <w:t xml:space="preserve"> </w:t>
            </w:r>
            <w:r w:rsidRPr="0051666B">
              <w:rPr>
                <w:lang w:val="it-IT"/>
              </w:rPr>
              <w:t>najvyššie prípustn</w:t>
            </w:r>
            <w:r w:rsidR="009F74B0" w:rsidRPr="0051666B">
              <w:rPr>
                <w:lang w:val="it-IT"/>
              </w:rPr>
              <w:t>á</w:t>
            </w:r>
            <w:r w:rsidRPr="0051666B">
              <w:rPr>
                <w:lang w:val="it-IT"/>
              </w:rPr>
              <w:t xml:space="preserve"> hodnot</w:t>
            </w:r>
            <w:r w:rsidR="009F74B0" w:rsidRPr="0051666B">
              <w:rPr>
                <w:lang w:val="it-IT"/>
              </w:rPr>
              <w:t>a</w:t>
            </w:r>
            <w:r w:rsidRPr="0051666B">
              <w:rPr>
                <w:lang w:val="it-IT"/>
              </w:rPr>
              <w:t xml:space="preserve"> energetického výdaja zmenového priemerného pre vekové </w:t>
            </w:r>
            <w:r w:rsidRPr="0051666B">
              <w:rPr>
                <w:lang w:val="it-IT"/>
              </w:rPr>
              <w:lastRenderedPageBreak/>
              <w:t xml:space="preserve">skupiny mužov a žien a zároveň </w:t>
            </w:r>
            <w:r w:rsidR="0027343E" w:rsidRPr="0051666B">
              <w:rPr>
                <w:lang w:val="it-IT"/>
              </w:rPr>
              <w:t xml:space="preserve">nie je prekročená </w:t>
            </w:r>
            <w:r w:rsidRPr="0051666B">
              <w:rPr>
                <w:lang w:val="it-IT"/>
              </w:rPr>
              <w:t xml:space="preserve">najvyššie prípustná hodnota energetického výdaja krátkodobého ani u niekoľko minút trvajúcej </w:t>
            </w:r>
            <w:r w:rsidR="0027343E" w:rsidRPr="0051666B">
              <w:rPr>
                <w:lang w:val="it-IT"/>
              </w:rPr>
              <w:t xml:space="preserve">pravidelnej </w:t>
            </w:r>
            <w:r w:rsidRPr="0051666B">
              <w:rPr>
                <w:lang w:val="it-IT"/>
              </w:rPr>
              <w:t>pracovnej činnosti s vysokou intenzitou svalovej práce.</w:t>
            </w:r>
          </w:p>
        </w:tc>
      </w:tr>
      <w:tr w:rsidR="0006747C" w:rsidRPr="007060DF" w:rsidTr="00D50456">
        <w:tc>
          <w:tcPr>
            <w:tcW w:w="1150" w:type="dxa"/>
            <w:vAlign w:val="center"/>
          </w:tcPr>
          <w:p w:rsidR="0006747C" w:rsidRPr="007060DF" w:rsidRDefault="0006747C" w:rsidP="00D50456">
            <w:pPr>
              <w:jc w:val="center"/>
            </w:pPr>
            <w:r w:rsidRPr="007060DF">
              <w:lastRenderedPageBreak/>
              <w:t>3.</w:t>
            </w:r>
          </w:p>
        </w:tc>
        <w:tc>
          <w:tcPr>
            <w:tcW w:w="8396" w:type="dxa"/>
          </w:tcPr>
          <w:p w:rsidR="0006747C" w:rsidRPr="0051666B" w:rsidRDefault="0006747C" w:rsidP="0051666B">
            <w:pPr>
              <w:pStyle w:val="Odsekzoznamu"/>
              <w:numPr>
                <w:ilvl w:val="0"/>
                <w:numId w:val="17"/>
              </w:numPr>
              <w:ind w:left="335" w:hanging="284"/>
              <w:jc w:val="both"/>
              <w:rPr>
                <w:lang w:val="it-IT"/>
              </w:rPr>
            </w:pPr>
            <w:r w:rsidRPr="0051666B">
              <w:rPr>
                <w:lang w:val="it-IT"/>
              </w:rPr>
              <w:t xml:space="preserve">Práce prevažne dynamické, vykonávané veľkými svalovými skupinami, pri ktorých energetický výdaj zmenový priemerný </w:t>
            </w:r>
            <w:r w:rsidR="008162E1" w:rsidRPr="0051666B">
              <w:rPr>
                <w:lang w:val="it-IT"/>
              </w:rPr>
              <w:t>prekračuje</w:t>
            </w:r>
            <w:r w:rsidRPr="0051666B">
              <w:rPr>
                <w:lang w:val="it-IT"/>
              </w:rPr>
              <w:t xml:space="preserve"> najvyššie prípustné hodnoty energetického výdaja zmenového priemerného pre vekové skupiny mužov a žien.</w:t>
            </w:r>
          </w:p>
          <w:p w:rsidR="0027343E" w:rsidRPr="00146C49" w:rsidRDefault="0027343E" w:rsidP="0027343E">
            <w:pPr>
              <w:pStyle w:val="Odsekzoznamu"/>
              <w:numPr>
                <w:ilvl w:val="0"/>
                <w:numId w:val="17"/>
              </w:numPr>
              <w:ind w:left="335" w:hanging="284"/>
              <w:jc w:val="both"/>
              <w:rPr>
                <w:lang w:val="it-IT"/>
              </w:rPr>
            </w:pPr>
            <w:r w:rsidRPr="0051666B">
              <w:rPr>
                <w:lang w:val="it-IT"/>
              </w:rPr>
              <w:t xml:space="preserve">Práce prevažne dynamické, vykonávané veľkými svalovými skupinami, pri ktorých energetický výdaj krátkodobý </w:t>
            </w:r>
            <w:r w:rsidR="008162E1" w:rsidRPr="0051666B">
              <w:rPr>
                <w:lang w:val="it-IT"/>
              </w:rPr>
              <w:t>pri</w:t>
            </w:r>
            <w:r w:rsidRPr="0051666B">
              <w:rPr>
                <w:lang w:val="it-IT"/>
              </w:rPr>
              <w:t xml:space="preserve"> niekoľko minút trvajúcej pravidelnej pracovnej činnosti s vysokou intenzitou svalovej práce </w:t>
            </w:r>
            <w:r w:rsidR="008162E1" w:rsidRPr="0051666B">
              <w:rPr>
                <w:lang w:val="it-IT"/>
              </w:rPr>
              <w:t>prekračuje</w:t>
            </w:r>
            <w:r w:rsidRPr="0051666B">
              <w:rPr>
                <w:lang w:val="it-IT"/>
              </w:rPr>
              <w:t xml:space="preserve"> najvyššie prípustné hodnoty energetického výdaja krátkodobého pre vekové skupiny mužov a žien.</w:t>
            </w:r>
          </w:p>
        </w:tc>
      </w:tr>
      <w:tr w:rsidR="0006747C" w:rsidRPr="007060DF" w:rsidTr="00D50456">
        <w:tc>
          <w:tcPr>
            <w:tcW w:w="1150" w:type="dxa"/>
            <w:vAlign w:val="center"/>
          </w:tcPr>
          <w:p w:rsidR="0006747C" w:rsidRPr="007060DF" w:rsidRDefault="0006747C" w:rsidP="00D50456">
            <w:pPr>
              <w:jc w:val="center"/>
            </w:pPr>
            <w:r w:rsidRPr="007060DF">
              <w:t>4.</w:t>
            </w:r>
          </w:p>
        </w:tc>
        <w:tc>
          <w:tcPr>
            <w:tcW w:w="8396" w:type="dxa"/>
          </w:tcPr>
          <w:p w:rsidR="000444AA" w:rsidRPr="007060DF" w:rsidRDefault="0051666B" w:rsidP="00055D50">
            <w:pPr>
              <w:jc w:val="both"/>
            </w:pPr>
            <w:r>
              <w:t xml:space="preserve">Neurčuje sa.  </w:t>
            </w:r>
          </w:p>
        </w:tc>
      </w:tr>
    </w:tbl>
    <w:p w:rsidR="0006747C" w:rsidRDefault="0006747C" w:rsidP="0006747C">
      <w:pPr>
        <w:autoSpaceDE/>
        <w:autoSpaceDN/>
        <w:jc w:val="both"/>
      </w:pPr>
      <w:r>
        <w:t>„</w:t>
      </w:r>
      <w:r w:rsidR="00031EAD">
        <w:t>.</w:t>
      </w:r>
    </w:p>
    <w:p w:rsidR="0006747C" w:rsidRDefault="0006747C" w:rsidP="0006747C">
      <w:pPr>
        <w:autoSpaceDE/>
        <w:autoSpaceDN/>
        <w:jc w:val="both"/>
      </w:pPr>
    </w:p>
    <w:p w:rsidR="0006747C" w:rsidRPr="00056F1A" w:rsidRDefault="0006747C" w:rsidP="0006747C">
      <w:pPr>
        <w:autoSpaceDE/>
        <w:autoSpaceDN/>
        <w:jc w:val="both"/>
      </w:pPr>
      <w:r w:rsidRPr="00056F1A">
        <w:t>Poznámka pod čiarou k</w:t>
      </w:r>
      <w:r w:rsidR="00AB3A36">
        <w:t> </w:t>
      </w:r>
      <w:r w:rsidRPr="00056F1A">
        <w:t>odkaz</w:t>
      </w:r>
      <w:r w:rsidR="00AB3A36">
        <w:t xml:space="preserve">om </w:t>
      </w:r>
      <w:r w:rsidRPr="00056F1A">
        <w:t xml:space="preserve">10 </w:t>
      </w:r>
      <w:r w:rsidR="00AB3A36">
        <w:t xml:space="preserve">a 10a </w:t>
      </w:r>
      <w:r w:rsidRPr="00056F1A">
        <w:t>znie:</w:t>
      </w:r>
    </w:p>
    <w:p w:rsidR="00AB3A36" w:rsidRDefault="0006747C" w:rsidP="0006747C">
      <w:pPr>
        <w:autoSpaceDE/>
        <w:autoSpaceDN/>
        <w:ind w:left="567" w:hanging="567"/>
        <w:jc w:val="both"/>
      </w:pPr>
      <w:r w:rsidRPr="00056F1A">
        <w:t>„</w:t>
      </w:r>
      <w:r w:rsidRPr="00056F1A">
        <w:rPr>
          <w:vertAlign w:val="superscript"/>
        </w:rPr>
        <w:t>10</w:t>
      </w:r>
      <w:r w:rsidRPr="00056F1A">
        <w:t>) Vyhláška Ministerstva zdravotníctva Slovenskej republiky č. .../2023 Z. z. o podrobnostiach o ochrane zdravia  pred fyzickou záťažou pri práci</w:t>
      </w:r>
      <w:r w:rsidR="00DC6EAC">
        <w:t>.</w:t>
      </w:r>
    </w:p>
    <w:p w:rsidR="0006747C" w:rsidRPr="0051666B" w:rsidRDefault="00AB3A36" w:rsidP="0006747C">
      <w:pPr>
        <w:autoSpaceDE/>
        <w:autoSpaceDN/>
        <w:ind w:left="567" w:hanging="567"/>
        <w:jc w:val="both"/>
      </w:pPr>
      <w:r w:rsidRPr="0051666B">
        <w:rPr>
          <w:vertAlign w:val="superscript"/>
        </w:rPr>
        <w:t xml:space="preserve">  10a</w:t>
      </w:r>
      <w:r w:rsidRPr="0051666B">
        <w:t xml:space="preserve">) </w:t>
      </w:r>
      <w:r w:rsidR="0068273E" w:rsidRPr="0051666B">
        <w:t>Príloh</w:t>
      </w:r>
      <w:r w:rsidR="00187710" w:rsidRPr="0051666B">
        <w:t>a</w:t>
      </w:r>
      <w:r w:rsidR="0068273E" w:rsidRPr="0051666B">
        <w:t xml:space="preserve"> č. 3 k vyhláške Ministerstva zdravotníctva Slovenskej republiky č. .../2023 Z. z.</w:t>
      </w:r>
      <w:r w:rsidR="00187710" w:rsidRPr="0051666B">
        <w:t>“.</w:t>
      </w:r>
      <w:r w:rsidR="0068273E" w:rsidRPr="0051666B">
        <w:t xml:space="preserve"> </w:t>
      </w:r>
    </w:p>
    <w:p w:rsidR="0006747C" w:rsidRDefault="0006747C" w:rsidP="0006747C">
      <w:pPr>
        <w:autoSpaceDE/>
        <w:autoSpaceDN/>
        <w:jc w:val="both"/>
      </w:pPr>
    </w:p>
    <w:p w:rsidR="0051666B" w:rsidRDefault="0051666B" w:rsidP="0006747C">
      <w:pPr>
        <w:autoSpaceDE/>
        <w:autoSpaceDN/>
        <w:jc w:val="both"/>
      </w:pPr>
    </w:p>
    <w:p w:rsidR="0006747C" w:rsidRPr="007060DF" w:rsidRDefault="0006747C" w:rsidP="0006747C">
      <w:pPr>
        <w:numPr>
          <w:ilvl w:val="0"/>
          <w:numId w:val="2"/>
        </w:numPr>
        <w:autoSpaceDE/>
        <w:autoSpaceDN/>
        <w:ind w:left="284" w:hanging="284"/>
        <w:jc w:val="both"/>
      </w:pPr>
      <w:r w:rsidRPr="007060DF">
        <w:t xml:space="preserve">V prílohe č. 1 sa za písmeno </w:t>
      </w:r>
      <w:r>
        <w:t>O</w:t>
      </w:r>
      <w:r w:rsidRPr="007060DF">
        <w:t xml:space="preserve">. </w:t>
      </w:r>
      <w:r>
        <w:t>Energetický výdaj</w:t>
      </w:r>
      <w:r w:rsidRPr="007060DF">
        <w:t xml:space="preserve"> vklad</w:t>
      </w:r>
      <w:r>
        <w:t>ajú</w:t>
      </w:r>
      <w:r w:rsidRPr="007060DF">
        <w:t xml:space="preserve"> nové písmen</w:t>
      </w:r>
      <w:r>
        <w:t>á</w:t>
      </w:r>
      <w:r w:rsidRPr="007060DF">
        <w:t xml:space="preserve"> </w:t>
      </w:r>
      <w:r>
        <w:t>P až S</w:t>
      </w:r>
      <w:r w:rsidRPr="007060DF">
        <w:t>, ktoré vrátane nadpis</w:t>
      </w:r>
      <w:r>
        <w:t>ov</w:t>
      </w:r>
      <w:r w:rsidRPr="007060DF">
        <w:t xml:space="preserve"> nad písmen</w:t>
      </w:r>
      <w:r>
        <w:t>a</w:t>
      </w:r>
      <w:r w:rsidRPr="007060DF">
        <w:t>m</w:t>
      </w:r>
      <w:r>
        <w:t>i P až S</w:t>
      </w:r>
      <w:r w:rsidRPr="007060DF">
        <w:t xml:space="preserve"> zne</w:t>
      </w:r>
      <w:r>
        <w:t>jú</w:t>
      </w:r>
      <w:r w:rsidRPr="007060DF">
        <w:t>:</w:t>
      </w:r>
    </w:p>
    <w:p w:rsidR="004F3701" w:rsidRPr="007060DF" w:rsidRDefault="00A93B2E" w:rsidP="00A93B2E">
      <w:pPr>
        <w:autoSpaceDE/>
        <w:autoSpaceDN/>
        <w:jc w:val="both"/>
      </w:pPr>
      <w:r w:rsidRPr="007060DF"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396"/>
      </w:tblGrid>
      <w:tr w:rsidR="00A93B2E" w:rsidRPr="007060DF" w:rsidTr="00A93B2E">
        <w:trPr>
          <w:cantSplit/>
        </w:trPr>
        <w:tc>
          <w:tcPr>
            <w:tcW w:w="9546" w:type="dxa"/>
            <w:gridSpan w:val="2"/>
            <w:vAlign w:val="center"/>
          </w:tcPr>
          <w:p w:rsidR="00A93B2E" w:rsidRPr="007060DF" w:rsidRDefault="00B361C7" w:rsidP="00B361C7">
            <w:pPr>
              <w:pStyle w:val="Nadpis3"/>
              <w:rPr>
                <w:color w:val="auto"/>
              </w:rPr>
            </w:pPr>
            <w:r>
              <w:rPr>
                <w:bCs w:val="0"/>
                <w:color w:val="auto"/>
              </w:rPr>
              <w:t>Fyzická záťaž</w:t>
            </w:r>
            <w:r w:rsidR="00A93B2E" w:rsidRPr="007060DF">
              <w:rPr>
                <w:color w:val="auto"/>
              </w:rPr>
              <w:t xml:space="preserve"> </w:t>
            </w:r>
            <w:r w:rsidR="0073189B" w:rsidRPr="0073189B">
              <w:rPr>
                <w:b w:val="0"/>
              </w:rPr>
              <w:t>podľa § 38 ods.</w:t>
            </w:r>
            <w:r w:rsidR="0073189B">
              <w:rPr>
                <w:b w:val="0"/>
              </w:rPr>
              <w:t xml:space="preserve"> 1 a 2 zákona</w:t>
            </w:r>
          </w:p>
        </w:tc>
      </w:tr>
      <w:tr w:rsidR="00E93540" w:rsidRPr="00E93540" w:rsidTr="00A93B2E">
        <w:trPr>
          <w:cantSplit/>
        </w:trPr>
        <w:tc>
          <w:tcPr>
            <w:tcW w:w="9546" w:type="dxa"/>
            <w:gridSpan w:val="2"/>
            <w:vAlign w:val="center"/>
          </w:tcPr>
          <w:p w:rsidR="00A93B2E" w:rsidRPr="00E93540" w:rsidRDefault="0006747C" w:rsidP="003D62AC">
            <w:r w:rsidRPr="00E93540">
              <w:rPr>
                <w:b/>
                <w:bCs/>
              </w:rPr>
              <w:t>P</w:t>
            </w:r>
            <w:r w:rsidR="00A93B2E" w:rsidRPr="00E93540">
              <w:rPr>
                <w:b/>
                <w:bCs/>
              </w:rPr>
              <w:t xml:space="preserve">. </w:t>
            </w:r>
            <w:r w:rsidR="00B361C7" w:rsidRPr="00E93540">
              <w:rPr>
                <w:b/>
                <w:bCs/>
                <w:lang w:val="it-IT"/>
              </w:rPr>
              <w:t>Ručná manipulácia s bremen</w:t>
            </w:r>
            <w:r w:rsidR="003D62AC" w:rsidRPr="00E93540">
              <w:rPr>
                <w:b/>
                <w:bCs/>
                <w:lang w:val="it-IT"/>
              </w:rPr>
              <w:t>ami</w:t>
            </w:r>
            <w:r w:rsidR="0073189B" w:rsidRPr="00E93540">
              <w:rPr>
                <w:b/>
                <w:bCs/>
                <w:vertAlign w:val="superscript"/>
              </w:rPr>
              <w:t>10</w:t>
            </w:r>
            <w:r w:rsidR="00187710" w:rsidRPr="00E93540">
              <w:rPr>
                <w:b/>
                <w:bCs/>
                <w:vertAlign w:val="superscript"/>
              </w:rPr>
              <w:t>b</w:t>
            </w:r>
            <w:r w:rsidR="00A93B2E" w:rsidRPr="00E93540">
              <w:rPr>
                <w:b/>
                <w:bCs/>
              </w:rPr>
              <w:t>)</w:t>
            </w:r>
          </w:p>
        </w:tc>
      </w:tr>
      <w:tr w:rsidR="00A93B2E" w:rsidRPr="007060DF" w:rsidTr="00A93B2E">
        <w:tc>
          <w:tcPr>
            <w:tcW w:w="1150" w:type="dxa"/>
            <w:vAlign w:val="center"/>
          </w:tcPr>
          <w:p w:rsidR="00A93B2E" w:rsidRPr="007060DF" w:rsidRDefault="00A93B2E" w:rsidP="00A93B2E">
            <w:pPr>
              <w:jc w:val="center"/>
            </w:pPr>
            <w:r w:rsidRPr="007060DF">
              <w:t>Kategória</w:t>
            </w:r>
          </w:p>
        </w:tc>
        <w:tc>
          <w:tcPr>
            <w:tcW w:w="8396" w:type="dxa"/>
          </w:tcPr>
          <w:p w:rsidR="00A93B2E" w:rsidRPr="007060DF" w:rsidRDefault="00A93B2E" w:rsidP="00A93B2E">
            <w:pPr>
              <w:jc w:val="center"/>
            </w:pPr>
            <w:r w:rsidRPr="007060DF">
              <w:t>Charakteristika prác</w:t>
            </w:r>
          </w:p>
        </w:tc>
      </w:tr>
      <w:tr w:rsidR="00B361C7" w:rsidRPr="007060DF" w:rsidTr="00056F1A">
        <w:trPr>
          <w:trHeight w:val="2199"/>
        </w:trPr>
        <w:tc>
          <w:tcPr>
            <w:tcW w:w="1150" w:type="dxa"/>
            <w:vAlign w:val="center"/>
          </w:tcPr>
          <w:p w:rsidR="00B361C7" w:rsidRPr="007060DF" w:rsidRDefault="00B361C7" w:rsidP="00A93B2E">
            <w:pPr>
              <w:jc w:val="center"/>
            </w:pPr>
            <w:r w:rsidRPr="007060DF">
              <w:t>1.</w:t>
            </w:r>
          </w:p>
        </w:tc>
        <w:tc>
          <w:tcPr>
            <w:tcW w:w="8396" w:type="dxa"/>
          </w:tcPr>
          <w:p w:rsidR="00B361C7" w:rsidRPr="00E93540" w:rsidRDefault="00B2338D" w:rsidP="007549E5">
            <w:pPr>
              <w:pStyle w:val="Odsekzoznamu"/>
              <w:numPr>
                <w:ilvl w:val="0"/>
                <w:numId w:val="3"/>
              </w:numPr>
              <w:ind w:left="410" w:hanging="410"/>
              <w:jc w:val="both"/>
              <w:rPr>
                <w:lang w:val="it-IT"/>
              </w:rPr>
            </w:pPr>
            <w:r w:rsidRPr="00E93540">
              <w:rPr>
                <w:lang w:val="it-IT"/>
              </w:rPr>
              <w:t>Práce určené kontrolným list</w:t>
            </w:r>
            <w:r w:rsidR="00BF1011">
              <w:rPr>
                <w:lang w:val="it-IT"/>
              </w:rPr>
              <w:t>o</w:t>
            </w:r>
            <w:r w:rsidRPr="00E93540">
              <w:rPr>
                <w:lang w:val="it-IT"/>
              </w:rPr>
              <w:t>m,</w:t>
            </w:r>
            <w:r w:rsidRPr="00E93540">
              <w:rPr>
                <w:vertAlign w:val="superscript"/>
                <w:lang w:val="it-IT"/>
              </w:rPr>
              <w:t>10a</w:t>
            </w:r>
            <w:r w:rsidRPr="00E93540">
              <w:rPr>
                <w:lang w:val="it-IT"/>
              </w:rPr>
              <w:t>) alebo p</w:t>
            </w:r>
            <w:r w:rsidR="00B361C7" w:rsidRPr="00E93540">
              <w:rPr>
                <w:lang w:val="it-IT"/>
              </w:rPr>
              <w:t>ráce</w:t>
            </w:r>
            <w:r w:rsidRPr="00E93540">
              <w:rPr>
                <w:lang w:val="it-IT"/>
              </w:rPr>
              <w:t xml:space="preserve"> mužov</w:t>
            </w:r>
            <w:r w:rsidR="00B361C7" w:rsidRPr="00E93540">
              <w:rPr>
                <w:lang w:val="it-IT"/>
              </w:rPr>
              <w:t xml:space="preserve"> so zdvíhaním a ukladaním bremena </w:t>
            </w:r>
            <w:r w:rsidR="0068273E" w:rsidRPr="00E93540">
              <w:rPr>
                <w:lang w:val="it-IT"/>
              </w:rPr>
              <w:t>s</w:t>
            </w:r>
            <w:r w:rsidR="00B361C7" w:rsidRPr="00E93540">
              <w:rPr>
                <w:lang w:val="it-IT"/>
              </w:rPr>
              <w:t> hmotnos</w:t>
            </w:r>
            <w:r w:rsidR="0068273E" w:rsidRPr="00E93540">
              <w:rPr>
                <w:lang w:val="it-IT"/>
              </w:rPr>
              <w:t>ťou</w:t>
            </w:r>
            <w:r w:rsidR="00B361C7" w:rsidRPr="00E93540">
              <w:rPr>
                <w:lang w:val="it-IT"/>
              </w:rPr>
              <w:t xml:space="preserve"> 3 </w:t>
            </w:r>
            <w:r w:rsidRPr="00E93540">
              <w:rPr>
                <w:lang w:val="it-IT"/>
              </w:rPr>
              <w:t xml:space="preserve">až 7,5 </w:t>
            </w:r>
            <w:r w:rsidR="00B361C7" w:rsidRPr="00E93540">
              <w:rPr>
                <w:lang w:val="it-IT"/>
              </w:rPr>
              <w:t>kg</w:t>
            </w:r>
            <w:r w:rsidRPr="00E93540">
              <w:rPr>
                <w:lang w:val="it-IT"/>
              </w:rPr>
              <w:t xml:space="preserve">, pri ktorých nie je </w:t>
            </w:r>
            <w:r w:rsidR="00B361C7" w:rsidRPr="00E93540">
              <w:rPr>
                <w:lang w:val="it-IT"/>
              </w:rPr>
              <w:t>prekr</w:t>
            </w:r>
            <w:r w:rsidRPr="00E93540">
              <w:rPr>
                <w:lang w:val="it-IT"/>
              </w:rPr>
              <w:t>očený</w:t>
            </w:r>
            <w:r w:rsidR="00B361C7" w:rsidRPr="00E93540">
              <w:rPr>
                <w:lang w:val="it-IT"/>
              </w:rPr>
              <w:t xml:space="preserve"> 0,85-násobok referenčnej hmotnosti za referenčných podmienok. </w:t>
            </w:r>
          </w:p>
          <w:p w:rsidR="00B2338D" w:rsidRPr="00E93540" w:rsidRDefault="00B2338D" w:rsidP="007549E5">
            <w:pPr>
              <w:pStyle w:val="Odsekzoznamu"/>
              <w:numPr>
                <w:ilvl w:val="0"/>
                <w:numId w:val="3"/>
              </w:numPr>
              <w:ind w:left="410" w:hanging="410"/>
              <w:jc w:val="both"/>
              <w:rPr>
                <w:lang w:val="it-IT"/>
              </w:rPr>
            </w:pPr>
            <w:r w:rsidRPr="00E93540">
              <w:rPr>
                <w:lang w:val="it-IT"/>
              </w:rPr>
              <w:t xml:space="preserve">Práce určené </w:t>
            </w:r>
            <w:r w:rsidR="00BF1011" w:rsidRPr="00E93540">
              <w:rPr>
                <w:lang w:val="it-IT"/>
              </w:rPr>
              <w:t>kontrolným list</w:t>
            </w:r>
            <w:r w:rsidR="00BF1011">
              <w:rPr>
                <w:lang w:val="it-IT"/>
              </w:rPr>
              <w:t>o</w:t>
            </w:r>
            <w:r w:rsidR="00BF1011" w:rsidRPr="00E93540">
              <w:rPr>
                <w:lang w:val="it-IT"/>
              </w:rPr>
              <w:t>m</w:t>
            </w:r>
            <w:r w:rsidRPr="00E93540">
              <w:rPr>
                <w:lang w:val="it-IT"/>
              </w:rPr>
              <w:t>,</w:t>
            </w:r>
            <w:r w:rsidRPr="00E93540">
              <w:rPr>
                <w:vertAlign w:val="superscript"/>
                <w:lang w:val="it-IT"/>
              </w:rPr>
              <w:t>10a</w:t>
            </w:r>
            <w:r w:rsidRPr="00E93540">
              <w:rPr>
                <w:lang w:val="it-IT"/>
              </w:rPr>
              <w:t>) alebo práce žien so zdvíhaním a ukladaním bremena s hmotnosťou 3 až 5 kg, pri ktorých nie je prekročený 0,85-násobok referenčnej hmotnosti za referenčných podmienok.</w:t>
            </w:r>
          </w:p>
          <w:p w:rsidR="00B361C7" w:rsidRPr="00E93540" w:rsidRDefault="00273202" w:rsidP="00BA706B">
            <w:pPr>
              <w:pStyle w:val="Odsekzoznamu"/>
              <w:numPr>
                <w:ilvl w:val="0"/>
                <w:numId w:val="3"/>
              </w:numPr>
              <w:ind w:left="410" w:hanging="410"/>
              <w:jc w:val="both"/>
              <w:rPr>
                <w:lang w:val="it-IT"/>
              </w:rPr>
            </w:pPr>
            <w:r w:rsidRPr="00E93540">
              <w:rPr>
                <w:lang w:val="it-IT"/>
              </w:rPr>
              <w:t xml:space="preserve">Práce určené </w:t>
            </w:r>
            <w:r w:rsidR="00BF1011" w:rsidRPr="00E93540">
              <w:rPr>
                <w:lang w:val="it-IT"/>
              </w:rPr>
              <w:t>kontrolným list</w:t>
            </w:r>
            <w:r w:rsidR="00BF1011">
              <w:rPr>
                <w:lang w:val="it-IT"/>
              </w:rPr>
              <w:t>o</w:t>
            </w:r>
            <w:r w:rsidR="00BF1011" w:rsidRPr="00E93540">
              <w:rPr>
                <w:lang w:val="it-IT"/>
              </w:rPr>
              <w:t>m</w:t>
            </w:r>
            <w:r w:rsidRPr="00E93540">
              <w:rPr>
                <w:lang w:val="it-IT"/>
              </w:rPr>
              <w:t>,</w:t>
            </w:r>
            <w:r w:rsidRPr="00E93540">
              <w:rPr>
                <w:vertAlign w:val="superscript"/>
                <w:lang w:val="it-IT"/>
              </w:rPr>
              <w:t>10a</w:t>
            </w:r>
            <w:r w:rsidRPr="00E93540">
              <w:rPr>
                <w:lang w:val="it-IT"/>
              </w:rPr>
              <w:t>) alebo p</w:t>
            </w:r>
            <w:r w:rsidR="00B361C7" w:rsidRPr="00E93540">
              <w:rPr>
                <w:lang w:val="it-IT"/>
              </w:rPr>
              <w:t>ráce s ručným pren</w:t>
            </w:r>
            <w:r w:rsidR="000A1B67" w:rsidRPr="00E93540">
              <w:rPr>
                <w:lang w:val="it-IT"/>
              </w:rPr>
              <w:t>ášaním</w:t>
            </w:r>
            <w:r w:rsidR="00B361C7" w:rsidRPr="00E93540">
              <w:rPr>
                <w:lang w:val="it-IT"/>
              </w:rPr>
              <w:t xml:space="preserve"> bremena na vzdialenosť </w:t>
            </w:r>
            <w:r w:rsidR="00B361C7" w:rsidRPr="00E93540">
              <w:t>väčšiu ako 1 meter</w:t>
            </w:r>
            <w:r w:rsidR="00BA706B" w:rsidRPr="00E93540">
              <w:t>,</w:t>
            </w:r>
            <w:r w:rsidR="00B361C7" w:rsidRPr="00E93540">
              <w:t xml:space="preserve"> pri ktorých </w:t>
            </w:r>
            <w:r w:rsidR="00B2338D" w:rsidRPr="00E93540">
              <w:t>nie</w:t>
            </w:r>
            <w:r w:rsidR="00B2338D" w:rsidRPr="00E93540">
              <w:rPr>
                <w:lang w:val="it-IT"/>
              </w:rPr>
              <w:t xml:space="preserve"> je prekročený</w:t>
            </w:r>
            <w:r w:rsidR="00B361C7" w:rsidRPr="00E93540">
              <w:rPr>
                <w:lang w:val="it-IT"/>
              </w:rPr>
              <w:t xml:space="preserve"> 0,5-násobok referenčnej kumulatívnej hmotnosti za referenčných podmienok.</w:t>
            </w:r>
          </w:p>
          <w:p w:rsidR="00954B00" w:rsidRPr="00E93540" w:rsidRDefault="00273202" w:rsidP="00833953">
            <w:pPr>
              <w:pStyle w:val="Odsekzoznamu"/>
              <w:numPr>
                <w:ilvl w:val="0"/>
                <w:numId w:val="3"/>
              </w:numPr>
              <w:ind w:left="410" w:hanging="410"/>
              <w:jc w:val="both"/>
              <w:rPr>
                <w:lang w:val="it-IT"/>
              </w:rPr>
            </w:pPr>
            <w:r w:rsidRPr="00E93540">
              <w:rPr>
                <w:lang w:val="it-IT"/>
              </w:rPr>
              <w:t xml:space="preserve">Práce určené </w:t>
            </w:r>
            <w:r w:rsidR="00BF1011" w:rsidRPr="00E93540">
              <w:rPr>
                <w:lang w:val="it-IT"/>
              </w:rPr>
              <w:t>kontrolným list</w:t>
            </w:r>
            <w:r w:rsidR="00BF1011">
              <w:rPr>
                <w:lang w:val="it-IT"/>
              </w:rPr>
              <w:t>o</w:t>
            </w:r>
            <w:r w:rsidR="00BF1011" w:rsidRPr="00E93540">
              <w:rPr>
                <w:lang w:val="it-IT"/>
              </w:rPr>
              <w:t>m</w:t>
            </w:r>
            <w:r w:rsidRPr="00E93540">
              <w:rPr>
                <w:lang w:val="it-IT"/>
              </w:rPr>
              <w:t>,</w:t>
            </w:r>
            <w:r w:rsidRPr="00E93540">
              <w:rPr>
                <w:vertAlign w:val="superscript"/>
                <w:lang w:val="it-IT"/>
              </w:rPr>
              <w:t>10a</w:t>
            </w:r>
            <w:r w:rsidRPr="00E93540">
              <w:rPr>
                <w:lang w:val="it-IT"/>
              </w:rPr>
              <w:t>) alebo p</w:t>
            </w:r>
            <w:r w:rsidR="00B361C7" w:rsidRPr="00E93540">
              <w:rPr>
                <w:lang w:val="it-IT"/>
              </w:rPr>
              <w:t>ráce s</w:t>
            </w:r>
            <w:r w:rsidRPr="00E93540">
              <w:rPr>
                <w:lang w:val="it-IT"/>
              </w:rPr>
              <w:t xml:space="preserve"> použitím sily</w:t>
            </w:r>
            <w:r w:rsidR="00833953" w:rsidRPr="00E93540">
              <w:rPr>
                <w:lang w:val="it-IT"/>
              </w:rPr>
              <w:t xml:space="preserve"> celého tela</w:t>
            </w:r>
            <w:r w:rsidRPr="00E93540">
              <w:rPr>
                <w:lang w:val="it-IT"/>
              </w:rPr>
              <w:t xml:space="preserve"> pri </w:t>
            </w:r>
            <w:r w:rsidR="00B361C7" w:rsidRPr="00E93540">
              <w:rPr>
                <w:lang w:val="it-IT"/>
              </w:rPr>
              <w:t>ručn</w:t>
            </w:r>
            <w:r w:rsidRPr="00E93540">
              <w:rPr>
                <w:lang w:val="it-IT"/>
              </w:rPr>
              <w:t>om</w:t>
            </w:r>
            <w:r w:rsidR="00B361C7" w:rsidRPr="00E93540">
              <w:rPr>
                <w:lang w:val="it-IT"/>
              </w:rPr>
              <w:t xml:space="preserve"> ťahaní alebo tlačení bremena</w:t>
            </w:r>
            <w:r w:rsidRPr="00E93540">
              <w:rPr>
                <w:lang w:val="it-IT"/>
              </w:rPr>
              <w:t>,</w:t>
            </w:r>
            <w:r w:rsidR="00B2338D" w:rsidRPr="00E93540">
              <w:rPr>
                <w:lang w:val="it-IT"/>
              </w:rPr>
              <w:t xml:space="preserve"> </w:t>
            </w:r>
            <w:r w:rsidR="00B361C7" w:rsidRPr="00E93540">
              <w:rPr>
                <w:lang w:val="it-IT"/>
              </w:rPr>
              <w:t xml:space="preserve">pri ktorých </w:t>
            </w:r>
            <w:r w:rsidRPr="00E93540">
              <w:rPr>
                <w:lang w:val="it-IT"/>
              </w:rPr>
              <w:t xml:space="preserve">nie je </w:t>
            </w:r>
            <w:r w:rsidR="00B361C7" w:rsidRPr="00E93540">
              <w:rPr>
                <w:lang w:val="it-IT"/>
              </w:rPr>
              <w:t>prekr</w:t>
            </w:r>
            <w:r w:rsidRPr="00E93540">
              <w:rPr>
                <w:lang w:val="it-IT"/>
              </w:rPr>
              <w:t>očený</w:t>
            </w:r>
            <w:r w:rsidR="00B361C7" w:rsidRPr="00E93540">
              <w:rPr>
                <w:lang w:val="it-IT"/>
              </w:rPr>
              <w:t xml:space="preserve"> 0,85-násobok najvyššie prípustnej </w:t>
            </w:r>
            <w:r w:rsidRPr="00E93540">
              <w:rPr>
                <w:lang w:val="it-IT"/>
              </w:rPr>
              <w:t xml:space="preserve">impulznej alebo ustálenej </w:t>
            </w:r>
            <w:r w:rsidR="00B361C7" w:rsidRPr="00E93540">
              <w:rPr>
                <w:lang w:val="it-IT"/>
              </w:rPr>
              <w:t>sily pre ťahanie alebo tlačenie za referenčných podmienok.</w:t>
            </w:r>
          </w:p>
        </w:tc>
      </w:tr>
      <w:tr w:rsidR="00E93540" w:rsidRPr="00E93540" w:rsidTr="00A93B2E">
        <w:tc>
          <w:tcPr>
            <w:tcW w:w="1150" w:type="dxa"/>
            <w:vAlign w:val="center"/>
          </w:tcPr>
          <w:p w:rsidR="00B361C7" w:rsidRPr="00E93540" w:rsidRDefault="00B361C7" w:rsidP="00501B9E">
            <w:pPr>
              <w:tabs>
                <w:tab w:val="left" w:pos="1418"/>
              </w:tabs>
              <w:jc w:val="center"/>
            </w:pPr>
            <w:r w:rsidRPr="00E93540">
              <w:t>2.</w:t>
            </w:r>
          </w:p>
        </w:tc>
        <w:tc>
          <w:tcPr>
            <w:tcW w:w="8396" w:type="dxa"/>
          </w:tcPr>
          <w:p w:rsidR="00B361C7" w:rsidRPr="00E93540" w:rsidRDefault="00B361C7" w:rsidP="007549E5">
            <w:pPr>
              <w:numPr>
                <w:ilvl w:val="0"/>
                <w:numId w:val="1"/>
              </w:numPr>
              <w:tabs>
                <w:tab w:val="clear" w:pos="360"/>
                <w:tab w:val="num" w:pos="410"/>
                <w:tab w:val="left" w:pos="1418"/>
              </w:tabs>
              <w:ind w:left="410" w:hanging="410"/>
              <w:jc w:val="both"/>
            </w:pPr>
            <w:r w:rsidRPr="00E93540">
              <w:rPr>
                <w:lang w:val="it-IT"/>
              </w:rPr>
              <w:t xml:space="preserve">Práce so zdvíhaním a ukladaním bremena </w:t>
            </w:r>
            <w:r w:rsidR="0068273E" w:rsidRPr="00E93540">
              <w:rPr>
                <w:lang w:val="it-IT"/>
              </w:rPr>
              <w:t>s</w:t>
            </w:r>
            <w:r w:rsidRPr="00E93540">
              <w:rPr>
                <w:lang w:val="it-IT"/>
              </w:rPr>
              <w:t> hmotnos</w:t>
            </w:r>
            <w:r w:rsidR="0068273E" w:rsidRPr="00E93540">
              <w:rPr>
                <w:lang w:val="it-IT"/>
              </w:rPr>
              <w:t>ťou</w:t>
            </w:r>
            <w:r w:rsidRPr="00E93540">
              <w:rPr>
                <w:lang w:val="it-IT"/>
              </w:rPr>
              <w:t xml:space="preserve"> 3 kg a viac, </w:t>
            </w:r>
            <w:r w:rsidR="003D62AC" w:rsidRPr="00E93540">
              <w:rPr>
                <w:lang w:val="it-IT"/>
              </w:rPr>
              <w:t xml:space="preserve">pri </w:t>
            </w:r>
            <w:r w:rsidRPr="00E93540">
              <w:rPr>
                <w:lang w:val="it-IT"/>
              </w:rPr>
              <w:t>ktor</w:t>
            </w:r>
            <w:r w:rsidR="003D62AC" w:rsidRPr="00E93540">
              <w:rPr>
                <w:lang w:val="it-IT"/>
              </w:rPr>
              <w:t>ých</w:t>
            </w:r>
            <w:r w:rsidRPr="00E93540">
              <w:rPr>
                <w:lang w:val="it-IT"/>
              </w:rPr>
              <w:t xml:space="preserve"> je </w:t>
            </w:r>
            <w:r w:rsidR="003D62AC" w:rsidRPr="00E93540">
              <w:rPr>
                <w:lang w:val="it-IT"/>
              </w:rPr>
              <w:t>prekročený</w:t>
            </w:r>
            <w:r w:rsidRPr="00E93540">
              <w:rPr>
                <w:lang w:val="it-IT"/>
              </w:rPr>
              <w:t xml:space="preserve"> 0,85-násobok referenčnej hmotnosti</w:t>
            </w:r>
            <w:r w:rsidR="003D62AC" w:rsidRPr="00E93540">
              <w:rPr>
                <w:lang w:val="it-IT"/>
              </w:rPr>
              <w:t xml:space="preserve"> bremena za referenčných podmienok, </w:t>
            </w:r>
            <w:r w:rsidRPr="00E93540">
              <w:rPr>
                <w:lang w:val="it-IT"/>
              </w:rPr>
              <w:t>a</w:t>
            </w:r>
            <w:r w:rsidR="003D62AC" w:rsidRPr="00E93540">
              <w:rPr>
                <w:lang w:val="it-IT"/>
              </w:rPr>
              <w:t xml:space="preserve">le nie je prekročená </w:t>
            </w:r>
            <w:r w:rsidRPr="00E93540">
              <w:rPr>
                <w:lang w:val="it-IT"/>
              </w:rPr>
              <w:t>referenčn</w:t>
            </w:r>
            <w:r w:rsidR="003D62AC" w:rsidRPr="00E93540">
              <w:rPr>
                <w:lang w:val="it-IT"/>
              </w:rPr>
              <w:t>á</w:t>
            </w:r>
            <w:r w:rsidRPr="00E93540">
              <w:rPr>
                <w:lang w:val="it-IT"/>
              </w:rPr>
              <w:t xml:space="preserve"> hmotnosť bremena za referenčných podmienok. </w:t>
            </w:r>
          </w:p>
          <w:p w:rsidR="00B361C7" w:rsidRPr="00E93540" w:rsidRDefault="00B361C7" w:rsidP="007549E5">
            <w:pPr>
              <w:numPr>
                <w:ilvl w:val="0"/>
                <w:numId w:val="1"/>
              </w:numPr>
              <w:tabs>
                <w:tab w:val="clear" w:pos="360"/>
                <w:tab w:val="num" w:pos="410"/>
                <w:tab w:val="left" w:pos="1418"/>
              </w:tabs>
              <w:ind w:left="410" w:hanging="410"/>
              <w:jc w:val="both"/>
            </w:pPr>
            <w:r w:rsidRPr="00E93540">
              <w:rPr>
                <w:lang w:val="it-IT"/>
              </w:rPr>
              <w:t>Práce s ručným pren</w:t>
            </w:r>
            <w:r w:rsidR="003D62AC" w:rsidRPr="00E93540">
              <w:rPr>
                <w:lang w:val="it-IT"/>
              </w:rPr>
              <w:t>ášaním</w:t>
            </w:r>
            <w:r w:rsidRPr="00E93540">
              <w:rPr>
                <w:lang w:val="it-IT"/>
              </w:rPr>
              <w:t xml:space="preserve"> bremena </w:t>
            </w:r>
            <w:r w:rsidR="003D62AC" w:rsidRPr="00E93540">
              <w:rPr>
                <w:lang w:val="it-IT"/>
              </w:rPr>
              <w:t xml:space="preserve">s hmotnosťou 3 kg a viac </w:t>
            </w:r>
            <w:r w:rsidRPr="00E93540">
              <w:rPr>
                <w:lang w:val="it-IT"/>
              </w:rPr>
              <w:t xml:space="preserve">na vzdialenosť väčšiu ako 1 meter, pri ktorých </w:t>
            </w:r>
            <w:r w:rsidR="003D62AC" w:rsidRPr="00E93540">
              <w:rPr>
                <w:lang w:val="it-IT"/>
              </w:rPr>
              <w:t xml:space="preserve">je prekročený </w:t>
            </w:r>
            <w:r w:rsidRPr="00E93540">
              <w:rPr>
                <w:lang w:val="it-IT"/>
              </w:rPr>
              <w:t xml:space="preserve">0,5-násobok referenčnej  kumulatívnej hmotnosti za referenčných podmienok, ale </w:t>
            </w:r>
            <w:r w:rsidR="003D62AC" w:rsidRPr="00E93540">
              <w:rPr>
                <w:lang w:val="it-IT"/>
              </w:rPr>
              <w:t xml:space="preserve">nie je prekročená </w:t>
            </w:r>
            <w:r w:rsidRPr="00E93540">
              <w:rPr>
                <w:lang w:val="it-IT"/>
              </w:rPr>
              <w:t xml:space="preserve"> referenčn</w:t>
            </w:r>
            <w:r w:rsidR="003D62AC" w:rsidRPr="00E93540">
              <w:rPr>
                <w:lang w:val="it-IT"/>
              </w:rPr>
              <w:t>á</w:t>
            </w:r>
            <w:r w:rsidRPr="00E93540">
              <w:rPr>
                <w:lang w:val="it-IT"/>
              </w:rPr>
              <w:t xml:space="preserve"> kumulatívn</w:t>
            </w:r>
            <w:r w:rsidR="003D62AC" w:rsidRPr="00E93540">
              <w:rPr>
                <w:lang w:val="it-IT"/>
              </w:rPr>
              <w:t>a</w:t>
            </w:r>
            <w:r w:rsidRPr="00E93540">
              <w:rPr>
                <w:lang w:val="it-IT"/>
              </w:rPr>
              <w:t xml:space="preserve"> hmotnosť </w:t>
            </w:r>
            <w:r w:rsidR="003D62AC" w:rsidRPr="00E93540">
              <w:rPr>
                <w:lang w:val="it-IT"/>
              </w:rPr>
              <w:t xml:space="preserve">bremena </w:t>
            </w:r>
            <w:r w:rsidRPr="00E93540">
              <w:rPr>
                <w:lang w:val="it-IT"/>
              </w:rPr>
              <w:t>za referenčných podmienok.</w:t>
            </w:r>
          </w:p>
          <w:p w:rsidR="00B361C7" w:rsidRPr="00E93540" w:rsidRDefault="00B361C7" w:rsidP="000A1B67">
            <w:pPr>
              <w:numPr>
                <w:ilvl w:val="0"/>
                <w:numId w:val="1"/>
              </w:numPr>
              <w:tabs>
                <w:tab w:val="clear" w:pos="360"/>
                <w:tab w:val="num" w:pos="410"/>
                <w:tab w:val="left" w:pos="1418"/>
              </w:tabs>
              <w:ind w:left="410" w:hanging="410"/>
              <w:jc w:val="both"/>
            </w:pPr>
            <w:r w:rsidRPr="00E93540">
              <w:rPr>
                <w:lang w:val="it-IT"/>
              </w:rPr>
              <w:lastRenderedPageBreak/>
              <w:t xml:space="preserve">Práce </w:t>
            </w:r>
            <w:r w:rsidR="003D62AC" w:rsidRPr="00E93540">
              <w:rPr>
                <w:lang w:val="it-IT"/>
              </w:rPr>
              <w:t xml:space="preserve">s použitím sily celého tela pri </w:t>
            </w:r>
            <w:r w:rsidRPr="00E93540">
              <w:rPr>
                <w:lang w:val="it-IT"/>
              </w:rPr>
              <w:t>ručn</w:t>
            </w:r>
            <w:r w:rsidR="003D62AC" w:rsidRPr="00E93540">
              <w:rPr>
                <w:lang w:val="it-IT"/>
              </w:rPr>
              <w:t>om</w:t>
            </w:r>
            <w:r w:rsidRPr="00E93540">
              <w:rPr>
                <w:lang w:val="it-IT"/>
              </w:rPr>
              <w:t xml:space="preserve"> ťahaní alebo tlačení bremena, pri ktor</w:t>
            </w:r>
            <w:r w:rsidR="000A1B67" w:rsidRPr="00E93540">
              <w:rPr>
                <w:lang w:val="it-IT"/>
              </w:rPr>
              <w:t>ých</w:t>
            </w:r>
            <w:r w:rsidRPr="00E93540">
              <w:rPr>
                <w:lang w:val="it-IT"/>
              </w:rPr>
              <w:t xml:space="preserve"> </w:t>
            </w:r>
            <w:r w:rsidR="000A1B67" w:rsidRPr="00E93540">
              <w:rPr>
                <w:lang w:val="it-IT"/>
              </w:rPr>
              <w:t xml:space="preserve">je </w:t>
            </w:r>
            <w:r w:rsidRPr="00E93540">
              <w:rPr>
                <w:lang w:val="it-IT"/>
              </w:rPr>
              <w:t>prekr</w:t>
            </w:r>
            <w:r w:rsidR="000A1B67" w:rsidRPr="00E93540">
              <w:rPr>
                <w:lang w:val="it-IT"/>
              </w:rPr>
              <w:t>očený</w:t>
            </w:r>
            <w:r w:rsidRPr="00E93540">
              <w:rPr>
                <w:lang w:val="it-IT"/>
              </w:rPr>
              <w:t xml:space="preserve"> 0,85-násobok najvyššie prípustnej </w:t>
            </w:r>
            <w:r w:rsidR="000A1B67" w:rsidRPr="00E93540">
              <w:rPr>
                <w:lang w:val="it-IT"/>
              </w:rPr>
              <w:t xml:space="preserve">impulznej alebo ustálenej </w:t>
            </w:r>
            <w:r w:rsidRPr="00E93540">
              <w:rPr>
                <w:lang w:val="it-IT"/>
              </w:rPr>
              <w:t xml:space="preserve">sily pre ťahanie alebo tlačenie za referenčných podmienok, ale </w:t>
            </w:r>
            <w:r w:rsidR="000A1B67" w:rsidRPr="00E93540">
              <w:rPr>
                <w:lang w:val="it-IT"/>
              </w:rPr>
              <w:t>nie je prekročená</w:t>
            </w:r>
            <w:r w:rsidRPr="00E93540">
              <w:rPr>
                <w:lang w:val="it-IT"/>
              </w:rPr>
              <w:t xml:space="preserve"> najvyššie prípustn</w:t>
            </w:r>
            <w:r w:rsidR="000A1B67" w:rsidRPr="00E93540">
              <w:rPr>
                <w:lang w:val="it-IT"/>
              </w:rPr>
              <w:t>á</w:t>
            </w:r>
            <w:r w:rsidRPr="00E93540">
              <w:rPr>
                <w:lang w:val="it-IT"/>
              </w:rPr>
              <w:t xml:space="preserve"> </w:t>
            </w:r>
            <w:r w:rsidR="000A1B67" w:rsidRPr="00E93540">
              <w:rPr>
                <w:lang w:val="it-IT"/>
              </w:rPr>
              <w:t xml:space="preserve">impulzná alebo ustálená </w:t>
            </w:r>
            <w:r w:rsidRPr="00E93540">
              <w:rPr>
                <w:lang w:val="it-IT"/>
              </w:rPr>
              <w:t>sil</w:t>
            </w:r>
            <w:r w:rsidR="000A1B67" w:rsidRPr="00E93540">
              <w:rPr>
                <w:lang w:val="it-IT"/>
              </w:rPr>
              <w:t>a</w:t>
            </w:r>
            <w:r w:rsidRPr="00E93540">
              <w:rPr>
                <w:lang w:val="it-IT"/>
              </w:rPr>
              <w:t xml:space="preserve"> pre ťahanie alebo tlačen</w:t>
            </w:r>
            <w:r w:rsidR="00117075" w:rsidRPr="00E93540">
              <w:rPr>
                <w:lang w:val="it-IT"/>
              </w:rPr>
              <w:t>i</w:t>
            </w:r>
            <w:r w:rsidRPr="00E93540">
              <w:rPr>
                <w:lang w:val="it-IT"/>
              </w:rPr>
              <w:t>e za referenčných podmienok.</w:t>
            </w:r>
          </w:p>
        </w:tc>
      </w:tr>
      <w:tr w:rsidR="00B361C7" w:rsidRPr="007060DF" w:rsidTr="00A93B2E">
        <w:tc>
          <w:tcPr>
            <w:tcW w:w="1150" w:type="dxa"/>
            <w:vAlign w:val="center"/>
          </w:tcPr>
          <w:p w:rsidR="00B361C7" w:rsidRPr="007060DF" w:rsidRDefault="00B361C7" w:rsidP="00501B9E">
            <w:pPr>
              <w:tabs>
                <w:tab w:val="left" w:pos="1418"/>
              </w:tabs>
              <w:jc w:val="center"/>
            </w:pPr>
            <w:r w:rsidRPr="007060DF">
              <w:lastRenderedPageBreak/>
              <w:t>3.</w:t>
            </w:r>
          </w:p>
        </w:tc>
        <w:tc>
          <w:tcPr>
            <w:tcW w:w="8396" w:type="dxa"/>
          </w:tcPr>
          <w:p w:rsidR="00B361C7" w:rsidRPr="005F6868" w:rsidRDefault="00B361C7" w:rsidP="007549E5">
            <w:pPr>
              <w:pStyle w:val="Odsekzoznamu"/>
              <w:numPr>
                <w:ilvl w:val="0"/>
                <w:numId w:val="4"/>
              </w:numPr>
              <w:tabs>
                <w:tab w:val="left" w:pos="1418"/>
              </w:tabs>
              <w:ind w:left="410" w:hanging="426"/>
              <w:jc w:val="both"/>
            </w:pPr>
            <w:r w:rsidRPr="005F6868">
              <w:rPr>
                <w:lang w:val="it-IT"/>
              </w:rPr>
              <w:t xml:space="preserve">Práce so zdvíhaním a ukladaním bremena </w:t>
            </w:r>
            <w:r w:rsidR="00187710" w:rsidRPr="005F6868">
              <w:rPr>
                <w:lang w:val="it-IT"/>
              </w:rPr>
              <w:t>s</w:t>
            </w:r>
            <w:r w:rsidRPr="005F6868">
              <w:rPr>
                <w:lang w:val="it-IT"/>
              </w:rPr>
              <w:t> hmotnos</w:t>
            </w:r>
            <w:r w:rsidR="00187710" w:rsidRPr="005F6868">
              <w:rPr>
                <w:lang w:val="it-IT"/>
              </w:rPr>
              <w:t>ťou</w:t>
            </w:r>
            <w:r w:rsidRPr="005F6868">
              <w:rPr>
                <w:lang w:val="it-IT"/>
              </w:rPr>
              <w:t xml:space="preserve"> 3 kg a viac, </w:t>
            </w:r>
            <w:r w:rsidR="00522FAA" w:rsidRPr="005F6868">
              <w:rPr>
                <w:lang w:val="it-IT"/>
              </w:rPr>
              <w:t xml:space="preserve">pri ktorých je prekročená </w:t>
            </w:r>
            <w:r w:rsidRPr="005F6868">
              <w:rPr>
                <w:lang w:val="it-IT"/>
              </w:rPr>
              <w:t>referenčn</w:t>
            </w:r>
            <w:r w:rsidR="00522FAA" w:rsidRPr="005F6868">
              <w:rPr>
                <w:lang w:val="it-IT"/>
              </w:rPr>
              <w:t>á</w:t>
            </w:r>
            <w:r w:rsidRPr="005F6868">
              <w:rPr>
                <w:lang w:val="it-IT"/>
              </w:rPr>
              <w:t xml:space="preserve"> hmotnos</w:t>
            </w:r>
            <w:r w:rsidR="00522FAA" w:rsidRPr="005F6868">
              <w:rPr>
                <w:lang w:val="it-IT"/>
              </w:rPr>
              <w:t>ť bremena za referenčných podmienok</w:t>
            </w:r>
            <w:r w:rsidR="00F818C5" w:rsidRPr="005F6868">
              <w:rPr>
                <w:lang w:val="it-IT"/>
              </w:rPr>
              <w:t xml:space="preserve">, ale nie je prekročený 3-násobok </w:t>
            </w:r>
            <w:r w:rsidRPr="005F6868">
              <w:rPr>
                <w:lang w:val="it-IT"/>
              </w:rPr>
              <w:t>referenčn</w:t>
            </w:r>
            <w:r w:rsidR="00F818C5" w:rsidRPr="005F6868">
              <w:rPr>
                <w:lang w:val="it-IT"/>
              </w:rPr>
              <w:t>ej</w:t>
            </w:r>
            <w:r w:rsidRPr="005F6868">
              <w:rPr>
                <w:lang w:val="it-IT"/>
              </w:rPr>
              <w:t xml:space="preserve"> hmotnos</w:t>
            </w:r>
            <w:r w:rsidR="00F818C5" w:rsidRPr="005F6868">
              <w:rPr>
                <w:lang w:val="it-IT"/>
              </w:rPr>
              <w:t>ti</w:t>
            </w:r>
            <w:r w:rsidRPr="005F6868">
              <w:rPr>
                <w:lang w:val="it-IT"/>
              </w:rPr>
              <w:t xml:space="preserve"> bremena za referenčných podmienok. </w:t>
            </w:r>
          </w:p>
          <w:p w:rsidR="00B03F22" w:rsidRPr="005F6868" w:rsidRDefault="00F818C5" w:rsidP="00377399">
            <w:pPr>
              <w:pStyle w:val="Odsekzoznamu"/>
              <w:numPr>
                <w:ilvl w:val="0"/>
                <w:numId w:val="4"/>
              </w:numPr>
              <w:tabs>
                <w:tab w:val="left" w:pos="1418"/>
              </w:tabs>
              <w:ind w:left="410" w:hanging="426"/>
              <w:jc w:val="both"/>
            </w:pPr>
            <w:r w:rsidRPr="005F6868">
              <w:rPr>
                <w:lang w:val="it-IT"/>
              </w:rPr>
              <w:t>Práce s ručným prenášaním bremena s hmotnosťou 3 kg a viac na vzdialenosť väčšiu ako 1 meter, pri ktorých je prekročená referenčná kumulatívna hmotnos</w:t>
            </w:r>
            <w:r w:rsidR="00377399" w:rsidRPr="005F6868">
              <w:rPr>
                <w:lang w:val="it-IT"/>
              </w:rPr>
              <w:t>ť</w:t>
            </w:r>
            <w:r w:rsidRPr="005F6868">
              <w:rPr>
                <w:lang w:val="it-IT"/>
              </w:rPr>
              <w:t xml:space="preserve"> za referenčných podmienok</w:t>
            </w:r>
            <w:r w:rsidR="00B03F22" w:rsidRPr="005F6868">
              <w:rPr>
                <w:lang w:val="it-IT"/>
              </w:rPr>
              <w:t xml:space="preserve">, ale nie je prekročený 2-násobok referenčnej kumulatívnej hmotnosti za referenčných podmienok. </w:t>
            </w:r>
          </w:p>
          <w:p w:rsidR="000D1800" w:rsidRPr="005F6868" w:rsidRDefault="00B361C7" w:rsidP="000D1800">
            <w:pPr>
              <w:pStyle w:val="Odsekzoznamu"/>
              <w:numPr>
                <w:ilvl w:val="0"/>
                <w:numId w:val="4"/>
              </w:numPr>
              <w:tabs>
                <w:tab w:val="left" w:pos="1418"/>
              </w:tabs>
              <w:ind w:left="410" w:hanging="426"/>
              <w:jc w:val="both"/>
            </w:pPr>
            <w:r w:rsidRPr="005F6868">
              <w:rPr>
                <w:lang w:val="it-IT"/>
              </w:rPr>
              <w:t xml:space="preserve">Práce s </w:t>
            </w:r>
            <w:r w:rsidR="00F818C5" w:rsidRPr="005F6868">
              <w:rPr>
                <w:lang w:val="it-IT"/>
              </w:rPr>
              <w:t xml:space="preserve">použitím sily celého tela pri </w:t>
            </w:r>
            <w:r w:rsidRPr="005F6868">
              <w:rPr>
                <w:lang w:val="it-IT"/>
              </w:rPr>
              <w:t>ručn</w:t>
            </w:r>
            <w:r w:rsidR="00F818C5" w:rsidRPr="005F6868">
              <w:rPr>
                <w:lang w:val="it-IT"/>
              </w:rPr>
              <w:t>om</w:t>
            </w:r>
            <w:r w:rsidRPr="005F6868">
              <w:rPr>
                <w:lang w:val="it-IT"/>
              </w:rPr>
              <w:t xml:space="preserve"> ťahaní alebo tlačení bremena, pri ktorých </w:t>
            </w:r>
            <w:r w:rsidR="00F818C5" w:rsidRPr="005F6868">
              <w:rPr>
                <w:lang w:val="it-IT"/>
              </w:rPr>
              <w:t>je</w:t>
            </w:r>
            <w:r w:rsidRPr="005F6868">
              <w:rPr>
                <w:lang w:val="it-IT"/>
              </w:rPr>
              <w:t xml:space="preserve"> prekr</w:t>
            </w:r>
            <w:r w:rsidR="00F818C5" w:rsidRPr="005F6868">
              <w:rPr>
                <w:lang w:val="it-IT"/>
              </w:rPr>
              <w:t xml:space="preserve">očená </w:t>
            </w:r>
            <w:r w:rsidRPr="005F6868">
              <w:rPr>
                <w:lang w:val="it-IT"/>
              </w:rPr>
              <w:t>najvyššie prípustn</w:t>
            </w:r>
            <w:r w:rsidR="00F818C5" w:rsidRPr="005F6868">
              <w:rPr>
                <w:lang w:val="it-IT"/>
              </w:rPr>
              <w:t>á</w:t>
            </w:r>
            <w:r w:rsidRPr="005F6868">
              <w:rPr>
                <w:lang w:val="it-IT"/>
              </w:rPr>
              <w:t xml:space="preserve"> </w:t>
            </w:r>
            <w:r w:rsidR="00F818C5" w:rsidRPr="005F6868">
              <w:rPr>
                <w:lang w:val="it-IT"/>
              </w:rPr>
              <w:t xml:space="preserve">impulzná alebo ustálená </w:t>
            </w:r>
            <w:r w:rsidRPr="005F6868">
              <w:rPr>
                <w:lang w:val="it-IT"/>
              </w:rPr>
              <w:t>sil</w:t>
            </w:r>
            <w:r w:rsidR="00F818C5" w:rsidRPr="005F6868">
              <w:rPr>
                <w:lang w:val="it-IT"/>
              </w:rPr>
              <w:t>a</w:t>
            </w:r>
            <w:r w:rsidRPr="005F6868">
              <w:rPr>
                <w:lang w:val="it-IT"/>
              </w:rPr>
              <w:t xml:space="preserve"> pre ťahanie alebo tlačene za referenčných podmienok, ale </w:t>
            </w:r>
            <w:r w:rsidR="00F818C5" w:rsidRPr="005F6868">
              <w:rPr>
                <w:lang w:val="it-IT"/>
              </w:rPr>
              <w:t xml:space="preserve">nie je prekročený </w:t>
            </w:r>
            <w:r w:rsidRPr="005F6868">
              <w:rPr>
                <w:lang w:val="it-IT"/>
              </w:rPr>
              <w:t>2-násobok najvyššie prípustnej</w:t>
            </w:r>
            <w:r w:rsidR="00F818C5" w:rsidRPr="005F6868">
              <w:rPr>
                <w:lang w:val="it-IT"/>
              </w:rPr>
              <w:t xml:space="preserve"> impulznej alebo ustálenej</w:t>
            </w:r>
            <w:r w:rsidRPr="005F6868">
              <w:rPr>
                <w:lang w:val="it-IT"/>
              </w:rPr>
              <w:t xml:space="preserve"> sily pre ťahanie alebo tlačenie za referenčných podmienok.</w:t>
            </w:r>
          </w:p>
          <w:p w:rsidR="00E93540" w:rsidRPr="005F6868" w:rsidRDefault="00E93540" w:rsidP="000D1800">
            <w:pPr>
              <w:pStyle w:val="Odsekzoznamu"/>
              <w:numPr>
                <w:ilvl w:val="0"/>
                <w:numId w:val="4"/>
              </w:numPr>
              <w:tabs>
                <w:tab w:val="left" w:pos="1418"/>
              </w:tabs>
              <w:ind w:left="410" w:hanging="426"/>
              <w:jc w:val="both"/>
            </w:pPr>
            <w:r w:rsidRPr="005F6868">
              <w:rPr>
                <w:iCs/>
              </w:rPr>
              <w:t>Práce, ktoré spĺňajú kritériá druhej kategórie</w:t>
            </w:r>
            <w:r w:rsidR="005F6868" w:rsidRPr="005F6868">
              <w:rPr>
                <w:iCs/>
              </w:rPr>
              <w:t xml:space="preserve"> pri ručnej manipulácii s bremenami</w:t>
            </w:r>
            <w:r w:rsidRPr="005F6868">
              <w:rPr>
                <w:iCs/>
              </w:rPr>
              <w:t>, pri ktorých sa opakovane vyskytla choroba z</w:t>
            </w:r>
            <w:r w:rsidR="005F6868" w:rsidRPr="005F6868">
              <w:rPr>
                <w:iCs/>
              </w:rPr>
              <w:t> </w:t>
            </w:r>
            <w:r w:rsidRPr="005F6868">
              <w:rPr>
                <w:iCs/>
              </w:rPr>
              <w:t>povolania</w:t>
            </w:r>
            <w:r w:rsidR="005F6868" w:rsidRPr="005F6868">
              <w:rPr>
                <w:iCs/>
              </w:rPr>
              <w:t xml:space="preserve">, </w:t>
            </w:r>
            <w:r w:rsidRPr="005F6868">
              <w:rPr>
                <w:iCs/>
              </w:rPr>
              <w:t>ohrozenie chorobou z</w:t>
            </w:r>
            <w:r w:rsidR="005F6868" w:rsidRPr="005F6868">
              <w:rPr>
                <w:iCs/>
              </w:rPr>
              <w:t> </w:t>
            </w:r>
            <w:r w:rsidRPr="005F6868">
              <w:rPr>
                <w:iCs/>
              </w:rPr>
              <w:t>povolania</w:t>
            </w:r>
            <w:r w:rsidR="005F6868" w:rsidRPr="005F6868">
              <w:rPr>
                <w:iCs/>
              </w:rPr>
              <w:t xml:space="preserve"> alebo iné poškodenie podporno-pohybovej sústavy</w:t>
            </w:r>
            <w:r w:rsidRPr="005F6868">
              <w:rPr>
                <w:iCs/>
              </w:rPr>
              <w:t xml:space="preserve"> u zamestnancov vo vzťahu k ručnej manipulácii s bremenami.</w:t>
            </w:r>
          </w:p>
          <w:p w:rsidR="00F818C5" w:rsidRPr="005F6868" w:rsidRDefault="00F818C5" w:rsidP="00615B44">
            <w:pPr>
              <w:tabs>
                <w:tab w:val="left" w:pos="1418"/>
              </w:tabs>
              <w:jc w:val="both"/>
              <w:rPr>
                <w:i/>
                <w:strike/>
                <w:color w:val="FF0000"/>
              </w:rPr>
            </w:pPr>
          </w:p>
        </w:tc>
      </w:tr>
      <w:tr w:rsidR="00D734C6" w:rsidRPr="007060DF" w:rsidTr="00A93B2E">
        <w:tc>
          <w:tcPr>
            <w:tcW w:w="1150" w:type="dxa"/>
            <w:vAlign w:val="center"/>
          </w:tcPr>
          <w:p w:rsidR="00D734C6" w:rsidRPr="007060DF" w:rsidRDefault="00D734C6" w:rsidP="00501B9E">
            <w:pPr>
              <w:tabs>
                <w:tab w:val="left" w:pos="1418"/>
              </w:tabs>
              <w:jc w:val="center"/>
            </w:pPr>
            <w:r w:rsidRPr="007060DF">
              <w:t>4.</w:t>
            </w:r>
          </w:p>
        </w:tc>
        <w:tc>
          <w:tcPr>
            <w:tcW w:w="8396" w:type="dxa"/>
          </w:tcPr>
          <w:p w:rsidR="00B814F7" w:rsidRPr="005F6868" w:rsidRDefault="00B814F7" w:rsidP="005F6868">
            <w:pPr>
              <w:pStyle w:val="Odsekzoznamu"/>
              <w:numPr>
                <w:ilvl w:val="0"/>
                <w:numId w:val="5"/>
              </w:numPr>
              <w:tabs>
                <w:tab w:val="left" w:pos="1418"/>
              </w:tabs>
              <w:ind w:left="335" w:hanging="284"/>
              <w:jc w:val="both"/>
              <w:rPr>
                <w:lang w:val="it-IT" w:eastAsia="en-US"/>
              </w:rPr>
            </w:pPr>
            <w:r w:rsidRPr="005F6868">
              <w:t>Práce so zdvíhaním a ukladaním bremena s hmotnosťou vyššou ako je referenčná hmotnosť bremena pre mužov a pre ženy.</w:t>
            </w:r>
          </w:p>
          <w:p w:rsidR="00B05153" w:rsidRPr="005F6868" w:rsidRDefault="00B05153" w:rsidP="005F6868">
            <w:pPr>
              <w:pStyle w:val="Odsekzoznamu"/>
              <w:numPr>
                <w:ilvl w:val="0"/>
                <w:numId w:val="5"/>
              </w:numPr>
              <w:tabs>
                <w:tab w:val="left" w:pos="1418"/>
              </w:tabs>
              <w:ind w:left="335" w:hanging="284"/>
              <w:jc w:val="both"/>
              <w:rPr>
                <w:lang w:val="it-IT" w:eastAsia="en-US"/>
              </w:rPr>
            </w:pPr>
            <w:r w:rsidRPr="005F6868">
              <w:t xml:space="preserve">Práce so zdvíhaním a ukladaním bremena, pri ktorých je prekročený 3-násobok referenčnej hmotnosti bremena </w:t>
            </w:r>
            <w:r w:rsidRPr="005F6868">
              <w:rPr>
                <w:lang w:val="it-IT"/>
              </w:rPr>
              <w:t>za referenčných podmienok</w:t>
            </w:r>
            <w:r w:rsidRPr="005F6868">
              <w:t>.</w:t>
            </w:r>
          </w:p>
          <w:p w:rsidR="00820D32" w:rsidRPr="005F6868" w:rsidRDefault="00820D32" w:rsidP="005F6868">
            <w:pPr>
              <w:pStyle w:val="Odsekzoznamu"/>
              <w:numPr>
                <w:ilvl w:val="0"/>
                <w:numId w:val="5"/>
              </w:numPr>
              <w:tabs>
                <w:tab w:val="left" w:pos="1418"/>
              </w:tabs>
              <w:ind w:left="335" w:hanging="284"/>
              <w:jc w:val="both"/>
            </w:pPr>
            <w:r w:rsidRPr="005F6868">
              <w:rPr>
                <w:lang w:val="it-IT"/>
              </w:rPr>
              <w:t xml:space="preserve">Práce s ručným prenášaním bremena s hmotnosťou 3 kg a viac na vzdialenosť väčšiu ako 1 meter, pri ktorých je prekročený 2-násobok referenčnej kumulatívnej hmotnosti za referenčných podmienok. </w:t>
            </w:r>
          </w:p>
          <w:p w:rsidR="00D734C6" w:rsidRPr="005F6868" w:rsidRDefault="00D734C6" w:rsidP="005F6868">
            <w:pPr>
              <w:pStyle w:val="Odsekzoznamu"/>
              <w:numPr>
                <w:ilvl w:val="0"/>
                <w:numId w:val="5"/>
              </w:numPr>
              <w:tabs>
                <w:tab w:val="left" w:pos="1418"/>
              </w:tabs>
              <w:ind w:left="335" w:hanging="284"/>
              <w:jc w:val="both"/>
              <w:rPr>
                <w:lang w:val="it-IT" w:eastAsia="en-US"/>
              </w:rPr>
            </w:pPr>
            <w:r w:rsidRPr="005F6868">
              <w:rPr>
                <w:lang w:val="it-IT"/>
              </w:rPr>
              <w:t xml:space="preserve">Práce s </w:t>
            </w:r>
            <w:r w:rsidR="00B05153" w:rsidRPr="005F6868">
              <w:rPr>
                <w:lang w:val="it-IT"/>
              </w:rPr>
              <w:t xml:space="preserve">použitím sily celého tela pri </w:t>
            </w:r>
            <w:r w:rsidRPr="005F6868">
              <w:rPr>
                <w:lang w:val="it-IT"/>
              </w:rPr>
              <w:t>ručn</w:t>
            </w:r>
            <w:r w:rsidR="00B05153" w:rsidRPr="005F6868">
              <w:rPr>
                <w:lang w:val="it-IT"/>
              </w:rPr>
              <w:t>om</w:t>
            </w:r>
            <w:r w:rsidRPr="005F6868">
              <w:rPr>
                <w:lang w:val="it-IT"/>
              </w:rPr>
              <w:t xml:space="preserve"> ťahaní alebo tlačení bremena, pri ktorých </w:t>
            </w:r>
            <w:r w:rsidR="00B05153" w:rsidRPr="005F6868">
              <w:rPr>
                <w:lang w:val="it-IT"/>
              </w:rPr>
              <w:t>je</w:t>
            </w:r>
            <w:r w:rsidRPr="005F6868">
              <w:rPr>
                <w:lang w:val="it-IT"/>
              </w:rPr>
              <w:t xml:space="preserve"> prekr</w:t>
            </w:r>
            <w:r w:rsidR="00B05153" w:rsidRPr="005F6868">
              <w:rPr>
                <w:lang w:val="it-IT"/>
              </w:rPr>
              <w:t>očený</w:t>
            </w:r>
            <w:r w:rsidRPr="005F6868">
              <w:rPr>
                <w:lang w:val="it-IT"/>
              </w:rPr>
              <w:t xml:space="preserve"> 2-násobok najvyššie prípustnej </w:t>
            </w:r>
            <w:r w:rsidR="00B05153" w:rsidRPr="005F6868">
              <w:rPr>
                <w:lang w:val="it-IT"/>
              </w:rPr>
              <w:t xml:space="preserve">impulznej alebo ustálenej </w:t>
            </w:r>
            <w:r w:rsidRPr="005F6868">
              <w:rPr>
                <w:lang w:val="it-IT"/>
              </w:rPr>
              <w:t>sily pri ťahaní alebo tlačení za referenčných podmienok.</w:t>
            </w:r>
          </w:p>
          <w:p w:rsidR="005F6868" w:rsidRPr="005F6868" w:rsidRDefault="005F6868" w:rsidP="005F6868">
            <w:pPr>
              <w:pStyle w:val="Odsekzoznamu"/>
              <w:numPr>
                <w:ilvl w:val="0"/>
                <w:numId w:val="5"/>
              </w:numPr>
              <w:ind w:left="335" w:hanging="284"/>
              <w:jc w:val="both"/>
              <w:rPr>
                <w:lang w:val="it-IT" w:eastAsia="it-IT"/>
              </w:rPr>
            </w:pPr>
            <w:r w:rsidRPr="005F6868">
              <w:rPr>
                <w:iCs/>
              </w:rPr>
              <w:t xml:space="preserve">Práce, ktoré spĺňajú kritériá tretej kategórie </w:t>
            </w:r>
            <w:r w:rsidR="00146C49">
              <w:rPr>
                <w:iCs/>
              </w:rPr>
              <w:t xml:space="preserve">v písm. a), b) alebo c) </w:t>
            </w:r>
            <w:r w:rsidRPr="005F6868">
              <w:rPr>
                <w:iCs/>
              </w:rPr>
              <w:t>pri ručnej manipulácii s bremenami, pri ktorých sa opakovane vyskytla choroba z povolania, ohrozenie chorobou z povolania alebo iné poškodenie podporno-pohybovej sústavy u zamestnancov vo vzťahu k ručnej manipulácii s bremenami.</w:t>
            </w:r>
          </w:p>
          <w:p w:rsidR="00C466BB" w:rsidRPr="005F6868" w:rsidRDefault="00C466BB" w:rsidP="005F6868">
            <w:pPr>
              <w:tabs>
                <w:tab w:val="left" w:pos="1418"/>
              </w:tabs>
              <w:ind w:left="335" w:hanging="284"/>
              <w:jc w:val="both"/>
              <w:rPr>
                <w:lang w:val="it-IT" w:eastAsia="en-US"/>
              </w:rPr>
            </w:pPr>
          </w:p>
        </w:tc>
      </w:tr>
    </w:tbl>
    <w:p w:rsidR="00221114" w:rsidRPr="00056F1A" w:rsidRDefault="00221114" w:rsidP="00501B9E">
      <w:pPr>
        <w:tabs>
          <w:tab w:val="left" w:pos="1418"/>
        </w:tabs>
        <w:autoSpaceDE/>
        <w:autoSpaceDN/>
        <w:jc w:val="both"/>
      </w:pPr>
    </w:p>
    <w:p w:rsidR="00221114" w:rsidRDefault="00221114" w:rsidP="00221114">
      <w:pPr>
        <w:autoSpaceDE/>
        <w:autoSpaceDN/>
        <w:jc w:val="both"/>
        <w:rPr>
          <w:highlight w:val="yellow"/>
        </w:rPr>
      </w:pPr>
    </w:p>
    <w:p w:rsidR="00221114" w:rsidRPr="005F6868" w:rsidRDefault="00221114" w:rsidP="00221114">
      <w:pPr>
        <w:autoSpaceDE/>
        <w:autoSpaceDN/>
        <w:jc w:val="both"/>
      </w:pPr>
      <w:r w:rsidRPr="005F6868">
        <w:t xml:space="preserve">Poznámka pod čiarou k odkazu </w:t>
      </w:r>
      <w:r w:rsidR="0073189B" w:rsidRPr="005F6868">
        <w:t>10</w:t>
      </w:r>
      <w:r w:rsidR="00187710" w:rsidRPr="005F6868">
        <w:t>b</w:t>
      </w:r>
      <w:r w:rsidRPr="005F6868">
        <w:t xml:space="preserve"> znie:</w:t>
      </w:r>
    </w:p>
    <w:p w:rsidR="00221114" w:rsidRPr="007060DF" w:rsidRDefault="00221114" w:rsidP="00221114">
      <w:pPr>
        <w:autoSpaceDE/>
        <w:autoSpaceDN/>
        <w:jc w:val="both"/>
      </w:pPr>
      <w:r w:rsidRPr="005F6868">
        <w:t>„</w:t>
      </w:r>
      <w:r w:rsidR="0073189B" w:rsidRPr="005F6868">
        <w:rPr>
          <w:vertAlign w:val="superscript"/>
        </w:rPr>
        <w:t>10</w:t>
      </w:r>
      <w:r w:rsidR="00187710" w:rsidRPr="005F6868">
        <w:rPr>
          <w:vertAlign w:val="superscript"/>
        </w:rPr>
        <w:t>b</w:t>
      </w:r>
      <w:r w:rsidRPr="005F6868">
        <w:t xml:space="preserve">) Príloha č. </w:t>
      </w:r>
      <w:r w:rsidR="0073189B" w:rsidRPr="005F6868">
        <w:t>2</w:t>
      </w:r>
      <w:r w:rsidRPr="005F6868">
        <w:t xml:space="preserve"> </w:t>
      </w:r>
      <w:r w:rsidR="00056F1A" w:rsidRPr="005F6868">
        <w:t xml:space="preserve">k nariadeniu vlády </w:t>
      </w:r>
      <w:r w:rsidRPr="005F6868">
        <w:t xml:space="preserve">Slovenskej republiky č. </w:t>
      </w:r>
      <w:r w:rsidR="00056F1A" w:rsidRPr="005F6868">
        <w:t>281</w:t>
      </w:r>
      <w:r w:rsidRPr="005F6868">
        <w:t>/200</w:t>
      </w:r>
      <w:r w:rsidR="00056F1A" w:rsidRPr="005F6868">
        <w:t>6</w:t>
      </w:r>
      <w:r w:rsidRPr="005F6868">
        <w:t xml:space="preserve"> Z. z.</w:t>
      </w:r>
      <w:r w:rsidR="00056F1A" w:rsidRPr="005F6868">
        <w:t xml:space="preserve"> o minimálnych bezpečnostných a zdravotných požiadavkách pri ručnej manipulácii s bremenami v znení </w:t>
      </w:r>
      <w:r w:rsidR="00056F1A" w:rsidRPr="00056F1A">
        <w:t>nariadenia vlády Slovenskej republiky č. .../2023 Z. z.</w:t>
      </w:r>
      <w:r w:rsidRPr="00056F1A">
        <w:t>“.</w:t>
      </w:r>
    </w:p>
    <w:p w:rsidR="00221114" w:rsidRDefault="00221114" w:rsidP="00A93B2E">
      <w:pPr>
        <w:autoSpaceDE/>
        <w:autoSpaceDN/>
        <w:jc w:val="both"/>
      </w:pPr>
    </w:p>
    <w:p w:rsidR="00BA2406" w:rsidRPr="007060DF" w:rsidRDefault="00BA2406" w:rsidP="00221114">
      <w:pPr>
        <w:autoSpaceDE/>
        <w:autoSpaceDN/>
        <w:jc w:val="both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396"/>
      </w:tblGrid>
      <w:tr w:rsidR="00221114" w:rsidRPr="007060DF" w:rsidTr="00501B9E">
        <w:trPr>
          <w:cantSplit/>
        </w:trPr>
        <w:tc>
          <w:tcPr>
            <w:tcW w:w="9600" w:type="dxa"/>
            <w:gridSpan w:val="2"/>
            <w:vAlign w:val="center"/>
          </w:tcPr>
          <w:p w:rsidR="00221114" w:rsidRPr="007060DF" w:rsidRDefault="00BA2406" w:rsidP="00C53764">
            <w:pPr>
              <w:pStyle w:val="Nadpis3"/>
              <w:rPr>
                <w:color w:val="auto"/>
              </w:rPr>
            </w:pPr>
            <w:r>
              <w:rPr>
                <w:bCs w:val="0"/>
                <w:color w:val="auto"/>
              </w:rPr>
              <w:lastRenderedPageBreak/>
              <w:t>Fyzická záťaž</w:t>
            </w:r>
            <w:r w:rsidR="0073189B">
              <w:rPr>
                <w:bCs w:val="0"/>
                <w:color w:val="auto"/>
              </w:rPr>
              <w:t xml:space="preserve"> </w:t>
            </w:r>
            <w:r w:rsidR="0073189B" w:rsidRPr="0073189B">
              <w:rPr>
                <w:b w:val="0"/>
              </w:rPr>
              <w:t>podľa § 38 ods.</w:t>
            </w:r>
            <w:r w:rsidR="0073189B">
              <w:rPr>
                <w:b w:val="0"/>
              </w:rPr>
              <w:t xml:space="preserve"> 1 a 2 zákona</w:t>
            </w:r>
          </w:p>
        </w:tc>
      </w:tr>
      <w:tr w:rsidR="00221114" w:rsidRPr="007060DF" w:rsidTr="00501B9E">
        <w:trPr>
          <w:cantSplit/>
        </w:trPr>
        <w:tc>
          <w:tcPr>
            <w:tcW w:w="9600" w:type="dxa"/>
            <w:gridSpan w:val="2"/>
            <w:vAlign w:val="center"/>
          </w:tcPr>
          <w:p w:rsidR="00221114" w:rsidRPr="007060DF" w:rsidRDefault="00986382" w:rsidP="0006747C">
            <w:r>
              <w:rPr>
                <w:b/>
                <w:bCs/>
              </w:rPr>
              <w:t>Q</w:t>
            </w:r>
            <w:r w:rsidR="00221114" w:rsidRPr="007060DF">
              <w:rPr>
                <w:b/>
                <w:bCs/>
              </w:rPr>
              <w:t xml:space="preserve">. </w:t>
            </w:r>
            <w:r w:rsidR="00BA2406">
              <w:rPr>
                <w:b/>
                <w:bCs/>
                <w:lang w:val="it-IT"/>
              </w:rPr>
              <w:t>Dlhodobá jednostranná nadmerná záťaž horných končatín</w:t>
            </w:r>
            <w:r w:rsidR="00501B9E" w:rsidRPr="00501B9E">
              <w:rPr>
                <w:b/>
                <w:bCs/>
                <w:vertAlign w:val="superscript"/>
              </w:rPr>
              <w:t>10</w:t>
            </w:r>
            <w:r w:rsidR="00501B9E" w:rsidRPr="00501B9E">
              <w:rPr>
                <w:b/>
                <w:bCs/>
              </w:rPr>
              <w:t>)</w:t>
            </w:r>
          </w:p>
        </w:tc>
      </w:tr>
      <w:tr w:rsidR="00221114" w:rsidRPr="007060DF" w:rsidTr="00501B9E">
        <w:tc>
          <w:tcPr>
            <w:tcW w:w="1204" w:type="dxa"/>
            <w:vAlign w:val="center"/>
          </w:tcPr>
          <w:p w:rsidR="00221114" w:rsidRPr="007060DF" w:rsidRDefault="00221114" w:rsidP="00C53764">
            <w:pPr>
              <w:jc w:val="center"/>
            </w:pPr>
            <w:r w:rsidRPr="007060DF">
              <w:t>Kategória</w:t>
            </w:r>
          </w:p>
        </w:tc>
        <w:tc>
          <w:tcPr>
            <w:tcW w:w="8396" w:type="dxa"/>
          </w:tcPr>
          <w:p w:rsidR="00221114" w:rsidRPr="007060DF" w:rsidRDefault="00221114" w:rsidP="00C53764">
            <w:pPr>
              <w:jc w:val="center"/>
            </w:pPr>
            <w:r w:rsidRPr="007060DF">
              <w:t>Charakteristika prác</w:t>
            </w:r>
          </w:p>
        </w:tc>
      </w:tr>
      <w:tr w:rsidR="00221114" w:rsidRPr="007060DF" w:rsidTr="00501B9E">
        <w:tc>
          <w:tcPr>
            <w:tcW w:w="1204" w:type="dxa"/>
            <w:vAlign w:val="center"/>
          </w:tcPr>
          <w:p w:rsidR="00221114" w:rsidRPr="007060DF" w:rsidRDefault="00221114" w:rsidP="00C53764">
            <w:pPr>
              <w:jc w:val="center"/>
            </w:pPr>
            <w:r w:rsidRPr="007060DF">
              <w:t>1.</w:t>
            </w:r>
          </w:p>
        </w:tc>
        <w:tc>
          <w:tcPr>
            <w:tcW w:w="8396" w:type="dxa"/>
          </w:tcPr>
          <w:p w:rsidR="00221114" w:rsidRPr="005C214A" w:rsidRDefault="00187710" w:rsidP="00BF1011">
            <w:pPr>
              <w:tabs>
                <w:tab w:val="left" w:pos="356"/>
              </w:tabs>
              <w:jc w:val="both"/>
              <w:rPr>
                <w:lang w:val="it-IT" w:eastAsia="en-US"/>
              </w:rPr>
            </w:pPr>
            <w:r w:rsidRPr="005C214A">
              <w:rPr>
                <w:lang w:val="it-IT"/>
              </w:rPr>
              <w:t>Práce určené kontrolným list</w:t>
            </w:r>
            <w:r w:rsidR="00BF1011">
              <w:rPr>
                <w:lang w:val="it-IT"/>
              </w:rPr>
              <w:t>o</w:t>
            </w:r>
            <w:r w:rsidRPr="005C214A">
              <w:rPr>
                <w:lang w:val="it-IT"/>
              </w:rPr>
              <w:t>m,</w:t>
            </w:r>
            <w:r w:rsidRPr="005C214A">
              <w:rPr>
                <w:vertAlign w:val="superscript"/>
                <w:lang w:val="it-IT"/>
              </w:rPr>
              <w:t>10a</w:t>
            </w:r>
            <w:r w:rsidRPr="005C214A">
              <w:rPr>
                <w:lang w:val="it-IT"/>
              </w:rPr>
              <w:t xml:space="preserve">) </w:t>
            </w:r>
            <w:r w:rsidR="00E74777" w:rsidRPr="005C214A">
              <w:rPr>
                <w:lang w:val="it-IT"/>
              </w:rPr>
              <w:t xml:space="preserve">alebo práce, </w:t>
            </w:r>
            <w:r w:rsidR="00BA2406" w:rsidRPr="005C214A">
              <w:rPr>
                <w:lang w:val="it-IT"/>
              </w:rPr>
              <w:t>pri ktorých je úhrnný čas jednej alebo viacer</w:t>
            </w:r>
            <w:r w:rsidR="00FB71DD" w:rsidRPr="005C214A">
              <w:rPr>
                <w:lang w:val="it-IT"/>
              </w:rPr>
              <w:t>ých</w:t>
            </w:r>
            <w:r w:rsidR="00BA2406" w:rsidRPr="005C214A">
              <w:rPr>
                <w:lang w:val="it-IT"/>
              </w:rPr>
              <w:t xml:space="preserve"> pracovných úloh s </w:t>
            </w:r>
            <w:r w:rsidR="00FB71DD" w:rsidRPr="005C214A">
              <w:rPr>
                <w:lang w:val="it-IT"/>
              </w:rPr>
              <w:t xml:space="preserve">dlhodobou nadmernou </w:t>
            </w:r>
            <w:r w:rsidR="00BA2406" w:rsidRPr="005C214A">
              <w:rPr>
                <w:lang w:val="it-IT"/>
              </w:rPr>
              <w:t xml:space="preserve">jednostrannou záťažou horných končatín dlhší ako 1 hodina za </w:t>
            </w:r>
            <w:r w:rsidR="00FB71DD" w:rsidRPr="005C214A">
              <w:rPr>
                <w:lang w:val="it-IT"/>
              </w:rPr>
              <w:t xml:space="preserve">pracovnú </w:t>
            </w:r>
            <w:r w:rsidR="00BA2406" w:rsidRPr="005C214A">
              <w:rPr>
                <w:lang w:val="it-IT"/>
              </w:rPr>
              <w:t>zmenu alebo 5 hodín v týždni a počet technických pohybov ani jednej hornej končatiny neprekračuje 0,6-násobok najvyššie prípustného počtu technických pohybov v 8</w:t>
            </w:r>
            <w:r w:rsidR="00FB71DD" w:rsidRPr="005C214A">
              <w:rPr>
                <w:lang w:val="it-IT"/>
              </w:rPr>
              <w:t>-</w:t>
            </w:r>
            <w:r w:rsidR="00BA2406" w:rsidRPr="005C214A">
              <w:rPr>
                <w:lang w:val="it-IT"/>
              </w:rPr>
              <w:t>hodinovej pracovnej zmene za referenčných podmienok.</w:t>
            </w:r>
          </w:p>
        </w:tc>
      </w:tr>
      <w:tr w:rsidR="00221114" w:rsidRPr="007060DF" w:rsidTr="00501B9E">
        <w:tc>
          <w:tcPr>
            <w:tcW w:w="1204" w:type="dxa"/>
            <w:vAlign w:val="center"/>
          </w:tcPr>
          <w:p w:rsidR="00221114" w:rsidRPr="007060DF" w:rsidRDefault="00221114" w:rsidP="00C53764">
            <w:pPr>
              <w:jc w:val="center"/>
            </w:pPr>
            <w:r w:rsidRPr="007060DF">
              <w:t>2.</w:t>
            </w:r>
          </w:p>
        </w:tc>
        <w:tc>
          <w:tcPr>
            <w:tcW w:w="8396" w:type="dxa"/>
          </w:tcPr>
          <w:p w:rsidR="00221114" w:rsidRPr="005C214A" w:rsidRDefault="00BA2406" w:rsidP="00FB71DD">
            <w:pPr>
              <w:jc w:val="both"/>
            </w:pPr>
            <w:r w:rsidRPr="005C214A">
              <w:rPr>
                <w:lang w:val="it-IT"/>
              </w:rPr>
              <w:t xml:space="preserve">Práce, pri ktorých sú prekročené kritériá pre </w:t>
            </w:r>
            <w:r w:rsidR="00FB71DD" w:rsidRPr="005C214A">
              <w:rPr>
                <w:lang w:val="it-IT"/>
              </w:rPr>
              <w:t xml:space="preserve">prvú </w:t>
            </w:r>
            <w:r w:rsidRPr="005C214A">
              <w:rPr>
                <w:lang w:val="it-IT"/>
              </w:rPr>
              <w:t>kategóriu, ale počet technických pohybov ani jednej hornej končatiny neprekračuje najvyššie prípustný počet technických pohybov v 8</w:t>
            </w:r>
            <w:r w:rsidR="00FB71DD" w:rsidRPr="005C214A">
              <w:rPr>
                <w:lang w:val="it-IT"/>
              </w:rPr>
              <w:t>-</w:t>
            </w:r>
            <w:r w:rsidRPr="005C214A">
              <w:rPr>
                <w:lang w:val="it-IT"/>
              </w:rPr>
              <w:t>hodinovej pracovnej zmene za referenčných podmienok.</w:t>
            </w:r>
          </w:p>
        </w:tc>
      </w:tr>
      <w:tr w:rsidR="00221114" w:rsidRPr="007060DF" w:rsidTr="00501B9E">
        <w:tc>
          <w:tcPr>
            <w:tcW w:w="1204" w:type="dxa"/>
            <w:vAlign w:val="center"/>
          </w:tcPr>
          <w:p w:rsidR="00221114" w:rsidRPr="007060DF" w:rsidRDefault="00221114" w:rsidP="00C53764">
            <w:pPr>
              <w:jc w:val="center"/>
            </w:pPr>
            <w:r w:rsidRPr="007060DF">
              <w:t>3.</w:t>
            </w:r>
          </w:p>
        </w:tc>
        <w:tc>
          <w:tcPr>
            <w:tcW w:w="8396" w:type="dxa"/>
          </w:tcPr>
          <w:p w:rsidR="007F743B" w:rsidRPr="00ED41D9" w:rsidRDefault="007F743B" w:rsidP="007F743B">
            <w:pPr>
              <w:ind w:left="246" w:hanging="219"/>
              <w:jc w:val="both"/>
            </w:pPr>
            <w:r w:rsidRPr="00ED41D9">
              <w:rPr>
                <w:lang w:val="it-IT"/>
              </w:rPr>
              <w:t xml:space="preserve">a) </w:t>
            </w:r>
            <w:r w:rsidR="00BA2406" w:rsidRPr="00ED41D9">
              <w:rPr>
                <w:lang w:val="it-IT"/>
              </w:rPr>
              <w:t>Práce, pri ktorých je prekročený najvyššie prípustný počet technických pohybov v 8</w:t>
            </w:r>
            <w:r w:rsidR="00FB71DD" w:rsidRPr="00ED41D9">
              <w:rPr>
                <w:lang w:val="it-IT"/>
              </w:rPr>
              <w:t>-</w:t>
            </w:r>
            <w:r w:rsidR="00BA2406" w:rsidRPr="00ED41D9">
              <w:rPr>
                <w:lang w:val="it-IT"/>
              </w:rPr>
              <w:t>hodinovej pracovnej zmene za referenčných podmienok</w:t>
            </w:r>
            <w:r w:rsidRPr="00ED41D9">
              <w:rPr>
                <w:lang w:val="it-IT"/>
              </w:rPr>
              <w:t xml:space="preserve"> </w:t>
            </w:r>
            <w:r w:rsidRPr="00ED41D9">
              <w:t>a počet technických pohybov ani jednej hornej končatiny neprekračuje 2,6-násobok najvyššie prípustného počtu technických pohybov v 8-hodinovej pracovnej zmene za referenčných podmienok.</w:t>
            </w:r>
          </w:p>
          <w:p w:rsidR="00FB71DD" w:rsidRPr="00ED41D9" w:rsidRDefault="007F743B" w:rsidP="007F743B">
            <w:pPr>
              <w:ind w:left="246" w:hanging="219"/>
              <w:jc w:val="both"/>
              <w:rPr>
                <w:lang w:val="it-IT"/>
              </w:rPr>
            </w:pPr>
            <w:r w:rsidRPr="00ED41D9">
              <w:t xml:space="preserve">b) </w:t>
            </w:r>
            <w:r w:rsidR="005F6868" w:rsidRPr="00ED41D9">
              <w:rPr>
                <w:iCs/>
              </w:rPr>
              <w:t>Práce, ktoré spĺňajú kritériá druhej kategórie pri dlhodobej nadmernej jednostrannej záťaži horných končatín, pri ktorých sa opakovane vyskytla choroba z povolania, ohrozenie chorobou z povolania alebo iné poškodenie podporno-pohybovej sústavy u zamestnancov vo vzťahu k dlhodobej nadmernej jednostrannej záťaži horných končatín.</w:t>
            </w:r>
          </w:p>
        </w:tc>
      </w:tr>
      <w:tr w:rsidR="00221114" w:rsidRPr="007060DF" w:rsidTr="00501B9E">
        <w:tc>
          <w:tcPr>
            <w:tcW w:w="1204" w:type="dxa"/>
            <w:vAlign w:val="center"/>
          </w:tcPr>
          <w:p w:rsidR="00221114" w:rsidRPr="007F743B" w:rsidRDefault="00221114" w:rsidP="00C53764">
            <w:pPr>
              <w:jc w:val="center"/>
              <w:rPr>
                <w:color w:val="0D0D0D" w:themeColor="text1" w:themeTint="F2"/>
              </w:rPr>
            </w:pPr>
            <w:r w:rsidRPr="007F743B">
              <w:rPr>
                <w:color w:val="0D0D0D" w:themeColor="text1" w:themeTint="F2"/>
              </w:rPr>
              <w:t>4.</w:t>
            </w:r>
          </w:p>
        </w:tc>
        <w:tc>
          <w:tcPr>
            <w:tcW w:w="8396" w:type="dxa"/>
          </w:tcPr>
          <w:p w:rsidR="007F743B" w:rsidRPr="00ED41D9" w:rsidRDefault="007F743B" w:rsidP="007F743B">
            <w:pPr>
              <w:pStyle w:val="Odsekzoznamu"/>
              <w:numPr>
                <w:ilvl w:val="0"/>
                <w:numId w:val="14"/>
              </w:numPr>
              <w:ind w:left="336" w:hanging="336"/>
              <w:jc w:val="both"/>
              <w:rPr>
                <w:iCs/>
                <w:color w:val="0D0D0D" w:themeColor="text1" w:themeTint="F2"/>
              </w:rPr>
            </w:pPr>
            <w:r w:rsidRPr="00ED41D9">
              <w:rPr>
                <w:color w:val="0D0D0D" w:themeColor="text1" w:themeTint="F2"/>
              </w:rPr>
              <w:t>Práce, pri ktorých počet technických pohybov aspoň jednej hornej končatiny prekračuje 2,6-násobok najvyššie prípustného počtu technických pohybov v 8-hodinovej pracovnej zmene za referenčných podmienok.</w:t>
            </w:r>
          </w:p>
          <w:p w:rsidR="00BA2406" w:rsidRPr="00ED41D9" w:rsidRDefault="005C214A" w:rsidP="007F743B">
            <w:pPr>
              <w:pStyle w:val="Odsekzoznamu"/>
              <w:numPr>
                <w:ilvl w:val="0"/>
                <w:numId w:val="14"/>
              </w:numPr>
              <w:ind w:left="336" w:hanging="336"/>
              <w:jc w:val="both"/>
              <w:rPr>
                <w:color w:val="0D0D0D" w:themeColor="text1" w:themeTint="F2"/>
                <w:lang w:val="it-IT" w:eastAsia="it-IT"/>
              </w:rPr>
            </w:pPr>
            <w:r w:rsidRPr="00ED41D9">
              <w:rPr>
                <w:iCs/>
                <w:color w:val="0D0D0D" w:themeColor="text1" w:themeTint="F2"/>
              </w:rPr>
              <w:t xml:space="preserve">Práce, ktoré spĺňajú kritériá tretej kategórie </w:t>
            </w:r>
            <w:r w:rsidR="00146C49" w:rsidRPr="00ED41D9">
              <w:rPr>
                <w:iCs/>
                <w:color w:val="0D0D0D" w:themeColor="text1" w:themeTint="F2"/>
              </w:rPr>
              <w:t xml:space="preserve">v písm. a) </w:t>
            </w:r>
            <w:r w:rsidRPr="00ED41D9">
              <w:rPr>
                <w:iCs/>
                <w:color w:val="0D0D0D" w:themeColor="text1" w:themeTint="F2"/>
              </w:rPr>
              <w:t>pri dlhodobej nadmernej jednostrannej záťaži horných končatín, pri ktorých sa opakovane vyskytla choroba z povolania, ohrozenie chorobou z povolania alebo iné poškodenie podporno-pohybovej sústavy u zamestnancov vo vzťahu k dlhodobej nadmernej jednostrannej záťaži horných končatín.</w:t>
            </w:r>
          </w:p>
        </w:tc>
      </w:tr>
    </w:tbl>
    <w:p w:rsidR="00652E6A" w:rsidRDefault="00652E6A" w:rsidP="00652E6A">
      <w:pPr>
        <w:autoSpaceDE/>
        <w:autoSpaceDN/>
        <w:jc w:val="both"/>
      </w:pPr>
    </w:p>
    <w:p w:rsidR="00986382" w:rsidRPr="007060DF" w:rsidRDefault="00986382" w:rsidP="00986382">
      <w:pPr>
        <w:autoSpaceDE/>
        <w:autoSpaceDN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396"/>
      </w:tblGrid>
      <w:tr w:rsidR="00986382" w:rsidRPr="007060DF" w:rsidTr="00986382">
        <w:trPr>
          <w:cantSplit/>
        </w:trPr>
        <w:tc>
          <w:tcPr>
            <w:tcW w:w="9546" w:type="dxa"/>
            <w:gridSpan w:val="2"/>
            <w:vAlign w:val="center"/>
          </w:tcPr>
          <w:p w:rsidR="00986382" w:rsidRPr="007060DF" w:rsidRDefault="00986382" w:rsidP="00986382">
            <w:pPr>
              <w:pStyle w:val="Nadpis3"/>
              <w:rPr>
                <w:color w:val="auto"/>
              </w:rPr>
            </w:pPr>
            <w:r>
              <w:rPr>
                <w:bCs w:val="0"/>
                <w:color w:val="auto"/>
              </w:rPr>
              <w:t>Fyzická záťaž</w:t>
            </w:r>
            <w:r w:rsidR="0073189B">
              <w:rPr>
                <w:bCs w:val="0"/>
                <w:color w:val="auto"/>
              </w:rPr>
              <w:t xml:space="preserve"> </w:t>
            </w:r>
            <w:r w:rsidR="0073189B" w:rsidRPr="0073189B">
              <w:rPr>
                <w:b w:val="0"/>
              </w:rPr>
              <w:t>podľa § 38 ods.</w:t>
            </w:r>
            <w:r w:rsidR="0073189B">
              <w:rPr>
                <w:b w:val="0"/>
              </w:rPr>
              <w:t xml:space="preserve"> 1 a 2 zákona</w:t>
            </w:r>
          </w:p>
        </w:tc>
      </w:tr>
      <w:tr w:rsidR="00986382" w:rsidRPr="007060DF" w:rsidTr="00986382">
        <w:trPr>
          <w:cantSplit/>
        </w:trPr>
        <w:tc>
          <w:tcPr>
            <w:tcW w:w="9546" w:type="dxa"/>
            <w:gridSpan w:val="2"/>
            <w:vAlign w:val="center"/>
          </w:tcPr>
          <w:p w:rsidR="00986382" w:rsidRPr="007060DF" w:rsidRDefault="00986382" w:rsidP="0006747C">
            <w:r>
              <w:rPr>
                <w:b/>
                <w:bCs/>
              </w:rPr>
              <w:t>R</w:t>
            </w:r>
            <w:r w:rsidRPr="007060DF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it-IT"/>
              </w:rPr>
              <w:t>Nepriaznivé pracovné polohy</w:t>
            </w:r>
            <w:r w:rsidR="00501B9E" w:rsidRPr="00501B9E">
              <w:rPr>
                <w:b/>
                <w:bCs/>
                <w:vertAlign w:val="superscript"/>
              </w:rPr>
              <w:t>10</w:t>
            </w:r>
            <w:r w:rsidR="00501B9E" w:rsidRPr="00501B9E">
              <w:rPr>
                <w:b/>
                <w:bCs/>
              </w:rPr>
              <w:t>)</w:t>
            </w:r>
          </w:p>
        </w:tc>
      </w:tr>
      <w:tr w:rsidR="00986382" w:rsidRPr="007060DF" w:rsidTr="00986382">
        <w:tc>
          <w:tcPr>
            <w:tcW w:w="1150" w:type="dxa"/>
            <w:vAlign w:val="center"/>
          </w:tcPr>
          <w:p w:rsidR="00986382" w:rsidRPr="007060DF" w:rsidRDefault="00986382" w:rsidP="00986382">
            <w:pPr>
              <w:jc w:val="center"/>
            </w:pPr>
            <w:r w:rsidRPr="007060DF">
              <w:t>Kategória</w:t>
            </w:r>
          </w:p>
        </w:tc>
        <w:tc>
          <w:tcPr>
            <w:tcW w:w="8396" w:type="dxa"/>
          </w:tcPr>
          <w:p w:rsidR="00986382" w:rsidRPr="007060DF" w:rsidRDefault="00986382" w:rsidP="00986382">
            <w:pPr>
              <w:jc w:val="center"/>
            </w:pPr>
            <w:r w:rsidRPr="007060DF">
              <w:t>Charakteristika prác</w:t>
            </w:r>
          </w:p>
        </w:tc>
      </w:tr>
      <w:tr w:rsidR="00986382" w:rsidRPr="007060DF" w:rsidTr="00986382">
        <w:tc>
          <w:tcPr>
            <w:tcW w:w="1150" w:type="dxa"/>
            <w:vAlign w:val="center"/>
          </w:tcPr>
          <w:p w:rsidR="00986382" w:rsidRPr="007060DF" w:rsidRDefault="00986382" w:rsidP="00986382">
            <w:pPr>
              <w:jc w:val="center"/>
            </w:pPr>
            <w:r w:rsidRPr="007060DF">
              <w:t>1.</w:t>
            </w:r>
          </w:p>
        </w:tc>
        <w:tc>
          <w:tcPr>
            <w:tcW w:w="8396" w:type="dxa"/>
          </w:tcPr>
          <w:p w:rsidR="00986382" w:rsidRPr="00874D4F" w:rsidRDefault="00187710" w:rsidP="00146C49">
            <w:pPr>
              <w:jc w:val="both"/>
              <w:rPr>
                <w:lang w:val="it-IT"/>
              </w:rPr>
            </w:pPr>
            <w:r w:rsidRPr="00874D4F">
              <w:rPr>
                <w:lang w:val="it-IT"/>
              </w:rPr>
              <w:t xml:space="preserve">Práce určené </w:t>
            </w:r>
            <w:r w:rsidR="00BF1011" w:rsidRPr="005C214A">
              <w:rPr>
                <w:lang w:val="it-IT"/>
              </w:rPr>
              <w:t>kontrolným list</w:t>
            </w:r>
            <w:r w:rsidR="00BF1011">
              <w:rPr>
                <w:lang w:val="it-IT"/>
              </w:rPr>
              <w:t>o</w:t>
            </w:r>
            <w:r w:rsidR="00BF1011" w:rsidRPr="005C214A">
              <w:rPr>
                <w:lang w:val="it-IT"/>
              </w:rPr>
              <w:t>m</w:t>
            </w:r>
            <w:r w:rsidRPr="00874D4F">
              <w:rPr>
                <w:lang w:val="it-IT"/>
              </w:rPr>
              <w:t>,</w:t>
            </w:r>
            <w:r w:rsidRPr="00874D4F">
              <w:rPr>
                <w:vertAlign w:val="superscript"/>
                <w:lang w:val="it-IT"/>
              </w:rPr>
              <w:t>10a</w:t>
            </w:r>
            <w:r w:rsidRPr="00874D4F">
              <w:rPr>
                <w:lang w:val="it-IT"/>
              </w:rPr>
              <w:t>)</w:t>
            </w:r>
            <w:r w:rsidR="00FB71DD" w:rsidRPr="00874D4F">
              <w:rPr>
                <w:lang w:val="it-IT"/>
              </w:rPr>
              <w:t xml:space="preserve"> alebo práce,</w:t>
            </w:r>
            <w:r w:rsidRPr="00874D4F">
              <w:rPr>
                <w:lang w:val="it-IT"/>
              </w:rPr>
              <w:t xml:space="preserve"> </w:t>
            </w:r>
            <w:r w:rsidR="00986382" w:rsidRPr="00874D4F">
              <w:rPr>
                <w:lang w:val="it-IT"/>
              </w:rPr>
              <w:t>pri ktorých usporiadanie pracovného miesta a charakter práce podmieňuje pravidelný výskyt nepriaznivých pracovných polôh s trvaním, ktoré prekračuje 0,5-násobok najvyššie prípustného celozmenového času za referenčných podmienok, ale neprekračuje 0,7-násobok najvyššie prípustného celozmenového času za referenčných podmienok a zároveň krátkodobý čas pracovných polôh pri práci neprekračuje najvyššie prípustný krátkodobý čas pracovnej polohy</w:t>
            </w:r>
            <w:r w:rsidR="00D7168B" w:rsidRPr="00874D4F">
              <w:rPr>
                <w:lang w:val="it-IT"/>
              </w:rPr>
              <w:t xml:space="preserve"> za referenčných podmienok</w:t>
            </w:r>
            <w:r w:rsidR="00986382" w:rsidRPr="00874D4F">
              <w:rPr>
                <w:lang w:val="it-IT"/>
              </w:rPr>
              <w:t>.</w:t>
            </w:r>
          </w:p>
        </w:tc>
      </w:tr>
      <w:tr w:rsidR="00986382" w:rsidRPr="007060DF" w:rsidTr="00986382">
        <w:tc>
          <w:tcPr>
            <w:tcW w:w="1150" w:type="dxa"/>
            <w:vAlign w:val="center"/>
          </w:tcPr>
          <w:p w:rsidR="00986382" w:rsidRPr="007060DF" w:rsidRDefault="00986382" w:rsidP="00986382">
            <w:pPr>
              <w:jc w:val="center"/>
            </w:pPr>
            <w:r w:rsidRPr="007060DF">
              <w:t>2.</w:t>
            </w:r>
          </w:p>
        </w:tc>
        <w:tc>
          <w:tcPr>
            <w:tcW w:w="8396" w:type="dxa"/>
          </w:tcPr>
          <w:p w:rsidR="00986382" w:rsidRPr="00146C49" w:rsidRDefault="00986382" w:rsidP="00874D4F">
            <w:pPr>
              <w:jc w:val="both"/>
            </w:pPr>
            <w:r w:rsidRPr="00146C49">
              <w:rPr>
                <w:lang w:val="it-IT"/>
              </w:rPr>
              <w:t>Práce, pri ktorých usporiadanie pracovného miesta a charakter práce podmieňuje pravidelný výskyt nepriaznivých pracovných polôh s trvaním, ktoré prekračuje 0,7-násobok najvyššie prípustného celozmenového času za referenčných podmienok, ale neprekračuje najvyššie prípustný celozmenový čas za referenčných podmienok a zároveň krátkodobý čas pracovných polôh pri práci neprekračuje</w:t>
            </w:r>
            <w:r w:rsidR="00FB62F1" w:rsidRPr="00146C49">
              <w:rPr>
                <w:lang w:val="it-IT"/>
              </w:rPr>
              <w:t xml:space="preserve"> </w:t>
            </w:r>
            <w:r w:rsidRPr="00146C49">
              <w:rPr>
                <w:lang w:val="it-IT"/>
              </w:rPr>
              <w:t>najvyššie prípustný krátkodobý čas pracovnej polohy</w:t>
            </w:r>
            <w:r w:rsidR="00D7168B" w:rsidRPr="00146C49">
              <w:rPr>
                <w:lang w:val="it-IT"/>
              </w:rPr>
              <w:t xml:space="preserve"> za referenčných podmienok</w:t>
            </w:r>
            <w:r w:rsidRPr="00146C49">
              <w:rPr>
                <w:lang w:val="it-IT"/>
              </w:rPr>
              <w:t>.</w:t>
            </w:r>
          </w:p>
        </w:tc>
      </w:tr>
      <w:tr w:rsidR="00986382" w:rsidRPr="007060DF" w:rsidTr="00986382">
        <w:tc>
          <w:tcPr>
            <w:tcW w:w="1150" w:type="dxa"/>
            <w:vAlign w:val="center"/>
          </w:tcPr>
          <w:p w:rsidR="00986382" w:rsidRPr="007060DF" w:rsidRDefault="00986382" w:rsidP="00986382">
            <w:pPr>
              <w:jc w:val="center"/>
            </w:pPr>
            <w:r w:rsidRPr="007060DF">
              <w:t>3.</w:t>
            </w:r>
          </w:p>
        </w:tc>
        <w:tc>
          <w:tcPr>
            <w:tcW w:w="8396" w:type="dxa"/>
          </w:tcPr>
          <w:p w:rsidR="00986382" w:rsidRPr="00146C49" w:rsidRDefault="00986382" w:rsidP="007B5681">
            <w:pPr>
              <w:pStyle w:val="Odsekzoznamu"/>
              <w:numPr>
                <w:ilvl w:val="0"/>
                <w:numId w:val="11"/>
              </w:numPr>
              <w:ind w:left="410" w:hanging="410"/>
              <w:jc w:val="both"/>
              <w:rPr>
                <w:lang w:val="it-IT"/>
              </w:rPr>
            </w:pPr>
            <w:r w:rsidRPr="00146C49">
              <w:rPr>
                <w:lang w:val="it-IT"/>
              </w:rPr>
              <w:t xml:space="preserve">Práce, pri ktorých usporiadanie pracovného miesta a charakter práce podmieňuje pravidelný výskyt nepriaznivých pracovných polôh </w:t>
            </w:r>
            <w:r w:rsidR="007B5681" w:rsidRPr="00146C49">
              <w:rPr>
                <w:lang w:val="it-IT"/>
              </w:rPr>
              <w:t xml:space="preserve">s trvaním, ktoré prekračuje </w:t>
            </w:r>
            <w:r w:rsidRPr="00146C49">
              <w:rPr>
                <w:lang w:val="it-IT"/>
              </w:rPr>
              <w:t xml:space="preserve">najvyššie prípustný </w:t>
            </w:r>
            <w:r w:rsidR="007B5681" w:rsidRPr="00146C49">
              <w:rPr>
                <w:lang w:val="it-IT"/>
              </w:rPr>
              <w:t>celo</w:t>
            </w:r>
            <w:r w:rsidRPr="00146C49">
              <w:rPr>
                <w:lang w:val="it-IT"/>
              </w:rPr>
              <w:t xml:space="preserve">zmenový čas </w:t>
            </w:r>
            <w:r w:rsidR="000324A1" w:rsidRPr="00146C49">
              <w:rPr>
                <w:lang w:val="it-IT"/>
              </w:rPr>
              <w:t xml:space="preserve">pracovnej polohy </w:t>
            </w:r>
            <w:r w:rsidRPr="00146C49">
              <w:rPr>
                <w:lang w:val="it-IT"/>
              </w:rPr>
              <w:t xml:space="preserve">za referenčných podmienok. </w:t>
            </w:r>
          </w:p>
          <w:p w:rsidR="00986382" w:rsidRPr="00146C49" w:rsidRDefault="00986382" w:rsidP="00662E62">
            <w:pPr>
              <w:pStyle w:val="Odsekzoznamu"/>
              <w:numPr>
                <w:ilvl w:val="0"/>
                <w:numId w:val="11"/>
              </w:numPr>
              <w:ind w:left="410" w:hanging="410"/>
              <w:jc w:val="both"/>
              <w:rPr>
                <w:lang w:val="it-IT"/>
              </w:rPr>
            </w:pPr>
            <w:r w:rsidRPr="00146C49">
              <w:rPr>
                <w:lang w:val="it-IT"/>
              </w:rPr>
              <w:t xml:space="preserve">Práce, pri ktorých </w:t>
            </w:r>
            <w:r w:rsidR="000324A1" w:rsidRPr="00146C49">
              <w:rPr>
                <w:lang w:val="it-IT"/>
              </w:rPr>
              <w:t xml:space="preserve">usporiadanie pracovného miesta a charakter práce podmieňuje pravidelný výskyt nepriaznivých pracovných polôh s trvaním, ktoré </w:t>
            </w:r>
            <w:r w:rsidRPr="00146C49">
              <w:rPr>
                <w:lang w:val="it-IT"/>
              </w:rPr>
              <w:t>prekračuje najvyššie prípustný krátkodobý čas pracovnej polohy</w:t>
            </w:r>
            <w:r w:rsidR="00D7168B" w:rsidRPr="00146C49">
              <w:rPr>
                <w:lang w:val="it-IT"/>
              </w:rPr>
              <w:t xml:space="preserve"> za referenčných podmienok</w:t>
            </w:r>
            <w:r w:rsidRPr="00146C49">
              <w:rPr>
                <w:lang w:val="it-IT"/>
              </w:rPr>
              <w:t>.</w:t>
            </w:r>
          </w:p>
          <w:p w:rsidR="00FB62F1" w:rsidRPr="00146C49" w:rsidRDefault="00146C49" w:rsidP="00146C49">
            <w:pPr>
              <w:pStyle w:val="Odsekzoznamu"/>
              <w:numPr>
                <w:ilvl w:val="0"/>
                <w:numId w:val="11"/>
              </w:numPr>
              <w:tabs>
                <w:tab w:val="left" w:pos="1418"/>
              </w:tabs>
              <w:ind w:left="406"/>
              <w:jc w:val="both"/>
              <w:rPr>
                <w:lang w:val="it-IT"/>
              </w:rPr>
            </w:pPr>
            <w:r w:rsidRPr="00146C49">
              <w:rPr>
                <w:iCs/>
              </w:rPr>
              <w:t xml:space="preserve">Práce, ktoré spĺňajú kritériá druhej kategórie pri nepriaznivých pracovných polohách, pri ktorých sa opakovane vyskytla choroba z povolania, ohrozenie chorobou z povolania alebo iné poškodenie podporno-pohybovej sústavy u zamestnancov vo vzťahu k časti tela v nepriaznivej pracovnej polohe. </w:t>
            </w:r>
          </w:p>
        </w:tc>
      </w:tr>
      <w:tr w:rsidR="00986382" w:rsidRPr="007060DF" w:rsidTr="00986382">
        <w:tc>
          <w:tcPr>
            <w:tcW w:w="1150" w:type="dxa"/>
            <w:vAlign w:val="center"/>
          </w:tcPr>
          <w:p w:rsidR="00986382" w:rsidRPr="007060DF" w:rsidRDefault="00986382" w:rsidP="00986382">
            <w:pPr>
              <w:jc w:val="center"/>
            </w:pPr>
            <w:r w:rsidRPr="007060DF">
              <w:t>4.</w:t>
            </w:r>
          </w:p>
        </w:tc>
        <w:tc>
          <w:tcPr>
            <w:tcW w:w="8396" w:type="dxa"/>
          </w:tcPr>
          <w:p w:rsidR="00986382" w:rsidRPr="00146C49" w:rsidRDefault="00ED41D9" w:rsidP="00ED41D9">
            <w:pPr>
              <w:jc w:val="both"/>
              <w:rPr>
                <w:color w:val="00B0F0"/>
                <w:lang w:val="it-IT" w:eastAsia="it-IT"/>
              </w:rPr>
            </w:pPr>
            <w:r>
              <w:rPr>
                <w:iCs/>
              </w:rPr>
              <w:t xml:space="preserve">Neurčuje sa.  </w:t>
            </w:r>
          </w:p>
        </w:tc>
      </w:tr>
    </w:tbl>
    <w:p w:rsidR="00986382" w:rsidRDefault="00986382" w:rsidP="00986382">
      <w:pPr>
        <w:autoSpaceDE/>
        <w:autoSpaceDN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396"/>
      </w:tblGrid>
      <w:tr w:rsidR="00986382" w:rsidRPr="007060DF" w:rsidTr="00986382">
        <w:trPr>
          <w:cantSplit/>
        </w:trPr>
        <w:tc>
          <w:tcPr>
            <w:tcW w:w="9546" w:type="dxa"/>
            <w:gridSpan w:val="2"/>
            <w:vAlign w:val="center"/>
          </w:tcPr>
          <w:p w:rsidR="00986382" w:rsidRPr="007060DF" w:rsidRDefault="00986382" w:rsidP="00986382">
            <w:pPr>
              <w:pStyle w:val="Nadpis3"/>
              <w:rPr>
                <w:color w:val="auto"/>
              </w:rPr>
            </w:pPr>
            <w:r>
              <w:rPr>
                <w:bCs w:val="0"/>
                <w:color w:val="auto"/>
              </w:rPr>
              <w:t>Fyzická záťaž</w:t>
            </w:r>
            <w:r w:rsidR="0073189B">
              <w:rPr>
                <w:bCs w:val="0"/>
                <w:color w:val="auto"/>
              </w:rPr>
              <w:t xml:space="preserve"> </w:t>
            </w:r>
            <w:r w:rsidR="0073189B" w:rsidRPr="0073189B">
              <w:rPr>
                <w:b w:val="0"/>
              </w:rPr>
              <w:t>podľa § 38 ods.</w:t>
            </w:r>
            <w:r w:rsidR="0073189B">
              <w:rPr>
                <w:b w:val="0"/>
              </w:rPr>
              <w:t xml:space="preserve"> 1 a 2 zákona</w:t>
            </w:r>
          </w:p>
        </w:tc>
      </w:tr>
      <w:tr w:rsidR="00986382" w:rsidRPr="007060DF" w:rsidTr="00986382">
        <w:trPr>
          <w:cantSplit/>
        </w:trPr>
        <w:tc>
          <w:tcPr>
            <w:tcW w:w="9546" w:type="dxa"/>
            <w:gridSpan w:val="2"/>
            <w:vAlign w:val="center"/>
          </w:tcPr>
          <w:p w:rsidR="00986382" w:rsidRPr="007060DF" w:rsidRDefault="00986382" w:rsidP="00501B9E">
            <w:r>
              <w:rPr>
                <w:b/>
                <w:bCs/>
              </w:rPr>
              <w:t>S</w:t>
            </w:r>
            <w:r w:rsidRPr="007060DF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lang w:val="it-IT"/>
              </w:rPr>
              <w:t>okálna svalová záťaž</w:t>
            </w:r>
            <w:r w:rsidR="0006747C">
              <w:rPr>
                <w:b/>
                <w:bCs/>
                <w:vertAlign w:val="superscript"/>
              </w:rPr>
              <w:t>10</w:t>
            </w:r>
            <w:r w:rsidR="00501B9E" w:rsidRPr="00501B9E">
              <w:rPr>
                <w:b/>
                <w:bCs/>
              </w:rPr>
              <w:t>)</w:t>
            </w:r>
          </w:p>
        </w:tc>
      </w:tr>
      <w:tr w:rsidR="00986382" w:rsidRPr="007060DF" w:rsidTr="00986382">
        <w:tc>
          <w:tcPr>
            <w:tcW w:w="1150" w:type="dxa"/>
            <w:vAlign w:val="center"/>
          </w:tcPr>
          <w:p w:rsidR="00986382" w:rsidRPr="007060DF" w:rsidRDefault="00986382" w:rsidP="00986382">
            <w:pPr>
              <w:jc w:val="center"/>
            </w:pPr>
            <w:r w:rsidRPr="007060DF">
              <w:t>Kategória</w:t>
            </w:r>
          </w:p>
        </w:tc>
        <w:tc>
          <w:tcPr>
            <w:tcW w:w="8396" w:type="dxa"/>
          </w:tcPr>
          <w:p w:rsidR="00986382" w:rsidRPr="007060DF" w:rsidRDefault="00986382" w:rsidP="00986382">
            <w:pPr>
              <w:jc w:val="center"/>
            </w:pPr>
            <w:r w:rsidRPr="007060DF">
              <w:t>Charakteristika prác</w:t>
            </w:r>
          </w:p>
        </w:tc>
      </w:tr>
      <w:tr w:rsidR="00986382" w:rsidRPr="007060DF" w:rsidTr="00986382">
        <w:tc>
          <w:tcPr>
            <w:tcW w:w="1150" w:type="dxa"/>
            <w:vAlign w:val="center"/>
          </w:tcPr>
          <w:p w:rsidR="00986382" w:rsidRPr="007060DF" w:rsidRDefault="00986382" w:rsidP="00986382">
            <w:pPr>
              <w:jc w:val="center"/>
            </w:pPr>
            <w:r w:rsidRPr="007060DF">
              <w:t>1.</w:t>
            </w:r>
          </w:p>
        </w:tc>
        <w:tc>
          <w:tcPr>
            <w:tcW w:w="8396" w:type="dxa"/>
          </w:tcPr>
          <w:p w:rsidR="00986382" w:rsidRPr="00BF1011" w:rsidRDefault="00187710" w:rsidP="002E7EEF">
            <w:pPr>
              <w:jc w:val="both"/>
              <w:rPr>
                <w:lang w:val="it-IT"/>
              </w:rPr>
            </w:pPr>
            <w:r w:rsidRPr="00BF1011">
              <w:rPr>
                <w:lang w:val="it-IT"/>
              </w:rPr>
              <w:t xml:space="preserve">Práce určené </w:t>
            </w:r>
            <w:r w:rsidR="00BF1011" w:rsidRPr="00BF1011">
              <w:rPr>
                <w:lang w:val="it-IT"/>
              </w:rPr>
              <w:t>kontrolným listom</w:t>
            </w:r>
            <w:r w:rsidRPr="00BF1011">
              <w:rPr>
                <w:lang w:val="it-IT"/>
              </w:rPr>
              <w:t>,</w:t>
            </w:r>
            <w:r w:rsidRPr="00BF1011">
              <w:rPr>
                <w:vertAlign w:val="superscript"/>
                <w:lang w:val="it-IT"/>
              </w:rPr>
              <w:t>10a</w:t>
            </w:r>
            <w:r w:rsidRPr="00BF1011">
              <w:rPr>
                <w:lang w:val="it-IT"/>
              </w:rPr>
              <w:t>)</w:t>
            </w:r>
            <w:r w:rsidR="00FB62F1" w:rsidRPr="00BF1011">
              <w:rPr>
                <w:lang w:val="it-IT"/>
              </w:rPr>
              <w:t xml:space="preserve"> alebo práce</w:t>
            </w:r>
            <w:r w:rsidRPr="00BF1011">
              <w:rPr>
                <w:lang w:val="it-IT"/>
              </w:rPr>
              <w:t xml:space="preserve"> </w:t>
            </w:r>
            <w:r w:rsidR="00986382" w:rsidRPr="00BF1011">
              <w:rPr>
                <w:lang w:val="it-IT"/>
              </w:rPr>
              <w:t xml:space="preserve">vykonávané malými svalovými skupinami, pri ktorých je </w:t>
            </w:r>
            <w:r w:rsidR="00FB62F1" w:rsidRPr="00BF1011">
              <w:rPr>
                <w:lang w:val="it-IT"/>
              </w:rPr>
              <w:t>prekročený</w:t>
            </w:r>
            <w:r w:rsidR="00986382" w:rsidRPr="00BF1011">
              <w:rPr>
                <w:lang w:val="it-IT"/>
              </w:rPr>
              <w:t xml:space="preserve"> 0,5-násobok najvyššie prípustnej svalovej sily zmenovej priemernej, ale </w:t>
            </w:r>
            <w:r w:rsidR="00FB62F1" w:rsidRPr="00BF1011">
              <w:rPr>
                <w:lang w:val="it-IT"/>
              </w:rPr>
              <w:t xml:space="preserve">nie je </w:t>
            </w:r>
            <w:r w:rsidR="00986382" w:rsidRPr="00BF1011">
              <w:rPr>
                <w:lang w:val="it-IT"/>
              </w:rPr>
              <w:t>prekr</w:t>
            </w:r>
            <w:r w:rsidR="00FB62F1" w:rsidRPr="00BF1011">
              <w:rPr>
                <w:lang w:val="it-IT"/>
              </w:rPr>
              <w:t>očený</w:t>
            </w:r>
            <w:r w:rsidR="00986382" w:rsidRPr="00BF1011">
              <w:rPr>
                <w:lang w:val="it-IT"/>
              </w:rPr>
              <w:t xml:space="preserve"> 0,7-násobok najvyššie prípustnej svalovej sily zmenovej priemernej a zároveň pri ktorých </w:t>
            </w:r>
            <w:r w:rsidR="00297CA6" w:rsidRPr="00BF1011">
              <w:rPr>
                <w:lang w:val="it-IT"/>
              </w:rPr>
              <w:t xml:space="preserve">sa </w:t>
            </w:r>
            <w:r w:rsidR="00E423B8" w:rsidRPr="00BF1011">
              <w:rPr>
                <w:lang w:val="it-IT"/>
              </w:rPr>
              <w:t>ne</w:t>
            </w:r>
            <w:r w:rsidR="00297CA6" w:rsidRPr="00BF1011">
              <w:rPr>
                <w:lang w:val="it-IT"/>
              </w:rPr>
              <w:t>vyskytujú svalové sily vyššie ako 45% Fmax</w:t>
            </w:r>
            <w:r w:rsidR="00E423B8" w:rsidRPr="00BF1011">
              <w:rPr>
                <w:lang w:val="it-IT"/>
              </w:rPr>
              <w:t>.</w:t>
            </w:r>
          </w:p>
        </w:tc>
      </w:tr>
      <w:tr w:rsidR="00986382" w:rsidRPr="007060DF" w:rsidTr="00986382">
        <w:tc>
          <w:tcPr>
            <w:tcW w:w="1150" w:type="dxa"/>
            <w:vAlign w:val="center"/>
          </w:tcPr>
          <w:p w:rsidR="00986382" w:rsidRPr="007060DF" w:rsidRDefault="00986382" w:rsidP="00986382">
            <w:pPr>
              <w:jc w:val="center"/>
            </w:pPr>
            <w:r w:rsidRPr="007060DF">
              <w:t>2.</w:t>
            </w:r>
          </w:p>
        </w:tc>
        <w:tc>
          <w:tcPr>
            <w:tcW w:w="8396" w:type="dxa"/>
          </w:tcPr>
          <w:p w:rsidR="00986382" w:rsidRPr="006A2CC2" w:rsidRDefault="00986382" w:rsidP="00FB62F1">
            <w:pPr>
              <w:jc w:val="both"/>
            </w:pPr>
            <w:r w:rsidRPr="006A2CC2">
              <w:rPr>
                <w:lang w:val="it-IT"/>
              </w:rPr>
              <w:t xml:space="preserve">Práce vykonávané malými svalovými skupinami, pri ktorých je </w:t>
            </w:r>
            <w:r w:rsidR="00FB62F1" w:rsidRPr="006A2CC2">
              <w:rPr>
                <w:lang w:val="it-IT"/>
              </w:rPr>
              <w:t>prekročený</w:t>
            </w:r>
            <w:r w:rsidRPr="006A2CC2">
              <w:rPr>
                <w:lang w:val="it-IT"/>
              </w:rPr>
              <w:t xml:space="preserve"> 0,7-násobok najvyššie prípustnej svalovej sily zmenovej priemernej, ale </w:t>
            </w:r>
            <w:r w:rsidR="00FB62F1" w:rsidRPr="006A2CC2">
              <w:rPr>
                <w:lang w:val="it-IT"/>
              </w:rPr>
              <w:t xml:space="preserve">nie je </w:t>
            </w:r>
            <w:r w:rsidRPr="006A2CC2">
              <w:rPr>
                <w:lang w:val="it-IT"/>
              </w:rPr>
              <w:t>prekroč</w:t>
            </w:r>
            <w:r w:rsidR="00FB62F1" w:rsidRPr="006A2CC2">
              <w:rPr>
                <w:lang w:val="it-IT"/>
              </w:rPr>
              <w:t>ená najvyššie prípustná</w:t>
            </w:r>
            <w:r w:rsidRPr="006A2CC2">
              <w:rPr>
                <w:lang w:val="it-IT"/>
              </w:rPr>
              <w:t xml:space="preserve"> svalov</w:t>
            </w:r>
            <w:r w:rsidR="00FB62F1" w:rsidRPr="006A2CC2">
              <w:rPr>
                <w:lang w:val="it-IT"/>
              </w:rPr>
              <w:t>á</w:t>
            </w:r>
            <w:r w:rsidRPr="006A2CC2">
              <w:rPr>
                <w:lang w:val="it-IT"/>
              </w:rPr>
              <w:t xml:space="preserve"> sil</w:t>
            </w:r>
            <w:r w:rsidR="00FB62F1" w:rsidRPr="006A2CC2">
              <w:rPr>
                <w:lang w:val="it-IT"/>
              </w:rPr>
              <w:t>a</w:t>
            </w:r>
            <w:r w:rsidRPr="006A2CC2">
              <w:rPr>
                <w:lang w:val="it-IT"/>
              </w:rPr>
              <w:t xml:space="preserve"> zmenov</w:t>
            </w:r>
            <w:r w:rsidR="00FB62F1" w:rsidRPr="006A2CC2">
              <w:rPr>
                <w:lang w:val="it-IT"/>
              </w:rPr>
              <w:t>á</w:t>
            </w:r>
            <w:r w:rsidRPr="006A2CC2">
              <w:rPr>
                <w:lang w:val="it-IT"/>
              </w:rPr>
              <w:t xml:space="preserve"> priemern</w:t>
            </w:r>
            <w:r w:rsidR="00FB62F1" w:rsidRPr="006A2CC2">
              <w:rPr>
                <w:lang w:val="it-IT"/>
              </w:rPr>
              <w:t>á</w:t>
            </w:r>
            <w:r w:rsidRPr="006A2CC2">
              <w:rPr>
                <w:lang w:val="it-IT"/>
              </w:rPr>
              <w:t xml:space="preserve"> a zároveň pri ktorých nie je prekročená najvyššie prípustná svalová sila krátkodobá pri dynamických a statických svalových kontrakciách.</w:t>
            </w:r>
          </w:p>
        </w:tc>
      </w:tr>
      <w:tr w:rsidR="00986382" w:rsidRPr="007060DF" w:rsidTr="00986382">
        <w:tc>
          <w:tcPr>
            <w:tcW w:w="1150" w:type="dxa"/>
            <w:vAlign w:val="center"/>
          </w:tcPr>
          <w:p w:rsidR="00986382" w:rsidRPr="007060DF" w:rsidRDefault="00986382" w:rsidP="00986382">
            <w:pPr>
              <w:jc w:val="center"/>
            </w:pPr>
            <w:r w:rsidRPr="007060DF">
              <w:t>3.</w:t>
            </w:r>
          </w:p>
        </w:tc>
        <w:tc>
          <w:tcPr>
            <w:tcW w:w="8396" w:type="dxa"/>
          </w:tcPr>
          <w:p w:rsidR="00986382" w:rsidRDefault="00986382" w:rsidP="007549E5">
            <w:pPr>
              <w:pStyle w:val="Odsekzoznamu"/>
              <w:numPr>
                <w:ilvl w:val="0"/>
                <w:numId w:val="9"/>
              </w:numPr>
              <w:ind w:left="410" w:hanging="410"/>
              <w:jc w:val="both"/>
              <w:rPr>
                <w:lang w:val="it-IT"/>
              </w:rPr>
            </w:pPr>
            <w:r w:rsidRPr="00986382">
              <w:rPr>
                <w:lang w:val="it-IT"/>
              </w:rPr>
              <w:t xml:space="preserve">Práce vykonávané malými svalovými skupinami, pri ktorých je svalová sila zmenová priemerná pri práci prevažne dynamickej alebo pri práci prevažne statickej vyššia ako najvyššie prípustná svalová sila zmenová priemerná. </w:t>
            </w:r>
          </w:p>
          <w:p w:rsidR="00986382" w:rsidRDefault="00986382" w:rsidP="007549E5">
            <w:pPr>
              <w:pStyle w:val="Odsekzoznamu"/>
              <w:numPr>
                <w:ilvl w:val="0"/>
                <w:numId w:val="9"/>
              </w:numPr>
              <w:ind w:left="410" w:hanging="410"/>
              <w:jc w:val="both"/>
              <w:rPr>
                <w:lang w:val="it-IT"/>
              </w:rPr>
            </w:pPr>
            <w:r>
              <w:rPr>
                <w:lang w:val="it-IT"/>
              </w:rPr>
              <w:t>Práce vykonávané malými svalovými skupinami, pri ktorých je svalová sila krátkodobá pri dynamických a statických svalových kontrakciách</w:t>
            </w:r>
            <w:r w:rsidR="00031EAD">
              <w:rPr>
                <w:lang w:val="it-IT"/>
              </w:rPr>
              <w:t xml:space="preserve"> </w:t>
            </w:r>
            <w:r>
              <w:rPr>
                <w:lang w:val="it-IT"/>
              </w:rPr>
              <w:t>vyššia ako najvyššie prípustná svalová sila krátkodobá.</w:t>
            </w:r>
          </w:p>
          <w:p w:rsidR="00031EAD" w:rsidRPr="001112C2" w:rsidRDefault="002E7EEF" w:rsidP="002E7EEF">
            <w:pPr>
              <w:pStyle w:val="Odsekzoznamu"/>
              <w:numPr>
                <w:ilvl w:val="0"/>
                <w:numId w:val="9"/>
              </w:numPr>
              <w:ind w:left="410" w:hanging="410"/>
              <w:jc w:val="both"/>
              <w:rPr>
                <w:lang w:val="it-IT"/>
              </w:rPr>
            </w:pPr>
            <w:r w:rsidRPr="00146C49">
              <w:rPr>
                <w:iCs/>
              </w:rPr>
              <w:t xml:space="preserve">Práce, ktoré spĺňajú kritériá </w:t>
            </w:r>
            <w:r>
              <w:rPr>
                <w:iCs/>
              </w:rPr>
              <w:t>druhej</w:t>
            </w:r>
            <w:r w:rsidRPr="00146C49">
              <w:rPr>
                <w:iCs/>
              </w:rPr>
              <w:t xml:space="preserve"> kategórie </w:t>
            </w:r>
            <w:r>
              <w:rPr>
                <w:iCs/>
              </w:rPr>
              <w:t>pre lokálnu svalovú záťaž</w:t>
            </w:r>
            <w:r w:rsidRPr="00146C49">
              <w:rPr>
                <w:iCs/>
              </w:rPr>
              <w:t xml:space="preserve">, pri ktorých sa opakovane vyskytla choroba z povolania, ohrozenie chorobou z povolania alebo iné poškodenie podporno-pohybovej sústavy u zamestnancov vo vzťahu k </w:t>
            </w:r>
            <w:r>
              <w:rPr>
                <w:iCs/>
              </w:rPr>
              <w:t>lokálnej svalovej záťaži</w:t>
            </w:r>
            <w:r w:rsidRPr="00146C49">
              <w:rPr>
                <w:iCs/>
              </w:rPr>
              <w:t>.</w:t>
            </w:r>
          </w:p>
        </w:tc>
      </w:tr>
      <w:tr w:rsidR="00986382" w:rsidRPr="007060DF" w:rsidTr="00986382">
        <w:tc>
          <w:tcPr>
            <w:tcW w:w="1150" w:type="dxa"/>
            <w:vAlign w:val="center"/>
          </w:tcPr>
          <w:p w:rsidR="00986382" w:rsidRPr="007060DF" w:rsidRDefault="00986382" w:rsidP="00986382">
            <w:pPr>
              <w:jc w:val="center"/>
            </w:pPr>
            <w:r w:rsidRPr="007060DF">
              <w:t>4.</w:t>
            </w:r>
          </w:p>
        </w:tc>
        <w:tc>
          <w:tcPr>
            <w:tcW w:w="8396" w:type="dxa"/>
          </w:tcPr>
          <w:p w:rsidR="00986382" w:rsidRPr="002E7EEF" w:rsidRDefault="00ED41D9" w:rsidP="001112C2">
            <w:pPr>
              <w:jc w:val="both"/>
              <w:rPr>
                <w:color w:val="FF0000"/>
                <w:lang w:val="it-IT"/>
              </w:rPr>
            </w:pPr>
            <w:r>
              <w:rPr>
                <w:iCs/>
              </w:rPr>
              <w:t>Neurčuje sa.</w:t>
            </w:r>
          </w:p>
        </w:tc>
      </w:tr>
    </w:tbl>
    <w:p w:rsidR="0073189B" w:rsidRPr="007060DF" w:rsidRDefault="0073189B" w:rsidP="0073189B">
      <w:r w:rsidRPr="007060DF">
        <w:t>„.</w:t>
      </w:r>
    </w:p>
    <w:p w:rsidR="00BA2406" w:rsidRDefault="00BA2406" w:rsidP="00652E6A">
      <w:pPr>
        <w:autoSpaceDE/>
        <w:autoSpaceDN/>
        <w:jc w:val="both"/>
      </w:pPr>
    </w:p>
    <w:p w:rsidR="00C53C48" w:rsidRPr="00056F1A" w:rsidRDefault="00C53C48" w:rsidP="00A93B2E">
      <w:pPr>
        <w:autoSpaceDE/>
        <w:autoSpaceDN/>
        <w:ind w:left="284"/>
        <w:jc w:val="both"/>
      </w:pPr>
    </w:p>
    <w:p w:rsidR="00056F1A" w:rsidRDefault="00056F1A" w:rsidP="007549E5">
      <w:pPr>
        <w:pStyle w:val="Odsekzoznamu"/>
        <w:numPr>
          <w:ilvl w:val="0"/>
          <w:numId w:val="2"/>
        </w:numPr>
        <w:autoSpaceDE/>
        <w:autoSpaceDN/>
        <w:ind w:left="284" w:hanging="284"/>
        <w:jc w:val="both"/>
      </w:pPr>
      <w:r w:rsidRPr="00056F1A">
        <w:t>Doterajšie písmeno P sa označuje ako písmeno T</w:t>
      </w:r>
      <w:r w:rsidR="007549E5">
        <w:t>, ktoré vrátane nadpisu znie:</w:t>
      </w:r>
    </w:p>
    <w:p w:rsidR="008C0D25" w:rsidRPr="007060DF" w:rsidRDefault="00EF041E" w:rsidP="008C0D25">
      <w:pPr>
        <w:autoSpaceDE/>
        <w:autoSpaceDN/>
        <w:jc w:val="both"/>
      </w:pPr>
      <w: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8396"/>
      </w:tblGrid>
      <w:tr w:rsidR="008C0D25" w:rsidTr="008C0D25">
        <w:trPr>
          <w:cantSplit/>
        </w:trPr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25" w:rsidRDefault="008C0D25" w:rsidP="008C0D25">
            <w:r w:rsidRPr="002A50C7">
              <w:rPr>
                <w:b/>
                <w:bCs/>
              </w:rPr>
              <w:t xml:space="preserve">T. Psychická pracovná záťaž </w:t>
            </w:r>
            <w:r w:rsidRPr="002A50C7">
              <w:t>podľa § 38a zákona</w:t>
            </w:r>
          </w:p>
        </w:tc>
      </w:tr>
      <w:tr w:rsidR="008C0D25" w:rsidTr="008C0D2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25" w:rsidRDefault="008C0D25">
            <w:pPr>
              <w:jc w:val="center"/>
            </w:pPr>
            <w:r>
              <w:t>Kategória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25" w:rsidRDefault="008C0D25">
            <w:pPr>
              <w:jc w:val="center"/>
            </w:pPr>
            <w:r>
              <w:t>Charakteristika prác</w:t>
            </w:r>
          </w:p>
        </w:tc>
      </w:tr>
      <w:tr w:rsidR="008C0D25" w:rsidTr="008C0D2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25" w:rsidRDefault="008C0D25">
            <w:pPr>
              <w:jc w:val="center"/>
            </w:pPr>
            <w:r>
              <w:t>1.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25" w:rsidRDefault="00BA2915">
            <w:pPr>
              <w:jc w:val="both"/>
            </w:pPr>
            <w:r>
              <w:t>Práce, pri ktorých je predpoklad, že nie je dosiahnuté kritérium uvedené v kategórii 2.</w:t>
            </w:r>
          </w:p>
        </w:tc>
      </w:tr>
      <w:tr w:rsidR="008C0D25" w:rsidTr="008C0D2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25" w:rsidRDefault="008C0D25">
            <w:pPr>
              <w:jc w:val="center"/>
            </w:pPr>
            <w:r>
              <w:t>2.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25" w:rsidRDefault="00BA2915" w:rsidP="00A430AE">
            <w:pPr>
              <w:jc w:val="both"/>
            </w:pPr>
            <w:r>
              <w:t>Práce, pri ktorých psychická pracovná záťaž posudzovaná podľa charakteristík práce a pracovného prostredia dosahuje zvýšenú intenzitu,</w:t>
            </w:r>
            <w:r w:rsidR="00F07EE6" w:rsidRPr="00F07EE6">
              <w:rPr>
                <w:vertAlign w:val="superscript"/>
              </w:rPr>
              <w:t>11</w:t>
            </w:r>
            <w:r w:rsidR="00F07EE6">
              <w:t>)</w:t>
            </w:r>
            <w:r>
              <w:t xml:space="preserve"> ale nie je dosiahnutý najvyšší stupeň</w:t>
            </w:r>
            <w:r w:rsidR="00A430AE">
              <w:t xml:space="preserve"> záťaže</w:t>
            </w:r>
            <w:r>
              <w:t>.</w:t>
            </w:r>
            <w:r w:rsidR="00F07EE6" w:rsidRPr="00F07EE6">
              <w:rPr>
                <w:vertAlign w:val="superscript"/>
              </w:rPr>
              <w:t>12</w:t>
            </w:r>
            <w:r w:rsidR="00F07EE6">
              <w:t>)</w:t>
            </w:r>
          </w:p>
        </w:tc>
      </w:tr>
      <w:tr w:rsidR="008C0D25" w:rsidTr="008C0D2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25" w:rsidRDefault="008C0D25">
            <w:pPr>
              <w:jc w:val="center"/>
            </w:pPr>
            <w:r>
              <w:t>3.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25" w:rsidRDefault="00BA2915" w:rsidP="00F07EE6">
            <w:pPr>
              <w:jc w:val="both"/>
            </w:pPr>
            <w:r>
              <w:t>Práce, pri ktorých psychická pracovná záťaž posudzovaná podľa charakteristík práce a pracovného prostredia dosahuje najvyšší stupeň</w:t>
            </w:r>
            <w:r w:rsidR="00F07EE6">
              <w:t xml:space="preserve"> záťaže</w:t>
            </w:r>
            <w:r>
              <w:t>.</w:t>
            </w:r>
            <w:r w:rsidR="00F07EE6" w:rsidRPr="00F07EE6">
              <w:rPr>
                <w:vertAlign w:val="superscript"/>
              </w:rPr>
              <w:t>12</w:t>
            </w:r>
            <w:r w:rsidR="00F07EE6">
              <w:t>)</w:t>
            </w:r>
          </w:p>
        </w:tc>
      </w:tr>
      <w:tr w:rsidR="008C0D25" w:rsidTr="008C0D2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25" w:rsidRDefault="008C0D25">
            <w:pPr>
              <w:jc w:val="center"/>
            </w:pPr>
            <w:r>
              <w:t>4.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25" w:rsidRDefault="008C0D25">
            <w:r>
              <w:t>Neurčuje sa.</w:t>
            </w:r>
          </w:p>
        </w:tc>
      </w:tr>
    </w:tbl>
    <w:p w:rsidR="008C0D25" w:rsidRDefault="008C0D25" w:rsidP="008C0D25">
      <w:pPr>
        <w:autoSpaceDE/>
        <w:jc w:val="both"/>
      </w:pPr>
      <w:r>
        <w:t>„.</w:t>
      </w:r>
    </w:p>
    <w:p w:rsidR="00F07EE6" w:rsidRDefault="00F07EE6" w:rsidP="008C0D25">
      <w:pPr>
        <w:autoSpaceDE/>
        <w:jc w:val="both"/>
      </w:pPr>
    </w:p>
    <w:p w:rsidR="00F07EE6" w:rsidRPr="005F6868" w:rsidRDefault="00F07EE6" w:rsidP="00F07EE6">
      <w:pPr>
        <w:autoSpaceDE/>
        <w:autoSpaceDN/>
        <w:jc w:val="both"/>
      </w:pPr>
      <w:r w:rsidRPr="005F6868">
        <w:t>Poznámk</w:t>
      </w:r>
      <w:r w:rsidR="005146BA">
        <w:t>y</w:t>
      </w:r>
      <w:r w:rsidRPr="005F6868">
        <w:t xml:space="preserve"> pod čiarou k odkaz</w:t>
      </w:r>
      <w:r w:rsidR="005146BA">
        <w:t>om</w:t>
      </w:r>
      <w:r w:rsidRPr="005F6868">
        <w:t xml:space="preserve"> </w:t>
      </w:r>
      <w:r>
        <w:t>11</w:t>
      </w:r>
      <w:r w:rsidR="005146BA">
        <w:t xml:space="preserve"> a 12</w:t>
      </w:r>
      <w:r w:rsidRPr="005F6868">
        <w:t xml:space="preserve"> zne</w:t>
      </w:r>
      <w:r w:rsidR="005146BA">
        <w:t>jú</w:t>
      </w:r>
      <w:bookmarkStart w:id="0" w:name="_GoBack"/>
      <w:bookmarkEnd w:id="0"/>
      <w:r w:rsidRPr="005F6868">
        <w:t>:</w:t>
      </w:r>
    </w:p>
    <w:p w:rsidR="00F07EE6" w:rsidRDefault="00F07EE6" w:rsidP="008C0D25">
      <w:pPr>
        <w:autoSpaceDE/>
        <w:jc w:val="both"/>
      </w:pPr>
      <w:r>
        <w:t>„11) § 6 vyhlášky Ministerstva zdravotníctva Slovenskej republiky č. .../2023 Z. z. o podrobnostiach o ochrane zdravia pred psychickou pracovnou záťažou.</w:t>
      </w:r>
    </w:p>
    <w:p w:rsidR="00F07EE6" w:rsidRDefault="00F07EE6" w:rsidP="008C0D25">
      <w:pPr>
        <w:autoSpaceDE/>
        <w:jc w:val="both"/>
      </w:pPr>
      <w:r>
        <w:t xml:space="preserve">12) Príloha k vyhláške </w:t>
      </w:r>
      <w:r>
        <w:t>Ministerstva zdravotníctva Slovenskej republiky č. .../2023 Z. z.</w:t>
      </w:r>
      <w:r w:rsidR="005146BA">
        <w:t>“.</w:t>
      </w:r>
    </w:p>
    <w:p w:rsidR="008C52B7" w:rsidRDefault="008C52B7" w:rsidP="00513DBA">
      <w:pPr>
        <w:jc w:val="center"/>
      </w:pPr>
    </w:p>
    <w:p w:rsidR="00D63E29" w:rsidRPr="007060DF" w:rsidRDefault="00D63E29" w:rsidP="00513DBA">
      <w:pPr>
        <w:jc w:val="center"/>
      </w:pPr>
    </w:p>
    <w:p w:rsidR="00513DBA" w:rsidRPr="007060DF" w:rsidRDefault="00CC0EB1" w:rsidP="00513DBA">
      <w:pPr>
        <w:jc w:val="center"/>
      </w:pPr>
      <w:r w:rsidRPr="007060DF">
        <w:t>Čl</w:t>
      </w:r>
      <w:r w:rsidR="00513DBA" w:rsidRPr="007060DF">
        <w:t>. II</w:t>
      </w:r>
    </w:p>
    <w:p w:rsidR="00513DBA" w:rsidRPr="007060DF" w:rsidRDefault="00513DBA" w:rsidP="00513DBA"/>
    <w:p w:rsidR="004640BA" w:rsidRPr="007060DF" w:rsidRDefault="00513DBA" w:rsidP="00501B9E">
      <w:r w:rsidRPr="007060DF">
        <w:t xml:space="preserve">Táto vyhláška nadobúda účinnosť </w:t>
      </w:r>
      <w:r w:rsidR="0007583C" w:rsidRPr="007060DF">
        <w:t xml:space="preserve">1. </w:t>
      </w:r>
      <w:r w:rsidR="002A50C7">
        <w:t>mája</w:t>
      </w:r>
      <w:r w:rsidR="00C01B8B" w:rsidRPr="007060DF">
        <w:t xml:space="preserve"> </w:t>
      </w:r>
      <w:r w:rsidRPr="007060DF">
        <w:t>20</w:t>
      </w:r>
      <w:r w:rsidR="00501B9E">
        <w:t>2</w:t>
      </w:r>
      <w:r w:rsidR="007549E5">
        <w:t>3</w:t>
      </w:r>
      <w:r w:rsidRPr="007060DF">
        <w:t>.</w:t>
      </w:r>
    </w:p>
    <w:sectPr w:rsidR="004640BA" w:rsidRPr="007060DF" w:rsidSect="00D8542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C61" w:rsidRDefault="00383C61">
      <w:r>
        <w:separator/>
      </w:r>
    </w:p>
  </w:endnote>
  <w:endnote w:type="continuationSeparator" w:id="0">
    <w:p w:rsidR="00383C61" w:rsidRDefault="0038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C61" w:rsidRDefault="00383C61">
      <w:r>
        <w:separator/>
      </w:r>
    </w:p>
  </w:footnote>
  <w:footnote w:type="continuationSeparator" w:id="0">
    <w:p w:rsidR="00383C61" w:rsidRDefault="0038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63D"/>
    <w:multiLevelType w:val="hybridMultilevel"/>
    <w:tmpl w:val="FC1E9C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E415D"/>
    <w:multiLevelType w:val="hybridMultilevel"/>
    <w:tmpl w:val="A454DC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45E"/>
    <w:multiLevelType w:val="hybridMultilevel"/>
    <w:tmpl w:val="07C67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36C95"/>
    <w:multiLevelType w:val="hybridMultilevel"/>
    <w:tmpl w:val="B678BD76"/>
    <w:lvl w:ilvl="0" w:tplc="041B0017">
      <w:start w:val="1"/>
      <w:numFmt w:val="lowerLetter"/>
      <w:lvlText w:val="%1)"/>
      <w:lvlJc w:val="left"/>
      <w:pPr>
        <w:ind w:left="2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988" w:hanging="360"/>
      </w:pPr>
    </w:lvl>
    <w:lvl w:ilvl="2" w:tplc="041B001B" w:tentative="1">
      <w:start w:val="1"/>
      <w:numFmt w:val="lowerRoman"/>
      <w:lvlText w:val="%3."/>
      <w:lvlJc w:val="right"/>
      <w:pPr>
        <w:ind w:left="1708" w:hanging="180"/>
      </w:pPr>
    </w:lvl>
    <w:lvl w:ilvl="3" w:tplc="041B000F" w:tentative="1">
      <w:start w:val="1"/>
      <w:numFmt w:val="decimal"/>
      <w:lvlText w:val="%4."/>
      <w:lvlJc w:val="left"/>
      <w:pPr>
        <w:ind w:left="2428" w:hanging="360"/>
      </w:pPr>
    </w:lvl>
    <w:lvl w:ilvl="4" w:tplc="041B0019" w:tentative="1">
      <w:start w:val="1"/>
      <w:numFmt w:val="lowerLetter"/>
      <w:lvlText w:val="%5."/>
      <w:lvlJc w:val="left"/>
      <w:pPr>
        <w:ind w:left="3148" w:hanging="360"/>
      </w:pPr>
    </w:lvl>
    <w:lvl w:ilvl="5" w:tplc="041B001B" w:tentative="1">
      <w:start w:val="1"/>
      <w:numFmt w:val="lowerRoman"/>
      <w:lvlText w:val="%6."/>
      <w:lvlJc w:val="right"/>
      <w:pPr>
        <w:ind w:left="3868" w:hanging="180"/>
      </w:pPr>
    </w:lvl>
    <w:lvl w:ilvl="6" w:tplc="041B000F" w:tentative="1">
      <w:start w:val="1"/>
      <w:numFmt w:val="decimal"/>
      <w:lvlText w:val="%7."/>
      <w:lvlJc w:val="left"/>
      <w:pPr>
        <w:ind w:left="4588" w:hanging="360"/>
      </w:pPr>
    </w:lvl>
    <w:lvl w:ilvl="7" w:tplc="041B0019" w:tentative="1">
      <w:start w:val="1"/>
      <w:numFmt w:val="lowerLetter"/>
      <w:lvlText w:val="%8."/>
      <w:lvlJc w:val="left"/>
      <w:pPr>
        <w:ind w:left="5308" w:hanging="360"/>
      </w:pPr>
    </w:lvl>
    <w:lvl w:ilvl="8" w:tplc="041B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4" w15:restartNumberingAfterBreak="0">
    <w:nsid w:val="1A880FDB"/>
    <w:multiLevelType w:val="hybridMultilevel"/>
    <w:tmpl w:val="FA4E0C3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01549"/>
    <w:multiLevelType w:val="hybridMultilevel"/>
    <w:tmpl w:val="DB2CCE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ED16B2"/>
    <w:multiLevelType w:val="hybridMultilevel"/>
    <w:tmpl w:val="40C2E210"/>
    <w:lvl w:ilvl="0" w:tplc="041B0017">
      <w:start w:val="1"/>
      <w:numFmt w:val="lowerLetter"/>
      <w:lvlText w:val="%1)"/>
      <w:lvlJc w:val="left"/>
      <w:pPr>
        <w:ind w:left="2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74D38"/>
    <w:multiLevelType w:val="hybridMultilevel"/>
    <w:tmpl w:val="F6A0E4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142E4"/>
    <w:multiLevelType w:val="hybridMultilevel"/>
    <w:tmpl w:val="0B866D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A5861"/>
    <w:multiLevelType w:val="hybridMultilevel"/>
    <w:tmpl w:val="D39ED3BE"/>
    <w:lvl w:ilvl="0" w:tplc="A24229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96337"/>
    <w:multiLevelType w:val="hybridMultilevel"/>
    <w:tmpl w:val="69B609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554FE"/>
    <w:multiLevelType w:val="hybridMultilevel"/>
    <w:tmpl w:val="CA70C5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305F5"/>
    <w:multiLevelType w:val="hybridMultilevel"/>
    <w:tmpl w:val="AB708C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F0514"/>
    <w:multiLevelType w:val="hybridMultilevel"/>
    <w:tmpl w:val="1DC461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B2B04"/>
    <w:multiLevelType w:val="hybridMultilevel"/>
    <w:tmpl w:val="54DE3E62"/>
    <w:lvl w:ilvl="0" w:tplc="812E4C6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E323E"/>
    <w:multiLevelType w:val="hybridMultilevel"/>
    <w:tmpl w:val="51DAAE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867C4"/>
    <w:multiLevelType w:val="hybridMultilevel"/>
    <w:tmpl w:val="862E052E"/>
    <w:lvl w:ilvl="0" w:tplc="81307C10">
      <w:start w:val="2"/>
      <w:numFmt w:val="lowerLetter"/>
      <w:lvlText w:val="%1)"/>
      <w:lvlJc w:val="left"/>
      <w:pPr>
        <w:ind w:left="2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90FAC"/>
    <w:multiLevelType w:val="hybridMultilevel"/>
    <w:tmpl w:val="FA4E0C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016AD"/>
    <w:multiLevelType w:val="multilevel"/>
    <w:tmpl w:val="93B64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3"/>
  </w:num>
  <w:num w:numId="5">
    <w:abstractNumId w:val="3"/>
  </w:num>
  <w:num w:numId="6">
    <w:abstractNumId w:val="6"/>
  </w:num>
  <w:num w:numId="7">
    <w:abstractNumId w:val="16"/>
  </w:num>
  <w:num w:numId="8">
    <w:abstractNumId w:val="0"/>
  </w:num>
  <w:num w:numId="9">
    <w:abstractNumId w:val="8"/>
  </w:num>
  <w:num w:numId="10">
    <w:abstractNumId w:val="14"/>
  </w:num>
  <w:num w:numId="11">
    <w:abstractNumId w:val="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4"/>
  </w:num>
  <w:num w:numId="15">
    <w:abstractNumId w:val="9"/>
  </w:num>
  <w:num w:numId="16">
    <w:abstractNumId w:val="17"/>
  </w:num>
  <w:num w:numId="17">
    <w:abstractNumId w:val="11"/>
  </w:num>
  <w:num w:numId="18">
    <w:abstractNumId w:val="7"/>
  </w:num>
  <w:num w:numId="19">
    <w:abstractNumId w:val="1"/>
  </w:num>
  <w:num w:numId="2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09"/>
    <w:rsid w:val="00005CAC"/>
    <w:rsid w:val="0002337C"/>
    <w:rsid w:val="00027747"/>
    <w:rsid w:val="00031EAD"/>
    <w:rsid w:val="000324A1"/>
    <w:rsid w:val="00035C2A"/>
    <w:rsid w:val="00043A32"/>
    <w:rsid w:val="000444AA"/>
    <w:rsid w:val="00047678"/>
    <w:rsid w:val="000530C7"/>
    <w:rsid w:val="000552AF"/>
    <w:rsid w:val="00055A72"/>
    <w:rsid w:val="00055D50"/>
    <w:rsid w:val="00056F1A"/>
    <w:rsid w:val="0006631C"/>
    <w:rsid w:val="0006747C"/>
    <w:rsid w:val="0007085E"/>
    <w:rsid w:val="0007583C"/>
    <w:rsid w:val="00083967"/>
    <w:rsid w:val="00083B32"/>
    <w:rsid w:val="00090627"/>
    <w:rsid w:val="00095283"/>
    <w:rsid w:val="000A09D4"/>
    <w:rsid w:val="000A1B67"/>
    <w:rsid w:val="000B26F1"/>
    <w:rsid w:val="000B2918"/>
    <w:rsid w:val="000B7CCF"/>
    <w:rsid w:val="000C30DA"/>
    <w:rsid w:val="000C4A43"/>
    <w:rsid w:val="000D1800"/>
    <w:rsid w:val="000D208E"/>
    <w:rsid w:val="000D20EB"/>
    <w:rsid w:val="000D2A82"/>
    <w:rsid w:val="000E00C7"/>
    <w:rsid w:val="000E4BA6"/>
    <w:rsid w:val="000F42CB"/>
    <w:rsid w:val="000F5436"/>
    <w:rsid w:val="000F5E12"/>
    <w:rsid w:val="00103D4E"/>
    <w:rsid w:val="001051F4"/>
    <w:rsid w:val="00105E3B"/>
    <w:rsid w:val="00107939"/>
    <w:rsid w:val="001112C2"/>
    <w:rsid w:val="00111405"/>
    <w:rsid w:val="00112268"/>
    <w:rsid w:val="00117075"/>
    <w:rsid w:val="001179FA"/>
    <w:rsid w:val="00120B15"/>
    <w:rsid w:val="00127E2E"/>
    <w:rsid w:val="0013172A"/>
    <w:rsid w:val="0014196B"/>
    <w:rsid w:val="0014355D"/>
    <w:rsid w:val="00146C49"/>
    <w:rsid w:val="00147DD9"/>
    <w:rsid w:val="001531AE"/>
    <w:rsid w:val="00156E43"/>
    <w:rsid w:val="00157BB8"/>
    <w:rsid w:val="00163F1C"/>
    <w:rsid w:val="001651F5"/>
    <w:rsid w:val="00166D8C"/>
    <w:rsid w:val="001770AC"/>
    <w:rsid w:val="00187710"/>
    <w:rsid w:val="001946B9"/>
    <w:rsid w:val="00194AB1"/>
    <w:rsid w:val="001961AF"/>
    <w:rsid w:val="001A43A7"/>
    <w:rsid w:val="001B14A0"/>
    <w:rsid w:val="001B7DA0"/>
    <w:rsid w:val="001C2667"/>
    <w:rsid w:val="001D5422"/>
    <w:rsid w:val="001D6960"/>
    <w:rsid w:val="001D6EFE"/>
    <w:rsid w:val="001E0A27"/>
    <w:rsid w:val="001E14A1"/>
    <w:rsid w:val="001E1D3D"/>
    <w:rsid w:val="001E4B37"/>
    <w:rsid w:val="001E4E7A"/>
    <w:rsid w:val="001F2853"/>
    <w:rsid w:val="001F2F1D"/>
    <w:rsid w:val="0020155D"/>
    <w:rsid w:val="002024BE"/>
    <w:rsid w:val="00203C48"/>
    <w:rsid w:val="0021227B"/>
    <w:rsid w:val="00221114"/>
    <w:rsid w:val="00222C9B"/>
    <w:rsid w:val="0022335F"/>
    <w:rsid w:val="00224D40"/>
    <w:rsid w:val="0022659D"/>
    <w:rsid w:val="002411BB"/>
    <w:rsid w:val="0024556F"/>
    <w:rsid w:val="00254200"/>
    <w:rsid w:val="00255778"/>
    <w:rsid w:val="0026033D"/>
    <w:rsid w:val="00271DEB"/>
    <w:rsid w:val="00272471"/>
    <w:rsid w:val="00273202"/>
    <w:rsid w:val="0027343E"/>
    <w:rsid w:val="00274BA8"/>
    <w:rsid w:val="00281A54"/>
    <w:rsid w:val="002923D8"/>
    <w:rsid w:val="00297CA6"/>
    <w:rsid w:val="002A37CD"/>
    <w:rsid w:val="002A50C7"/>
    <w:rsid w:val="002B2ABA"/>
    <w:rsid w:val="002B6346"/>
    <w:rsid w:val="002C3637"/>
    <w:rsid w:val="002C5C6A"/>
    <w:rsid w:val="002C7065"/>
    <w:rsid w:val="002D7D7C"/>
    <w:rsid w:val="002E27D1"/>
    <w:rsid w:val="002E4ED6"/>
    <w:rsid w:val="002E611D"/>
    <w:rsid w:val="002E7EEF"/>
    <w:rsid w:val="002F3550"/>
    <w:rsid w:val="00306769"/>
    <w:rsid w:val="00307DC0"/>
    <w:rsid w:val="00310601"/>
    <w:rsid w:val="003138AA"/>
    <w:rsid w:val="00313AC9"/>
    <w:rsid w:val="00313C8F"/>
    <w:rsid w:val="0034121A"/>
    <w:rsid w:val="00343729"/>
    <w:rsid w:val="00347486"/>
    <w:rsid w:val="003604F2"/>
    <w:rsid w:val="00361E29"/>
    <w:rsid w:val="003642C1"/>
    <w:rsid w:val="00374EA4"/>
    <w:rsid w:val="00377399"/>
    <w:rsid w:val="00383C61"/>
    <w:rsid w:val="003842DC"/>
    <w:rsid w:val="00390E84"/>
    <w:rsid w:val="00391AB2"/>
    <w:rsid w:val="00396897"/>
    <w:rsid w:val="003A0B33"/>
    <w:rsid w:val="003A481D"/>
    <w:rsid w:val="003A7591"/>
    <w:rsid w:val="003A78B8"/>
    <w:rsid w:val="003B068D"/>
    <w:rsid w:val="003B2903"/>
    <w:rsid w:val="003B6B16"/>
    <w:rsid w:val="003C10E4"/>
    <w:rsid w:val="003C6681"/>
    <w:rsid w:val="003D07B1"/>
    <w:rsid w:val="003D62AC"/>
    <w:rsid w:val="003D7DD5"/>
    <w:rsid w:val="003D7EE0"/>
    <w:rsid w:val="003E0BCA"/>
    <w:rsid w:val="003E33C4"/>
    <w:rsid w:val="003E533A"/>
    <w:rsid w:val="003E57CE"/>
    <w:rsid w:val="003E6DD5"/>
    <w:rsid w:val="003F12F6"/>
    <w:rsid w:val="003F36AA"/>
    <w:rsid w:val="003F6A9D"/>
    <w:rsid w:val="00401A2B"/>
    <w:rsid w:val="00405D49"/>
    <w:rsid w:val="00413D28"/>
    <w:rsid w:val="004169F6"/>
    <w:rsid w:val="00417CA1"/>
    <w:rsid w:val="004201FC"/>
    <w:rsid w:val="00422395"/>
    <w:rsid w:val="004239B2"/>
    <w:rsid w:val="004266A4"/>
    <w:rsid w:val="0043735F"/>
    <w:rsid w:val="00440582"/>
    <w:rsid w:val="004444FE"/>
    <w:rsid w:val="004504E4"/>
    <w:rsid w:val="004640BA"/>
    <w:rsid w:val="00482390"/>
    <w:rsid w:val="00491675"/>
    <w:rsid w:val="00497052"/>
    <w:rsid w:val="004A44AF"/>
    <w:rsid w:val="004A6168"/>
    <w:rsid w:val="004B08DF"/>
    <w:rsid w:val="004B2DB9"/>
    <w:rsid w:val="004B7C27"/>
    <w:rsid w:val="004C1614"/>
    <w:rsid w:val="004C2844"/>
    <w:rsid w:val="004C5E0A"/>
    <w:rsid w:val="004C63A3"/>
    <w:rsid w:val="004C6503"/>
    <w:rsid w:val="004C714A"/>
    <w:rsid w:val="004D24F3"/>
    <w:rsid w:val="004D6AA1"/>
    <w:rsid w:val="004D7659"/>
    <w:rsid w:val="004E2564"/>
    <w:rsid w:val="004E383C"/>
    <w:rsid w:val="004E4DA2"/>
    <w:rsid w:val="004F3701"/>
    <w:rsid w:val="004F4D44"/>
    <w:rsid w:val="00500836"/>
    <w:rsid w:val="00501B9E"/>
    <w:rsid w:val="00501E62"/>
    <w:rsid w:val="0050523C"/>
    <w:rsid w:val="00513761"/>
    <w:rsid w:val="00513DBA"/>
    <w:rsid w:val="005146BA"/>
    <w:rsid w:val="00515F91"/>
    <w:rsid w:val="0051666B"/>
    <w:rsid w:val="0051783E"/>
    <w:rsid w:val="0052267E"/>
    <w:rsid w:val="00522FAA"/>
    <w:rsid w:val="0052414D"/>
    <w:rsid w:val="005361D0"/>
    <w:rsid w:val="00543D8D"/>
    <w:rsid w:val="00546A16"/>
    <w:rsid w:val="00550C82"/>
    <w:rsid w:val="00555490"/>
    <w:rsid w:val="0057241D"/>
    <w:rsid w:val="0057351C"/>
    <w:rsid w:val="00580B86"/>
    <w:rsid w:val="00580BFC"/>
    <w:rsid w:val="00580F4A"/>
    <w:rsid w:val="00584EC9"/>
    <w:rsid w:val="00585BE7"/>
    <w:rsid w:val="00597837"/>
    <w:rsid w:val="005A16FF"/>
    <w:rsid w:val="005A3AE6"/>
    <w:rsid w:val="005A6FF7"/>
    <w:rsid w:val="005A7AF7"/>
    <w:rsid w:val="005B2A70"/>
    <w:rsid w:val="005B32D9"/>
    <w:rsid w:val="005B5E16"/>
    <w:rsid w:val="005C214A"/>
    <w:rsid w:val="005C26C1"/>
    <w:rsid w:val="005D789D"/>
    <w:rsid w:val="005E3F4A"/>
    <w:rsid w:val="005F153A"/>
    <w:rsid w:val="005F322D"/>
    <w:rsid w:val="005F34CA"/>
    <w:rsid w:val="005F5210"/>
    <w:rsid w:val="005F588F"/>
    <w:rsid w:val="005F6868"/>
    <w:rsid w:val="0060115D"/>
    <w:rsid w:val="00601245"/>
    <w:rsid w:val="00601772"/>
    <w:rsid w:val="00602137"/>
    <w:rsid w:val="00604EA2"/>
    <w:rsid w:val="006106D1"/>
    <w:rsid w:val="00615B44"/>
    <w:rsid w:val="006174EE"/>
    <w:rsid w:val="00622D36"/>
    <w:rsid w:val="00630D55"/>
    <w:rsid w:val="00631C54"/>
    <w:rsid w:val="00633BAA"/>
    <w:rsid w:val="0063549D"/>
    <w:rsid w:val="00637803"/>
    <w:rsid w:val="00651152"/>
    <w:rsid w:val="00652E6A"/>
    <w:rsid w:val="0065300D"/>
    <w:rsid w:val="00654FA8"/>
    <w:rsid w:val="00657B58"/>
    <w:rsid w:val="0066103A"/>
    <w:rsid w:val="00661465"/>
    <w:rsid w:val="00662E62"/>
    <w:rsid w:val="00664213"/>
    <w:rsid w:val="00671071"/>
    <w:rsid w:val="00671AF3"/>
    <w:rsid w:val="00672335"/>
    <w:rsid w:val="00673E5A"/>
    <w:rsid w:val="00677560"/>
    <w:rsid w:val="00677837"/>
    <w:rsid w:val="00677E9F"/>
    <w:rsid w:val="0068273E"/>
    <w:rsid w:val="006840DF"/>
    <w:rsid w:val="00684E29"/>
    <w:rsid w:val="006861E0"/>
    <w:rsid w:val="00686317"/>
    <w:rsid w:val="006922F8"/>
    <w:rsid w:val="0069448E"/>
    <w:rsid w:val="006A2CC2"/>
    <w:rsid w:val="006A6094"/>
    <w:rsid w:val="006A60E7"/>
    <w:rsid w:val="006B09AF"/>
    <w:rsid w:val="006B4365"/>
    <w:rsid w:val="006B4DFB"/>
    <w:rsid w:val="006B7E83"/>
    <w:rsid w:val="006C1189"/>
    <w:rsid w:val="006D3A0B"/>
    <w:rsid w:val="006D3B67"/>
    <w:rsid w:val="006E1190"/>
    <w:rsid w:val="006E3170"/>
    <w:rsid w:val="006E65B3"/>
    <w:rsid w:val="006F34CC"/>
    <w:rsid w:val="006F487A"/>
    <w:rsid w:val="00700937"/>
    <w:rsid w:val="00704050"/>
    <w:rsid w:val="007060DF"/>
    <w:rsid w:val="00707A33"/>
    <w:rsid w:val="00711A45"/>
    <w:rsid w:val="0071314F"/>
    <w:rsid w:val="00720ECF"/>
    <w:rsid w:val="007263EF"/>
    <w:rsid w:val="0073189B"/>
    <w:rsid w:val="00734586"/>
    <w:rsid w:val="0073774E"/>
    <w:rsid w:val="007414D2"/>
    <w:rsid w:val="007422DF"/>
    <w:rsid w:val="00742EF5"/>
    <w:rsid w:val="00743445"/>
    <w:rsid w:val="00745814"/>
    <w:rsid w:val="0075061B"/>
    <w:rsid w:val="0075165D"/>
    <w:rsid w:val="007549E5"/>
    <w:rsid w:val="00754D8A"/>
    <w:rsid w:val="007652B4"/>
    <w:rsid w:val="00776D26"/>
    <w:rsid w:val="007A5582"/>
    <w:rsid w:val="007A629E"/>
    <w:rsid w:val="007B51F7"/>
    <w:rsid w:val="007B5681"/>
    <w:rsid w:val="007B7C01"/>
    <w:rsid w:val="007B7FB3"/>
    <w:rsid w:val="007C5685"/>
    <w:rsid w:val="007D038D"/>
    <w:rsid w:val="007D3EEE"/>
    <w:rsid w:val="007D522E"/>
    <w:rsid w:val="007D54C2"/>
    <w:rsid w:val="007E750E"/>
    <w:rsid w:val="007E7F9B"/>
    <w:rsid w:val="007F38CC"/>
    <w:rsid w:val="007F743B"/>
    <w:rsid w:val="00806106"/>
    <w:rsid w:val="008113DD"/>
    <w:rsid w:val="008162E1"/>
    <w:rsid w:val="00820D32"/>
    <w:rsid w:val="008238A8"/>
    <w:rsid w:val="00833953"/>
    <w:rsid w:val="00835FE5"/>
    <w:rsid w:val="00863067"/>
    <w:rsid w:val="0086507F"/>
    <w:rsid w:val="008656E5"/>
    <w:rsid w:val="00867E84"/>
    <w:rsid w:val="00871198"/>
    <w:rsid w:val="00874D4F"/>
    <w:rsid w:val="00876591"/>
    <w:rsid w:val="008829BD"/>
    <w:rsid w:val="0088387D"/>
    <w:rsid w:val="00891154"/>
    <w:rsid w:val="00894008"/>
    <w:rsid w:val="00894A34"/>
    <w:rsid w:val="008A2494"/>
    <w:rsid w:val="008A7880"/>
    <w:rsid w:val="008B4236"/>
    <w:rsid w:val="008B67C2"/>
    <w:rsid w:val="008C0D25"/>
    <w:rsid w:val="008C3B8F"/>
    <w:rsid w:val="008C4461"/>
    <w:rsid w:val="008C47EE"/>
    <w:rsid w:val="008C52B7"/>
    <w:rsid w:val="008D14A0"/>
    <w:rsid w:val="008D2669"/>
    <w:rsid w:val="008E3014"/>
    <w:rsid w:val="008E4DD7"/>
    <w:rsid w:val="008E77A7"/>
    <w:rsid w:val="008F0C58"/>
    <w:rsid w:val="008F154A"/>
    <w:rsid w:val="008F26D1"/>
    <w:rsid w:val="008F37A2"/>
    <w:rsid w:val="008F5FEC"/>
    <w:rsid w:val="008F7264"/>
    <w:rsid w:val="009045AA"/>
    <w:rsid w:val="00906A7E"/>
    <w:rsid w:val="00906AFF"/>
    <w:rsid w:val="00912409"/>
    <w:rsid w:val="00915A20"/>
    <w:rsid w:val="00915E08"/>
    <w:rsid w:val="00917019"/>
    <w:rsid w:val="00917C3C"/>
    <w:rsid w:val="009302F1"/>
    <w:rsid w:val="00935523"/>
    <w:rsid w:val="00940FDD"/>
    <w:rsid w:val="0094189B"/>
    <w:rsid w:val="0094447C"/>
    <w:rsid w:val="0095493D"/>
    <w:rsid w:val="00954B00"/>
    <w:rsid w:val="009554EF"/>
    <w:rsid w:val="0095742D"/>
    <w:rsid w:val="00966E38"/>
    <w:rsid w:val="0096708F"/>
    <w:rsid w:val="0097056E"/>
    <w:rsid w:val="00974C6D"/>
    <w:rsid w:val="0097663D"/>
    <w:rsid w:val="0098506B"/>
    <w:rsid w:val="00986382"/>
    <w:rsid w:val="00986F9D"/>
    <w:rsid w:val="00991319"/>
    <w:rsid w:val="00995D17"/>
    <w:rsid w:val="009A1F86"/>
    <w:rsid w:val="009A3B05"/>
    <w:rsid w:val="009A42A4"/>
    <w:rsid w:val="009B7124"/>
    <w:rsid w:val="009C6797"/>
    <w:rsid w:val="009C6942"/>
    <w:rsid w:val="009C6D20"/>
    <w:rsid w:val="009C7B9B"/>
    <w:rsid w:val="009D20CA"/>
    <w:rsid w:val="009E1B19"/>
    <w:rsid w:val="009E1F96"/>
    <w:rsid w:val="009E372F"/>
    <w:rsid w:val="009E414E"/>
    <w:rsid w:val="009F5165"/>
    <w:rsid w:val="009F6D3C"/>
    <w:rsid w:val="009F74B0"/>
    <w:rsid w:val="00A17788"/>
    <w:rsid w:val="00A2465B"/>
    <w:rsid w:val="00A268C2"/>
    <w:rsid w:val="00A269F0"/>
    <w:rsid w:val="00A2780A"/>
    <w:rsid w:val="00A34B63"/>
    <w:rsid w:val="00A36A79"/>
    <w:rsid w:val="00A41F4F"/>
    <w:rsid w:val="00A430AE"/>
    <w:rsid w:val="00A45EF4"/>
    <w:rsid w:val="00A516D7"/>
    <w:rsid w:val="00A53020"/>
    <w:rsid w:val="00A55BDF"/>
    <w:rsid w:val="00A5728E"/>
    <w:rsid w:val="00A57556"/>
    <w:rsid w:val="00A66622"/>
    <w:rsid w:val="00A6791C"/>
    <w:rsid w:val="00A73CAE"/>
    <w:rsid w:val="00A76215"/>
    <w:rsid w:val="00A805A1"/>
    <w:rsid w:val="00A85A11"/>
    <w:rsid w:val="00A90272"/>
    <w:rsid w:val="00A929A8"/>
    <w:rsid w:val="00A93B2E"/>
    <w:rsid w:val="00A961C8"/>
    <w:rsid w:val="00AA1F67"/>
    <w:rsid w:val="00AB3A36"/>
    <w:rsid w:val="00AC2396"/>
    <w:rsid w:val="00AC48E5"/>
    <w:rsid w:val="00AD306A"/>
    <w:rsid w:val="00AD3087"/>
    <w:rsid w:val="00AD5693"/>
    <w:rsid w:val="00AF214F"/>
    <w:rsid w:val="00AF2B40"/>
    <w:rsid w:val="00AF5EEA"/>
    <w:rsid w:val="00AF61CA"/>
    <w:rsid w:val="00B00800"/>
    <w:rsid w:val="00B00B7C"/>
    <w:rsid w:val="00B03F22"/>
    <w:rsid w:val="00B05153"/>
    <w:rsid w:val="00B2338D"/>
    <w:rsid w:val="00B302D2"/>
    <w:rsid w:val="00B333C4"/>
    <w:rsid w:val="00B33C2D"/>
    <w:rsid w:val="00B361C7"/>
    <w:rsid w:val="00B40B50"/>
    <w:rsid w:val="00B44C72"/>
    <w:rsid w:val="00B6032E"/>
    <w:rsid w:val="00B64564"/>
    <w:rsid w:val="00B64A51"/>
    <w:rsid w:val="00B733CB"/>
    <w:rsid w:val="00B812A0"/>
    <w:rsid w:val="00B814BC"/>
    <w:rsid w:val="00B814F7"/>
    <w:rsid w:val="00B846A7"/>
    <w:rsid w:val="00BA2406"/>
    <w:rsid w:val="00BA2915"/>
    <w:rsid w:val="00BA706B"/>
    <w:rsid w:val="00BC0EB4"/>
    <w:rsid w:val="00BC1E75"/>
    <w:rsid w:val="00BD363F"/>
    <w:rsid w:val="00BD745B"/>
    <w:rsid w:val="00BE50E3"/>
    <w:rsid w:val="00BE5278"/>
    <w:rsid w:val="00BF1011"/>
    <w:rsid w:val="00BF4DBD"/>
    <w:rsid w:val="00C01085"/>
    <w:rsid w:val="00C01B8B"/>
    <w:rsid w:val="00C05172"/>
    <w:rsid w:val="00C1201F"/>
    <w:rsid w:val="00C12931"/>
    <w:rsid w:val="00C2588A"/>
    <w:rsid w:val="00C26FE8"/>
    <w:rsid w:val="00C36CDB"/>
    <w:rsid w:val="00C41439"/>
    <w:rsid w:val="00C466BB"/>
    <w:rsid w:val="00C50947"/>
    <w:rsid w:val="00C53764"/>
    <w:rsid w:val="00C53C48"/>
    <w:rsid w:val="00C604AC"/>
    <w:rsid w:val="00C640C6"/>
    <w:rsid w:val="00C667AD"/>
    <w:rsid w:val="00C67014"/>
    <w:rsid w:val="00C72270"/>
    <w:rsid w:val="00C742BC"/>
    <w:rsid w:val="00C76908"/>
    <w:rsid w:val="00C7715A"/>
    <w:rsid w:val="00C809C1"/>
    <w:rsid w:val="00C828A8"/>
    <w:rsid w:val="00C846C9"/>
    <w:rsid w:val="00C86A86"/>
    <w:rsid w:val="00C87F27"/>
    <w:rsid w:val="00C93C8A"/>
    <w:rsid w:val="00CA2264"/>
    <w:rsid w:val="00CA2EBA"/>
    <w:rsid w:val="00CA3429"/>
    <w:rsid w:val="00CB0187"/>
    <w:rsid w:val="00CC0EB1"/>
    <w:rsid w:val="00CC12FA"/>
    <w:rsid w:val="00CC7A3B"/>
    <w:rsid w:val="00CD2865"/>
    <w:rsid w:val="00CD2C46"/>
    <w:rsid w:val="00CD452E"/>
    <w:rsid w:val="00CD5397"/>
    <w:rsid w:val="00CD68B1"/>
    <w:rsid w:val="00CE6F05"/>
    <w:rsid w:val="00CF57DE"/>
    <w:rsid w:val="00CF67E2"/>
    <w:rsid w:val="00D1213C"/>
    <w:rsid w:val="00D12E20"/>
    <w:rsid w:val="00D15132"/>
    <w:rsid w:val="00D16C28"/>
    <w:rsid w:val="00D233F1"/>
    <w:rsid w:val="00D25CC0"/>
    <w:rsid w:val="00D35EEF"/>
    <w:rsid w:val="00D3748A"/>
    <w:rsid w:val="00D40574"/>
    <w:rsid w:val="00D41BFC"/>
    <w:rsid w:val="00D443DF"/>
    <w:rsid w:val="00D53379"/>
    <w:rsid w:val="00D63E29"/>
    <w:rsid w:val="00D66EB0"/>
    <w:rsid w:val="00D7168B"/>
    <w:rsid w:val="00D734C6"/>
    <w:rsid w:val="00D756EB"/>
    <w:rsid w:val="00D7779B"/>
    <w:rsid w:val="00D81AA9"/>
    <w:rsid w:val="00D82E69"/>
    <w:rsid w:val="00D84D7D"/>
    <w:rsid w:val="00D85005"/>
    <w:rsid w:val="00D8542A"/>
    <w:rsid w:val="00D87FB8"/>
    <w:rsid w:val="00D93FA5"/>
    <w:rsid w:val="00D96F6C"/>
    <w:rsid w:val="00DA0EA5"/>
    <w:rsid w:val="00DA3276"/>
    <w:rsid w:val="00DA3F58"/>
    <w:rsid w:val="00DA4AD9"/>
    <w:rsid w:val="00DA567B"/>
    <w:rsid w:val="00DB750E"/>
    <w:rsid w:val="00DC22A4"/>
    <w:rsid w:val="00DC3909"/>
    <w:rsid w:val="00DC6EAC"/>
    <w:rsid w:val="00DD232C"/>
    <w:rsid w:val="00DD32C9"/>
    <w:rsid w:val="00DD79DD"/>
    <w:rsid w:val="00DE335B"/>
    <w:rsid w:val="00DF210C"/>
    <w:rsid w:val="00DF5004"/>
    <w:rsid w:val="00DF77D2"/>
    <w:rsid w:val="00E00152"/>
    <w:rsid w:val="00E013A2"/>
    <w:rsid w:val="00E0303C"/>
    <w:rsid w:val="00E04569"/>
    <w:rsid w:val="00E1187B"/>
    <w:rsid w:val="00E11C3C"/>
    <w:rsid w:val="00E1754F"/>
    <w:rsid w:val="00E31D94"/>
    <w:rsid w:val="00E41DD4"/>
    <w:rsid w:val="00E423B8"/>
    <w:rsid w:val="00E42F41"/>
    <w:rsid w:val="00E44EEC"/>
    <w:rsid w:val="00E468BD"/>
    <w:rsid w:val="00E468FB"/>
    <w:rsid w:val="00E52083"/>
    <w:rsid w:val="00E64511"/>
    <w:rsid w:val="00E65A34"/>
    <w:rsid w:val="00E70477"/>
    <w:rsid w:val="00E74777"/>
    <w:rsid w:val="00E75BB4"/>
    <w:rsid w:val="00E83908"/>
    <w:rsid w:val="00E877C8"/>
    <w:rsid w:val="00E87C77"/>
    <w:rsid w:val="00E93540"/>
    <w:rsid w:val="00E963D7"/>
    <w:rsid w:val="00E97520"/>
    <w:rsid w:val="00EA56CC"/>
    <w:rsid w:val="00EB006F"/>
    <w:rsid w:val="00EB07F7"/>
    <w:rsid w:val="00EB1DAA"/>
    <w:rsid w:val="00EB52EB"/>
    <w:rsid w:val="00EB5CCB"/>
    <w:rsid w:val="00ED41D9"/>
    <w:rsid w:val="00EF041E"/>
    <w:rsid w:val="00EF68A5"/>
    <w:rsid w:val="00F07EE6"/>
    <w:rsid w:val="00F13EFD"/>
    <w:rsid w:val="00F140EE"/>
    <w:rsid w:val="00F305E3"/>
    <w:rsid w:val="00F42F18"/>
    <w:rsid w:val="00F456B1"/>
    <w:rsid w:val="00F567B8"/>
    <w:rsid w:val="00F608C4"/>
    <w:rsid w:val="00F7342D"/>
    <w:rsid w:val="00F818C5"/>
    <w:rsid w:val="00F94DC7"/>
    <w:rsid w:val="00F9548F"/>
    <w:rsid w:val="00FA060E"/>
    <w:rsid w:val="00FA70B4"/>
    <w:rsid w:val="00FB62F1"/>
    <w:rsid w:val="00FB71DD"/>
    <w:rsid w:val="00FC2870"/>
    <w:rsid w:val="00FC38FE"/>
    <w:rsid w:val="00FC3ED8"/>
    <w:rsid w:val="00FD27F2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542A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8542A"/>
    <w:pPr>
      <w:keepNext/>
      <w:jc w:val="both"/>
      <w:outlineLvl w:val="0"/>
    </w:pPr>
    <w:rPr>
      <w:b/>
      <w:bCs/>
      <w:color w:val="00000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8542A"/>
    <w:pPr>
      <w:keepNext/>
      <w:jc w:val="center"/>
      <w:outlineLvl w:val="1"/>
    </w:pPr>
    <w:rPr>
      <w:b/>
      <w:bCs/>
      <w:color w:val="000000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8542A"/>
    <w:pPr>
      <w:keepNext/>
      <w:outlineLvl w:val="2"/>
    </w:pPr>
    <w:rPr>
      <w:b/>
      <w:bCs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8542A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D8542A"/>
    <w:rPr>
      <w:rFonts w:ascii="Calibri Light" w:hAnsi="Calibri Light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D8542A"/>
    <w:rPr>
      <w:rFonts w:ascii="Calibri Light" w:hAnsi="Calibri Light" w:cs="Times New Roman"/>
      <w:b/>
      <w:sz w:val="26"/>
    </w:rPr>
  </w:style>
  <w:style w:type="paragraph" w:styleId="Zkladntext">
    <w:name w:val="Body Text"/>
    <w:basedOn w:val="Normlny"/>
    <w:link w:val="ZkladntextChar"/>
    <w:uiPriority w:val="99"/>
    <w:rsid w:val="00D8542A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8542A"/>
    <w:rPr>
      <w:rFonts w:ascii="Times New Roman" w:hAnsi="Times New Roman"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D8542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8542A"/>
    <w:rPr>
      <w:rFonts w:ascii="Times New Roman" w:hAnsi="Times New Roman" w:cs="Times New Roman"/>
      <w:sz w:val="20"/>
    </w:rPr>
  </w:style>
  <w:style w:type="character" w:styleId="Odkaznapoznmkupodiarou">
    <w:name w:val="footnote reference"/>
    <w:basedOn w:val="Predvolenpsmoodseku"/>
    <w:uiPriority w:val="99"/>
    <w:rsid w:val="00D8542A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C11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C1189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C11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C1189"/>
    <w:rPr>
      <w:rFonts w:ascii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743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743445"/>
    <w:rPr>
      <w:rFonts w:ascii="Segoe UI" w:hAnsi="Segoe UI" w:cs="Times New Roman"/>
      <w:sz w:val="18"/>
    </w:rPr>
  </w:style>
  <w:style w:type="character" w:styleId="Hypertextovprepojenie">
    <w:name w:val="Hyperlink"/>
    <w:basedOn w:val="Predvolenpsmoodseku"/>
    <w:uiPriority w:val="99"/>
    <w:unhideWhenUsed/>
    <w:rsid w:val="005D789D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unhideWhenUsed/>
    <w:rsid w:val="005D789D"/>
    <w:rPr>
      <w:rFonts w:cs="Times New Roman"/>
      <w:i/>
    </w:rPr>
  </w:style>
  <w:style w:type="character" w:styleId="slostrany">
    <w:name w:val="page number"/>
    <w:basedOn w:val="Predvolenpsmoodseku"/>
    <w:uiPriority w:val="99"/>
    <w:rsid w:val="00254200"/>
    <w:rPr>
      <w:rFonts w:cs="Times New Roman"/>
    </w:rPr>
  </w:style>
  <w:style w:type="table" w:styleId="Mriekatabuky">
    <w:name w:val="Table Grid"/>
    <w:basedOn w:val="Normlnatabuka"/>
    <w:uiPriority w:val="39"/>
    <w:rsid w:val="00B361C7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3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8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8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8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8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8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8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EBE1-1C47-4686-9914-46AB0D91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2022-10-11T11:48:00Z</dcterms:created>
  <dcterms:modified xsi:type="dcterms:W3CDTF">2022-12-12T02:23:00Z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2022-10-11T11:51:09Z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c75bd1e5-58dc-4998-9420-2a2f4e60385a</vt:lpwstr>
  </property>
  <property fmtid="{D5CDD505-2E9C-101B-9397-08002B2CF9AE}" pid="8" name="MSIP_Label_b1c9b508-7c6e-42bd-bedf-808292653d6c_ContentBits">
    <vt:lpwstr>3</vt:lpwstr>
  </property>
</Properties>
</file>