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A0" w:rsidRPr="004C52D2" w:rsidRDefault="00C4305C" w:rsidP="00612F05">
      <w:pPr>
        <w:pStyle w:val="Nadpis1"/>
        <w:keepNext w:val="0"/>
        <w:spacing w:before="240" w:after="240"/>
        <w:ind w:right="0"/>
      </w:pPr>
      <w:r w:rsidRPr="004C52D2">
        <w:t>VYHLÁŠKA</w:t>
      </w:r>
    </w:p>
    <w:p w:rsidR="006F5DA0" w:rsidRPr="004C52D2" w:rsidRDefault="006F5DA0" w:rsidP="00612F05">
      <w:pPr>
        <w:spacing w:before="240" w:after="240"/>
        <w:jc w:val="center"/>
        <w:rPr>
          <w:b/>
          <w:bCs/>
        </w:rPr>
      </w:pPr>
      <w:r w:rsidRPr="004C52D2">
        <w:rPr>
          <w:b/>
          <w:bCs/>
        </w:rPr>
        <w:t>Ministerstva zdravotníctva Slovenskej republiky</w:t>
      </w:r>
    </w:p>
    <w:p w:rsidR="006F5DA0" w:rsidRPr="004C52D2" w:rsidRDefault="006F5DA0" w:rsidP="00612F05">
      <w:pPr>
        <w:spacing w:before="240" w:after="240"/>
        <w:jc w:val="center"/>
      </w:pPr>
      <w:r w:rsidRPr="004C52D2">
        <w:t>z</w:t>
      </w:r>
      <w:r w:rsidR="00111680">
        <w:t xml:space="preserve"> ............... </w:t>
      </w:r>
      <w:r w:rsidRPr="004C52D2">
        <w:t>20</w:t>
      </w:r>
      <w:r w:rsidR="00C15BDB">
        <w:t>2</w:t>
      </w:r>
      <w:r w:rsidR="00111680">
        <w:t>3</w:t>
      </w:r>
      <w:r w:rsidRPr="004C52D2">
        <w:t>,</w:t>
      </w:r>
    </w:p>
    <w:p w:rsidR="00C15BDB" w:rsidRPr="004C52D2" w:rsidRDefault="006F5DA0" w:rsidP="00612F05">
      <w:pPr>
        <w:spacing w:before="240" w:after="240"/>
        <w:jc w:val="center"/>
        <w:rPr>
          <w:b/>
          <w:bCs/>
        </w:rPr>
      </w:pPr>
      <w:r w:rsidRPr="004C52D2">
        <w:rPr>
          <w:b/>
          <w:bCs/>
        </w:rPr>
        <w:t>ktorou sa </w:t>
      </w:r>
      <w:r w:rsidR="003001EA">
        <w:rPr>
          <w:b/>
          <w:bCs/>
        </w:rPr>
        <w:t xml:space="preserve">mení a </w:t>
      </w:r>
      <w:r w:rsidRPr="004C52D2">
        <w:rPr>
          <w:b/>
          <w:bCs/>
        </w:rPr>
        <w:t xml:space="preserve">dopĺňa vyhláška Ministerstva zdravotníctva Slovenskej republiky č. </w:t>
      </w:r>
      <w:r w:rsidR="00111680">
        <w:rPr>
          <w:b/>
          <w:bCs/>
        </w:rPr>
        <w:t>209/2014</w:t>
      </w:r>
      <w:r w:rsidRPr="004C52D2">
        <w:rPr>
          <w:b/>
          <w:bCs/>
        </w:rPr>
        <w:t xml:space="preserve"> Z. z.</w:t>
      </w:r>
      <w:r w:rsidR="00111680">
        <w:rPr>
          <w:b/>
          <w:bCs/>
        </w:rPr>
        <w:t>,</w:t>
      </w:r>
      <w:r w:rsidRPr="004C52D2">
        <w:rPr>
          <w:b/>
          <w:bCs/>
        </w:rPr>
        <w:t xml:space="preserve"> </w:t>
      </w:r>
      <w:r w:rsidR="00111680" w:rsidRPr="00111680">
        <w:rPr>
          <w:b/>
          <w:bCs/>
        </w:rPr>
        <w:t>ktorou sa ustanovuje rozsah odbornej prípravy, rozsah požadovaných vedomostí pre skúšky odbornej spôsobilosti, podrobnosti o zriaďovaní a činnosti komisií na preskúšanie odbornej spôsobilosti, podrobnosti o skúške pred komisiou na preskúšanie odbornej spôsobilosti, obsah osvedčenia o odbornej spôsobilosti a rozsah aktualizačnej odbornej prípravy</w:t>
      </w:r>
      <w:r w:rsidR="00111680">
        <w:rPr>
          <w:b/>
          <w:bCs/>
        </w:rPr>
        <w:t xml:space="preserve"> v znení vyhlášky č. 222/2018 Z. z.</w:t>
      </w:r>
    </w:p>
    <w:p w:rsidR="006776B3" w:rsidRPr="004C52D2" w:rsidRDefault="00D016F1" w:rsidP="00612F05">
      <w:pPr>
        <w:spacing w:before="600" w:after="600"/>
        <w:ind w:firstLine="708"/>
        <w:jc w:val="both"/>
      </w:pPr>
      <w:r w:rsidRPr="004C52D2">
        <w:t xml:space="preserve">Ministerstvo zdravotníctva Slovenskej republiky podľa § 62 </w:t>
      </w:r>
      <w:r w:rsidR="00534A2B">
        <w:t xml:space="preserve">ods. 1 </w:t>
      </w:r>
      <w:r w:rsidRPr="004C52D2">
        <w:t xml:space="preserve">písm. </w:t>
      </w:r>
      <w:r w:rsidR="00111680">
        <w:t>c</w:t>
      </w:r>
      <w:r w:rsidRPr="004C52D2">
        <w:t>) zákona č.</w:t>
      </w:r>
      <w:r w:rsidR="00612F05">
        <w:t> </w:t>
      </w:r>
      <w:r w:rsidRPr="004C52D2">
        <w:t xml:space="preserve">355/2007 Z. z. o ochrane, podpore a rozvoji verejného zdravia a o zmene a doplnení </w:t>
      </w:r>
      <w:r w:rsidRPr="001831CA">
        <w:t>niektorých zákonov</w:t>
      </w:r>
      <w:r w:rsidR="00534A2B" w:rsidRPr="001831CA">
        <w:t xml:space="preserve"> v znení </w:t>
      </w:r>
      <w:r w:rsidR="00AA1E22" w:rsidRPr="001831CA">
        <w:t xml:space="preserve">zákona č. 533/2021 Z. z. </w:t>
      </w:r>
      <w:r w:rsidR="001831CA">
        <w:t>ustanovuje</w:t>
      </w:r>
    </w:p>
    <w:p w:rsidR="006776B3" w:rsidRPr="00612F05" w:rsidRDefault="006776B3" w:rsidP="00612F05">
      <w:pPr>
        <w:spacing w:before="240" w:after="240"/>
        <w:jc w:val="center"/>
        <w:rPr>
          <w:b/>
        </w:rPr>
      </w:pPr>
      <w:r w:rsidRPr="00612F05">
        <w:rPr>
          <w:b/>
        </w:rPr>
        <w:t>Čl. I</w:t>
      </w:r>
    </w:p>
    <w:p w:rsidR="006776B3" w:rsidRPr="004C52D2" w:rsidRDefault="00D016F1" w:rsidP="00805F01">
      <w:pPr>
        <w:spacing w:before="120" w:after="120"/>
        <w:ind w:firstLine="708"/>
        <w:jc w:val="both"/>
      </w:pPr>
      <w:r w:rsidRPr="004C52D2">
        <w:t xml:space="preserve">Vyhláška Ministerstva zdravotníctva Slovenskej republiky č. </w:t>
      </w:r>
      <w:r w:rsidR="00111680" w:rsidRPr="00111680">
        <w:t>209/2014 Z. z., ktorou sa ustanovuje rozsah odbornej prípravy, rozsah požadovaných vedomostí pre skúšky odbornej spôsobilosti, podrobnosti o zriaďovaní a činnosti komisií na preskúšanie odbornej spôsobilosti, podrobnosti o skúške pred komisiou na preskúšanie odbornej spôsobilosti, obsah osvedčenia o odbornej spôsobilosti a rozsah aktualizačnej odbornej prípravy</w:t>
      </w:r>
      <w:r w:rsidR="00452CDB" w:rsidRPr="004C52D2">
        <w:t xml:space="preserve"> </w:t>
      </w:r>
      <w:r w:rsidR="00C15BDB">
        <w:t xml:space="preserve">v znení </w:t>
      </w:r>
      <w:r w:rsidR="00111680" w:rsidRPr="00111680">
        <w:t>vyhlášky č. 222/2018 Z. z.</w:t>
      </w:r>
      <w:r w:rsidR="00C15BDB">
        <w:t xml:space="preserve"> </w:t>
      </w:r>
      <w:r w:rsidR="006776B3" w:rsidRPr="004C52D2">
        <w:t xml:space="preserve">sa </w:t>
      </w:r>
      <w:r w:rsidR="003001EA">
        <w:t xml:space="preserve">mení a </w:t>
      </w:r>
      <w:r w:rsidR="00826BFB" w:rsidRPr="004C52D2">
        <w:t>dopĺňa</w:t>
      </w:r>
      <w:r w:rsidR="006776B3" w:rsidRPr="004C52D2">
        <w:t xml:space="preserve"> takto:</w:t>
      </w:r>
    </w:p>
    <w:p w:rsidR="003001EA" w:rsidRDefault="003001EA" w:rsidP="00805F01">
      <w:pPr>
        <w:spacing w:before="120" w:after="120"/>
        <w:jc w:val="both"/>
      </w:pPr>
    </w:p>
    <w:p w:rsidR="003001EA" w:rsidRDefault="00111680" w:rsidP="00805F01">
      <w:pPr>
        <w:pStyle w:val="Odsekzoznamu"/>
        <w:numPr>
          <w:ilvl w:val="0"/>
          <w:numId w:val="9"/>
        </w:numPr>
        <w:spacing w:before="120" w:after="120"/>
        <w:jc w:val="both"/>
      </w:pPr>
      <w:r>
        <w:t>V prílohe č. 1 bod X. znie:</w:t>
      </w:r>
    </w:p>
    <w:p w:rsidR="00111680" w:rsidRPr="0082675E" w:rsidRDefault="00111680" w:rsidP="00805F01">
      <w:pPr>
        <w:jc w:val="both"/>
      </w:pPr>
      <w:r>
        <w:rPr>
          <w:b/>
          <w:color w:val="000000"/>
        </w:rPr>
        <w:t>„</w:t>
      </w:r>
      <w:r w:rsidRPr="00111680">
        <w:rPr>
          <w:b/>
          <w:color w:val="000000"/>
        </w:rPr>
        <w:t xml:space="preserve">X. Rozsah požadovaných vedomostí odbornej prípravy na overenie odbornej spôsobilosti na prácu s akútne toxickými látkami a zmesami, rozsah požadovaných vedomostí pre skúšky odbornej spôsobilosti na prácu s akútne toxickými látkami a zmesami a rozsah aktualizačnej odbornej prípravy pre držiteľov osvedčenia odbornej spôsobilosti na prácu s akútne toxickými látkami a zmesami </w:t>
      </w:r>
    </w:p>
    <w:p w:rsidR="00111680" w:rsidRPr="00111680" w:rsidRDefault="00111680" w:rsidP="00805F01">
      <w:pPr>
        <w:jc w:val="both"/>
        <w:rPr>
          <w:color w:val="000000"/>
        </w:rPr>
      </w:pPr>
    </w:p>
    <w:p w:rsidR="00111680" w:rsidRPr="0082675E" w:rsidRDefault="00111680" w:rsidP="00805F01">
      <w:pPr>
        <w:jc w:val="both"/>
      </w:pPr>
      <w:r w:rsidRPr="00111680">
        <w:rPr>
          <w:color w:val="000000"/>
        </w:rPr>
        <w:t xml:space="preserve">a) európska chemická legislatíva upravujúca problematiku nebezpečných chemických látok a zmesí z hľadiska ich vplyvov na život a zdravie ľudí a životné prostredie, najmä </w:t>
      </w:r>
    </w:p>
    <w:p w:rsidR="00111680" w:rsidRPr="0082675E" w:rsidRDefault="00111680" w:rsidP="00805F01">
      <w:pPr>
        <w:pStyle w:val="Odsekzoznamu"/>
        <w:numPr>
          <w:ilvl w:val="0"/>
          <w:numId w:val="10"/>
        </w:numPr>
        <w:ind w:left="426" w:hanging="284"/>
        <w:jc w:val="both"/>
      </w:pPr>
      <w:r w:rsidRPr="00111680">
        <w:rPr>
          <w:color w:val="000000"/>
        </w:rPr>
        <w:t xml:space="preserve">podmienky uvádzania nebezpečných látok a zmesí na trh a ich používanie, </w:t>
      </w:r>
    </w:p>
    <w:p w:rsidR="00111680" w:rsidRPr="0082675E" w:rsidRDefault="00111680" w:rsidP="00805F01">
      <w:pPr>
        <w:pStyle w:val="Odsekzoznamu"/>
        <w:numPr>
          <w:ilvl w:val="0"/>
          <w:numId w:val="10"/>
        </w:numPr>
        <w:ind w:left="426" w:hanging="284"/>
        <w:jc w:val="both"/>
      </w:pPr>
      <w:r w:rsidRPr="00111680">
        <w:rPr>
          <w:color w:val="000000"/>
        </w:rPr>
        <w:t xml:space="preserve">nebezpečné látky a zmesi, špecifikácia tried nebezpečnosti, </w:t>
      </w:r>
    </w:p>
    <w:p w:rsidR="00111680" w:rsidRPr="00111680" w:rsidRDefault="00111680" w:rsidP="00805F01">
      <w:pPr>
        <w:pStyle w:val="Odsekzoznamu"/>
        <w:numPr>
          <w:ilvl w:val="0"/>
          <w:numId w:val="10"/>
        </w:numPr>
        <w:ind w:left="426" w:hanging="284"/>
        <w:jc w:val="both"/>
        <w:rPr>
          <w:color w:val="000000"/>
        </w:rPr>
      </w:pPr>
      <w:r w:rsidRPr="00111680">
        <w:rPr>
          <w:color w:val="000000"/>
        </w:rPr>
        <w:t xml:space="preserve">systém klasifikácie, balenia a označovania nebezpečných látok a zmesí, vrátane tried a kategórií nebezpečnosti, výstražných upozornení, piktogramov a výstražných slov, osobitne pre akútne toxické látky a zmesi, ktoré sú zaradené do triedy a kategórie nebezpečnosti </w:t>
      </w:r>
    </w:p>
    <w:p w:rsidR="00111680" w:rsidRPr="00111680" w:rsidRDefault="00111680" w:rsidP="00805F01">
      <w:pPr>
        <w:pStyle w:val="Odsekzoznamu"/>
        <w:numPr>
          <w:ilvl w:val="0"/>
          <w:numId w:val="16"/>
        </w:numPr>
        <w:ind w:left="851" w:hanging="218"/>
        <w:jc w:val="both"/>
        <w:rPr>
          <w:color w:val="000000"/>
        </w:rPr>
      </w:pPr>
      <w:r w:rsidRPr="00111680">
        <w:rPr>
          <w:color w:val="000000"/>
        </w:rPr>
        <w:t xml:space="preserve">akútna toxicita kategórie 1 a kategórie 2 s výstražnými upozorneniami H300, H310, H330, </w:t>
      </w:r>
    </w:p>
    <w:p w:rsidR="00111680" w:rsidRPr="00111680" w:rsidRDefault="00111680" w:rsidP="00805F01">
      <w:pPr>
        <w:pStyle w:val="Odsekzoznamu"/>
        <w:numPr>
          <w:ilvl w:val="0"/>
          <w:numId w:val="16"/>
        </w:numPr>
        <w:ind w:left="851" w:hanging="218"/>
        <w:jc w:val="both"/>
        <w:rPr>
          <w:color w:val="000000"/>
        </w:rPr>
      </w:pPr>
      <w:r w:rsidRPr="00111680">
        <w:rPr>
          <w:color w:val="000000"/>
        </w:rPr>
        <w:t>akútna toxicita kategórie 3 s výstražnými upozorneniami H301, H311, H331, alebo</w:t>
      </w:r>
    </w:p>
    <w:p w:rsidR="00111680" w:rsidRPr="0082675E" w:rsidRDefault="00111680" w:rsidP="00805F01">
      <w:pPr>
        <w:pStyle w:val="Odsekzoznamu"/>
        <w:numPr>
          <w:ilvl w:val="0"/>
          <w:numId w:val="16"/>
        </w:numPr>
        <w:ind w:left="851" w:hanging="218"/>
        <w:jc w:val="both"/>
      </w:pPr>
      <w:r w:rsidRPr="00111680">
        <w:rPr>
          <w:color w:val="000000"/>
        </w:rPr>
        <w:t xml:space="preserve">toxicita pre špecifický cieľový orgán po jednorazovej expozícii kategórie 1 s výstražným upozornením H370, </w:t>
      </w:r>
    </w:p>
    <w:p w:rsidR="00111680" w:rsidRPr="0082675E" w:rsidRDefault="00111680" w:rsidP="00805F01">
      <w:pPr>
        <w:pStyle w:val="Odsekzoznamu"/>
        <w:numPr>
          <w:ilvl w:val="0"/>
          <w:numId w:val="10"/>
        </w:numPr>
        <w:ind w:left="426" w:hanging="284"/>
        <w:jc w:val="both"/>
      </w:pPr>
      <w:r w:rsidRPr="00111680">
        <w:rPr>
          <w:color w:val="000000"/>
        </w:rPr>
        <w:t xml:space="preserve">karta bezpečnostných údajov a jej obsah, expozičný scenár, </w:t>
      </w:r>
    </w:p>
    <w:p w:rsidR="00111680" w:rsidRPr="0082675E" w:rsidRDefault="00111680" w:rsidP="00805F01">
      <w:pPr>
        <w:pStyle w:val="Odsekzoznamu"/>
        <w:numPr>
          <w:ilvl w:val="0"/>
          <w:numId w:val="10"/>
        </w:numPr>
        <w:ind w:left="426" w:hanging="284"/>
        <w:jc w:val="both"/>
      </w:pPr>
      <w:r w:rsidRPr="00111680">
        <w:rPr>
          <w:color w:val="000000"/>
        </w:rPr>
        <w:t xml:space="preserve">obmedzenia výroby, uvádzania na trh a používania určitých nebezpečných látok a zmesí, </w:t>
      </w:r>
    </w:p>
    <w:p w:rsidR="00111680" w:rsidRPr="00111680" w:rsidRDefault="00111680" w:rsidP="00805F01">
      <w:pPr>
        <w:jc w:val="both"/>
        <w:rPr>
          <w:color w:val="000000"/>
        </w:rPr>
      </w:pPr>
    </w:p>
    <w:p w:rsidR="00111680" w:rsidRPr="0082675E" w:rsidRDefault="00111680" w:rsidP="00805F01">
      <w:pPr>
        <w:jc w:val="both"/>
      </w:pPr>
      <w:r w:rsidRPr="00111680">
        <w:rPr>
          <w:color w:val="000000"/>
        </w:rPr>
        <w:t xml:space="preserve">b) právne predpisy upravujúce ochranu zdravia pri práci s chemickými faktormi, osobitne pri práci s akútne toxickými látkami a zmesami </w:t>
      </w:r>
    </w:p>
    <w:p w:rsidR="00111680" w:rsidRPr="0082675E" w:rsidRDefault="00111680" w:rsidP="00805F01">
      <w:pPr>
        <w:pStyle w:val="Odsekzoznamu"/>
        <w:numPr>
          <w:ilvl w:val="0"/>
          <w:numId w:val="17"/>
        </w:numPr>
        <w:ind w:left="426" w:hanging="284"/>
        <w:jc w:val="both"/>
      </w:pPr>
      <w:r w:rsidRPr="00111680">
        <w:rPr>
          <w:color w:val="000000"/>
        </w:rPr>
        <w:t xml:space="preserve">právny rámec ochrany zdravia pri práci s nebezpečnými chemickými faktormi, </w:t>
      </w:r>
    </w:p>
    <w:p w:rsidR="00111680" w:rsidRPr="0082675E" w:rsidRDefault="00111680" w:rsidP="00805F01">
      <w:pPr>
        <w:pStyle w:val="Odsekzoznamu"/>
        <w:numPr>
          <w:ilvl w:val="0"/>
          <w:numId w:val="17"/>
        </w:numPr>
        <w:ind w:left="426" w:hanging="284"/>
        <w:jc w:val="both"/>
      </w:pPr>
      <w:r w:rsidRPr="00111680">
        <w:rPr>
          <w:color w:val="000000"/>
        </w:rPr>
        <w:t xml:space="preserve">opatrenia na predchádzanie vzniku ochorení podmienených prácou, </w:t>
      </w:r>
    </w:p>
    <w:p w:rsidR="00111680" w:rsidRPr="0082675E" w:rsidRDefault="00111680" w:rsidP="00805F01">
      <w:pPr>
        <w:pStyle w:val="Odsekzoznamu"/>
        <w:numPr>
          <w:ilvl w:val="0"/>
          <w:numId w:val="17"/>
        </w:numPr>
        <w:ind w:left="426" w:hanging="284"/>
        <w:jc w:val="both"/>
      </w:pPr>
      <w:r w:rsidRPr="00111680">
        <w:rPr>
          <w:color w:val="000000"/>
        </w:rPr>
        <w:t xml:space="preserve">zákazy a obmedzenia pri predaji, výdaji a skladovaní akútne toxických látok a zmesí, </w:t>
      </w:r>
    </w:p>
    <w:p w:rsidR="00111680" w:rsidRPr="0082675E" w:rsidRDefault="00111680" w:rsidP="00805F01">
      <w:pPr>
        <w:pStyle w:val="Odsekzoznamu"/>
        <w:numPr>
          <w:ilvl w:val="0"/>
          <w:numId w:val="17"/>
        </w:numPr>
        <w:ind w:left="426" w:hanging="284"/>
        <w:jc w:val="both"/>
      </w:pPr>
      <w:r w:rsidRPr="00111680">
        <w:rPr>
          <w:color w:val="000000"/>
        </w:rPr>
        <w:t xml:space="preserve">povinnosti zamestnávateľov – identifikácia rizika, posudok o riziku a prevádzkový poriadok pre pracovné činnosti s  nebezpečnými chemickými faktormi, </w:t>
      </w:r>
    </w:p>
    <w:p w:rsidR="00111680" w:rsidRPr="0082675E" w:rsidRDefault="00111680" w:rsidP="00805F01">
      <w:pPr>
        <w:pStyle w:val="Odsekzoznamu"/>
        <w:numPr>
          <w:ilvl w:val="0"/>
          <w:numId w:val="17"/>
        </w:numPr>
        <w:ind w:left="426" w:hanging="284"/>
        <w:jc w:val="both"/>
      </w:pPr>
      <w:r w:rsidRPr="00111680">
        <w:rPr>
          <w:color w:val="000000"/>
        </w:rPr>
        <w:t xml:space="preserve">všeobecné zásady prevencie rizika, </w:t>
      </w:r>
    </w:p>
    <w:p w:rsidR="00111680" w:rsidRPr="0082675E" w:rsidRDefault="00111680" w:rsidP="00805F01">
      <w:pPr>
        <w:pStyle w:val="Odsekzoznamu"/>
        <w:numPr>
          <w:ilvl w:val="0"/>
          <w:numId w:val="17"/>
        </w:numPr>
        <w:ind w:left="426" w:hanging="284"/>
        <w:jc w:val="both"/>
      </w:pPr>
      <w:r w:rsidRPr="00111680">
        <w:rPr>
          <w:color w:val="000000"/>
        </w:rPr>
        <w:t xml:space="preserve">špecifické ochranné a preventívne opatrenia pri práci s akútne toxickými látkami a zmesami, </w:t>
      </w:r>
    </w:p>
    <w:p w:rsidR="00111680" w:rsidRPr="0082675E" w:rsidRDefault="00111680" w:rsidP="00805F01">
      <w:pPr>
        <w:pStyle w:val="Odsekzoznamu"/>
        <w:numPr>
          <w:ilvl w:val="0"/>
          <w:numId w:val="17"/>
        </w:numPr>
        <w:ind w:left="426" w:hanging="284"/>
        <w:jc w:val="both"/>
      </w:pPr>
      <w:r w:rsidRPr="00111680">
        <w:rPr>
          <w:color w:val="000000"/>
        </w:rPr>
        <w:t xml:space="preserve">špecifické ochranné a preventívne opatrenia pri skladovaní akútne toxických látok a zmesí, </w:t>
      </w:r>
    </w:p>
    <w:p w:rsidR="00111680" w:rsidRPr="0082675E" w:rsidRDefault="00111680" w:rsidP="00805F01">
      <w:pPr>
        <w:pStyle w:val="Odsekzoznamu"/>
        <w:numPr>
          <w:ilvl w:val="0"/>
          <w:numId w:val="17"/>
        </w:numPr>
        <w:ind w:left="426" w:hanging="284"/>
        <w:jc w:val="both"/>
      </w:pPr>
      <w:r w:rsidRPr="00111680">
        <w:rPr>
          <w:color w:val="000000"/>
        </w:rPr>
        <w:t>kontrola expozície a rizika, osobné ochranné pracovné prostriedky,</w:t>
      </w:r>
    </w:p>
    <w:p w:rsidR="00111680" w:rsidRPr="0082675E" w:rsidRDefault="00111680" w:rsidP="00805F01">
      <w:pPr>
        <w:pStyle w:val="Odsekzoznamu"/>
        <w:numPr>
          <w:ilvl w:val="0"/>
          <w:numId w:val="17"/>
        </w:numPr>
        <w:ind w:left="426" w:hanging="284"/>
        <w:jc w:val="both"/>
      </w:pPr>
      <w:r w:rsidRPr="00111680">
        <w:rPr>
          <w:color w:val="000000"/>
        </w:rPr>
        <w:t xml:space="preserve">zdravotný dohľad, </w:t>
      </w:r>
    </w:p>
    <w:p w:rsidR="00111680" w:rsidRPr="00111680" w:rsidRDefault="00111680" w:rsidP="00805F01">
      <w:pPr>
        <w:jc w:val="both"/>
        <w:rPr>
          <w:color w:val="000000"/>
        </w:rPr>
      </w:pPr>
    </w:p>
    <w:p w:rsidR="00111680" w:rsidRPr="0082675E" w:rsidRDefault="00111680" w:rsidP="00805F01">
      <w:pPr>
        <w:jc w:val="both"/>
      </w:pPr>
      <w:r w:rsidRPr="00111680">
        <w:rPr>
          <w:color w:val="000000"/>
        </w:rPr>
        <w:t xml:space="preserve">c) základy toxikológie </w:t>
      </w:r>
    </w:p>
    <w:p w:rsidR="00111680" w:rsidRPr="0082675E" w:rsidRDefault="00111680" w:rsidP="00805F01">
      <w:pPr>
        <w:pStyle w:val="Odsekzoznamu"/>
        <w:numPr>
          <w:ilvl w:val="0"/>
          <w:numId w:val="19"/>
        </w:numPr>
        <w:ind w:left="426" w:hanging="284"/>
        <w:jc w:val="both"/>
      </w:pPr>
      <w:r w:rsidRPr="00111680">
        <w:rPr>
          <w:color w:val="000000"/>
        </w:rPr>
        <w:t>základné pojmy a ich význam – toxicita látky alebo zmesi (LD</w:t>
      </w:r>
      <w:r w:rsidRPr="00111680">
        <w:rPr>
          <w:color w:val="000000"/>
          <w:sz w:val="18"/>
          <w:vertAlign w:val="subscript"/>
        </w:rPr>
        <w:t>50</w:t>
      </w:r>
      <w:r w:rsidRPr="00111680">
        <w:rPr>
          <w:color w:val="000000"/>
        </w:rPr>
        <w:t>, LC</w:t>
      </w:r>
      <w:r w:rsidRPr="00111680">
        <w:rPr>
          <w:color w:val="000000"/>
          <w:sz w:val="18"/>
          <w:vertAlign w:val="subscript"/>
        </w:rPr>
        <w:t>50</w:t>
      </w:r>
      <w:r w:rsidRPr="00111680">
        <w:rPr>
          <w:color w:val="000000"/>
        </w:rPr>
        <w:t xml:space="preserve">), chronická toxicita, nebezpečnosť, riziko, </w:t>
      </w:r>
    </w:p>
    <w:p w:rsidR="00111680" w:rsidRPr="0082675E" w:rsidRDefault="00111680" w:rsidP="00805F01">
      <w:pPr>
        <w:pStyle w:val="Odsekzoznamu"/>
        <w:numPr>
          <w:ilvl w:val="0"/>
          <w:numId w:val="19"/>
        </w:numPr>
        <w:ind w:left="426" w:hanging="284"/>
        <w:jc w:val="both"/>
      </w:pPr>
      <w:r w:rsidRPr="00111680">
        <w:rPr>
          <w:color w:val="000000"/>
        </w:rPr>
        <w:t xml:space="preserve">cesty vstupu do organizmu, zásady prevencie, </w:t>
      </w:r>
    </w:p>
    <w:p w:rsidR="00111680" w:rsidRPr="0082675E" w:rsidRDefault="00111680" w:rsidP="00805F01">
      <w:pPr>
        <w:pStyle w:val="Odsekzoznamu"/>
        <w:numPr>
          <w:ilvl w:val="0"/>
          <w:numId w:val="19"/>
        </w:numPr>
        <w:ind w:left="426" w:hanging="284"/>
        <w:jc w:val="both"/>
      </w:pPr>
      <w:r w:rsidRPr="00111680">
        <w:rPr>
          <w:color w:val="000000"/>
        </w:rPr>
        <w:t xml:space="preserve">zdravotné účinky toxických látok a zmesí, </w:t>
      </w:r>
    </w:p>
    <w:p w:rsidR="00111680" w:rsidRPr="0082675E" w:rsidRDefault="00111680" w:rsidP="00805F01">
      <w:pPr>
        <w:pStyle w:val="Odsekzoznamu"/>
        <w:numPr>
          <w:ilvl w:val="0"/>
          <w:numId w:val="19"/>
        </w:numPr>
        <w:ind w:left="426" w:hanging="284"/>
        <w:jc w:val="both"/>
      </w:pPr>
      <w:r w:rsidRPr="00111680">
        <w:rPr>
          <w:color w:val="000000"/>
        </w:rPr>
        <w:t xml:space="preserve">príčiny vzniku otráv a ich prejavy vo vzťahu k vykonávanej práci, </w:t>
      </w:r>
    </w:p>
    <w:p w:rsidR="00111680" w:rsidRPr="00111680" w:rsidRDefault="00111680" w:rsidP="00805F01">
      <w:pPr>
        <w:jc w:val="both"/>
        <w:rPr>
          <w:color w:val="000000"/>
        </w:rPr>
      </w:pPr>
    </w:p>
    <w:p w:rsidR="00111680" w:rsidRDefault="00111680" w:rsidP="00805F01">
      <w:pPr>
        <w:spacing w:before="120" w:after="120"/>
        <w:jc w:val="both"/>
      </w:pPr>
      <w:r w:rsidRPr="00111680">
        <w:rPr>
          <w:color w:val="000000"/>
        </w:rPr>
        <w:t>d) zásady prvej pomoci pri zasiahnutí organizmu akútne toxickými látkami a zmesami podľa cesty vstupu do organizmu.</w:t>
      </w:r>
      <w:r>
        <w:rPr>
          <w:color w:val="000000"/>
        </w:rPr>
        <w:t>“.</w:t>
      </w:r>
    </w:p>
    <w:p w:rsidR="00111680" w:rsidRDefault="00111680" w:rsidP="00111680">
      <w:pPr>
        <w:spacing w:before="120" w:after="120"/>
      </w:pPr>
    </w:p>
    <w:p w:rsidR="00111680" w:rsidRDefault="00111680" w:rsidP="00111680">
      <w:pPr>
        <w:spacing w:before="120" w:after="120"/>
      </w:pPr>
    </w:p>
    <w:p w:rsidR="00424399" w:rsidRPr="00612F05" w:rsidRDefault="00424399" w:rsidP="00612F05">
      <w:pPr>
        <w:spacing w:before="240" w:after="240"/>
        <w:jc w:val="center"/>
        <w:rPr>
          <w:rFonts w:eastAsiaTheme="minorEastAsia"/>
          <w:b/>
          <w:bCs/>
          <w:noProof/>
        </w:rPr>
      </w:pPr>
      <w:r w:rsidRPr="00612F05">
        <w:rPr>
          <w:rFonts w:eastAsiaTheme="minorEastAsia"/>
          <w:b/>
          <w:bCs/>
          <w:noProof/>
        </w:rPr>
        <w:t>Čl. II</w:t>
      </w:r>
    </w:p>
    <w:p w:rsidR="00C15BDB" w:rsidRDefault="00424399" w:rsidP="00612F05">
      <w:pPr>
        <w:spacing w:before="120" w:after="120"/>
        <w:ind w:firstLine="709"/>
        <w:jc w:val="both"/>
        <w:rPr>
          <w:rFonts w:eastAsiaTheme="minorEastAsia"/>
          <w:bCs/>
          <w:noProof/>
        </w:rPr>
      </w:pPr>
      <w:r>
        <w:rPr>
          <w:rFonts w:eastAsiaTheme="minorEastAsia"/>
          <w:bCs/>
          <w:noProof/>
        </w:rPr>
        <w:t xml:space="preserve">Táto vyhláška nadobúda účinnosť 1. </w:t>
      </w:r>
      <w:r w:rsidR="003001EA">
        <w:rPr>
          <w:rFonts w:eastAsiaTheme="minorEastAsia"/>
          <w:bCs/>
          <w:noProof/>
        </w:rPr>
        <w:t>máj</w:t>
      </w:r>
      <w:r w:rsidR="00111680">
        <w:rPr>
          <w:rFonts w:eastAsiaTheme="minorEastAsia"/>
          <w:bCs/>
          <w:noProof/>
        </w:rPr>
        <w:t>a</w:t>
      </w:r>
      <w:r>
        <w:rPr>
          <w:rFonts w:eastAsiaTheme="minorEastAsia"/>
          <w:bCs/>
          <w:noProof/>
        </w:rPr>
        <w:t xml:space="preserve"> 202</w:t>
      </w:r>
      <w:r w:rsidR="003001EA">
        <w:rPr>
          <w:rFonts w:eastAsiaTheme="minorEastAsia"/>
          <w:bCs/>
          <w:noProof/>
        </w:rPr>
        <w:t>3</w:t>
      </w:r>
      <w:r>
        <w:rPr>
          <w:rFonts w:eastAsiaTheme="minorEastAsia"/>
          <w:bCs/>
          <w:noProof/>
        </w:rPr>
        <w:t>.</w:t>
      </w:r>
    </w:p>
    <w:p w:rsidR="00B878A6" w:rsidRDefault="00B878A6" w:rsidP="00612F05">
      <w:pPr>
        <w:spacing w:before="120" w:after="120"/>
        <w:ind w:firstLine="709"/>
        <w:jc w:val="both"/>
        <w:rPr>
          <w:rFonts w:eastAsiaTheme="minorEastAsia"/>
          <w:bCs/>
          <w:noProof/>
        </w:rPr>
      </w:pPr>
    </w:p>
    <w:p w:rsidR="00B878A6" w:rsidRDefault="00B878A6" w:rsidP="00612F05">
      <w:pPr>
        <w:spacing w:before="120" w:after="120"/>
        <w:ind w:firstLine="709"/>
        <w:jc w:val="both"/>
        <w:rPr>
          <w:rFonts w:eastAsiaTheme="minorEastAsia"/>
          <w:bCs/>
          <w:noProof/>
        </w:rPr>
      </w:pPr>
      <w:bookmarkStart w:id="0" w:name="_GoBack"/>
      <w:bookmarkEnd w:id="0"/>
    </w:p>
    <w:sectPr w:rsidR="00B878A6" w:rsidSect="00181AF0">
      <w:footerReference w:type="default" r:id="rId9"/>
      <w:pgSz w:w="11906" w:h="16838"/>
      <w:pgMar w:top="1417" w:right="1417" w:bottom="993" w:left="1417" w:header="708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126" w:rsidRDefault="003E0126">
      <w:r>
        <w:separator/>
      </w:r>
    </w:p>
  </w:endnote>
  <w:endnote w:type="continuationSeparator" w:id="0">
    <w:p w:rsidR="003E0126" w:rsidRDefault="003E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8650392"/>
      <w:docPartObj>
        <w:docPartGallery w:val="Page Numbers (Bottom of Page)"/>
        <w:docPartUnique/>
      </w:docPartObj>
    </w:sdtPr>
    <w:sdtEndPr/>
    <w:sdtContent>
      <w:p w:rsidR="00C15BDB" w:rsidRDefault="00C15BD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05F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5BDB" w:rsidRDefault="00C15B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126" w:rsidRDefault="003E0126">
      <w:r>
        <w:separator/>
      </w:r>
    </w:p>
  </w:footnote>
  <w:footnote w:type="continuationSeparator" w:id="0">
    <w:p w:rsidR="003E0126" w:rsidRDefault="003E0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01727CA"/>
    <w:multiLevelType w:val="hybridMultilevel"/>
    <w:tmpl w:val="5EE6299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D60"/>
    <w:multiLevelType w:val="hybridMultilevel"/>
    <w:tmpl w:val="B936B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C4774"/>
    <w:multiLevelType w:val="hybridMultilevel"/>
    <w:tmpl w:val="46B88B5C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478EF"/>
    <w:multiLevelType w:val="hybridMultilevel"/>
    <w:tmpl w:val="63F05B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3AA2"/>
    <w:multiLevelType w:val="hybridMultilevel"/>
    <w:tmpl w:val="482C48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1032B"/>
    <w:multiLevelType w:val="singleLevel"/>
    <w:tmpl w:val="69A8D720"/>
    <w:name w:val="WW8Num17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  <w:b w:val="0"/>
        <w:bCs w:val="0"/>
      </w:rPr>
    </w:lvl>
  </w:abstractNum>
  <w:abstractNum w:abstractNumId="7" w15:restartNumberingAfterBreak="0">
    <w:nsid w:val="2D26519F"/>
    <w:multiLevelType w:val="singleLevel"/>
    <w:tmpl w:val="08D641D4"/>
    <w:lvl w:ilvl="0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3E505313"/>
    <w:multiLevelType w:val="hybridMultilevel"/>
    <w:tmpl w:val="902EB0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2640A"/>
    <w:multiLevelType w:val="hybridMultilevel"/>
    <w:tmpl w:val="854E9C0C"/>
    <w:lvl w:ilvl="0" w:tplc="54F48E0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27648ABC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B18851E0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8724FFEA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63EA61D2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50681A78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DA32416E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6D443CBE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A4DC37D2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0" w15:restartNumberingAfterBreak="0">
    <w:nsid w:val="450E7F17"/>
    <w:multiLevelType w:val="hybridMultilevel"/>
    <w:tmpl w:val="207EDBD6"/>
    <w:lvl w:ilvl="0" w:tplc="B41AE00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8F63FBC"/>
    <w:multiLevelType w:val="hybridMultilevel"/>
    <w:tmpl w:val="9286C18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42B5A"/>
    <w:multiLevelType w:val="hybridMultilevel"/>
    <w:tmpl w:val="95E84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019DC"/>
    <w:multiLevelType w:val="hybridMultilevel"/>
    <w:tmpl w:val="8EA60A2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55690"/>
    <w:multiLevelType w:val="hybridMultilevel"/>
    <w:tmpl w:val="350EA982"/>
    <w:lvl w:ilvl="0" w:tplc="2FD20ADE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8E224AE"/>
    <w:multiLevelType w:val="hybridMultilevel"/>
    <w:tmpl w:val="397EF642"/>
    <w:lvl w:ilvl="0" w:tplc="B90C7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90584C"/>
    <w:multiLevelType w:val="hybridMultilevel"/>
    <w:tmpl w:val="30688F5C"/>
    <w:lvl w:ilvl="0" w:tplc="7836259C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b w:val="0"/>
        <w:bCs w:val="0"/>
      </w:rPr>
    </w:lvl>
    <w:lvl w:ilvl="1" w:tplc="E1D2F398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8972865"/>
    <w:multiLevelType w:val="hybridMultilevel"/>
    <w:tmpl w:val="37E4A23C"/>
    <w:lvl w:ilvl="0" w:tplc="7B1662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BE57C26"/>
    <w:multiLevelType w:val="multilevel"/>
    <w:tmpl w:val="75BE899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711E62B5"/>
    <w:multiLevelType w:val="hybridMultilevel"/>
    <w:tmpl w:val="24C031B6"/>
    <w:lvl w:ilvl="0" w:tplc="69A8D7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9853EF3"/>
    <w:multiLevelType w:val="hybridMultilevel"/>
    <w:tmpl w:val="4F4A3FE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5"/>
  </w:num>
  <w:num w:numId="5">
    <w:abstractNumId w:val="6"/>
  </w:num>
  <w:num w:numId="6">
    <w:abstractNumId w:val="7"/>
  </w:num>
  <w:num w:numId="7">
    <w:abstractNumId w:val="18"/>
  </w:num>
  <w:num w:numId="8">
    <w:abstractNumId w:val="13"/>
  </w:num>
  <w:num w:numId="9">
    <w:abstractNumId w:val="2"/>
  </w:num>
  <w:num w:numId="10">
    <w:abstractNumId w:val="4"/>
  </w:num>
  <w:num w:numId="11">
    <w:abstractNumId w:val="10"/>
  </w:num>
  <w:num w:numId="12">
    <w:abstractNumId w:val="5"/>
  </w:num>
  <w:num w:numId="13">
    <w:abstractNumId w:val="20"/>
  </w:num>
  <w:num w:numId="14">
    <w:abstractNumId w:val="3"/>
  </w:num>
  <w:num w:numId="15">
    <w:abstractNumId w:val="1"/>
  </w:num>
  <w:num w:numId="16">
    <w:abstractNumId w:val="11"/>
  </w:num>
  <w:num w:numId="17">
    <w:abstractNumId w:val="8"/>
  </w:num>
  <w:num w:numId="18">
    <w:abstractNumId w:val="17"/>
  </w:num>
  <w:num w:numId="19">
    <w:abstractNumId w:val="12"/>
  </w:num>
  <w:num w:numId="2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B3"/>
    <w:rsid w:val="00002869"/>
    <w:rsid w:val="000047FA"/>
    <w:rsid w:val="00007D66"/>
    <w:rsid w:val="0001049A"/>
    <w:rsid w:val="00016C23"/>
    <w:rsid w:val="000206AA"/>
    <w:rsid w:val="00031596"/>
    <w:rsid w:val="00032199"/>
    <w:rsid w:val="00032DFF"/>
    <w:rsid w:val="00035936"/>
    <w:rsid w:val="00042B89"/>
    <w:rsid w:val="00045837"/>
    <w:rsid w:val="00052644"/>
    <w:rsid w:val="00060FF7"/>
    <w:rsid w:val="00070796"/>
    <w:rsid w:val="00072BEF"/>
    <w:rsid w:val="00083094"/>
    <w:rsid w:val="000A1CC0"/>
    <w:rsid w:val="000A2C1F"/>
    <w:rsid w:val="000C19B7"/>
    <w:rsid w:val="000C7625"/>
    <w:rsid w:val="000D2587"/>
    <w:rsid w:val="000D4023"/>
    <w:rsid w:val="000E3A34"/>
    <w:rsid w:val="000E746A"/>
    <w:rsid w:val="000F16C0"/>
    <w:rsid w:val="000F5208"/>
    <w:rsid w:val="00101809"/>
    <w:rsid w:val="001021F1"/>
    <w:rsid w:val="00111680"/>
    <w:rsid w:val="00115CA3"/>
    <w:rsid w:val="00122A90"/>
    <w:rsid w:val="00125A4D"/>
    <w:rsid w:val="00125C7D"/>
    <w:rsid w:val="00125ED8"/>
    <w:rsid w:val="00127F44"/>
    <w:rsid w:val="00155211"/>
    <w:rsid w:val="00167309"/>
    <w:rsid w:val="00181AF0"/>
    <w:rsid w:val="001831CA"/>
    <w:rsid w:val="00184F8B"/>
    <w:rsid w:val="001A2AF2"/>
    <w:rsid w:val="001A44DA"/>
    <w:rsid w:val="001A6D26"/>
    <w:rsid w:val="001A79FD"/>
    <w:rsid w:val="001B1C34"/>
    <w:rsid w:val="001B3EEA"/>
    <w:rsid w:val="001B56B5"/>
    <w:rsid w:val="001B58C5"/>
    <w:rsid w:val="001B7ED5"/>
    <w:rsid w:val="001D6D8E"/>
    <w:rsid w:val="001F06C5"/>
    <w:rsid w:val="001F3F22"/>
    <w:rsid w:val="002037AF"/>
    <w:rsid w:val="00206FFD"/>
    <w:rsid w:val="00212ADF"/>
    <w:rsid w:val="00215CD3"/>
    <w:rsid w:val="002176E5"/>
    <w:rsid w:val="0023113F"/>
    <w:rsid w:val="002359F4"/>
    <w:rsid w:val="00246020"/>
    <w:rsid w:val="00250981"/>
    <w:rsid w:val="0025698F"/>
    <w:rsid w:val="00257995"/>
    <w:rsid w:val="002614D6"/>
    <w:rsid w:val="00283937"/>
    <w:rsid w:val="002866E1"/>
    <w:rsid w:val="002976BE"/>
    <w:rsid w:val="00297BBD"/>
    <w:rsid w:val="002A0FAD"/>
    <w:rsid w:val="002A6783"/>
    <w:rsid w:val="002B151F"/>
    <w:rsid w:val="002B6594"/>
    <w:rsid w:val="002B7FAE"/>
    <w:rsid w:val="002C1938"/>
    <w:rsid w:val="002C23FC"/>
    <w:rsid w:val="002C28C8"/>
    <w:rsid w:val="002C2FA6"/>
    <w:rsid w:val="002C680D"/>
    <w:rsid w:val="002C7B6D"/>
    <w:rsid w:val="002D0B3B"/>
    <w:rsid w:val="002D6EF6"/>
    <w:rsid w:val="002E125B"/>
    <w:rsid w:val="002E4CF2"/>
    <w:rsid w:val="002E4D03"/>
    <w:rsid w:val="002E6E1E"/>
    <w:rsid w:val="002E74BF"/>
    <w:rsid w:val="002F633C"/>
    <w:rsid w:val="0030005F"/>
    <w:rsid w:val="003001EA"/>
    <w:rsid w:val="00302E20"/>
    <w:rsid w:val="00311BAA"/>
    <w:rsid w:val="0032004C"/>
    <w:rsid w:val="003218D8"/>
    <w:rsid w:val="00321B02"/>
    <w:rsid w:val="00321F31"/>
    <w:rsid w:val="00322514"/>
    <w:rsid w:val="0032342F"/>
    <w:rsid w:val="003275CF"/>
    <w:rsid w:val="00330C9A"/>
    <w:rsid w:val="00331B5B"/>
    <w:rsid w:val="0033238E"/>
    <w:rsid w:val="00332575"/>
    <w:rsid w:val="0033327F"/>
    <w:rsid w:val="00341302"/>
    <w:rsid w:val="00341E1C"/>
    <w:rsid w:val="00361F05"/>
    <w:rsid w:val="003670DD"/>
    <w:rsid w:val="003736F5"/>
    <w:rsid w:val="00391EFE"/>
    <w:rsid w:val="003A721D"/>
    <w:rsid w:val="003B2CC1"/>
    <w:rsid w:val="003C61AD"/>
    <w:rsid w:val="003E0126"/>
    <w:rsid w:val="003E3A8C"/>
    <w:rsid w:val="003E7844"/>
    <w:rsid w:val="003F0DE2"/>
    <w:rsid w:val="00401BA9"/>
    <w:rsid w:val="00402583"/>
    <w:rsid w:val="00416FDC"/>
    <w:rsid w:val="00423DD0"/>
    <w:rsid w:val="00424399"/>
    <w:rsid w:val="0043230B"/>
    <w:rsid w:val="00436C67"/>
    <w:rsid w:val="0044130E"/>
    <w:rsid w:val="00443376"/>
    <w:rsid w:val="00445E08"/>
    <w:rsid w:val="00447D74"/>
    <w:rsid w:val="0045118C"/>
    <w:rsid w:val="00452CDB"/>
    <w:rsid w:val="00453BA9"/>
    <w:rsid w:val="00456B4A"/>
    <w:rsid w:val="00456B89"/>
    <w:rsid w:val="00461FE9"/>
    <w:rsid w:val="00466E20"/>
    <w:rsid w:val="0046782B"/>
    <w:rsid w:val="00473088"/>
    <w:rsid w:val="004758D3"/>
    <w:rsid w:val="0047752B"/>
    <w:rsid w:val="0048181B"/>
    <w:rsid w:val="00484FB0"/>
    <w:rsid w:val="00491A0E"/>
    <w:rsid w:val="00494FB3"/>
    <w:rsid w:val="004A0238"/>
    <w:rsid w:val="004A46B5"/>
    <w:rsid w:val="004B57A7"/>
    <w:rsid w:val="004C52D2"/>
    <w:rsid w:val="004C7710"/>
    <w:rsid w:val="004D428C"/>
    <w:rsid w:val="004E040C"/>
    <w:rsid w:val="004E6315"/>
    <w:rsid w:val="004F0592"/>
    <w:rsid w:val="004F6FFD"/>
    <w:rsid w:val="00515B8F"/>
    <w:rsid w:val="005206F8"/>
    <w:rsid w:val="005238E4"/>
    <w:rsid w:val="00524974"/>
    <w:rsid w:val="0052499E"/>
    <w:rsid w:val="0052541E"/>
    <w:rsid w:val="00525440"/>
    <w:rsid w:val="00531426"/>
    <w:rsid w:val="00534A2B"/>
    <w:rsid w:val="00537B23"/>
    <w:rsid w:val="005425CB"/>
    <w:rsid w:val="005466E9"/>
    <w:rsid w:val="00546B05"/>
    <w:rsid w:val="00563820"/>
    <w:rsid w:val="0058121E"/>
    <w:rsid w:val="005840FF"/>
    <w:rsid w:val="00597A96"/>
    <w:rsid w:val="005A4A4B"/>
    <w:rsid w:val="005C114C"/>
    <w:rsid w:val="005D04A0"/>
    <w:rsid w:val="005D2884"/>
    <w:rsid w:val="005D47CD"/>
    <w:rsid w:val="005D4D0E"/>
    <w:rsid w:val="005E6B59"/>
    <w:rsid w:val="005F39AC"/>
    <w:rsid w:val="00610961"/>
    <w:rsid w:val="00612F05"/>
    <w:rsid w:val="0061464D"/>
    <w:rsid w:val="00620D65"/>
    <w:rsid w:val="00626367"/>
    <w:rsid w:val="00630747"/>
    <w:rsid w:val="00633C6C"/>
    <w:rsid w:val="006345E6"/>
    <w:rsid w:val="00634D90"/>
    <w:rsid w:val="0064765F"/>
    <w:rsid w:val="00647EA6"/>
    <w:rsid w:val="006522FE"/>
    <w:rsid w:val="006525B5"/>
    <w:rsid w:val="00655CAF"/>
    <w:rsid w:val="00666044"/>
    <w:rsid w:val="0066615F"/>
    <w:rsid w:val="006736CA"/>
    <w:rsid w:val="00674E4B"/>
    <w:rsid w:val="0067607E"/>
    <w:rsid w:val="006776B3"/>
    <w:rsid w:val="00686C34"/>
    <w:rsid w:val="0069196C"/>
    <w:rsid w:val="00692A3F"/>
    <w:rsid w:val="00692A67"/>
    <w:rsid w:val="006953B8"/>
    <w:rsid w:val="006A1BCB"/>
    <w:rsid w:val="006A2C60"/>
    <w:rsid w:val="006A68FC"/>
    <w:rsid w:val="006B2911"/>
    <w:rsid w:val="006C7F32"/>
    <w:rsid w:val="006D2333"/>
    <w:rsid w:val="006D3D7A"/>
    <w:rsid w:val="006E5008"/>
    <w:rsid w:val="006E679B"/>
    <w:rsid w:val="006E6D0E"/>
    <w:rsid w:val="006F5DA0"/>
    <w:rsid w:val="006F6326"/>
    <w:rsid w:val="007010ED"/>
    <w:rsid w:val="00706DDF"/>
    <w:rsid w:val="00713E6B"/>
    <w:rsid w:val="0071439E"/>
    <w:rsid w:val="00721732"/>
    <w:rsid w:val="0072300D"/>
    <w:rsid w:val="007266CB"/>
    <w:rsid w:val="00726756"/>
    <w:rsid w:val="007457CF"/>
    <w:rsid w:val="00745AC6"/>
    <w:rsid w:val="00752CFA"/>
    <w:rsid w:val="00756803"/>
    <w:rsid w:val="00757639"/>
    <w:rsid w:val="00764408"/>
    <w:rsid w:val="00764B17"/>
    <w:rsid w:val="0077161D"/>
    <w:rsid w:val="007721BD"/>
    <w:rsid w:val="0077633F"/>
    <w:rsid w:val="007838BA"/>
    <w:rsid w:val="00787CD8"/>
    <w:rsid w:val="007B3D61"/>
    <w:rsid w:val="007B62CC"/>
    <w:rsid w:val="007E5ADC"/>
    <w:rsid w:val="007F08F1"/>
    <w:rsid w:val="007F32E2"/>
    <w:rsid w:val="007F3414"/>
    <w:rsid w:val="007F3E45"/>
    <w:rsid w:val="007F7C51"/>
    <w:rsid w:val="007F7E66"/>
    <w:rsid w:val="0080481A"/>
    <w:rsid w:val="00805F01"/>
    <w:rsid w:val="00807475"/>
    <w:rsid w:val="00815402"/>
    <w:rsid w:val="008238DD"/>
    <w:rsid w:val="00826BFB"/>
    <w:rsid w:val="00834599"/>
    <w:rsid w:val="00843940"/>
    <w:rsid w:val="00843A1E"/>
    <w:rsid w:val="00843CDD"/>
    <w:rsid w:val="00853215"/>
    <w:rsid w:val="008575AE"/>
    <w:rsid w:val="00863E44"/>
    <w:rsid w:val="0087519A"/>
    <w:rsid w:val="00886690"/>
    <w:rsid w:val="008908FF"/>
    <w:rsid w:val="00893D81"/>
    <w:rsid w:val="00894D6A"/>
    <w:rsid w:val="008A310F"/>
    <w:rsid w:val="008A783F"/>
    <w:rsid w:val="008A7B2E"/>
    <w:rsid w:val="008B436F"/>
    <w:rsid w:val="008C193B"/>
    <w:rsid w:val="008C4611"/>
    <w:rsid w:val="008C6238"/>
    <w:rsid w:val="008D1D15"/>
    <w:rsid w:val="008D4E8E"/>
    <w:rsid w:val="008E0EDF"/>
    <w:rsid w:val="008E185B"/>
    <w:rsid w:val="008E196C"/>
    <w:rsid w:val="008E63C9"/>
    <w:rsid w:val="008F389E"/>
    <w:rsid w:val="00901D70"/>
    <w:rsid w:val="00905559"/>
    <w:rsid w:val="00921A6D"/>
    <w:rsid w:val="00924127"/>
    <w:rsid w:val="009268A7"/>
    <w:rsid w:val="00930949"/>
    <w:rsid w:val="00943053"/>
    <w:rsid w:val="009466B4"/>
    <w:rsid w:val="00977119"/>
    <w:rsid w:val="00983EF6"/>
    <w:rsid w:val="009840FE"/>
    <w:rsid w:val="009869F9"/>
    <w:rsid w:val="00992550"/>
    <w:rsid w:val="00996C90"/>
    <w:rsid w:val="00996D58"/>
    <w:rsid w:val="009A1CA8"/>
    <w:rsid w:val="009A1D92"/>
    <w:rsid w:val="009B347A"/>
    <w:rsid w:val="009C1C1D"/>
    <w:rsid w:val="009C44B9"/>
    <w:rsid w:val="009C4F8B"/>
    <w:rsid w:val="009D539B"/>
    <w:rsid w:val="009D7A89"/>
    <w:rsid w:val="009E076E"/>
    <w:rsid w:val="009E2004"/>
    <w:rsid w:val="00A04D10"/>
    <w:rsid w:val="00A12093"/>
    <w:rsid w:val="00A174E4"/>
    <w:rsid w:val="00A23076"/>
    <w:rsid w:val="00A2414E"/>
    <w:rsid w:val="00A264F9"/>
    <w:rsid w:val="00A30E2A"/>
    <w:rsid w:val="00A31AA1"/>
    <w:rsid w:val="00A36BCB"/>
    <w:rsid w:val="00A377F6"/>
    <w:rsid w:val="00A426F8"/>
    <w:rsid w:val="00A45114"/>
    <w:rsid w:val="00A45221"/>
    <w:rsid w:val="00A72C2C"/>
    <w:rsid w:val="00A75289"/>
    <w:rsid w:val="00A8089B"/>
    <w:rsid w:val="00A87B91"/>
    <w:rsid w:val="00A9281E"/>
    <w:rsid w:val="00AA1E22"/>
    <w:rsid w:val="00AB57F0"/>
    <w:rsid w:val="00AC0BCB"/>
    <w:rsid w:val="00AC1157"/>
    <w:rsid w:val="00AC6248"/>
    <w:rsid w:val="00AD22E1"/>
    <w:rsid w:val="00AD2EB0"/>
    <w:rsid w:val="00AD45F9"/>
    <w:rsid w:val="00AE25B5"/>
    <w:rsid w:val="00AE52CF"/>
    <w:rsid w:val="00AF12D9"/>
    <w:rsid w:val="00AF66F7"/>
    <w:rsid w:val="00B02F2F"/>
    <w:rsid w:val="00B0632E"/>
    <w:rsid w:val="00B11B9D"/>
    <w:rsid w:val="00B25F94"/>
    <w:rsid w:val="00B30DDC"/>
    <w:rsid w:val="00B31C70"/>
    <w:rsid w:val="00B35C49"/>
    <w:rsid w:val="00B4300F"/>
    <w:rsid w:val="00B51427"/>
    <w:rsid w:val="00B55BC0"/>
    <w:rsid w:val="00B569B2"/>
    <w:rsid w:val="00B63A0E"/>
    <w:rsid w:val="00B63F36"/>
    <w:rsid w:val="00B8050C"/>
    <w:rsid w:val="00B878A6"/>
    <w:rsid w:val="00B90B83"/>
    <w:rsid w:val="00B9172A"/>
    <w:rsid w:val="00B93F20"/>
    <w:rsid w:val="00BA3EEE"/>
    <w:rsid w:val="00BA3FAF"/>
    <w:rsid w:val="00BA6C78"/>
    <w:rsid w:val="00BB20B7"/>
    <w:rsid w:val="00BB43F4"/>
    <w:rsid w:val="00BC5BAE"/>
    <w:rsid w:val="00BD2A75"/>
    <w:rsid w:val="00BD2F03"/>
    <w:rsid w:val="00BD319B"/>
    <w:rsid w:val="00BE5827"/>
    <w:rsid w:val="00BF4021"/>
    <w:rsid w:val="00BF5A2B"/>
    <w:rsid w:val="00C1235B"/>
    <w:rsid w:val="00C14CFC"/>
    <w:rsid w:val="00C15BDB"/>
    <w:rsid w:val="00C2560C"/>
    <w:rsid w:val="00C37BCC"/>
    <w:rsid w:val="00C4305C"/>
    <w:rsid w:val="00C62379"/>
    <w:rsid w:val="00C65D35"/>
    <w:rsid w:val="00C71A25"/>
    <w:rsid w:val="00C72C2C"/>
    <w:rsid w:val="00C928FA"/>
    <w:rsid w:val="00C94A7B"/>
    <w:rsid w:val="00CA3B3E"/>
    <w:rsid w:val="00CA6DEC"/>
    <w:rsid w:val="00CB130D"/>
    <w:rsid w:val="00CB1B49"/>
    <w:rsid w:val="00CB21B0"/>
    <w:rsid w:val="00CB2AF1"/>
    <w:rsid w:val="00CC1E08"/>
    <w:rsid w:val="00CC3A01"/>
    <w:rsid w:val="00CD1488"/>
    <w:rsid w:val="00CE29E9"/>
    <w:rsid w:val="00CE4DD7"/>
    <w:rsid w:val="00CE5AD9"/>
    <w:rsid w:val="00CF339C"/>
    <w:rsid w:val="00CF4028"/>
    <w:rsid w:val="00CF5470"/>
    <w:rsid w:val="00CF5577"/>
    <w:rsid w:val="00D00AFB"/>
    <w:rsid w:val="00D016F1"/>
    <w:rsid w:val="00D03019"/>
    <w:rsid w:val="00D1775D"/>
    <w:rsid w:val="00D17BB5"/>
    <w:rsid w:val="00D2652A"/>
    <w:rsid w:val="00D30B0C"/>
    <w:rsid w:val="00D358E8"/>
    <w:rsid w:val="00D424CF"/>
    <w:rsid w:val="00D45DBC"/>
    <w:rsid w:val="00D52F95"/>
    <w:rsid w:val="00D55F94"/>
    <w:rsid w:val="00D6338D"/>
    <w:rsid w:val="00D718B5"/>
    <w:rsid w:val="00D72735"/>
    <w:rsid w:val="00D747EA"/>
    <w:rsid w:val="00D84566"/>
    <w:rsid w:val="00D85BEE"/>
    <w:rsid w:val="00D8754E"/>
    <w:rsid w:val="00D91E12"/>
    <w:rsid w:val="00D93C2A"/>
    <w:rsid w:val="00D94461"/>
    <w:rsid w:val="00D97EDB"/>
    <w:rsid w:val="00DA6A45"/>
    <w:rsid w:val="00DB63AA"/>
    <w:rsid w:val="00DC26B3"/>
    <w:rsid w:val="00DD2AE9"/>
    <w:rsid w:val="00DE709E"/>
    <w:rsid w:val="00E12709"/>
    <w:rsid w:val="00E14CEE"/>
    <w:rsid w:val="00E17C2F"/>
    <w:rsid w:val="00E24754"/>
    <w:rsid w:val="00E27DB2"/>
    <w:rsid w:val="00E31ECF"/>
    <w:rsid w:val="00E40B7B"/>
    <w:rsid w:val="00E41A82"/>
    <w:rsid w:val="00E50795"/>
    <w:rsid w:val="00E54A07"/>
    <w:rsid w:val="00E54F3E"/>
    <w:rsid w:val="00E63002"/>
    <w:rsid w:val="00E6687B"/>
    <w:rsid w:val="00E67120"/>
    <w:rsid w:val="00E75A19"/>
    <w:rsid w:val="00E80883"/>
    <w:rsid w:val="00E87090"/>
    <w:rsid w:val="00E900CE"/>
    <w:rsid w:val="00E95369"/>
    <w:rsid w:val="00EB6A5F"/>
    <w:rsid w:val="00EC18EA"/>
    <w:rsid w:val="00EC1ABF"/>
    <w:rsid w:val="00EC32F8"/>
    <w:rsid w:val="00EC4D59"/>
    <w:rsid w:val="00EC6550"/>
    <w:rsid w:val="00ED7862"/>
    <w:rsid w:val="00EF547A"/>
    <w:rsid w:val="00F00E30"/>
    <w:rsid w:val="00F02B9B"/>
    <w:rsid w:val="00F07417"/>
    <w:rsid w:val="00F207F7"/>
    <w:rsid w:val="00F20B15"/>
    <w:rsid w:val="00F30563"/>
    <w:rsid w:val="00F416D3"/>
    <w:rsid w:val="00F41EB8"/>
    <w:rsid w:val="00F42FA3"/>
    <w:rsid w:val="00F45738"/>
    <w:rsid w:val="00F476F8"/>
    <w:rsid w:val="00F638A3"/>
    <w:rsid w:val="00F804F2"/>
    <w:rsid w:val="00F820A0"/>
    <w:rsid w:val="00F85E14"/>
    <w:rsid w:val="00F9432E"/>
    <w:rsid w:val="00F94D08"/>
    <w:rsid w:val="00FB167E"/>
    <w:rsid w:val="00FB760E"/>
    <w:rsid w:val="00FC164C"/>
    <w:rsid w:val="00FC2BCF"/>
    <w:rsid w:val="00FC5EAA"/>
    <w:rsid w:val="00FC60F0"/>
    <w:rsid w:val="00FF057F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iPriority="9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2FA3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42FA3"/>
    <w:pPr>
      <w:keepNext/>
      <w:ind w:right="-2"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F42FA3"/>
    <w:pPr>
      <w:keepNext/>
      <w:ind w:left="360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F42FA3"/>
    <w:pPr>
      <w:keepNext/>
      <w:tabs>
        <w:tab w:val="num" w:pos="2160"/>
      </w:tabs>
      <w:suppressAutoHyphens/>
      <w:ind w:left="2160" w:hanging="180"/>
      <w:outlineLvl w:val="2"/>
    </w:pPr>
    <w:rPr>
      <w:b/>
      <w:bCs/>
      <w:noProof/>
      <w:sz w:val="20"/>
      <w:szCs w:val="20"/>
      <w:lang w:val="en-US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locked/>
    <w:rsid w:val="00EC4D59"/>
    <w:pPr>
      <w:keepNext/>
      <w:autoSpaceDE/>
      <w:autoSpaceDN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E0E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qFormat/>
    <w:rsid w:val="00D85BEE"/>
    <w:pPr>
      <w:spacing w:before="240" w:after="60"/>
      <w:outlineLvl w:val="6"/>
    </w:pPr>
  </w:style>
  <w:style w:type="paragraph" w:styleId="Nadpis9">
    <w:name w:val="heading 9"/>
    <w:basedOn w:val="Normlny"/>
    <w:next w:val="Normlny"/>
    <w:link w:val="Nadpis9Char"/>
    <w:uiPriority w:val="9"/>
    <w:qFormat/>
    <w:locked/>
    <w:rsid w:val="00EC4D59"/>
    <w:pPr>
      <w:widowControl w:val="0"/>
      <w:autoSpaceDE/>
      <w:autoSpaceDN/>
      <w:jc w:val="right"/>
      <w:outlineLvl w:val="8"/>
    </w:pPr>
    <w:rPr>
      <w:rFonts w:eastAsia="SimSun" w:cs="Arial Unicode MS"/>
      <w:lang w:bidi="si-L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42FA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F42FA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42FA3"/>
    <w:rPr>
      <w:b/>
      <w:bCs/>
      <w:noProof/>
      <w:sz w:val="20"/>
      <w:szCs w:val="20"/>
      <w:lang w:val="en-US"/>
    </w:rPr>
  </w:style>
  <w:style w:type="character" w:customStyle="1" w:styleId="Nadpis4Char">
    <w:name w:val="Nadpis 4 Char"/>
    <w:basedOn w:val="Predvolenpsmoodseku"/>
    <w:link w:val="Nadpis4"/>
    <w:uiPriority w:val="9"/>
    <w:rsid w:val="00EC4D59"/>
    <w:rPr>
      <w:rFonts w:asciiTheme="minorHAnsi" w:eastAsiaTheme="minorEastAsia" w:hAnsiTheme="minorHAns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F42FA3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F42FA3"/>
    <w:rPr>
      <w:rFonts w:ascii="Calibri" w:hAnsi="Calibri" w:cs="Times New Roman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EC4D59"/>
    <w:rPr>
      <w:rFonts w:eastAsia="SimSun" w:cs="Arial Unicode MS"/>
      <w:sz w:val="24"/>
      <w:szCs w:val="24"/>
      <w:lang w:bidi="si-LK"/>
    </w:rPr>
  </w:style>
  <w:style w:type="character" w:styleId="Odkaznapoznmkupodiarou">
    <w:name w:val="footnote reference"/>
    <w:basedOn w:val="Predvolenpsmoodseku"/>
    <w:uiPriority w:val="99"/>
    <w:semiHidden/>
    <w:rsid w:val="00F42FA3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42FA3"/>
    <w:pPr>
      <w:suppressAutoHyphens/>
    </w:pPr>
    <w:rPr>
      <w:noProof/>
      <w:sz w:val="20"/>
      <w:szCs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42FA3"/>
    <w:rPr>
      <w:rFonts w:cs="Times New Roman"/>
      <w:sz w:val="20"/>
      <w:szCs w:val="20"/>
    </w:rPr>
  </w:style>
  <w:style w:type="paragraph" w:customStyle="1" w:styleId="WW-Prosttext">
    <w:name w:val="WW-Prostý text"/>
    <w:basedOn w:val="Normlny"/>
    <w:uiPriority w:val="99"/>
    <w:rsid w:val="00F42FA3"/>
    <w:pPr>
      <w:suppressAutoHyphens/>
      <w:jc w:val="both"/>
    </w:pPr>
    <w:rPr>
      <w:rFonts w:ascii="Courier New" w:hAnsi="Courier New" w:cs="Courier New"/>
      <w:noProof/>
      <w:sz w:val="20"/>
      <w:szCs w:val="20"/>
      <w:lang w:val="en-US"/>
    </w:rPr>
  </w:style>
  <w:style w:type="paragraph" w:styleId="Zkladntext2">
    <w:name w:val="Body Text 2"/>
    <w:basedOn w:val="Normlny"/>
    <w:link w:val="Zkladntext2Char"/>
    <w:uiPriority w:val="99"/>
    <w:rsid w:val="00F42FA3"/>
    <w:pPr>
      <w:jc w:val="both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F42FA3"/>
    <w:rPr>
      <w:rFonts w:cs="Times New Roman"/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rsid w:val="00F42FA3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42FA3"/>
    <w:rPr>
      <w:rFonts w:cs="Times New Roman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rsid w:val="00F42FA3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F42FA3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F42FA3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F42FA3"/>
    <w:pPr>
      <w:suppressAutoHyphens/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F42FA3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F42F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42FA3"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F42FA3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F42F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F42FA3"/>
    <w:rPr>
      <w:rFonts w:cs="Times New Roman"/>
      <w:sz w:val="24"/>
      <w:szCs w:val="24"/>
    </w:rPr>
  </w:style>
  <w:style w:type="paragraph" w:customStyle="1" w:styleId="Paragraf">
    <w:name w:val="Paragraf"/>
    <w:basedOn w:val="slovanzoznam"/>
    <w:next w:val="slovanzoznam"/>
    <w:uiPriority w:val="99"/>
    <w:rsid w:val="00F42FA3"/>
    <w:pPr>
      <w:tabs>
        <w:tab w:val="num" w:pos="720"/>
      </w:tabs>
      <w:spacing w:before="360" w:after="360"/>
      <w:ind w:left="720" w:hanging="360"/>
      <w:jc w:val="center"/>
    </w:pPr>
    <w:rPr>
      <w:b/>
      <w:bCs/>
    </w:rPr>
  </w:style>
  <w:style w:type="paragraph" w:styleId="slovanzoznam">
    <w:name w:val="List Number"/>
    <w:basedOn w:val="Normlny"/>
    <w:uiPriority w:val="99"/>
    <w:rsid w:val="00F42FA3"/>
    <w:pPr>
      <w:spacing w:before="120" w:after="120"/>
      <w:jc w:val="both"/>
    </w:pPr>
  </w:style>
  <w:style w:type="paragraph" w:styleId="Spiatonadresanaoblke">
    <w:name w:val="envelope return"/>
    <w:basedOn w:val="Normlny"/>
    <w:uiPriority w:val="99"/>
    <w:rsid w:val="00F42FA3"/>
    <w:pPr>
      <w:suppressAutoHyphens/>
      <w:spacing w:before="120" w:after="120"/>
      <w:jc w:val="both"/>
    </w:pPr>
  </w:style>
  <w:style w:type="paragraph" w:styleId="Zkladntext3">
    <w:name w:val="Body Text 3"/>
    <w:basedOn w:val="Normlny"/>
    <w:link w:val="Zkladntext3Char"/>
    <w:uiPriority w:val="99"/>
    <w:rsid w:val="00D85BEE"/>
    <w:pPr>
      <w:spacing w:after="120"/>
    </w:pPr>
    <w:rPr>
      <w:sz w:val="16"/>
      <w:szCs w:val="16"/>
      <w:lang w:val="en-US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F42FA3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DC26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42FA3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7266CB"/>
    <w:pPr>
      <w:ind w:left="708"/>
    </w:pPr>
  </w:style>
  <w:style w:type="character" w:styleId="Siln">
    <w:name w:val="Strong"/>
    <w:basedOn w:val="Predvolenpsmoodseku"/>
    <w:uiPriority w:val="99"/>
    <w:qFormat/>
    <w:rsid w:val="00E50795"/>
    <w:rPr>
      <w:rFonts w:cs="Times New Roman"/>
      <w:b/>
    </w:rPr>
  </w:style>
  <w:style w:type="table" w:styleId="Mriekatabuky">
    <w:name w:val="Table Grid"/>
    <w:basedOn w:val="Normlnatabuka"/>
    <w:uiPriority w:val="59"/>
    <w:locked/>
    <w:rsid w:val="00D9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3E7844"/>
    <w:rPr>
      <w:rFonts w:cs="Times New Roman"/>
      <w:color w:val="0000FF"/>
      <w:u w:val="single"/>
    </w:rPr>
  </w:style>
  <w:style w:type="character" w:customStyle="1" w:styleId="formtext">
    <w:name w:val="formtext"/>
    <w:basedOn w:val="Predvolenpsmoodseku"/>
    <w:rsid w:val="0077161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4D59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rsid w:val="00EC4D59"/>
    <w:pPr>
      <w:autoSpaceDE/>
      <w:autoSpaceDN/>
    </w:pPr>
    <w:rPr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EC4D59"/>
    <w:pPr>
      <w:adjustRightInd w:val="0"/>
      <w:ind w:firstLine="708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C4D59"/>
    <w:rPr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rsid w:val="00EC4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C4D59"/>
    <w:rPr>
      <w:rFonts w:ascii="Courier New" w:hAnsi="Courier New" w:cs="Courier New"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4D59"/>
    <w:rPr>
      <w:b/>
      <w:bCs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4D59"/>
    <w:rPr>
      <w:b/>
      <w:bCs/>
    </w:rPr>
  </w:style>
  <w:style w:type="paragraph" w:customStyle="1" w:styleId="Odstavec">
    <w:name w:val="Odstavec"/>
    <w:basedOn w:val="Zkladntext"/>
    <w:rsid w:val="00EC4D59"/>
    <w:pPr>
      <w:widowControl w:val="0"/>
      <w:suppressAutoHyphens w:val="0"/>
      <w:autoSpaceDE/>
      <w:autoSpaceDN/>
      <w:spacing w:after="115"/>
      <w:ind w:firstLine="480"/>
    </w:pPr>
    <w:rPr>
      <w:rFonts w:eastAsia="SimSun" w:cs="Arial Unicode MS"/>
      <w:lang w:bidi="si-LK"/>
    </w:rPr>
  </w:style>
  <w:style w:type="paragraph" w:customStyle="1" w:styleId="Poznmka">
    <w:name w:val="Poznámka"/>
    <w:basedOn w:val="Zkladntext"/>
    <w:rsid w:val="00EC4D59"/>
    <w:pPr>
      <w:widowControl w:val="0"/>
      <w:suppressAutoHyphens w:val="0"/>
      <w:autoSpaceDE/>
      <w:autoSpaceDN/>
      <w:spacing w:after="0"/>
    </w:pPr>
    <w:rPr>
      <w:rFonts w:eastAsia="SimSun" w:cs="Arial Unicode MS"/>
      <w:i/>
      <w:iCs/>
      <w:sz w:val="20"/>
      <w:szCs w:val="20"/>
      <w:lang w:bidi="si-LK"/>
    </w:rPr>
  </w:style>
  <w:style w:type="paragraph" w:customStyle="1" w:styleId="Nadpis">
    <w:name w:val="Nadpis"/>
    <w:basedOn w:val="Zkladntext"/>
    <w:next w:val="Odstavec"/>
    <w:rsid w:val="00EC4D59"/>
    <w:pPr>
      <w:widowControl w:val="0"/>
      <w:suppressAutoHyphens w:val="0"/>
      <w:autoSpaceDE/>
      <w:autoSpaceDN/>
      <w:spacing w:before="360" w:after="180"/>
    </w:pPr>
    <w:rPr>
      <w:rFonts w:eastAsia="SimSun" w:cs="Arial Unicode MS"/>
      <w:sz w:val="40"/>
      <w:szCs w:val="40"/>
      <w:lang w:bidi="si-LK"/>
    </w:rPr>
  </w:style>
  <w:style w:type="paragraph" w:customStyle="1" w:styleId="Stnovannadpis">
    <w:name w:val="Stínovaný nadpis"/>
    <w:basedOn w:val="Nadpis"/>
    <w:next w:val="Odstavec"/>
    <w:rsid w:val="00EC4D59"/>
    <w:pPr>
      <w:shd w:val="solid" w:color="000000" w:fill="auto"/>
      <w:jc w:val="center"/>
    </w:pPr>
    <w:rPr>
      <w:b/>
      <w:bCs/>
      <w:sz w:val="36"/>
      <w:szCs w:val="36"/>
    </w:rPr>
  </w:style>
  <w:style w:type="paragraph" w:styleId="Zoznamsodrkami">
    <w:name w:val="List Bullet"/>
    <w:basedOn w:val="Zkladntext"/>
    <w:autoRedefine/>
    <w:uiPriority w:val="99"/>
    <w:rsid w:val="00EC4D59"/>
    <w:pPr>
      <w:widowControl w:val="0"/>
      <w:suppressAutoHyphens w:val="0"/>
      <w:autoSpaceDE/>
      <w:autoSpaceDN/>
      <w:spacing w:after="0"/>
      <w:ind w:left="480" w:hanging="480"/>
    </w:pPr>
    <w:rPr>
      <w:rFonts w:eastAsia="SimSun" w:cs="Arial Unicode MS"/>
      <w:lang w:bidi="si-LK"/>
    </w:rPr>
  </w:style>
  <w:style w:type="paragraph" w:customStyle="1" w:styleId="Seznamoslovan">
    <w:name w:val="Seznam očíslovaný"/>
    <w:basedOn w:val="Zkladntext"/>
    <w:rsid w:val="00EC4D59"/>
    <w:pPr>
      <w:widowControl w:val="0"/>
      <w:suppressAutoHyphens w:val="0"/>
      <w:autoSpaceDE/>
      <w:autoSpaceDN/>
      <w:spacing w:after="0"/>
      <w:ind w:left="480" w:hanging="480"/>
    </w:pPr>
    <w:rPr>
      <w:rFonts w:eastAsia="SimSun" w:cs="Arial Unicode MS"/>
      <w:lang w:bidi="si-LK"/>
    </w:rPr>
  </w:style>
  <w:style w:type="paragraph" w:customStyle="1" w:styleId="Predvolenpsmoodseku1">
    <w:name w:val="Predvolené písmo odseku1"/>
    <w:basedOn w:val="Normlny"/>
    <w:rsid w:val="00EC4D59"/>
    <w:pPr>
      <w:widowControl w:val="0"/>
      <w:autoSpaceDE/>
      <w:autoSpaceDN/>
    </w:pPr>
    <w:rPr>
      <w:rFonts w:eastAsia="SimSun" w:cs="Arial Unicode MS"/>
      <w:sz w:val="20"/>
      <w:szCs w:val="20"/>
      <w:lang w:bidi="si-LK"/>
    </w:rPr>
  </w:style>
  <w:style w:type="paragraph" w:customStyle="1" w:styleId="Nadpis1a">
    <w:name w:val="Nadpis 1a"/>
    <w:basedOn w:val="Normlny"/>
    <w:rsid w:val="00EC4D59"/>
    <w:pPr>
      <w:autoSpaceDE/>
      <w:autoSpaceDN/>
      <w:jc w:val="both"/>
    </w:pPr>
    <w:rPr>
      <w:rFonts w:ascii="Arial" w:eastAsia="SimSun" w:hAnsi="Arial" w:cs="Arial"/>
      <w:b/>
      <w:bCs/>
      <w:u w:val="single"/>
      <w:lang w:bidi="si-LK"/>
    </w:rPr>
  </w:style>
  <w:style w:type="paragraph" w:customStyle="1" w:styleId="Nadpis1b">
    <w:name w:val="Nadpis 1b"/>
    <w:basedOn w:val="Normlny"/>
    <w:rsid w:val="00EC4D59"/>
    <w:pPr>
      <w:autoSpaceDE/>
      <w:autoSpaceDN/>
      <w:jc w:val="both"/>
    </w:pPr>
    <w:rPr>
      <w:rFonts w:ascii="Arial" w:eastAsia="SimSun" w:hAnsi="Arial" w:cs="Arial"/>
      <w:b/>
      <w:bCs/>
      <w:sz w:val="22"/>
      <w:szCs w:val="22"/>
      <w:lang w:val="en-US" w:eastAsia="en-US" w:bidi="si-LK"/>
    </w:rPr>
  </w:style>
  <w:style w:type="paragraph" w:styleId="Zarkazkladnhotextu">
    <w:name w:val="Body Text Indent"/>
    <w:basedOn w:val="Normlny"/>
    <w:link w:val="ZarkazkladnhotextuChar"/>
    <w:uiPriority w:val="99"/>
    <w:rsid w:val="00EC4D59"/>
    <w:pPr>
      <w:autoSpaceDE/>
      <w:autoSpaceDN/>
      <w:ind w:firstLine="708"/>
      <w:jc w:val="both"/>
    </w:pPr>
    <w:rPr>
      <w:rFonts w:eastAsia="SimSun" w:cs="Arial Unicode MS"/>
      <w:lang w:bidi="si-L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C4D59"/>
    <w:rPr>
      <w:rFonts w:eastAsia="SimSun" w:cs="Arial Unicode MS"/>
      <w:sz w:val="24"/>
      <w:szCs w:val="24"/>
      <w:lang w:bidi="si-LK"/>
    </w:rPr>
  </w:style>
  <w:style w:type="paragraph" w:styleId="Zarkazkladnhotextu3">
    <w:name w:val="Body Text Indent 3"/>
    <w:basedOn w:val="Normlny"/>
    <w:link w:val="Zarkazkladnhotextu3Char"/>
    <w:uiPriority w:val="99"/>
    <w:rsid w:val="00EC4D59"/>
    <w:pPr>
      <w:tabs>
        <w:tab w:val="left" w:pos="360"/>
      </w:tabs>
      <w:autoSpaceDE/>
      <w:autoSpaceDN/>
      <w:ind w:left="360" w:hanging="360"/>
      <w:jc w:val="both"/>
    </w:pPr>
    <w:rPr>
      <w:rFonts w:eastAsia="SimSun" w:cs="Arial Unicode MS"/>
      <w:lang w:bidi="si-L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C4D59"/>
    <w:rPr>
      <w:rFonts w:eastAsia="SimSun" w:cs="Arial Unicode MS"/>
      <w:sz w:val="24"/>
      <w:szCs w:val="24"/>
      <w:lang w:bidi="si-LK"/>
    </w:rPr>
  </w:style>
  <w:style w:type="paragraph" w:customStyle="1" w:styleId="Default">
    <w:name w:val="Default"/>
    <w:rsid w:val="00E6300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2_vlastny_mat_teplo_chlad"/>
    <f:field ref="objsubject" par="" edit="true" text=""/>
    <f:field ref="objcreatedby" par="" text="Vincová, Veronika, Mgr."/>
    <f:field ref="objcreatedat" par="" text="25.4.2019 18:26:30"/>
    <f:field ref="objchangedby" par="" text="Administrator, System"/>
    <f:field ref="objmodifiedat" par="" text="25.4.2019 18:26:3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F6FAC2-1C4B-4E01-9273-5D956A48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3417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2022-11-14T11:48:00Z</dcterms:created>
  <dcterms:modified xsi:type="dcterms:W3CDTF">2022-12-12T02:33:00Z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 mso-bidi-font-size: 11.0pt;"&gt;Verejnosť bola o&amp;nbsp;príprave n&lt;/span&gt;&lt;span style="line-height: 107%; font-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Veronika Vincová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mení a dopĺňa vyhláška Ministerstva zdravotníctva Slovenskej republiky č. 99/2016 Z. z. o podrobnostiach o ochrane zdravia pred záťažou teplom a chladom pri práci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>Ministerstvo zdravotníctva Slovenskej republiky, Ministerstvo zdravotníctva Slovenskej republiky, Ministerstvo zdravotníctva Slovenskej republiky, Ministerstvo zdravotníctva Slovenskej republiky, Ministerstvo zdravotníctva Slovenskej republiky, Ministerst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Vyhláška Ministerstva zdravotníctva Slovenskej republiky, ktorou sa mení a dopĺňa vyhláška Ministerstva zdravotníctva Slovenskej republiky č. 99/2016 Z. z. o podrobnostiach o ochrane zdravia pred záťažou teplom a chladom pri práci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S08013-2019-OL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LP/2019/330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5. 4. 2019</vt:lpwstr>
  </property>
  <property fmtid="{D5CDD505-2E9C-101B-9397-08002B2CF9AE}" pid="59" name="FSC#SKEDITIONSLOVLEX@103.510:AttrDateDocPropUkonceniePKK">
    <vt:lpwstr>12. 4. 2019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&lt;table border="1" cellpadding="0" cellspacing="0" width="0"&gt;	&lt;tbody&gt;		&lt;tr&gt;			&lt;td style="width: 612px; height: 48px;"&gt;			&lt;p&gt;Súčasťou doložky vplyvov je &lt;strong&gt;rešerš&lt;/strong&gt; Úradu verejného zdravotníctva SR &lt;strong&gt;Analýza a&amp;nbsp;porovnanie teplôt pri pr</vt:lpwstr>
  </property>
  <property fmtid="{D5CDD505-2E9C-101B-9397-08002B2CF9AE}" pid="66" name="FSC#SKEDITIONSLOVLEX@103.510:AttrStrListDocPropAltRiesenia">
    <vt:lpwstr>Predkladateľ nepozná iné alternatívne riešenia.Počas konzultácií s dotknutými subjektami predložil jeden subjekt 9 pripomienok. Predkladateľ všetky pripomienky vyhodnotil, 3 akceptoval. Zvyšné neakceptované pripomienky obsahovali riešenie v návrhu vyhlášk</vt:lpwstr>
  </property>
  <property fmtid="{D5CDD505-2E9C-101B-9397-08002B2CF9AE}" pid="67" name="FSC#SKEDITIONSLOVLEX@103.510:AttrStrListDocPropStanoviskoGest">
    <vt:lpwstr>&lt;table border="1" cellpadding="0" cellspacing="0" width="0"&gt;	&lt;tbody&gt;		&lt;tr&gt;			&lt;td style="width: 612px;"&gt;			&lt;p&gt;Stála pracovná komisia Legislatívnej rady vlády SR na posudzovanie vybraných vplyvov vydala k&amp;nbsp;návrhu vyhlášky nesúhlasné stanovisko s&amp;nbsp;ná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&lt;p&gt;Návrh vyhlášky Ministerstva zdravotníctva Slovenskej republiky, ktorou sa mení a&amp;nbsp;dopĺňa vyhláška Ministerstva zdravotníctva Slovenskej republiky č. 99/2016 Z. z. o&amp;nbsp;podrobnostiach o&amp;nbsp;ochrane zdravia pred záťažou teplom a&amp;nbsp;chladom pri p</vt:lpwstr>
  </property>
  <property fmtid="{D5CDD505-2E9C-101B-9397-08002B2CF9AE}" pid="150" name="FSC#SKEDITIONSLOVLEX@103.510:vytvorenedna">
    <vt:lpwstr>25. 4. 2019</vt:lpwstr>
  </property>
  <property fmtid="{D5CDD505-2E9C-101B-9397-08002B2CF9AE}" pid="151" name="FSC#COOSYSTEM@1.1:Container">
    <vt:lpwstr>COO.2145.1000.3.3321478</vt:lpwstr>
  </property>
  <property fmtid="{D5CDD505-2E9C-101B-9397-08002B2CF9AE}" pid="152" name="FSC#FSCFOLIO@1.1001:docpropproject">
    <vt:lpwstr/>
  </property>
</Properties>
</file>