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Pr="00126539"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sidRPr="00126539">
        <w:rPr>
          <w:rFonts w:ascii="Times New Roman" w:eastAsia="Times New Roman" w:hAnsi="Times New Roman" w:cs="Times New Roman"/>
          <w:b/>
          <w:sz w:val="28"/>
          <w:szCs w:val="28"/>
          <w:lang w:eastAsia="sk-SK"/>
        </w:rPr>
        <w:t>D</w:t>
      </w:r>
      <w:r w:rsidR="001B23B7" w:rsidRPr="00126539">
        <w:rPr>
          <w:rFonts w:ascii="Times New Roman" w:eastAsia="Times New Roman" w:hAnsi="Times New Roman" w:cs="Times New Roman"/>
          <w:b/>
          <w:sz w:val="28"/>
          <w:szCs w:val="28"/>
          <w:lang w:eastAsia="sk-SK"/>
        </w:rPr>
        <w:t>oložka vybraných vplyvov</w:t>
      </w:r>
    </w:p>
    <w:p w:rsidR="001B23B7" w:rsidRPr="00126539" w:rsidRDefault="001B23B7" w:rsidP="001B23B7">
      <w:pPr>
        <w:spacing w:after="200" w:line="276" w:lineRule="auto"/>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126539" w:rsidTr="008F4907">
        <w:tc>
          <w:tcPr>
            <w:tcW w:w="9180" w:type="dxa"/>
            <w:gridSpan w:val="11"/>
            <w:tcBorders>
              <w:bottom w:val="single" w:sz="4" w:space="0" w:color="FFFFFF"/>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Základné údaje</w:t>
            </w:r>
          </w:p>
        </w:tc>
      </w:tr>
      <w:tr w:rsidR="001B23B7" w:rsidRPr="00126539" w:rsidTr="008F4907">
        <w:tc>
          <w:tcPr>
            <w:tcW w:w="9180" w:type="dxa"/>
            <w:gridSpan w:val="11"/>
            <w:tcBorders>
              <w:bottom w:val="single" w:sz="4" w:space="0" w:color="FFFFFF"/>
            </w:tcBorders>
            <w:shd w:val="clear" w:color="auto" w:fill="E2E2E2"/>
          </w:tcPr>
          <w:p w:rsidR="001B23B7" w:rsidRPr="00126539" w:rsidRDefault="001B23B7" w:rsidP="008F4907">
            <w:pPr>
              <w:spacing w:after="200" w:line="276" w:lineRule="auto"/>
              <w:ind w:left="142"/>
              <w:contextualSpacing/>
              <w:rPr>
                <w:rFonts w:ascii="Times New Roman" w:eastAsia="Calibri" w:hAnsi="Times New Roman" w:cs="Times New Roman"/>
                <w:b/>
              </w:rPr>
            </w:pPr>
            <w:r w:rsidRPr="00126539">
              <w:rPr>
                <w:rFonts w:ascii="Times New Roman" w:eastAsia="Calibri" w:hAnsi="Times New Roman" w:cs="Times New Roman"/>
                <w:b/>
              </w:rPr>
              <w:t>Názov materiálu</w:t>
            </w:r>
          </w:p>
        </w:tc>
      </w:tr>
      <w:tr w:rsidR="001B23B7" w:rsidRPr="00126539" w:rsidTr="008F4907">
        <w:tc>
          <w:tcPr>
            <w:tcW w:w="9180" w:type="dxa"/>
            <w:gridSpan w:val="11"/>
            <w:tcBorders>
              <w:top w:val="single" w:sz="4" w:space="0" w:color="FFFFFF"/>
              <w:bottom w:val="single" w:sz="4" w:space="0" w:color="auto"/>
            </w:tcBorders>
          </w:tcPr>
          <w:p w:rsidR="001B23B7" w:rsidRPr="00126539" w:rsidRDefault="001B23B7" w:rsidP="008F4907">
            <w:pPr>
              <w:rPr>
                <w:rFonts w:ascii="Times New Roman" w:eastAsia="Times New Roman" w:hAnsi="Times New Roman" w:cs="Times New Roman"/>
                <w:sz w:val="20"/>
                <w:szCs w:val="20"/>
                <w:lang w:eastAsia="sk-SK"/>
              </w:rPr>
            </w:pPr>
          </w:p>
          <w:p w:rsidR="0077073C" w:rsidRPr="00126539" w:rsidRDefault="00ED0E8C" w:rsidP="008F490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Návrh zákona o žalobách na ochranu kolektívnych záujmov spotrebiteľov a o zmene a doplnení niektorých zákonov</w:t>
            </w:r>
            <w:r w:rsidRPr="00126539" w:rsidDel="00ED0E8C">
              <w:rPr>
                <w:rFonts w:ascii="Times New Roman" w:eastAsia="Times New Roman" w:hAnsi="Times New Roman" w:cs="Times New Roman"/>
                <w:sz w:val="20"/>
                <w:szCs w:val="20"/>
                <w:lang w:eastAsia="sk-SK"/>
              </w:rPr>
              <w:t xml:space="preserve"> </w:t>
            </w:r>
          </w:p>
        </w:tc>
      </w:tr>
      <w:tr w:rsidR="001B23B7" w:rsidRPr="00126539" w:rsidTr="008F4907">
        <w:tc>
          <w:tcPr>
            <w:tcW w:w="9180" w:type="dxa"/>
            <w:gridSpan w:val="11"/>
            <w:tcBorders>
              <w:top w:val="single" w:sz="4" w:space="0" w:color="auto"/>
              <w:left w:val="single" w:sz="4" w:space="0" w:color="auto"/>
              <w:bottom w:val="single" w:sz="4" w:space="0" w:color="FFFFFF"/>
            </w:tcBorders>
            <w:shd w:val="clear" w:color="auto" w:fill="E2E2E2"/>
          </w:tcPr>
          <w:p w:rsidR="001B23B7" w:rsidRPr="00126539" w:rsidRDefault="001B23B7" w:rsidP="008F4907">
            <w:pPr>
              <w:spacing w:after="200" w:line="276" w:lineRule="auto"/>
              <w:ind w:left="142"/>
              <w:contextualSpacing/>
              <w:rPr>
                <w:rFonts w:ascii="Times New Roman" w:eastAsia="Calibri" w:hAnsi="Times New Roman" w:cs="Times New Roman"/>
                <w:b/>
              </w:rPr>
            </w:pPr>
            <w:r w:rsidRPr="00126539">
              <w:rPr>
                <w:rFonts w:ascii="Times New Roman" w:eastAsia="Calibri" w:hAnsi="Times New Roman" w:cs="Times New Roman"/>
                <w:b/>
              </w:rPr>
              <w:t>Predkladateľ (a spolupredkladateľ)</w:t>
            </w:r>
          </w:p>
        </w:tc>
      </w:tr>
      <w:tr w:rsidR="001B23B7" w:rsidRPr="00126539" w:rsidTr="008F4907">
        <w:tc>
          <w:tcPr>
            <w:tcW w:w="9180" w:type="dxa"/>
            <w:gridSpan w:val="11"/>
            <w:tcBorders>
              <w:top w:val="single" w:sz="4" w:space="0" w:color="FFFFFF"/>
              <w:left w:val="single" w:sz="4" w:space="0" w:color="auto"/>
              <w:bottom w:val="single" w:sz="4" w:space="0" w:color="auto"/>
            </w:tcBorders>
            <w:shd w:val="clear" w:color="auto" w:fill="FFFFFF"/>
          </w:tcPr>
          <w:p w:rsidR="001B23B7" w:rsidRPr="00126539" w:rsidRDefault="0077073C" w:rsidP="008F490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Ministerstvo spravodlivosti Slovenskej republiky</w:t>
            </w:r>
          </w:p>
          <w:p w:rsidR="001B23B7" w:rsidRPr="00126539" w:rsidRDefault="001B23B7" w:rsidP="008F4907">
            <w:pPr>
              <w:rPr>
                <w:rFonts w:ascii="Times New Roman" w:eastAsia="Times New Roman" w:hAnsi="Times New Roman" w:cs="Times New Roman"/>
                <w:sz w:val="20"/>
                <w:szCs w:val="20"/>
                <w:lang w:eastAsia="sk-SK"/>
              </w:rPr>
            </w:pPr>
          </w:p>
        </w:tc>
      </w:tr>
      <w:tr w:rsidR="001B23B7" w:rsidRPr="00126539" w:rsidTr="008F4907">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126539" w:rsidRDefault="001B23B7" w:rsidP="008F4907">
            <w:pPr>
              <w:spacing w:after="200" w:line="276" w:lineRule="auto"/>
              <w:ind w:left="142"/>
              <w:contextualSpacing/>
              <w:rPr>
                <w:rFonts w:ascii="Times New Roman" w:eastAsia="Calibri" w:hAnsi="Times New Roman" w:cs="Times New Roman"/>
                <w:b/>
              </w:rPr>
            </w:pPr>
            <w:r w:rsidRPr="00126539">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126539" w:rsidRDefault="000013C3" w:rsidP="008F4907">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126539" w:rsidRDefault="001B23B7" w:rsidP="008F490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Materiál nelegislatívnej povahy</w:t>
            </w:r>
          </w:p>
        </w:tc>
      </w:tr>
      <w:tr w:rsidR="001B23B7" w:rsidRPr="00126539" w:rsidTr="008F4907">
        <w:tc>
          <w:tcPr>
            <w:tcW w:w="4212" w:type="dxa"/>
            <w:gridSpan w:val="2"/>
            <w:vMerge/>
            <w:tcBorders>
              <w:top w:val="nil"/>
              <w:left w:val="single" w:sz="4" w:space="0" w:color="auto"/>
              <w:bottom w:val="single" w:sz="4" w:space="0" w:color="FFFFFF"/>
            </w:tcBorders>
            <w:shd w:val="clear" w:color="auto" w:fill="E2E2E2"/>
          </w:tcPr>
          <w:p w:rsidR="001B23B7" w:rsidRPr="00126539" w:rsidRDefault="001B23B7" w:rsidP="008F490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126539" w:rsidRDefault="0077073C" w:rsidP="00203EE3">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126539" w:rsidRDefault="001B23B7" w:rsidP="008F4907">
            <w:pPr>
              <w:ind w:left="175" w:hanging="175"/>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Materiál legislatívnej povahy</w:t>
            </w:r>
          </w:p>
        </w:tc>
      </w:tr>
      <w:tr w:rsidR="001B23B7" w:rsidRPr="00126539" w:rsidTr="008F4907">
        <w:tc>
          <w:tcPr>
            <w:tcW w:w="4212" w:type="dxa"/>
            <w:gridSpan w:val="2"/>
            <w:vMerge/>
            <w:tcBorders>
              <w:top w:val="nil"/>
              <w:left w:val="single" w:sz="4" w:space="0" w:color="auto"/>
              <w:bottom w:val="single" w:sz="4" w:space="0" w:color="auto"/>
            </w:tcBorders>
            <w:shd w:val="clear" w:color="auto" w:fill="E2E2E2"/>
          </w:tcPr>
          <w:p w:rsidR="001B23B7" w:rsidRPr="00126539" w:rsidRDefault="001B23B7" w:rsidP="008F490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126539" w:rsidRDefault="0077073C" w:rsidP="008F4907">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126539" w:rsidRDefault="001B23B7" w:rsidP="008F490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Transpozícia práva EÚ</w:t>
            </w:r>
          </w:p>
        </w:tc>
      </w:tr>
      <w:tr w:rsidR="001B23B7" w:rsidRPr="00126539" w:rsidTr="008F4907">
        <w:tc>
          <w:tcPr>
            <w:tcW w:w="9180" w:type="dxa"/>
            <w:gridSpan w:val="11"/>
            <w:tcBorders>
              <w:top w:val="single" w:sz="4" w:space="0" w:color="auto"/>
              <w:left w:val="single" w:sz="4" w:space="0" w:color="auto"/>
              <w:bottom w:val="single" w:sz="4" w:space="0" w:color="FFFFFF"/>
            </w:tcBorders>
            <w:shd w:val="clear" w:color="auto" w:fill="FFFFFF"/>
          </w:tcPr>
          <w:p w:rsidR="001B23B7" w:rsidRPr="00126539" w:rsidRDefault="009D2FF7" w:rsidP="004309A8">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Smernica Európskeho parlamentu a Rady (EÚ) 2020/1828 z 25. novembra 2020 o žalobách v zastúpení na ochranu kolektívnych záujmov spotrebiteľov a o zrušení smernice 2009/22/ES, termín: 25. jún 2023</w:t>
            </w:r>
          </w:p>
        </w:tc>
      </w:tr>
      <w:tr w:rsidR="009D2FF7" w:rsidRPr="00126539" w:rsidTr="008F4907">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9D2FF7" w:rsidRPr="00126539" w:rsidRDefault="009D2FF7" w:rsidP="009D2FF7">
            <w:pPr>
              <w:spacing w:after="200" w:line="276" w:lineRule="auto"/>
              <w:ind w:left="142"/>
              <w:contextualSpacing/>
              <w:rPr>
                <w:rFonts w:ascii="Times New Roman" w:eastAsia="Calibri" w:hAnsi="Times New Roman" w:cs="Times New Roman"/>
                <w:b/>
              </w:rPr>
            </w:pPr>
            <w:r w:rsidRPr="00126539">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9D2FF7" w:rsidRPr="00126539" w:rsidRDefault="009D2FF7" w:rsidP="009D2FF7">
            <w:pPr>
              <w:rPr>
                <w:rFonts w:ascii="Times New Roman" w:eastAsia="Times New Roman" w:hAnsi="Times New Roman" w:cs="Times New Roman"/>
                <w:i/>
                <w:sz w:val="20"/>
                <w:szCs w:val="20"/>
                <w:lang w:eastAsia="sk-SK"/>
              </w:rPr>
            </w:pPr>
            <w:r w:rsidRPr="00126539">
              <w:rPr>
                <w:rFonts w:ascii="Times New Roman" w:hAnsi="Times New Roman" w:cs="Times New Roman"/>
                <w:i/>
                <w:sz w:val="20"/>
                <w:szCs w:val="20"/>
                <w:lang w:eastAsia="sk-SK"/>
              </w:rPr>
              <w:t>august 2022</w:t>
            </w:r>
          </w:p>
        </w:tc>
      </w:tr>
      <w:tr w:rsidR="009D2FF7" w:rsidRPr="00126539" w:rsidTr="008F4907">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D2FF7" w:rsidRPr="00126539" w:rsidRDefault="009D2FF7" w:rsidP="009D2FF7">
            <w:pPr>
              <w:spacing w:after="200" w:line="276" w:lineRule="auto"/>
              <w:ind w:left="142"/>
              <w:contextualSpacing/>
              <w:rPr>
                <w:rFonts w:ascii="Times New Roman" w:eastAsia="Calibri" w:hAnsi="Times New Roman" w:cs="Times New Roman"/>
                <w:b/>
              </w:rPr>
            </w:pPr>
            <w:r w:rsidRPr="00126539">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9D2FF7" w:rsidRPr="00126539" w:rsidRDefault="009D2FF7" w:rsidP="009D2FF7">
            <w:pPr>
              <w:rPr>
                <w:rFonts w:ascii="Times New Roman" w:eastAsia="Times New Roman" w:hAnsi="Times New Roman" w:cs="Times New Roman"/>
                <w:i/>
                <w:sz w:val="20"/>
                <w:szCs w:val="20"/>
                <w:lang w:eastAsia="sk-SK"/>
              </w:rPr>
            </w:pPr>
            <w:r w:rsidRPr="00126539">
              <w:rPr>
                <w:rFonts w:ascii="Times New Roman" w:hAnsi="Times New Roman" w:cs="Times New Roman"/>
                <w:i/>
                <w:sz w:val="20"/>
                <w:szCs w:val="20"/>
                <w:lang w:eastAsia="sk-SK"/>
              </w:rPr>
              <w:t>august 2022</w:t>
            </w:r>
          </w:p>
        </w:tc>
      </w:tr>
      <w:tr w:rsidR="009D2FF7" w:rsidRPr="00126539"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D2FF7" w:rsidRPr="00126539" w:rsidRDefault="009D2FF7" w:rsidP="009D2FF7">
            <w:pPr>
              <w:spacing w:line="276" w:lineRule="auto"/>
              <w:ind w:left="142"/>
              <w:contextualSpacing/>
              <w:rPr>
                <w:rFonts w:ascii="Times New Roman" w:eastAsia="Calibri" w:hAnsi="Times New Roman" w:cs="Times New Roman"/>
                <w:b/>
              </w:rPr>
            </w:pPr>
            <w:r w:rsidRPr="00126539">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9D2FF7" w:rsidRPr="00126539" w:rsidRDefault="009D2FF7" w:rsidP="009D2FF7">
            <w:pPr>
              <w:rPr>
                <w:rFonts w:ascii="Times New Roman" w:eastAsia="Times New Roman" w:hAnsi="Times New Roman" w:cs="Times New Roman"/>
                <w:i/>
                <w:sz w:val="20"/>
                <w:szCs w:val="20"/>
                <w:lang w:eastAsia="sk-SK"/>
              </w:rPr>
            </w:pPr>
          </w:p>
        </w:tc>
      </w:tr>
      <w:tr w:rsidR="009D2FF7" w:rsidRPr="00126539" w:rsidTr="008F4907">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D2FF7" w:rsidRPr="00126539" w:rsidRDefault="009D2FF7" w:rsidP="009D2FF7">
            <w:pPr>
              <w:spacing w:after="200" w:line="276" w:lineRule="auto"/>
              <w:ind w:left="142"/>
              <w:contextualSpacing/>
              <w:jc w:val="both"/>
              <w:rPr>
                <w:rFonts w:ascii="Times New Roman" w:eastAsia="Calibri" w:hAnsi="Times New Roman" w:cs="Times New Roman"/>
                <w:b/>
              </w:rPr>
            </w:pPr>
            <w:r w:rsidRPr="00126539">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9D2FF7" w:rsidRPr="00126539" w:rsidRDefault="009D2FF7" w:rsidP="009D2FF7">
            <w:pPr>
              <w:rPr>
                <w:rFonts w:ascii="Times New Roman" w:eastAsia="Times New Roman" w:hAnsi="Times New Roman" w:cs="Times New Roman"/>
                <w:i/>
                <w:sz w:val="20"/>
                <w:szCs w:val="20"/>
                <w:lang w:eastAsia="sk-SK"/>
              </w:rPr>
            </w:pPr>
            <w:r w:rsidRPr="00126539">
              <w:rPr>
                <w:rFonts w:ascii="Times New Roman" w:hAnsi="Times New Roman" w:cs="Times New Roman"/>
                <w:i/>
                <w:sz w:val="20"/>
                <w:szCs w:val="20"/>
                <w:lang w:eastAsia="sk-SK"/>
              </w:rPr>
              <w:t>február 2023</w:t>
            </w:r>
          </w:p>
        </w:tc>
      </w:tr>
      <w:tr w:rsidR="001B23B7" w:rsidRPr="00126539" w:rsidTr="008F4907">
        <w:tc>
          <w:tcPr>
            <w:tcW w:w="9180" w:type="dxa"/>
            <w:gridSpan w:val="11"/>
            <w:tcBorders>
              <w:top w:val="single" w:sz="4" w:space="0" w:color="auto"/>
              <w:left w:val="nil"/>
              <w:bottom w:val="single" w:sz="4" w:space="0" w:color="auto"/>
              <w:right w:val="nil"/>
            </w:tcBorders>
            <w:shd w:val="clear" w:color="auto" w:fill="FFFFFF"/>
          </w:tcPr>
          <w:p w:rsidR="001B23B7" w:rsidRPr="00126539" w:rsidRDefault="001B23B7" w:rsidP="008F4907">
            <w:pPr>
              <w:rPr>
                <w:rFonts w:ascii="Times New Roman" w:eastAsia="Times New Roman" w:hAnsi="Times New Roman" w:cs="Times New Roman"/>
                <w:sz w:val="20"/>
                <w:szCs w:val="20"/>
                <w:lang w:eastAsia="sk-SK"/>
              </w:rPr>
            </w:pPr>
          </w:p>
        </w:tc>
      </w:tr>
      <w:tr w:rsidR="001B23B7" w:rsidRPr="00126539" w:rsidTr="008F49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Definovanie problému</w:t>
            </w:r>
          </w:p>
        </w:tc>
      </w:tr>
      <w:tr w:rsidR="001B23B7" w:rsidRPr="00126539" w:rsidTr="008F4907">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D2FF7" w:rsidRPr="00126539" w:rsidRDefault="009D2FF7" w:rsidP="009D2FF7">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Predkladaným návrhom zákona sa napĺňa úloha č. 2 v mesiaci máj 2022 z Plánu legislatívnych úloh vlády Slovenskej republiky na </w:t>
            </w:r>
            <w:r w:rsidR="00E620BD" w:rsidRPr="00126539">
              <w:rPr>
                <w:rFonts w:ascii="Times New Roman" w:eastAsia="Times New Roman" w:hAnsi="Times New Roman" w:cs="Times New Roman"/>
                <w:sz w:val="20"/>
                <w:szCs w:val="20"/>
                <w:lang w:eastAsia="sk-SK"/>
              </w:rPr>
              <w:t>rok</w:t>
            </w:r>
            <w:r w:rsidRPr="00126539">
              <w:rPr>
                <w:rFonts w:ascii="Times New Roman" w:eastAsia="Times New Roman" w:hAnsi="Times New Roman" w:cs="Times New Roman"/>
                <w:sz w:val="20"/>
                <w:szCs w:val="20"/>
                <w:lang w:eastAsia="sk-SK"/>
              </w:rPr>
              <w:t xml:space="preserve"> 2022 a úloha B.1. z uznesenia vlády SR č. 15 zo dňa 12. januára 2022, v zmysle ktorej má ministerka spravodlivosti zabezpečiť v spolupráci s podpredsedom vlády a ministrom hospodárstva Slovenskej republiky plnenie úloh vyplývajúcich z Plánu legislatívnych úloh vlády Slovenskej republiky na rok 2022.</w:t>
            </w:r>
          </w:p>
          <w:p w:rsidR="001B23B7" w:rsidRPr="00126539" w:rsidRDefault="009D2FF7" w:rsidP="004309A8">
            <w:pPr>
              <w:jc w:val="both"/>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sz w:val="20"/>
                <w:szCs w:val="20"/>
                <w:lang w:eastAsia="sk-SK"/>
              </w:rPr>
              <w:t>Návrhom zákona sa do právneho poriadku Slovenskej republiky preberá cit. smernica, ktorou sa ruší smernica Európskeho parlamentu a Rady 2009/22/ES, ktorá umožňovala oprávneným subjektom podávať žaloby na ochranu kolektívnych záujmov spotrebiteľov najmä na účely upustenia od porušenia práva Únie alebo zákazu porušenia práva Únie poškodzujúceho kolektívne záujmy spotrebiteľov. V uvedenej (predošlej) smernici sa však nedostatočne riešili výzvy týkajúce sa presadzovania spotrebiteľského práva, preto bola nahradená cit. smernicou. Problémom je, že niektoré členské štáty nemajú zavedený žiadny procesný mechanizmus pre kolektívne žaloby o vydanie nápravných opatrení, čo znižuje dôveru spotrebiteľov a podnikov vo vnútorný trh a ich schopnosť pôsobiť na vnútornom trhu. Preto Európska komisia pristúpila k prijatiu novej smernice, ktorá tento problém odstraňuje.</w:t>
            </w:r>
          </w:p>
        </w:tc>
      </w:tr>
      <w:tr w:rsidR="001B23B7" w:rsidRPr="00126539" w:rsidTr="008F4907">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Ciele a výsledný stav</w:t>
            </w:r>
          </w:p>
        </w:tc>
      </w:tr>
      <w:tr w:rsidR="001B23B7" w:rsidRPr="00126539" w:rsidTr="008F4907">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126539" w:rsidRDefault="009D2FF7" w:rsidP="004309A8">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Cieľom transpozície smernice je formou nového zákona zaistiť, aby mali spotrebitelia k dispozícii účinný a efektívny procesný mechanizmus pre žaloby na ochranu kolektívnych záujmov spotrebiteľov a zvýšila sa tak dôvera spotrebiteľov, posilnilo sa ich postavenie pri uplatňovaní ich práv, a prispelo sa k spravodlivejšej hospodárskej súťaži a vytvorili sa rovnaké podmienky pre obchodníkov pôsobiacich na vnútornom trhu. Návrh zákona má ambíciu zabezpečiť potrebnú rovnováhu medzi zlepšujúcim sa prístupom spotrebiteľov k spravodlivosti a poskytnutím primeraných záruk pre obchodníkov pred zneužívaním sporov, ktoré by neodôvodnene bránili podnikom vykonávať činnosť na vnútornom trhu</w:t>
            </w:r>
            <w:r w:rsidR="0077073C" w:rsidRPr="00126539">
              <w:rPr>
                <w:rFonts w:ascii="Times New Roman" w:eastAsia="Times New Roman" w:hAnsi="Times New Roman" w:cs="Times New Roman"/>
                <w:sz w:val="20"/>
                <w:szCs w:val="20"/>
                <w:lang w:eastAsia="sk-SK"/>
              </w:rPr>
              <w:t>.</w:t>
            </w:r>
          </w:p>
        </w:tc>
      </w:tr>
      <w:tr w:rsidR="001B23B7" w:rsidRPr="00126539" w:rsidTr="008F4907">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Dotknuté subjekty</w:t>
            </w:r>
          </w:p>
        </w:tc>
      </w:tr>
      <w:tr w:rsidR="001B23B7" w:rsidRPr="00126539" w:rsidTr="008F4907">
        <w:tc>
          <w:tcPr>
            <w:tcW w:w="9180" w:type="dxa"/>
            <w:gridSpan w:val="11"/>
            <w:tcBorders>
              <w:top w:val="nil"/>
              <w:left w:val="single" w:sz="4" w:space="0" w:color="auto"/>
              <w:bottom w:val="single" w:sz="4" w:space="0" w:color="auto"/>
              <w:right w:val="single" w:sz="4" w:space="0" w:color="auto"/>
            </w:tcBorders>
            <w:shd w:val="clear" w:color="auto" w:fill="FFFFFF"/>
          </w:tcPr>
          <w:p w:rsidR="00FD694D" w:rsidRPr="00126539" w:rsidRDefault="009D2FF7" w:rsidP="004309A8">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Predkladaný materiál sa priamo nedotkne žiadneho subjektu. V prípade jeho využitia v aplikačnej praxi zo strany združení na ochranu spotrebiteľov sa môže dotknúť obchodníkov, ktorí môžu čeliť podaným žalobám z dôvodu podozrenia na používanie nekalých klauzúl v spotrebiteľských zmluvách alebo nekalých praktík uplatňovaných voči spotrebiteľom, kedy združenia v prípade úspechu na súde môžu vysúdiť pre poškodených spotrebiteľov nemalé odškodné. Podľa štatistických ukazovateľov možno vysledovať len počty podaných žalôb o abstraktnej kontrole v spotrebiteľských veciach (podľa § 301 a </w:t>
            </w:r>
            <w:proofErr w:type="spellStart"/>
            <w:r w:rsidRPr="00126539">
              <w:rPr>
                <w:rFonts w:ascii="Times New Roman" w:eastAsia="Times New Roman" w:hAnsi="Times New Roman" w:cs="Times New Roman"/>
                <w:sz w:val="20"/>
                <w:szCs w:val="20"/>
                <w:lang w:eastAsia="sk-SK"/>
              </w:rPr>
              <w:t>nasl</w:t>
            </w:r>
            <w:proofErr w:type="spellEnd"/>
            <w:r w:rsidRPr="00126539">
              <w:rPr>
                <w:rFonts w:ascii="Times New Roman" w:eastAsia="Times New Roman" w:hAnsi="Times New Roman" w:cs="Times New Roman"/>
                <w:sz w:val="20"/>
                <w:szCs w:val="20"/>
                <w:lang w:eastAsia="sk-SK"/>
              </w:rPr>
              <w:t>. Civilného sporového poriadku), ktoré možno počítať v desiatkach (</w:t>
            </w:r>
            <w:r w:rsidR="00FD694D" w:rsidRPr="00126539">
              <w:rPr>
                <w:rFonts w:ascii="Times New Roman" w:eastAsia="Times New Roman" w:hAnsi="Times New Roman" w:cs="Times New Roman"/>
                <w:sz w:val="20"/>
                <w:szCs w:val="20"/>
                <w:lang w:eastAsia="sk-SK"/>
              </w:rPr>
              <w:t>priemerný ročný počet za roky 2018 – 2021 – 30,25 žaloby</w:t>
            </w:r>
            <w:r w:rsidRPr="00126539">
              <w:rPr>
                <w:rFonts w:ascii="Times New Roman" w:eastAsia="Times New Roman" w:hAnsi="Times New Roman" w:cs="Times New Roman"/>
                <w:sz w:val="20"/>
                <w:szCs w:val="20"/>
                <w:lang w:eastAsia="sk-SK"/>
              </w:rPr>
              <w:t xml:space="preserve">). </w:t>
            </w:r>
          </w:p>
          <w:p w:rsidR="001B23B7" w:rsidRPr="00126539" w:rsidRDefault="009D2FF7" w:rsidP="004309A8">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Možno predpokladať, že predkladaným návrhom zákona tieto počty stúpnu, pretože okrem inštitútu žaloby o abstraktnej kontrole sa zákonom zavádza inštitút žaloby o vydanie nápravného opatrenia, ktorých počet môže byť vyšší. Na podanie žalôb v týchto konania budú aktívne legitimované oprávnené subjekty (združenia), ktoré budú spĺňať kritéria stanovené zákonom, a na konania o</w:t>
            </w:r>
            <w:r w:rsidR="00967ECB" w:rsidRPr="00126539">
              <w:rPr>
                <w:rFonts w:ascii="Times New Roman" w:eastAsia="Times New Roman" w:hAnsi="Times New Roman" w:cs="Times New Roman"/>
                <w:sz w:val="20"/>
                <w:szCs w:val="20"/>
                <w:lang w:eastAsia="sk-SK"/>
              </w:rPr>
              <w:t xml:space="preserve"> </w:t>
            </w:r>
            <w:r w:rsidRPr="00126539">
              <w:rPr>
                <w:rFonts w:ascii="Times New Roman" w:eastAsia="Times New Roman" w:hAnsi="Times New Roman" w:cs="Times New Roman"/>
                <w:sz w:val="20"/>
                <w:szCs w:val="20"/>
                <w:lang w:eastAsia="sk-SK"/>
              </w:rPr>
              <w:t>abstraktnej kontrole budú aktívne legitimovaní jednak oprávnené subjekty ale aj orgány</w:t>
            </w:r>
            <w:r w:rsidR="00967ECB" w:rsidRPr="00126539">
              <w:rPr>
                <w:rFonts w:ascii="Times New Roman" w:eastAsia="Times New Roman" w:hAnsi="Times New Roman" w:cs="Times New Roman"/>
                <w:sz w:val="20"/>
                <w:szCs w:val="20"/>
                <w:lang w:eastAsia="sk-SK"/>
              </w:rPr>
              <w:t xml:space="preserve"> dohľadu</w:t>
            </w:r>
            <w:r w:rsidRPr="00126539">
              <w:rPr>
                <w:rFonts w:ascii="Times New Roman" w:eastAsia="Times New Roman" w:hAnsi="Times New Roman" w:cs="Times New Roman"/>
                <w:sz w:val="20"/>
                <w:szCs w:val="20"/>
                <w:lang w:eastAsia="sk-SK"/>
              </w:rPr>
              <w:t xml:space="preserve">, tak ako tomu bolo doteraz podľa Civilného sporového poriadku. Súčasne možno predpokladať, že nový zákon bude mať aj odstrašujúci efekt, ale aj motivačnú funkciu pre </w:t>
            </w:r>
            <w:r w:rsidRPr="00126539">
              <w:rPr>
                <w:rFonts w:ascii="Times New Roman" w:eastAsia="Times New Roman" w:hAnsi="Times New Roman" w:cs="Times New Roman"/>
                <w:sz w:val="20"/>
                <w:szCs w:val="20"/>
                <w:lang w:eastAsia="sk-SK"/>
              </w:rPr>
              <w:lastRenderedPageBreak/>
              <w:t xml:space="preserve">slušnejšie podnikanie a nastavenie zmluvných podmienok v spotrebiteľských zmluvách, a podané </w:t>
            </w:r>
            <w:r w:rsidR="00967ECB" w:rsidRPr="00126539">
              <w:rPr>
                <w:rFonts w:ascii="Times New Roman" w:eastAsia="Times New Roman" w:hAnsi="Times New Roman" w:cs="Times New Roman"/>
                <w:sz w:val="20"/>
                <w:szCs w:val="20"/>
                <w:lang w:eastAsia="sk-SK"/>
              </w:rPr>
              <w:t xml:space="preserve">žaloby </w:t>
            </w:r>
            <w:r w:rsidRPr="00126539">
              <w:rPr>
                <w:rFonts w:ascii="Times New Roman" w:eastAsia="Times New Roman" w:hAnsi="Times New Roman" w:cs="Times New Roman"/>
                <w:sz w:val="20"/>
                <w:szCs w:val="20"/>
                <w:lang w:eastAsia="sk-SK"/>
              </w:rPr>
              <w:t>nebudú musieť byť v takom množstve. Prípadný spor môže vyústiť aj do mimosúdnej dohody žalobcov a žalovaných</w:t>
            </w:r>
            <w:r w:rsidR="00A35AAC" w:rsidRPr="00126539">
              <w:rPr>
                <w:rFonts w:ascii="Times New Roman" w:eastAsia="Times New Roman" w:hAnsi="Times New Roman" w:cs="Times New Roman"/>
                <w:sz w:val="20"/>
                <w:szCs w:val="20"/>
                <w:lang w:eastAsia="sk-SK"/>
              </w:rPr>
              <w:t>.</w:t>
            </w:r>
          </w:p>
          <w:p w:rsidR="0077073C" w:rsidRPr="00126539" w:rsidRDefault="0077073C" w:rsidP="008F4907">
            <w:pPr>
              <w:rPr>
                <w:rFonts w:ascii="Times New Roman" w:eastAsia="Times New Roman" w:hAnsi="Times New Roman" w:cs="Times New Roman"/>
                <w:i/>
                <w:sz w:val="20"/>
                <w:szCs w:val="20"/>
                <w:lang w:eastAsia="sk-SK"/>
              </w:rPr>
            </w:pPr>
          </w:p>
        </w:tc>
      </w:tr>
      <w:tr w:rsidR="001B23B7" w:rsidRPr="00126539" w:rsidTr="008F4907">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lastRenderedPageBreak/>
              <w:t>Alternatívne riešenia</w:t>
            </w:r>
          </w:p>
        </w:tc>
      </w:tr>
      <w:tr w:rsidR="001B23B7" w:rsidRPr="00126539" w:rsidTr="008F4907">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9D2FF7" w:rsidRPr="00126539" w:rsidRDefault="009D2FF7" w:rsidP="009D2FF7">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Predkladaným materiálom sa zabezpečí splnenie transpozičnej povinnosti SR vo vzťahu k EÚ a k splneniu  úlohy č. 2 v mesiaci máj 2022 z Plánu legislatívnych úloh vlády Slovenskej republiky na mesiace január až jún 2022.</w:t>
            </w:r>
          </w:p>
          <w:p w:rsidR="001B23B7" w:rsidRPr="00126539" w:rsidRDefault="009D2FF7" w:rsidP="0077073C">
            <w:pPr>
              <w:jc w:val="both"/>
              <w:rPr>
                <w:rFonts w:ascii="Times New Roman" w:eastAsia="Times New Roman" w:hAnsi="Times New Roman" w:cs="Times New Roman"/>
                <w:i/>
                <w:sz w:val="20"/>
                <w:szCs w:val="20"/>
                <w:lang w:eastAsia="sk-SK"/>
              </w:rPr>
            </w:pPr>
            <w:r w:rsidRPr="00126539">
              <w:rPr>
                <w:rFonts w:ascii="Times New Roman" w:eastAsia="Times New Roman" w:hAnsi="Times New Roman" w:cs="Times New Roman"/>
                <w:sz w:val="20"/>
                <w:szCs w:val="20"/>
                <w:lang w:eastAsia="sk-SK"/>
              </w:rPr>
              <w:t xml:space="preserve">Vzhľadom na povinnosť transpozície smernice Európskeho parlamentu a Rady (EÚ) 2020/1828 z 25. novembra 2020 o žalobách v zastúpení na ochranu kolektívnych záujmov spotrebiteľov a o zrušení smernice 2009/22/ES do slovenského právneho poriadku neprichádza do úvahy tzv. nulový variant – zachovanie súčasného legislatívneho stavu. V súčasnosti nevieme zabezpečiť v rámci právnej úpravy de </w:t>
            </w:r>
            <w:proofErr w:type="spellStart"/>
            <w:r w:rsidRPr="00126539">
              <w:rPr>
                <w:rFonts w:ascii="Times New Roman" w:eastAsia="Times New Roman" w:hAnsi="Times New Roman" w:cs="Times New Roman"/>
                <w:sz w:val="20"/>
                <w:szCs w:val="20"/>
                <w:lang w:eastAsia="sk-SK"/>
              </w:rPr>
              <w:t>lege</w:t>
            </w:r>
            <w:proofErr w:type="spellEnd"/>
            <w:r w:rsidRPr="00126539">
              <w:rPr>
                <w:rFonts w:ascii="Times New Roman" w:eastAsia="Times New Roman" w:hAnsi="Times New Roman" w:cs="Times New Roman"/>
                <w:sz w:val="20"/>
                <w:szCs w:val="20"/>
                <w:lang w:eastAsia="sk-SK"/>
              </w:rPr>
              <w:t xml:space="preserve"> lata účinný a efektívny procesný mechanizmus pre žaloby na ochranu kolektívnych záujmov spotrebiteľov (vo vzťahu k nápravným opatreniam), preto je potrebné pristúpiť k prijatiu nového zákona, ktorý zabezpečí transpozíciu cit. smernice</w:t>
            </w:r>
            <w:r w:rsidR="0077073C" w:rsidRPr="00126539">
              <w:rPr>
                <w:rFonts w:ascii="Times New Roman" w:eastAsia="Times New Roman" w:hAnsi="Times New Roman" w:cs="Times New Roman"/>
                <w:sz w:val="20"/>
                <w:szCs w:val="20"/>
                <w:lang w:eastAsia="sk-SK"/>
              </w:rPr>
              <w:t>.</w:t>
            </w:r>
          </w:p>
        </w:tc>
      </w:tr>
      <w:tr w:rsidR="001B23B7" w:rsidRPr="00126539" w:rsidTr="008F49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Vykonávacie predpisy</w:t>
            </w:r>
          </w:p>
        </w:tc>
      </w:tr>
      <w:tr w:rsidR="001B23B7" w:rsidRPr="00126539" w:rsidTr="008F4907">
        <w:tc>
          <w:tcPr>
            <w:tcW w:w="6203" w:type="dxa"/>
            <w:gridSpan w:val="7"/>
            <w:tcBorders>
              <w:top w:val="single" w:sz="4" w:space="0" w:color="FFFFFF"/>
              <w:left w:val="single" w:sz="4" w:space="0" w:color="auto"/>
              <w:bottom w:val="nil"/>
              <w:right w:val="nil"/>
            </w:tcBorders>
            <w:shd w:val="clear" w:color="auto" w:fill="FFFFFF"/>
          </w:tcPr>
          <w:p w:rsidR="001B23B7" w:rsidRPr="00126539" w:rsidRDefault="001B23B7" w:rsidP="008F4907">
            <w:pPr>
              <w:rPr>
                <w:rFonts w:ascii="Times New Roman" w:eastAsia="Times New Roman" w:hAnsi="Times New Roman" w:cs="Times New Roman"/>
                <w:i/>
                <w:sz w:val="20"/>
                <w:szCs w:val="20"/>
                <w:lang w:eastAsia="sk-SK"/>
              </w:rPr>
            </w:pPr>
            <w:r w:rsidRPr="00126539">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126539" w:rsidRDefault="00703F2C" w:rsidP="008F4907">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77073C" w:rsidRPr="00126539">
                  <w:rPr>
                    <w:rFonts w:ascii="Segoe UI Symbol" w:eastAsia="MS Gothic" w:hAnsi="Segoe UI Symbol" w:cs="Segoe UI Symbol"/>
                    <w:b/>
                    <w:sz w:val="20"/>
                    <w:szCs w:val="20"/>
                    <w:lang w:eastAsia="sk-SK"/>
                  </w:rPr>
                  <w:t>☒</w:t>
                </w:r>
              </w:sdtContent>
            </w:sdt>
            <w:r w:rsidR="001B23B7" w:rsidRPr="00126539">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126539" w:rsidRDefault="00703F2C"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sidRPr="00126539">
                  <w:rPr>
                    <w:rFonts w:ascii="Segoe UI Symbol" w:eastAsia="MS Gothic" w:hAnsi="Segoe UI Symbol" w:cs="Segoe UI Symbol"/>
                    <w:b/>
                    <w:sz w:val="20"/>
                    <w:szCs w:val="20"/>
                    <w:lang w:eastAsia="sk-SK"/>
                  </w:rPr>
                  <w:t>☐</w:t>
                </w:r>
              </w:sdtContent>
            </w:sdt>
            <w:r w:rsidR="001B23B7" w:rsidRPr="00126539">
              <w:rPr>
                <w:rFonts w:ascii="Times New Roman" w:eastAsia="Times New Roman" w:hAnsi="Times New Roman" w:cs="Times New Roman"/>
                <w:b/>
                <w:sz w:val="20"/>
                <w:szCs w:val="20"/>
                <w:lang w:eastAsia="sk-SK"/>
              </w:rPr>
              <w:t xml:space="preserve">  Nie</w:t>
            </w:r>
          </w:p>
        </w:tc>
      </w:tr>
      <w:tr w:rsidR="001B23B7" w:rsidRPr="00126539" w:rsidTr="008F4907">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126539" w:rsidRDefault="001B23B7" w:rsidP="008F4907">
            <w:pPr>
              <w:rPr>
                <w:rFonts w:ascii="Times New Roman" w:eastAsia="Times New Roman" w:hAnsi="Times New Roman" w:cs="Times New Roman"/>
                <w:i/>
                <w:sz w:val="20"/>
                <w:szCs w:val="20"/>
                <w:lang w:eastAsia="sk-SK"/>
              </w:rPr>
            </w:pPr>
          </w:p>
          <w:p w:rsidR="00A117B8" w:rsidRPr="00126539" w:rsidRDefault="009D2FF7" w:rsidP="004309A8">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Ide o</w:t>
            </w:r>
            <w:r w:rsidR="00967ECB" w:rsidRPr="00126539">
              <w:rPr>
                <w:rFonts w:ascii="Times New Roman" w:eastAsia="Times New Roman" w:hAnsi="Times New Roman" w:cs="Times New Roman"/>
                <w:sz w:val="20"/>
                <w:szCs w:val="20"/>
                <w:lang w:eastAsia="sk-SK"/>
              </w:rPr>
              <w:t xml:space="preserve"> </w:t>
            </w:r>
            <w:r w:rsidRPr="00126539">
              <w:rPr>
                <w:rFonts w:ascii="Times New Roman" w:eastAsia="Times New Roman" w:hAnsi="Times New Roman" w:cs="Times New Roman"/>
                <w:sz w:val="20"/>
                <w:szCs w:val="20"/>
                <w:lang w:eastAsia="sk-SK"/>
              </w:rPr>
              <w:t xml:space="preserve">nový vykonávací predpis, ktorý bolo potrebné pripraviť súčasne s novým zákonom – Vyhláška Ministerstva spravodlivosti Slovenskej republiky.../2023 z ... 2023, </w:t>
            </w:r>
            <w:r w:rsidR="00967ECB" w:rsidRPr="00126539">
              <w:rPr>
                <w:rFonts w:ascii="Times New Roman" w:eastAsia="Times New Roman" w:hAnsi="Times New Roman" w:cs="Times New Roman"/>
                <w:sz w:val="20"/>
                <w:szCs w:val="20"/>
                <w:lang w:eastAsia="sk-SK"/>
              </w:rPr>
              <w:t xml:space="preserve">ktorou sa vykonávajú niektoré ustanovenia zákona č. .../2023 o žalobách na ochranu kolektívnych záujmov spotrebiteľov a o zmene a doplnení niektorých zákonov, ktorá </w:t>
            </w:r>
            <w:r w:rsidRPr="00126539">
              <w:rPr>
                <w:rFonts w:ascii="Times New Roman" w:eastAsia="Times New Roman" w:hAnsi="Times New Roman" w:cs="Times New Roman"/>
                <w:sz w:val="20"/>
                <w:szCs w:val="20"/>
                <w:lang w:eastAsia="sk-SK"/>
              </w:rPr>
              <w:t>ustanov</w:t>
            </w:r>
            <w:r w:rsidR="00967ECB" w:rsidRPr="00126539">
              <w:rPr>
                <w:rFonts w:ascii="Times New Roman" w:eastAsia="Times New Roman" w:hAnsi="Times New Roman" w:cs="Times New Roman"/>
                <w:sz w:val="20"/>
                <w:szCs w:val="20"/>
                <w:lang w:eastAsia="sk-SK"/>
              </w:rPr>
              <w:t>uje</w:t>
            </w:r>
            <w:r w:rsidRPr="00126539">
              <w:rPr>
                <w:rFonts w:ascii="Times New Roman" w:eastAsia="Times New Roman" w:hAnsi="Times New Roman" w:cs="Times New Roman"/>
                <w:sz w:val="20"/>
                <w:szCs w:val="20"/>
                <w:lang w:eastAsia="sk-SK"/>
              </w:rPr>
              <w:t xml:space="preserve"> vzory tlačív na podávanie žalobného zámeru, prihlášky k žalobnému zámeru a odhlásenia sa zo žalobného zámeru v súvislosti so žalobami na vydanie nápravného opatrenia</w:t>
            </w:r>
            <w:r w:rsidR="00967ECB" w:rsidRPr="00126539">
              <w:rPr>
                <w:rFonts w:ascii="Times New Roman" w:eastAsia="Times New Roman" w:hAnsi="Times New Roman" w:cs="Times New Roman"/>
                <w:sz w:val="20"/>
                <w:szCs w:val="20"/>
                <w:lang w:eastAsia="sk-SK"/>
              </w:rPr>
              <w:t xml:space="preserve">, ako aj výšku úhrady spotrebiteľa za </w:t>
            </w:r>
            <w:proofErr w:type="spellStart"/>
            <w:r w:rsidR="00967ECB" w:rsidRPr="00126539">
              <w:rPr>
                <w:rFonts w:ascii="Times New Roman" w:eastAsia="Times New Roman" w:hAnsi="Times New Roman" w:cs="Times New Roman"/>
                <w:sz w:val="20"/>
                <w:szCs w:val="20"/>
                <w:lang w:eastAsia="sk-SK"/>
              </w:rPr>
              <w:t>za</w:t>
            </w:r>
            <w:proofErr w:type="spellEnd"/>
            <w:r w:rsidR="00967ECB" w:rsidRPr="00126539">
              <w:rPr>
                <w:rFonts w:ascii="Times New Roman" w:eastAsia="Times New Roman" w:hAnsi="Times New Roman" w:cs="Times New Roman"/>
                <w:sz w:val="20"/>
                <w:szCs w:val="20"/>
                <w:lang w:eastAsia="sk-SK"/>
              </w:rPr>
              <w:t xml:space="preserve"> podanie prihlášky k žalobnému zámeru a odvolanie súhlasu</w:t>
            </w:r>
            <w:r w:rsidR="00A117B8" w:rsidRPr="00126539">
              <w:rPr>
                <w:rFonts w:ascii="Times New Roman" w:eastAsia="Times New Roman" w:hAnsi="Times New Roman" w:cs="Times New Roman"/>
                <w:sz w:val="20"/>
                <w:szCs w:val="20"/>
                <w:lang w:eastAsia="sk-SK"/>
              </w:rPr>
              <w:t>.</w:t>
            </w:r>
          </w:p>
          <w:p w:rsidR="00A117B8" w:rsidRPr="00126539" w:rsidRDefault="00A117B8" w:rsidP="008F4907">
            <w:pPr>
              <w:rPr>
                <w:rFonts w:ascii="Times New Roman" w:eastAsia="Times New Roman" w:hAnsi="Times New Roman" w:cs="Times New Roman"/>
                <w:sz w:val="20"/>
                <w:szCs w:val="20"/>
                <w:lang w:eastAsia="sk-SK"/>
              </w:rPr>
            </w:pPr>
          </w:p>
        </w:tc>
      </w:tr>
      <w:tr w:rsidR="001B23B7" w:rsidRPr="00126539" w:rsidTr="008F49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 xml:space="preserve">Transpozícia práva EÚ </w:t>
            </w:r>
          </w:p>
        </w:tc>
      </w:tr>
      <w:tr w:rsidR="001B23B7" w:rsidRPr="00126539" w:rsidTr="008F4907">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8584C" w:rsidRPr="00126539">
              <w:trPr>
                <w:trHeight w:val="90"/>
              </w:trPr>
              <w:tc>
                <w:tcPr>
                  <w:tcW w:w="8643" w:type="dxa"/>
                </w:tcPr>
                <w:p w:rsidR="00A7788F" w:rsidRPr="00126539" w:rsidRDefault="00A7788F" w:rsidP="00A7788F">
                  <w:pPr>
                    <w:pStyle w:val="Default"/>
                    <w:rPr>
                      <w:color w:val="000000" w:themeColor="text1"/>
                      <w:sz w:val="20"/>
                      <w:szCs w:val="20"/>
                    </w:rPr>
                  </w:pPr>
                  <w:r w:rsidRPr="00126539">
                    <w:rPr>
                      <w:i/>
                      <w:iCs/>
                      <w:color w:val="000000" w:themeColor="text1"/>
                      <w:sz w:val="20"/>
                      <w:szCs w:val="20"/>
                    </w:rPr>
                    <w:t xml:space="preserve">Uveďte, či v predkladanom návrhu právneho predpisu dochádza ku </w:t>
                  </w:r>
                  <w:proofErr w:type="spellStart"/>
                  <w:r w:rsidRPr="00126539">
                    <w:rPr>
                      <w:i/>
                      <w:iCs/>
                      <w:color w:val="000000" w:themeColor="text1"/>
                      <w:sz w:val="20"/>
                      <w:szCs w:val="20"/>
                    </w:rPr>
                    <w:t>goldplatingu</w:t>
                  </w:r>
                  <w:proofErr w:type="spellEnd"/>
                  <w:r w:rsidRPr="00126539">
                    <w:rPr>
                      <w:i/>
                      <w:iCs/>
                      <w:color w:val="000000" w:themeColor="text1"/>
                      <w:sz w:val="20"/>
                      <w:szCs w:val="20"/>
                    </w:rPr>
                    <w:t xml:space="preserve"> podľa tabuľky zhody. </w:t>
                  </w:r>
                </w:p>
              </w:tc>
            </w:tr>
            <w:tr w:rsidR="0068584C" w:rsidRPr="00126539">
              <w:trPr>
                <w:trHeight w:val="296"/>
              </w:trPr>
              <w:tc>
                <w:tcPr>
                  <w:tcW w:w="8643" w:type="dxa"/>
                </w:tcPr>
                <w:p w:rsidR="00A7788F" w:rsidRPr="00126539" w:rsidRDefault="00A7788F" w:rsidP="002C4B93">
                  <w:pPr>
                    <w:pStyle w:val="Default"/>
                    <w:jc w:val="both"/>
                    <w:rPr>
                      <w:b/>
                      <w:iCs/>
                      <w:color w:val="000000" w:themeColor="text1"/>
                      <w:sz w:val="20"/>
                      <w:szCs w:val="20"/>
                    </w:rPr>
                  </w:pPr>
                  <w:r w:rsidRPr="00126539">
                    <w:rPr>
                      <w:b/>
                      <w:iCs/>
                      <w:color w:val="000000" w:themeColor="text1"/>
                      <w:sz w:val="20"/>
                      <w:szCs w:val="20"/>
                    </w:rPr>
                    <w:t xml:space="preserve">                                                                                                                               </w:t>
                  </w:r>
                  <w:sdt>
                    <w:sdtPr>
                      <w:rPr>
                        <w:b/>
                        <w:iCs/>
                        <w:color w:val="000000" w:themeColor="text1"/>
                        <w:sz w:val="20"/>
                        <w:szCs w:val="20"/>
                      </w:rPr>
                      <w:id w:val="1614706761"/>
                      <w14:checkbox>
                        <w14:checked w14:val="1"/>
                        <w14:checkedState w14:val="2612" w14:font="MS Gothic"/>
                        <w14:uncheckedState w14:val="2610" w14:font="MS Gothic"/>
                      </w14:checkbox>
                    </w:sdtPr>
                    <w:sdtEndPr/>
                    <w:sdtContent>
                      <w:r w:rsidR="0077073C" w:rsidRPr="00126539">
                        <w:rPr>
                          <w:rFonts w:ascii="Segoe UI Symbol" w:eastAsia="MS Gothic" w:hAnsi="Segoe UI Symbol" w:cs="Segoe UI Symbol"/>
                          <w:b/>
                          <w:iCs/>
                          <w:color w:val="000000" w:themeColor="text1"/>
                          <w:sz w:val="20"/>
                          <w:szCs w:val="20"/>
                        </w:rPr>
                        <w:t>☒</w:t>
                      </w:r>
                    </w:sdtContent>
                  </w:sdt>
                  <w:r w:rsidRPr="00126539">
                    <w:rPr>
                      <w:b/>
                      <w:iCs/>
                      <w:color w:val="000000" w:themeColor="text1"/>
                      <w:sz w:val="20"/>
                      <w:szCs w:val="20"/>
                    </w:rPr>
                    <w:t xml:space="preserve"> Áno                  </w:t>
                  </w:r>
                  <w:sdt>
                    <w:sdtPr>
                      <w:rPr>
                        <w:b/>
                        <w:iCs/>
                        <w:color w:val="000000" w:themeColor="text1"/>
                        <w:sz w:val="20"/>
                        <w:szCs w:val="20"/>
                      </w:rPr>
                      <w:id w:val="-155225922"/>
                      <w14:checkbox>
                        <w14:checked w14:val="0"/>
                        <w14:checkedState w14:val="2612" w14:font="MS Gothic"/>
                        <w14:uncheckedState w14:val="2610" w14:font="MS Gothic"/>
                      </w14:checkbox>
                    </w:sdtPr>
                    <w:sdtEndPr/>
                    <w:sdtContent>
                      <w:r w:rsidR="00187182" w:rsidRPr="00126539">
                        <w:rPr>
                          <w:rFonts w:ascii="Segoe UI Symbol" w:eastAsia="MS Gothic" w:hAnsi="Segoe UI Symbol" w:cs="Segoe UI Symbol"/>
                          <w:b/>
                          <w:iCs/>
                          <w:color w:val="000000" w:themeColor="text1"/>
                          <w:sz w:val="20"/>
                          <w:szCs w:val="20"/>
                        </w:rPr>
                        <w:t>☐</w:t>
                      </w:r>
                    </w:sdtContent>
                  </w:sdt>
                  <w:r w:rsidRPr="00126539">
                    <w:rPr>
                      <w:b/>
                      <w:iCs/>
                      <w:color w:val="000000" w:themeColor="text1"/>
                      <w:sz w:val="20"/>
                      <w:szCs w:val="20"/>
                    </w:rPr>
                    <w:t xml:space="preserve"> Nie</w:t>
                  </w:r>
                </w:p>
                <w:p w:rsidR="00A7788F" w:rsidRPr="00126539" w:rsidRDefault="00A7788F" w:rsidP="002C4B93">
                  <w:pPr>
                    <w:pStyle w:val="Default"/>
                    <w:jc w:val="both"/>
                    <w:rPr>
                      <w:i/>
                      <w:iCs/>
                      <w:color w:val="000000" w:themeColor="text1"/>
                      <w:sz w:val="20"/>
                      <w:szCs w:val="20"/>
                    </w:rPr>
                  </w:pPr>
                </w:p>
                <w:p w:rsidR="00A7788F" w:rsidRPr="00126539" w:rsidRDefault="00A7788F" w:rsidP="002C4B93">
                  <w:pPr>
                    <w:pStyle w:val="Default"/>
                    <w:jc w:val="both"/>
                    <w:rPr>
                      <w:i/>
                      <w:iCs/>
                      <w:color w:val="000000" w:themeColor="text1"/>
                      <w:sz w:val="20"/>
                      <w:szCs w:val="20"/>
                    </w:rPr>
                  </w:pPr>
                  <w:r w:rsidRPr="00126539">
                    <w:rPr>
                      <w:i/>
                      <w:iCs/>
                      <w:color w:val="000000" w:themeColor="text1"/>
                      <w:sz w:val="20"/>
                      <w:szCs w:val="20"/>
                    </w:rPr>
                    <w:t xml:space="preserve">Ak áno, uveďte, ktorých vplyvov podľa bodu 9 sa </w:t>
                  </w:r>
                  <w:proofErr w:type="spellStart"/>
                  <w:r w:rsidRPr="00126539">
                    <w:rPr>
                      <w:i/>
                      <w:iCs/>
                      <w:color w:val="000000" w:themeColor="text1"/>
                      <w:sz w:val="20"/>
                      <w:szCs w:val="20"/>
                    </w:rPr>
                    <w:t>goldplating</w:t>
                  </w:r>
                  <w:proofErr w:type="spellEnd"/>
                  <w:r w:rsidRPr="00126539">
                    <w:rPr>
                      <w:i/>
                      <w:iCs/>
                      <w:color w:val="000000" w:themeColor="text1"/>
                      <w:sz w:val="20"/>
                      <w:szCs w:val="20"/>
                    </w:rPr>
                    <w:t xml:space="preserve"> týka: </w:t>
                  </w:r>
                </w:p>
                <w:p w:rsidR="0077073C" w:rsidRPr="00126539" w:rsidRDefault="0077073C" w:rsidP="002C4B93">
                  <w:pPr>
                    <w:pStyle w:val="Default"/>
                    <w:jc w:val="both"/>
                    <w:rPr>
                      <w:i/>
                      <w:iCs/>
                      <w:color w:val="000000" w:themeColor="text1"/>
                      <w:sz w:val="20"/>
                      <w:szCs w:val="20"/>
                    </w:rPr>
                  </w:pPr>
                </w:p>
                <w:p w:rsidR="009D2FF7" w:rsidRPr="00126539" w:rsidRDefault="009D2FF7" w:rsidP="009D2FF7">
                  <w:pPr>
                    <w:pStyle w:val="Default"/>
                    <w:jc w:val="both"/>
                    <w:rPr>
                      <w:color w:val="000000" w:themeColor="text1"/>
                      <w:sz w:val="20"/>
                      <w:szCs w:val="20"/>
                    </w:rPr>
                  </w:pPr>
                  <w:r w:rsidRPr="00126539">
                    <w:rPr>
                      <w:color w:val="000000" w:themeColor="text1"/>
                      <w:sz w:val="20"/>
                      <w:szCs w:val="20"/>
                    </w:rPr>
                    <w:t xml:space="preserve">                                                                                                                               </w:t>
                  </w:r>
                  <w:r w:rsidRPr="00126539">
                    <w:rPr>
                      <w:rFonts w:ascii="Segoe UI Symbol" w:hAnsi="Segoe UI Symbol" w:cs="Segoe UI Symbol"/>
                      <w:color w:val="000000" w:themeColor="text1"/>
                      <w:sz w:val="20"/>
                      <w:szCs w:val="20"/>
                    </w:rPr>
                    <w:t>☒</w:t>
                  </w:r>
                  <w:r w:rsidRPr="00126539">
                    <w:rPr>
                      <w:color w:val="000000" w:themeColor="text1"/>
                      <w:sz w:val="20"/>
                      <w:szCs w:val="20"/>
                    </w:rPr>
                    <w:t xml:space="preserve"> Áno                  </w:t>
                  </w:r>
                  <w:r w:rsidRPr="00126539">
                    <w:rPr>
                      <w:rFonts w:ascii="Segoe UI Symbol" w:hAnsi="Segoe UI Symbol" w:cs="Segoe UI Symbol"/>
                      <w:color w:val="000000" w:themeColor="text1"/>
                      <w:sz w:val="20"/>
                      <w:szCs w:val="20"/>
                    </w:rPr>
                    <w:t>☐</w:t>
                  </w:r>
                  <w:r w:rsidRPr="00126539">
                    <w:rPr>
                      <w:color w:val="000000" w:themeColor="text1"/>
                      <w:sz w:val="20"/>
                      <w:szCs w:val="20"/>
                    </w:rPr>
                    <w:t xml:space="preserve"> Nie</w:t>
                  </w:r>
                </w:p>
                <w:p w:rsidR="009D2FF7" w:rsidRPr="00126539" w:rsidRDefault="009D2FF7" w:rsidP="009D2FF7">
                  <w:pPr>
                    <w:pStyle w:val="Default"/>
                    <w:jc w:val="both"/>
                    <w:rPr>
                      <w:color w:val="000000" w:themeColor="text1"/>
                      <w:sz w:val="20"/>
                      <w:szCs w:val="20"/>
                    </w:rPr>
                  </w:pPr>
                </w:p>
                <w:p w:rsidR="009D2FF7" w:rsidRPr="00126539" w:rsidRDefault="009D2FF7" w:rsidP="009D2FF7">
                  <w:pPr>
                    <w:pStyle w:val="Default"/>
                    <w:jc w:val="both"/>
                    <w:rPr>
                      <w:color w:val="000000" w:themeColor="text1"/>
                      <w:sz w:val="20"/>
                      <w:szCs w:val="20"/>
                    </w:rPr>
                  </w:pPr>
                  <w:r w:rsidRPr="00126539">
                    <w:rPr>
                      <w:color w:val="000000" w:themeColor="text1"/>
                      <w:sz w:val="20"/>
                      <w:szCs w:val="20"/>
                    </w:rPr>
                    <w:t xml:space="preserve">Smernica v článku 4 ods. 3 stanovuje kritéria, ktoré musia splniť oprávnené subjekty/osoby na podávanie cezhraničných žalôb. </w:t>
                  </w:r>
                </w:p>
                <w:p w:rsidR="009D2FF7" w:rsidRPr="00126539" w:rsidRDefault="009D2FF7" w:rsidP="009D2FF7">
                  <w:pPr>
                    <w:pStyle w:val="Default"/>
                    <w:jc w:val="both"/>
                    <w:rPr>
                      <w:color w:val="000000" w:themeColor="text1"/>
                      <w:sz w:val="20"/>
                      <w:szCs w:val="20"/>
                    </w:rPr>
                  </w:pPr>
                  <w:r w:rsidRPr="00126539">
                    <w:rPr>
                      <w:color w:val="000000" w:themeColor="text1"/>
                      <w:sz w:val="20"/>
                      <w:szCs w:val="20"/>
                    </w:rPr>
                    <w:t xml:space="preserve">Navrhovaná právna úprava stanovuje, že uvedené kritéria musia splniť aj oprávnené osoby pre podávanie vnútroštátnych žalôb – identifikovaný </w:t>
                  </w:r>
                  <w:proofErr w:type="spellStart"/>
                  <w:r w:rsidRPr="00126539">
                    <w:rPr>
                      <w:color w:val="000000" w:themeColor="text1"/>
                      <w:sz w:val="20"/>
                      <w:szCs w:val="20"/>
                    </w:rPr>
                    <w:t>goldplating</w:t>
                  </w:r>
                  <w:proofErr w:type="spellEnd"/>
                  <w:r w:rsidRPr="00126539">
                    <w:rPr>
                      <w:color w:val="000000" w:themeColor="text1"/>
                      <w:sz w:val="20"/>
                      <w:szCs w:val="20"/>
                    </w:rPr>
                    <w:t xml:space="preserve"> má pozitívny vplyv na podnikateľské prostredie, pričom predkladateľ chce uvedenou úpravou dosiahnuť vyššiu úroveň oprávnených subjektov a to aj pre prípad, ak by sa v niektorých prípadoch zmenila potreba žalovať nielen vnútroštátne ale aj cezhranične. Nav</w:t>
                  </w:r>
                  <w:r w:rsidR="00967ECB" w:rsidRPr="00126539">
                    <w:rPr>
                      <w:color w:val="000000" w:themeColor="text1"/>
                      <w:sz w:val="20"/>
                      <w:szCs w:val="20"/>
                    </w:rPr>
                    <w:t>iac</w:t>
                  </w:r>
                  <w:r w:rsidRPr="00126539">
                    <w:rPr>
                      <w:color w:val="000000" w:themeColor="text1"/>
                      <w:sz w:val="20"/>
                      <w:szCs w:val="20"/>
                    </w:rPr>
                    <w:t xml:space="preserve"> zákonodarca pridal jedno kritérium navyše v § 6 ods. 1 písm. g), podľa ktorého nesmie byť uchádzač o zápis do zoznamu oprávnených osôb bolo zmenené v posledných 12 mesiacoch vyčiarknutý zo zoznamu) – identifikovaný </w:t>
                  </w:r>
                  <w:proofErr w:type="spellStart"/>
                  <w:r w:rsidRPr="00126539">
                    <w:rPr>
                      <w:color w:val="000000" w:themeColor="text1"/>
                      <w:sz w:val="20"/>
                      <w:szCs w:val="20"/>
                    </w:rPr>
                    <w:t>goldplating</w:t>
                  </w:r>
                  <w:proofErr w:type="spellEnd"/>
                  <w:r w:rsidRPr="00126539">
                    <w:rPr>
                      <w:color w:val="000000" w:themeColor="text1"/>
                      <w:sz w:val="20"/>
                      <w:szCs w:val="20"/>
                    </w:rPr>
                    <w:t xml:space="preserve"> má pozitívny vplyv na podnikateľské prostredie, pričom predkladateľ chce uvedenou úpravou zamedziť zakladaniu účelových a špekulatívnych združení (obdobnú úpravu pozná napr. aj zákon 315/2016 Z. z. o  registri partnerov verejného sektora a o zmene a doplnení niektorých zákonov kde je lehota až 2 roky od vyčiarknutia).</w:t>
                  </w:r>
                </w:p>
                <w:p w:rsidR="00E95927" w:rsidRPr="00126539" w:rsidRDefault="00E95927" w:rsidP="009D2FF7">
                  <w:pPr>
                    <w:pStyle w:val="Default"/>
                    <w:jc w:val="both"/>
                    <w:rPr>
                      <w:color w:val="000000" w:themeColor="text1"/>
                      <w:sz w:val="20"/>
                      <w:szCs w:val="20"/>
                    </w:rPr>
                  </w:pPr>
                </w:p>
                <w:p w:rsidR="00E95927" w:rsidRPr="00126539" w:rsidRDefault="00E95927" w:rsidP="009D2FF7">
                  <w:pPr>
                    <w:pStyle w:val="Default"/>
                    <w:jc w:val="both"/>
                    <w:rPr>
                      <w:color w:val="000000" w:themeColor="text1"/>
                      <w:sz w:val="20"/>
                      <w:szCs w:val="20"/>
                    </w:rPr>
                  </w:pPr>
                  <w:r w:rsidRPr="00126539">
                    <w:rPr>
                      <w:color w:val="000000" w:themeColor="text1"/>
                      <w:sz w:val="20"/>
                      <w:szCs w:val="20"/>
                    </w:rPr>
                    <w:t xml:space="preserve">Smernica v článku 4 ods. 4 stanovuje členským štátom povinnosť zabezpečiť, aby kritériá, ktoré používajú    na určenie subjektu za oprávnený subjekt na účely podávania vnútroštátnych žalôb v zastúpení, boli v súlade s cieľmi tejto smernice v záujme zabezpečenia účinného a efektívneho fungovania takýchto žalôb v zastúpení. </w:t>
                  </w:r>
                </w:p>
                <w:p w:rsidR="003002F2" w:rsidRPr="00126539" w:rsidRDefault="003002F2" w:rsidP="00E95927">
                  <w:pPr>
                    <w:pStyle w:val="Default"/>
                    <w:jc w:val="both"/>
                    <w:rPr>
                      <w:color w:val="000000" w:themeColor="text1"/>
                      <w:sz w:val="20"/>
                      <w:szCs w:val="20"/>
                    </w:rPr>
                  </w:pPr>
                </w:p>
                <w:p w:rsidR="00E95927" w:rsidRPr="00126539" w:rsidRDefault="00E95927" w:rsidP="00E95927">
                  <w:pPr>
                    <w:pStyle w:val="Default"/>
                    <w:jc w:val="both"/>
                    <w:rPr>
                      <w:color w:val="000000" w:themeColor="text1"/>
                      <w:sz w:val="20"/>
                      <w:szCs w:val="20"/>
                    </w:rPr>
                  </w:pPr>
                  <w:r w:rsidRPr="00126539">
                    <w:rPr>
                      <w:color w:val="000000" w:themeColor="text1"/>
                      <w:sz w:val="20"/>
                      <w:szCs w:val="20"/>
                    </w:rPr>
                    <w:t>Navrhovaná právna úprava v § 6 ods. 1 písm. g) nad rámec smernice stanovuje, že ministerstvo hospodárstva zapíše do zoznamu do 30 dní od doručenia úplnej písomnej žiadosti o zápis právnickú osobu, ak nebola v posledných 12 mesiacoch vyčiarknutá zo zoznamu, okrem vyčiarknutia podľa § 8 ods. 1. Predkladateľ zaviedol túto úpravu z  dôvodu, aby po vyčiarknutí združenia nebolo možné, aby toto malo okamžite ďalšiu príležitosť uchádzať sa o zápis do zoznamu. Ide o zamedzenie špekulatívneho zakladania účelových a združení (obdobnú úpravu pozná napr. aj zákon 315/2016 Z. z. o  registri partnerov verejného sektora a o zmene a doplnení niektorých zákonov, kde je sankcia až 2 roky od vyčiarknutia).</w:t>
                  </w:r>
                </w:p>
                <w:p w:rsidR="009D2FF7" w:rsidRPr="00126539" w:rsidRDefault="009D2FF7" w:rsidP="009D2FF7">
                  <w:pPr>
                    <w:pStyle w:val="Default"/>
                    <w:jc w:val="both"/>
                    <w:rPr>
                      <w:color w:val="000000" w:themeColor="text1"/>
                      <w:sz w:val="20"/>
                      <w:szCs w:val="20"/>
                    </w:rPr>
                  </w:pPr>
                </w:p>
                <w:p w:rsidR="00E95927" w:rsidRPr="00126539" w:rsidRDefault="00E95927" w:rsidP="009D2FF7">
                  <w:pPr>
                    <w:pStyle w:val="Default"/>
                    <w:jc w:val="both"/>
                    <w:rPr>
                      <w:color w:val="000000" w:themeColor="text1"/>
                      <w:sz w:val="20"/>
                      <w:szCs w:val="20"/>
                    </w:rPr>
                  </w:pPr>
                  <w:r w:rsidRPr="00126539">
                    <w:rPr>
                      <w:color w:val="000000" w:themeColor="text1"/>
                      <w:sz w:val="20"/>
                      <w:szCs w:val="20"/>
                    </w:rPr>
                    <w:t>Smernica v článku 4 ods. 5 dáva členským štátom možnosť rozhodnúť, že kritériá stanovené v odseku 3 sa budú uplatňovať aj na určenie oprávnených subjektov na účely podávania vnútroštátnych žalôb v zastúpení.</w:t>
                  </w:r>
                </w:p>
                <w:p w:rsidR="00E95927" w:rsidRPr="00126539" w:rsidRDefault="00E95927" w:rsidP="009D2FF7">
                  <w:pPr>
                    <w:pStyle w:val="Default"/>
                    <w:jc w:val="both"/>
                    <w:rPr>
                      <w:color w:val="000000" w:themeColor="text1"/>
                      <w:sz w:val="20"/>
                      <w:szCs w:val="20"/>
                    </w:rPr>
                  </w:pPr>
                  <w:r w:rsidRPr="00126539">
                    <w:rPr>
                      <w:color w:val="000000" w:themeColor="text1"/>
                      <w:sz w:val="20"/>
                      <w:szCs w:val="20"/>
                    </w:rPr>
                    <w:t xml:space="preserve">Navrhovaná právna úprava v § 3 písm. d) zavádza takúto úpravu, pričom predkladateľ ju považuje za pozitívny </w:t>
                  </w:r>
                  <w:proofErr w:type="spellStart"/>
                  <w:r w:rsidRPr="00126539">
                    <w:rPr>
                      <w:color w:val="000000" w:themeColor="text1"/>
                      <w:sz w:val="20"/>
                      <w:szCs w:val="20"/>
                    </w:rPr>
                    <w:t>goldplating</w:t>
                  </w:r>
                  <w:proofErr w:type="spellEnd"/>
                  <w:r w:rsidRPr="00126539">
                    <w:rPr>
                      <w:color w:val="000000" w:themeColor="text1"/>
                      <w:sz w:val="20"/>
                      <w:szCs w:val="20"/>
                    </w:rPr>
                    <w:t xml:space="preserve"> pretože ide o opatrenie, ktorým sa snaží zaviesť rovnaký – vyšší štandard pre </w:t>
                  </w:r>
                  <w:r w:rsidRPr="00126539">
                    <w:rPr>
                      <w:color w:val="000000" w:themeColor="text1"/>
                      <w:sz w:val="20"/>
                      <w:szCs w:val="20"/>
                    </w:rPr>
                    <w:lastRenderedPageBreak/>
                    <w:t>oprávnené osoby, ktoré by mali byť spôsobilé podávať ako vnútroštátne tak aj cezhraničné žaloby. Tým sa dosiahne stav, kedy sa spotrebiteľ bude môcť obrátiť na ktorúkoľvek oprávnenú osobu vedenú v zoznamu či už vo veci vnútroštátnej alebo cezhraničnej. Tiež môžu nastať situácie, kedy sa zo začiatku žaloba javí ako vnútroštátna a časom sa zistí, že môže ísť o cezhraničnú žalobu. V takom prípade nebude potrebné hľadať nové združenie na podanie žaloby.</w:t>
                  </w:r>
                </w:p>
                <w:p w:rsidR="00E95927" w:rsidRPr="00126539" w:rsidRDefault="00E95927" w:rsidP="009D2FF7">
                  <w:pPr>
                    <w:pStyle w:val="Default"/>
                    <w:jc w:val="both"/>
                    <w:rPr>
                      <w:color w:val="000000" w:themeColor="text1"/>
                      <w:sz w:val="20"/>
                      <w:szCs w:val="20"/>
                    </w:rPr>
                  </w:pPr>
                </w:p>
                <w:p w:rsidR="00E95927" w:rsidRPr="00126539" w:rsidRDefault="00E95927" w:rsidP="009D2FF7">
                  <w:pPr>
                    <w:pStyle w:val="Default"/>
                    <w:jc w:val="both"/>
                    <w:rPr>
                      <w:color w:val="000000" w:themeColor="text1"/>
                      <w:sz w:val="20"/>
                      <w:szCs w:val="20"/>
                    </w:rPr>
                  </w:pPr>
                  <w:r w:rsidRPr="00126539">
                    <w:rPr>
                      <w:color w:val="000000" w:themeColor="text1"/>
                      <w:sz w:val="20"/>
                      <w:szCs w:val="20"/>
                    </w:rPr>
                    <w:t>Smernica v článku 4 ods. 7 dáva členským štátom možnosť za oprávnené subjekty na účely podávania žalôb v zastúpení určiť verejné subjekty. Členské štáty môžu stanoviť, že verejné subjekty, ktoré už boli určené ako oprávnené subjekty v zmysle článku 3 smernice 2009/22/ES, zostávajú naďalej určené ako oprávnené subjekty na účely tejto smernice.</w:t>
                  </w:r>
                </w:p>
                <w:p w:rsidR="00E95927" w:rsidRPr="00126539" w:rsidRDefault="00E95927" w:rsidP="009D2FF7">
                  <w:pPr>
                    <w:pStyle w:val="Default"/>
                    <w:jc w:val="both"/>
                    <w:rPr>
                      <w:color w:val="000000" w:themeColor="text1"/>
                      <w:sz w:val="20"/>
                      <w:szCs w:val="20"/>
                    </w:rPr>
                  </w:pPr>
                  <w:r w:rsidRPr="00126539">
                    <w:rPr>
                      <w:color w:val="000000" w:themeColor="text1"/>
                      <w:sz w:val="20"/>
                      <w:szCs w:val="20"/>
                    </w:rPr>
                    <w:t xml:space="preserve">Predkladateľ zvolil systém zachovania súčasného status </w:t>
                  </w:r>
                  <w:proofErr w:type="spellStart"/>
                  <w:r w:rsidRPr="00126539">
                    <w:rPr>
                      <w:color w:val="000000" w:themeColor="text1"/>
                      <w:sz w:val="20"/>
                      <w:szCs w:val="20"/>
                    </w:rPr>
                    <w:t>quo</w:t>
                  </w:r>
                  <w:proofErr w:type="spellEnd"/>
                  <w:r w:rsidRPr="00126539">
                    <w:rPr>
                      <w:color w:val="000000" w:themeColor="text1"/>
                      <w:sz w:val="20"/>
                      <w:szCs w:val="20"/>
                    </w:rPr>
                    <w:t xml:space="preserve"> kedy podľa Civilného sporového poriadku môžu žaloby o abstraktnej kontrole podávať orgány dohľadu. Preto identifikoval uvedenú právnu úpravu ako pozitívny </w:t>
                  </w:r>
                  <w:proofErr w:type="spellStart"/>
                  <w:r w:rsidRPr="00126539">
                    <w:rPr>
                      <w:color w:val="000000" w:themeColor="text1"/>
                      <w:sz w:val="20"/>
                      <w:szCs w:val="20"/>
                    </w:rPr>
                    <w:t>goldplating</w:t>
                  </w:r>
                  <w:proofErr w:type="spellEnd"/>
                  <w:r w:rsidRPr="00126539">
                    <w:rPr>
                      <w:color w:val="000000" w:themeColor="text1"/>
                      <w:sz w:val="20"/>
                      <w:szCs w:val="20"/>
                    </w:rPr>
                    <w:t>, kedy bude aj naďalej  zachované súčasné právo orgánu dohľadu podať túto žalobu.</w:t>
                  </w:r>
                </w:p>
                <w:p w:rsidR="00B249B1" w:rsidRPr="00126539" w:rsidRDefault="00B249B1" w:rsidP="009D2FF7">
                  <w:pPr>
                    <w:pStyle w:val="Default"/>
                    <w:jc w:val="both"/>
                    <w:rPr>
                      <w:color w:val="000000" w:themeColor="text1"/>
                      <w:sz w:val="20"/>
                      <w:szCs w:val="20"/>
                    </w:rPr>
                  </w:pPr>
                </w:p>
                <w:p w:rsidR="00B249B1" w:rsidRPr="00126539" w:rsidRDefault="00B249B1" w:rsidP="00B249B1">
                  <w:pPr>
                    <w:pStyle w:val="Default"/>
                    <w:jc w:val="both"/>
                    <w:rPr>
                      <w:color w:val="000000" w:themeColor="text1"/>
                      <w:sz w:val="20"/>
                      <w:szCs w:val="20"/>
                    </w:rPr>
                  </w:pPr>
                  <w:r w:rsidRPr="00126539">
                    <w:rPr>
                      <w:color w:val="000000" w:themeColor="text1"/>
                      <w:sz w:val="20"/>
                      <w:szCs w:val="20"/>
                    </w:rPr>
                    <w:t>Smernica nabáda, aby boli oprávnené osoby čo najviac transparentné pokiaľ ide o financovanie žalôb.</w:t>
                  </w:r>
                </w:p>
                <w:p w:rsidR="00B249B1" w:rsidRPr="00126539" w:rsidRDefault="00B249B1" w:rsidP="00B249B1">
                  <w:pPr>
                    <w:pStyle w:val="Default"/>
                    <w:jc w:val="both"/>
                    <w:rPr>
                      <w:color w:val="000000" w:themeColor="text1"/>
                      <w:sz w:val="20"/>
                      <w:szCs w:val="20"/>
                    </w:rPr>
                  </w:pPr>
                  <w:r w:rsidRPr="00126539">
                    <w:rPr>
                      <w:color w:val="000000" w:themeColor="text1"/>
                      <w:sz w:val="20"/>
                      <w:szCs w:val="20"/>
                    </w:rPr>
                    <w:t xml:space="preserve">Navrhovaná právna úprava stanovuje, že oprávnená osoba na svojom webovom sídle zverejňuje okrem pripravovaných, prebiehajúcich a skončených žalobách aj informácie o financovaní žalôb na ochranu kolektívnych záujmov spotrebiteľov, ktoré podala na súde – identifikovaný </w:t>
                  </w:r>
                  <w:proofErr w:type="spellStart"/>
                  <w:r w:rsidRPr="00126539">
                    <w:rPr>
                      <w:color w:val="000000" w:themeColor="text1"/>
                      <w:sz w:val="20"/>
                      <w:szCs w:val="20"/>
                    </w:rPr>
                    <w:t>goldplating</w:t>
                  </w:r>
                  <w:proofErr w:type="spellEnd"/>
                  <w:r w:rsidRPr="00126539">
                    <w:rPr>
                      <w:color w:val="000000" w:themeColor="text1"/>
                      <w:sz w:val="20"/>
                      <w:szCs w:val="20"/>
                    </w:rPr>
                    <w:t xml:space="preserve"> má pozitívny vplyv na podnikateľské prostredie, pretože ide o vyššiu transparentnosť a predpoklad nezávislosti oprávnenej osoby v konaní. </w:t>
                  </w:r>
                </w:p>
                <w:p w:rsidR="003002F2" w:rsidRPr="00126539" w:rsidRDefault="003002F2" w:rsidP="009D2FF7">
                  <w:pPr>
                    <w:pStyle w:val="Default"/>
                    <w:jc w:val="both"/>
                    <w:rPr>
                      <w:color w:val="000000" w:themeColor="text1"/>
                      <w:sz w:val="20"/>
                      <w:szCs w:val="20"/>
                    </w:rPr>
                  </w:pPr>
                </w:p>
                <w:p w:rsidR="00B249B1" w:rsidRPr="00126539" w:rsidRDefault="003002F2" w:rsidP="00B249B1">
                  <w:pPr>
                    <w:pStyle w:val="Nadpis1"/>
                    <w:jc w:val="both"/>
                    <w:rPr>
                      <w:rFonts w:eastAsiaTheme="minorHAnsi"/>
                      <w:b w:val="0"/>
                      <w:bCs w:val="0"/>
                      <w:color w:val="000000" w:themeColor="text1"/>
                      <w:sz w:val="20"/>
                      <w:szCs w:val="20"/>
                      <w:lang w:eastAsia="en-US"/>
                    </w:rPr>
                  </w:pPr>
                  <w:r w:rsidRPr="00126539">
                    <w:rPr>
                      <w:rFonts w:eastAsiaTheme="minorHAnsi"/>
                      <w:b w:val="0"/>
                      <w:bCs w:val="0"/>
                      <w:color w:val="000000" w:themeColor="text1"/>
                      <w:sz w:val="20"/>
                      <w:szCs w:val="20"/>
                      <w:lang w:eastAsia="en-US"/>
                    </w:rPr>
                    <w:t xml:space="preserve">Smernica v čl. 5 ods. 1 stanovuje, že každý členský štát oznámi Komisii  do 26. decembra 2023 zoznam oprávnených subjektov, ktoré určil vopred na účely podávania cezhraničných žalôb v zastúpení     vrátane názvu a zákonného účelu uvedených oprávnených subjektov. Každý členský štát oznámi Komisii následne všetky zmeny v tomto zozname. Členské štáty tento zoznam zverejnia. Predkladateľ zvolil režim, podľa ktorého budú nastavené rovnaké kritéria pre oprávnené osoby, ktoré budú podávať vnútroštátne aj cezhraničné žaloby. Vzhľadom na to dochádza k pozitívnemu </w:t>
                  </w:r>
                  <w:proofErr w:type="spellStart"/>
                  <w:r w:rsidRPr="00126539">
                    <w:rPr>
                      <w:rFonts w:eastAsiaTheme="minorHAnsi"/>
                      <w:b w:val="0"/>
                      <w:bCs w:val="0"/>
                      <w:color w:val="000000" w:themeColor="text1"/>
                      <w:sz w:val="20"/>
                      <w:szCs w:val="20"/>
                      <w:lang w:eastAsia="en-US"/>
                    </w:rPr>
                    <w:t>goldplatingu</w:t>
                  </w:r>
                  <w:proofErr w:type="spellEnd"/>
                  <w:r w:rsidRPr="00126539">
                    <w:rPr>
                      <w:rFonts w:eastAsiaTheme="minorHAnsi"/>
                      <w:b w:val="0"/>
                      <w:bCs w:val="0"/>
                      <w:color w:val="000000" w:themeColor="text1"/>
                      <w:sz w:val="20"/>
                      <w:szCs w:val="20"/>
                      <w:lang w:eastAsia="en-US"/>
                    </w:rPr>
                    <w:t>, pretože je zabezpečená vyššia úroveň a kvalita oprávnených osôb, čo by malo mať výhody ako pre spotrebiteľov, tak aj pre súdy a v konečnom dôsledku aj obchodníkov.</w:t>
                  </w:r>
                </w:p>
                <w:p w:rsidR="00B249B1" w:rsidRPr="00126539" w:rsidRDefault="00B249B1" w:rsidP="00B249B1">
                  <w:pPr>
                    <w:pStyle w:val="Nadpis1"/>
                    <w:jc w:val="both"/>
                    <w:rPr>
                      <w:rFonts w:eastAsiaTheme="minorHAnsi"/>
                      <w:b w:val="0"/>
                      <w:bCs w:val="0"/>
                      <w:color w:val="000000" w:themeColor="text1"/>
                      <w:sz w:val="20"/>
                      <w:szCs w:val="20"/>
                      <w:lang w:eastAsia="en-US"/>
                    </w:rPr>
                  </w:pPr>
                </w:p>
                <w:p w:rsidR="00A83A51" w:rsidRPr="00126539" w:rsidRDefault="003002F2" w:rsidP="00A83A51">
                  <w:pPr>
                    <w:pStyle w:val="Nadpis1"/>
                    <w:jc w:val="both"/>
                    <w:rPr>
                      <w:rFonts w:eastAsiaTheme="minorHAnsi"/>
                      <w:b w:val="0"/>
                      <w:bCs w:val="0"/>
                      <w:color w:val="000000" w:themeColor="text1"/>
                      <w:sz w:val="20"/>
                      <w:szCs w:val="20"/>
                      <w:lang w:eastAsia="en-US"/>
                    </w:rPr>
                  </w:pPr>
                  <w:r w:rsidRPr="00126539">
                    <w:rPr>
                      <w:rFonts w:eastAsiaTheme="minorHAnsi"/>
                      <w:b w:val="0"/>
                      <w:bCs w:val="0"/>
                      <w:color w:val="000000" w:themeColor="text1"/>
                      <w:sz w:val="20"/>
                      <w:szCs w:val="20"/>
                      <w:lang w:eastAsia="en-US"/>
                    </w:rPr>
                    <w:t xml:space="preserve">Smernica v čl. 5 ods. 3 stanovuje, že Členské štáty posúdia najmenej raz za päť rokov, či oprávnené subjekty naďalej spĺňajú kritériá stanovené v článku 4 ods. 3. Členské štáty zabezpečia, aby oprávnený subjekt prišiel o svoje postavenie, ak prestane spĺňať jedno alebo viacero z uvedených kritérií. Predkladateľ zvolil režim, podľa ktorého budú nastavené rovnaké kritéria pre oprávnené osoby, ktoré budú podávať vnútroštátne aj cezhraničné žaloby. Vzhľadom na to dochádza k pozitívnemu </w:t>
                  </w:r>
                  <w:proofErr w:type="spellStart"/>
                  <w:r w:rsidRPr="00126539">
                    <w:rPr>
                      <w:rFonts w:eastAsiaTheme="minorHAnsi"/>
                      <w:b w:val="0"/>
                      <w:bCs w:val="0"/>
                      <w:color w:val="000000" w:themeColor="text1"/>
                      <w:sz w:val="20"/>
                      <w:szCs w:val="20"/>
                      <w:lang w:eastAsia="en-US"/>
                    </w:rPr>
                    <w:t>goldplatingu</w:t>
                  </w:r>
                  <w:proofErr w:type="spellEnd"/>
                  <w:r w:rsidRPr="00126539">
                    <w:rPr>
                      <w:rFonts w:eastAsiaTheme="minorHAnsi"/>
                      <w:b w:val="0"/>
                      <w:bCs w:val="0"/>
                      <w:color w:val="000000" w:themeColor="text1"/>
                      <w:sz w:val="20"/>
                      <w:szCs w:val="20"/>
                      <w:lang w:eastAsia="en-US"/>
                    </w:rPr>
                    <w:t>, pretože je zabezpečená vyššia úroveň a kvalita oprávnených osôb, čo by malo mať výhody ako pre spotrebiteľov, tak aj pre súdy a v konečnom dôsledku aj obchodníkov</w:t>
                  </w:r>
                  <w:r w:rsidR="00B249B1" w:rsidRPr="00126539">
                    <w:rPr>
                      <w:rFonts w:eastAsiaTheme="minorHAnsi"/>
                      <w:b w:val="0"/>
                      <w:bCs w:val="0"/>
                      <w:color w:val="000000" w:themeColor="text1"/>
                      <w:sz w:val="20"/>
                      <w:szCs w:val="20"/>
                      <w:lang w:eastAsia="en-US"/>
                    </w:rPr>
                    <w:t>.</w:t>
                  </w:r>
                  <w:r w:rsidR="00A83A51" w:rsidRPr="00126539">
                    <w:rPr>
                      <w:rFonts w:eastAsiaTheme="minorHAnsi"/>
                      <w:b w:val="0"/>
                      <w:bCs w:val="0"/>
                      <w:color w:val="000000" w:themeColor="text1"/>
                      <w:sz w:val="20"/>
                      <w:szCs w:val="20"/>
                      <w:lang w:eastAsia="en-US"/>
                    </w:rPr>
                    <w:t xml:space="preserve"> </w:t>
                  </w:r>
                </w:p>
                <w:p w:rsidR="00A83A51" w:rsidRPr="00126539" w:rsidRDefault="00A83A51" w:rsidP="00A83A51">
                  <w:pPr>
                    <w:rPr>
                      <w:rFonts w:ascii="Times New Roman" w:hAnsi="Times New Roman" w:cs="Times New Roman"/>
                      <w:color w:val="000000" w:themeColor="text1"/>
                      <w:sz w:val="20"/>
                      <w:szCs w:val="20"/>
                    </w:rPr>
                  </w:pPr>
                </w:p>
                <w:p w:rsidR="00A83A51" w:rsidRPr="00126539" w:rsidRDefault="00A83A51" w:rsidP="00A83A51">
                  <w:pPr>
                    <w:rPr>
                      <w:rFonts w:ascii="Times New Roman" w:hAnsi="Times New Roman" w:cs="Times New Roman"/>
                      <w:color w:val="000000" w:themeColor="text1"/>
                      <w:sz w:val="20"/>
                      <w:szCs w:val="20"/>
                    </w:rPr>
                  </w:pPr>
                  <w:r w:rsidRPr="00126539">
                    <w:rPr>
                      <w:rFonts w:ascii="Times New Roman" w:hAnsi="Times New Roman" w:cs="Times New Roman"/>
                      <w:color w:val="000000" w:themeColor="text1"/>
                      <w:sz w:val="20"/>
                      <w:szCs w:val="20"/>
                    </w:rPr>
                    <w:t xml:space="preserve">Č. 7 ods. 5 smernice stanovuje, že členské štáty môžu oprávneným subjektom umožniť v relevantných prípadoch navrhnúť vydanie opatrení uvedených v odseku 4 v rámci jednej žaloby v zastúpení. Členské štáty môžu stanoviť, že uvedené opatrenia sa vydávajú v rámci jedného rozhodnutia. Predkladateľ stanovuje režim zachovania existujúcej právnej úpravy, preto dochádza ku </w:t>
                  </w:r>
                  <w:proofErr w:type="spellStart"/>
                  <w:r w:rsidRPr="00126539">
                    <w:rPr>
                      <w:rFonts w:ascii="Times New Roman" w:hAnsi="Times New Roman" w:cs="Times New Roman"/>
                      <w:color w:val="000000" w:themeColor="text1"/>
                      <w:sz w:val="20"/>
                      <w:szCs w:val="20"/>
                    </w:rPr>
                    <w:t>golplatingu</w:t>
                  </w:r>
                  <w:proofErr w:type="spellEnd"/>
                  <w:r w:rsidRPr="00126539">
                    <w:rPr>
                      <w:rFonts w:ascii="Times New Roman" w:hAnsi="Times New Roman" w:cs="Times New Roman"/>
                      <w:color w:val="000000" w:themeColor="text1"/>
                      <w:sz w:val="20"/>
                      <w:szCs w:val="20"/>
                    </w:rPr>
                    <w:t>.</w:t>
                  </w:r>
                </w:p>
                <w:p w:rsidR="009D2FF7" w:rsidRPr="00126539" w:rsidRDefault="009D2FF7" w:rsidP="009D2FF7">
                  <w:pPr>
                    <w:pStyle w:val="Default"/>
                    <w:jc w:val="both"/>
                    <w:rPr>
                      <w:color w:val="000000" w:themeColor="text1"/>
                      <w:sz w:val="20"/>
                      <w:szCs w:val="20"/>
                    </w:rPr>
                  </w:pPr>
                  <w:r w:rsidRPr="00126539">
                    <w:rPr>
                      <w:color w:val="000000" w:themeColor="text1"/>
                      <w:sz w:val="20"/>
                      <w:szCs w:val="20"/>
                    </w:rPr>
                    <w:t>Smernica v článku 8 ods. 4 stanovuje možnosť oprávneného subjektu uskutočniť konzultácie s dotknutým obchodníkom s cieľom dosiahnuť, aby upustil v lehote dvoch týždňov od porušovania právnych predpisov na ochranu spotrebiteľa.</w:t>
                  </w:r>
                </w:p>
                <w:p w:rsidR="009D2FF7" w:rsidRPr="00126539" w:rsidRDefault="009D2FF7" w:rsidP="009D2FF7">
                  <w:pPr>
                    <w:pStyle w:val="Default"/>
                    <w:jc w:val="both"/>
                    <w:rPr>
                      <w:color w:val="000000" w:themeColor="text1"/>
                      <w:sz w:val="20"/>
                      <w:szCs w:val="20"/>
                    </w:rPr>
                  </w:pPr>
                  <w:r w:rsidRPr="00126539">
                    <w:rPr>
                      <w:color w:val="000000" w:themeColor="text1"/>
                      <w:sz w:val="20"/>
                      <w:szCs w:val="20"/>
                    </w:rPr>
                    <w:t xml:space="preserve">Navrhovaná právna úprava zavádza takúto povinnosť, pričom môže ísť o efektívny nástroj, ktorým sa dosiahne aj mimosúdna dohoda s cieľom zabezpečiť včasnú ochranu kolektívnych práv spotrebiteľov. S uvedenou úpravou súhlasili v rámci </w:t>
                  </w:r>
                  <w:proofErr w:type="spellStart"/>
                  <w:r w:rsidRPr="00126539">
                    <w:rPr>
                      <w:color w:val="000000" w:themeColor="text1"/>
                      <w:sz w:val="20"/>
                      <w:szCs w:val="20"/>
                    </w:rPr>
                    <w:t>rozporových</w:t>
                  </w:r>
                  <w:proofErr w:type="spellEnd"/>
                  <w:r w:rsidRPr="00126539">
                    <w:rPr>
                      <w:color w:val="000000" w:themeColor="text1"/>
                      <w:sz w:val="20"/>
                      <w:szCs w:val="20"/>
                    </w:rPr>
                    <w:t xml:space="preserve"> konaní aj podnikateľské subjekty. Predkladateľ má za to, že je to plne s </w:t>
                  </w:r>
                  <w:proofErr w:type="spellStart"/>
                  <w:r w:rsidRPr="00126539">
                    <w:rPr>
                      <w:color w:val="000000" w:themeColor="text1"/>
                      <w:sz w:val="20"/>
                      <w:szCs w:val="20"/>
                    </w:rPr>
                    <w:t>ratio</w:t>
                  </w:r>
                  <w:proofErr w:type="spellEnd"/>
                  <w:r w:rsidRPr="00126539">
                    <w:rPr>
                      <w:color w:val="000000" w:themeColor="text1"/>
                      <w:sz w:val="20"/>
                      <w:szCs w:val="20"/>
                    </w:rPr>
                    <w:t xml:space="preserve"> </w:t>
                  </w:r>
                  <w:proofErr w:type="spellStart"/>
                  <w:r w:rsidRPr="00126539">
                    <w:rPr>
                      <w:color w:val="000000" w:themeColor="text1"/>
                      <w:sz w:val="20"/>
                      <w:szCs w:val="20"/>
                    </w:rPr>
                    <w:t>legis</w:t>
                  </w:r>
                  <w:proofErr w:type="spellEnd"/>
                  <w:r w:rsidRPr="00126539">
                    <w:rPr>
                      <w:color w:val="000000" w:themeColor="text1"/>
                      <w:sz w:val="20"/>
                      <w:szCs w:val="20"/>
                    </w:rPr>
                    <w:t xml:space="preserve"> smernice - identifikovaný </w:t>
                  </w:r>
                  <w:proofErr w:type="spellStart"/>
                  <w:r w:rsidRPr="00126539">
                    <w:rPr>
                      <w:color w:val="000000" w:themeColor="text1"/>
                      <w:sz w:val="20"/>
                      <w:szCs w:val="20"/>
                    </w:rPr>
                    <w:t>goldplating</w:t>
                  </w:r>
                  <w:proofErr w:type="spellEnd"/>
                  <w:r w:rsidRPr="00126539">
                    <w:rPr>
                      <w:color w:val="000000" w:themeColor="text1"/>
                      <w:sz w:val="20"/>
                      <w:szCs w:val="20"/>
                    </w:rPr>
                    <w:t xml:space="preserve"> má pozitívny vplyv na podnikateľské prostredie, pretože ide o efektívny nástroj, ktorý môže mať preventívnu funkciu a ktorý môže umožniť mimosúdne riešenia sporov a odškodnení.</w:t>
                  </w:r>
                </w:p>
                <w:p w:rsidR="008301B7" w:rsidRPr="00126539" w:rsidRDefault="008301B7" w:rsidP="009D2FF7">
                  <w:pPr>
                    <w:pStyle w:val="Default"/>
                    <w:jc w:val="both"/>
                    <w:rPr>
                      <w:color w:val="000000" w:themeColor="text1"/>
                      <w:sz w:val="20"/>
                      <w:szCs w:val="20"/>
                    </w:rPr>
                  </w:pPr>
                </w:p>
                <w:p w:rsidR="008301B7" w:rsidRPr="00126539" w:rsidRDefault="008301B7" w:rsidP="009D2FF7">
                  <w:pPr>
                    <w:pStyle w:val="Default"/>
                    <w:jc w:val="both"/>
                    <w:rPr>
                      <w:color w:val="000000" w:themeColor="text1"/>
                      <w:sz w:val="20"/>
                      <w:szCs w:val="20"/>
                    </w:rPr>
                  </w:pPr>
                  <w:r w:rsidRPr="00126539">
                    <w:rPr>
                      <w:color w:val="000000" w:themeColor="text1"/>
                      <w:sz w:val="20"/>
                      <w:szCs w:val="20"/>
                    </w:rPr>
                    <w:t>Smernica v článku 9 ods. 2 ukladá členským štátom stanoviť pravidlá, ako a v ktorom štádiu konania o žalobe v zastúpení o vydanie nápravných opatrení môžu jednotliví spotrebitelia, ktorých sa uvedená žaloba v zastúpení týka, výslovne alebo konkludentne v primeranej lehote od podania žaloby v zastúpení vyjadriť svoju vôľu byť alebo nebyť zastúpení oprávneným subjektom v uvedenom konaní o žalobe v zastúpení a byť alebo nebyť viazaní výsledkom uvedeného konania o žalobe v zastúpení.</w:t>
                  </w:r>
                </w:p>
                <w:p w:rsidR="008301B7" w:rsidRPr="00126539" w:rsidRDefault="008301B7" w:rsidP="009D2FF7">
                  <w:pPr>
                    <w:pStyle w:val="Default"/>
                    <w:jc w:val="both"/>
                    <w:rPr>
                      <w:color w:val="000000" w:themeColor="text1"/>
                      <w:sz w:val="20"/>
                      <w:szCs w:val="20"/>
                    </w:rPr>
                  </w:pPr>
                  <w:r w:rsidRPr="00126539">
                    <w:rPr>
                      <w:color w:val="000000" w:themeColor="text1"/>
                      <w:sz w:val="20"/>
                      <w:szCs w:val="20"/>
                    </w:rPr>
                    <w:t xml:space="preserve">Navrhovaná právna úprava v § 16 ods. 2 zavádza poplatok/úhradu za prihlásenie sa k žalobnému zámeru vo výške 20 eur a za odvolanie súhlasu k žalobnému zámeru vo výške 10 eur bol zavedený kvôli tomu, </w:t>
                  </w:r>
                  <w:r w:rsidRPr="00126539">
                    <w:rPr>
                      <w:color w:val="000000" w:themeColor="text1"/>
                      <w:sz w:val="20"/>
                      <w:szCs w:val="20"/>
                    </w:rPr>
                    <w:lastRenderedPageBreak/>
                    <w:t xml:space="preserve">aby nedochádzalo k svojvoľnému a početnému odhlasovaniu sa spotrebiteľov z už začatého konania, a aby bola evidencia v počte aktuálne prihlásených spotrebiteľov v konaní. Výška týchto úhrad je podľa predkladateľa marginálna a preto vyhodnotil tento </w:t>
                  </w:r>
                  <w:proofErr w:type="spellStart"/>
                  <w:r w:rsidRPr="00126539">
                    <w:rPr>
                      <w:color w:val="000000" w:themeColor="text1"/>
                      <w:sz w:val="20"/>
                      <w:szCs w:val="20"/>
                    </w:rPr>
                    <w:t>goldplating</w:t>
                  </w:r>
                  <w:proofErr w:type="spellEnd"/>
                  <w:r w:rsidRPr="00126539">
                    <w:rPr>
                      <w:color w:val="000000" w:themeColor="text1"/>
                      <w:sz w:val="20"/>
                      <w:szCs w:val="20"/>
                    </w:rPr>
                    <w:t xml:space="preserve"> ako marginálny.</w:t>
                  </w:r>
                </w:p>
                <w:p w:rsidR="00A83A51" w:rsidRPr="00126539" w:rsidRDefault="00A83A51" w:rsidP="009D2FF7">
                  <w:pPr>
                    <w:pStyle w:val="Default"/>
                    <w:jc w:val="both"/>
                    <w:rPr>
                      <w:color w:val="000000" w:themeColor="text1"/>
                      <w:sz w:val="20"/>
                      <w:szCs w:val="20"/>
                    </w:rPr>
                  </w:pPr>
                </w:p>
                <w:p w:rsidR="00A83A51" w:rsidRPr="00126539" w:rsidRDefault="00A83A51" w:rsidP="009D2FF7">
                  <w:pPr>
                    <w:pStyle w:val="Default"/>
                    <w:jc w:val="both"/>
                    <w:rPr>
                      <w:color w:val="000000" w:themeColor="text1"/>
                      <w:sz w:val="20"/>
                      <w:szCs w:val="20"/>
                    </w:rPr>
                  </w:pPr>
                  <w:r w:rsidRPr="00126539">
                    <w:rPr>
                      <w:color w:val="000000" w:themeColor="text1"/>
                      <w:sz w:val="20"/>
                      <w:szCs w:val="20"/>
                    </w:rPr>
                    <w:t xml:space="preserve">Navrhovaná právna úprava v § 20 </w:t>
                  </w:r>
                  <w:r w:rsidR="00D75435" w:rsidRPr="00126539">
                    <w:rPr>
                      <w:color w:val="000000" w:themeColor="text1"/>
                      <w:sz w:val="20"/>
                      <w:szCs w:val="20"/>
                    </w:rPr>
                    <w:t xml:space="preserve">navrhuje úpravu zmieru. </w:t>
                  </w:r>
                  <w:r w:rsidR="00D75435" w:rsidRPr="00126539">
                    <w:rPr>
                      <w:bCs/>
                      <w:color w:val="000000" w:themeColor="text1"/>
                      <w:sz w:val="20"/>
                      <w:szCs w:val="20"/>
                    </w:rPr>
                    <w:t xml:space="preserve">Uvedená úprava je transpozíciou čl. 8 ods. 4  smernice 2020/1828/ES, pričom môže ísť o efektívny nástroj, ktorým sa dosiahne aj mimosúdna dohoda s cieľom zabezpečiť včasnú ochranu kolektívnych práv spotrebiteľov. S uvedenou úpravou súhlasili v rámci </w:t>
                  </w:r>
                  <w:proofErr w:type="spellStart"/>
                  <w:r w:rsidR="00D75435" w:rsidRPr="00126539">
                    <w:rPr>
                      <w:bCs/>
                      <w:color w:val="000000" w:themeColor="text1"/>
                      <w:sz w:val="20"/>
                      <w:szCs w:val="20"/>
                    </w:rPr>
                    <w:t>rozporových</w:t>
                  </w:r>
                  <w:proofErr w:type="spellEnd"/>
                  <w:r w:rsidR="00D75435" w:rsidRPr="00126539">
                    <w:rPr>
                      <w:bCs/>
                      <w:color w:val="000000" w:themeColor="text1"/>
                      <w:sz w:val="20"/>
                      <w:szCs w:val="20"/>
                    </w:rPr>
                    <w:t xml:space="preserve"> konaní aj podnikateľské subjekty. Predkladateľ má za to, že je to plne s </w:t>
                  </w:r>
                  <w:proofErr w:type="spellStart"/>
                  <w:r w:rsidR="00D75435" w:rsidRPr="00126539">
                    <w:rPr>
                      <w:bCs/>
                      <w:color w:val="000000" w:themeColor="text1"/>
                      <w:sz w:val="20"/>
                      <w:szCs w:val="20"/>
                    </w:rPr>
                    <w:t>ratio</w:t>
                  </w:r>
                  <w:proofErr w:type="spellEnd"/>
                  <w:r w:rsidR="00D75435" w:rsidRPr="00126539">
                    <w:rPr>
                      <w:bCs/>
                      <w:color w:val="000000" w:themeColor="text1"/>
                      <w:sz w:val="20"/>
                      <w:szCs w:val="20"/>
                    </w:rPr>
                    <w:t xml:space="preserve"> </w:t>
                  </w:r>
                  <w:proofErr w:type="spellStart"/>
                  <w:r w:rsidR="00D75435" w:rsidRPr="00126539">
                    <w:rPr>
                      <w:bCs/>
                      <w:color w:val="000000" w:themeColor="text1"/>
                      <w:sz w:val="20"/>
                      <w:szCs w:val="20"/>
                    </w:rPr>
                    <w:t>legis</w:t>
                  </w:r>
                  <w:proofErr w:type="spellEnd"/>
                  <w:r w:rsidR="00D75435" w:rsidRPr="00126539">
                    <w:rPr>
                      <w:bCs/>
                      <w:color w:val="000000" w:themeColor="text1"/>
                      <w:sz w:val="20"/>
                      <w:szCs w:val="20"/>
                    </w:rPr>
                    <w:t xml:space="preserve"> smernice, a vidí uvedenú úpravu ako pozitívny </w:t>
                  </w:r>
                  <w:proofErr w:type="spellStart"/>
                  <w:r w:rsidR="00D75435" w:rsidRPr="00126539">
                    <w:rPr>
                      <w:bCs/>
                      <w:color w:val="000000" w:themeColor="text1"/>
                      <w:sz w:val="20"/>
                      <w:szCs w:val="20"/>
                    </w:rPr>
                    <w:t>goldplating</w:t>
                  </w:r>
                  <w:proofErr w:type="spellEnd"/>
                  <w:r w:rsidR="00D75435" w:rsidRPr="00126539">
                    <w:rPr>
                      <w:bCs/>
                      <w:color w:val="000000" w:themeColor="text1"/>
                      <w:sz w:val="20"/>
                      <w:szCs w:val="20"/>
                    </w:rPr>
                    <w:t xml:space="preserve"> a ako efektívny nástroj, ktorý môže mať preventívnu funkciu a ktorý môže umožniť mimosúdne riešenia sporov a odškodnení.</w:t>
                  </w:r>
                </w:p>
                <w:p w:rsidR="008301B7" w:rsidRPr="00126539" w:rsidRDefault="008301B7" w:rsidP="009D2FF7">
                  <w:pPr>
                    <w:pStyle w:val="Default"/>
                    <w:jc w:val="both"/>
                    <w:rPr>
                      <w:color w:val="000000" w:themeColor="text1"/>
                      <w:sz w:val="20"/>
                      <w:szCs w:val="20"/>
                    </w:rPr>
                  </w:pPr>
                </w:p>
                <w:p w:rsidR="009D2FF7" w:rsidRPr="00126539" w:rsidRDefault="009D2FF7" w:rsidP="009D2FF7">
                  <w:pPr>
                    <w:pStyle w:val="Default"/>
                    <w:jc w:val="both"/>
                    <w:rPr>
                      <w:color w:val="000000" w:themeColor="text1"/>
                      <w:sz w:val="20"/>
                      <w:szCs w:val="20"/>
                    </w:rPr>
                  </w:pPr>
                  <w:r w:rsidRPr="00126539">
                    <w:rPr>
                      <w:color w:val="000000" w:themeColor="text1"/>
                      <w:sz w:val="20"/>
                      <w:szCs w:val="20"/>
                    </w:rPr>
                    <w:t>Smernica v článku 13 ods. 2 ukladá člensk</w:t>
                  </w:r>
                  <w:r w:rsidR="00DB6C53" w:rsidRPr="00126539">
                    <w:rPr>
                      <w:color w:val="000000" w:themeColor="text1"/>
                      <w:sz w:val="20"/>
                      <w:szCs w:val="20"/>
                    </w:rPr>
                    <w:t>ým</w:t>
                  </w:r>
                  <w:r w:rsidRPr="00126539">
                    <w:rPr>
                      <w:color w:val="000000" w:themeColor="text1"/>
                      <w:sz w:val="20"/>
                      <w:szCs w:val="20"/>
                    </w:rPr>
                    <w:t xml:space="preserve"> štát</w:t>
                  </w:r>
                  <w:r w:rsidR="00DB6C53" w:rsidRPr="00126539">
                    <w:rPr>
                      <w:color w:val="000000" w:themeColor="text1"/>
                      <w:sz w:val="20"/>
                      <w:szCs w:val="20"/>
                    </w:rPr>
                    <w:t>om</w:t>
                  </w:r>
                  <w:r w:rsidRPr="00126539">
                    <w:rPr>
                      <w:color w:val="000000" w:themeColor="text1"/>
                      <w:sz w:val="20"/>
                      <w:szCs w:val="20"/>
                    </w:rPr>
                    <w:t xml:space="preserve">, aby zabezpečili čo najväčšiu informovanosť spotrebiteľov o prebiehajúcich žalobách tak, aby sa mohli do nich zapojiť. </w:t>
                  </w:r>
                </w:p>
                <w:p w:rsidR="009D2FF7" w:rsidRPr="00126539" w:rsidRDefault="009D2FF7" w:rsidP="009D2FF7">
                  <w:pPr>
                    <w:pStyle w:val="Default"/>
                    <w:jc w:val="both"/>
                    <w:rPr>
                      <w:color w:val="000000" w:themeColor="text1"/>
                      <w:sz w:val="20"/>
                      <w:szCs w:val="20"/>
                    </w:rPr>
                  </w:pPr>
                  <w:r w:rsidRPr="00126539">
                    <w:rPr>
                      <w:color w:val="000000" w:themeColor="text1"/>
                      <w:sz w:val="20"/>
                      <w:szCs w:val="20"/>
                    </w:rPr>
                    <w:t xml:space="preserve">Navrhovaná právna úprava na tieto účely zavádza inštitút tzv. žalobného zámeru, ktorý musí oprávnené osoba zverejniť v Obchodnom vestníku, pričom môže využiť aj iné dostupné komunikačné médiá. Vzhľadom na to, že cieľom zákona je, aby bol čo najširší okruh spotrebiteľov informovaný o tom, že sa ide podať kolektívna žaloba a taktiež je potrebné ustáliť moment, ku ktorému bol žalobný zámer zverejnený, kvôli ustáleniu, či sa v lehote do dvoch mesiacov prihlásil potrebný počet spotrebiteľov, predkladateľ má za to, že je to plne s </w:t>
                  </w:r>
                  <w:proofErr w:type="spellStart"/>
                  <w:r w:rsidRPr="00126539">
                    <w:rPr>
                      <w:color w:val="000000" w:themeColor="text1"/>
                      <w:sz w:val="20"/>
                      <w:szCs w:val="20"/>
                    </w:rPr>
                    <w:t>ratio</w:t>
                  </w:r>
                  <w:proofErr w:type="spellEnd"/>
                  <w:r w:rsidRPr="00126539">
                    <w:rPr>
                      <w:color w:val="000000" w:themeColor="text1"/>
                      <w:sz w:val="20"/>
                      <w:szCs w:val="20"/>
                    </w:rPr>
                    <w:t xml:space="preserve"> </w:t>
                  </w:r>
                  <w:proofErr w:type="spellStart"/>
                  <w:r w:rsidRPr="00126539">
                    <w:rPr>
                      <w:color w:val="000000" w:themeColor="text1"/>
                      <w:sz w:val="20"/>
                      <w:szCs w:val="20"/>
                    </w:rPr>
                    <w:t>legis</w:t>
                  </w:r>
                  <w:proofErr w:type="spellEnd"/>
                  <w:r w:rsidRPr="00126539">
                    <w:rPr>
                      <w:color w:val="000000" w:themeColor="text1"/>
                      <w:sz w:val="20"/>
                      <w:szCs w:val="20"/>
                    </w:rPr>
                    <w:t xml:space="preserve"> smernice, a ide o pozitívny </w:t>
                  </w:r>
                  <w:proofErr w:type="spellStart"/>
                  <w:r w:rsidRPr="00126539">
                    <w:rPr>
                      <w:color w:val="000000" w:themeColor="text1"/>
                      <w:sz w:val="20"/>
                      <w:szCs w:val="20"/>
                    </w:rPr>
                    <w:t>goldplating</w:t>
                  </w:r>
                  <w:proofErr w:type="spellEnd"/>
                  <w:r w:rsidRPr="00126539">
                    <w:rPr>
                      <w:color w:val="000000" w:themeColor="text1"/>
                      <w:sz w:val="20"/>
                      <w:szCs w:val="20"/>
                    </w:rPr>
                    <w:t xml:space="preserve">. Okrem tejto úpravy predkladateľ zavádza všeobecnú informačnú povinnosť oprávnenej osoby (§ 11 ods. 4), pričom táto môže použiť akékoľvek vhodné prostriedky. Aj túto právnu úpravu považuje predkladateľ za  pozitívny </w:t>
                  </w:r>
                  <w:proofErr w:type="spellStart"/>
                  <w:r w:rsidRPr="00126539">
                    <w:rPr>
                      <w:color w:val="000000" w:themeColor="text1"/>
                      <w:sz w:val="20"/>
                      <w:szCs w:val="20"/>
                    </w:rPr>
                    <w:t>goldplating</w:t>
                  </w:r>
                  <w:proofErr w:type="spellEnd"/>
                  <w:r w:rsidRPr="00126539">
                    <w:rPr>
                      <w:color w:val="000000" w:themeColor="text1"/>
                      <w:sz w:val="20"/>
                      <w:szCs w:val="20"/>
                    </w:rPr>
                    <w:t>.</w:t>
                  </w:r>
                </w:p>
                <w:p w:rsidR="00D75435" w:rsidRPr="00126539" w:rsidRDefault="00D75435" w:rsidP="009D2FF7">
                  <w:pPr>
                    <w:pStyle w:val="Default"/>
                    <w:jc w:val="both"/>
                    <w:rPr>
                      <w:color w:val="000000" w:themeColor="text1"/>
                      <w:sz w:val="20"/>
                      <w:szCs w:val="20"/>
                    </w:rPr>
                  </w:pPr>
                </w:p>
                <w:p w:rsidR="00D75435" w:rsidRPr="00126539" w:rsidRDefault="00D75435" w:rsidP="009D2FF7">
                  <w:pPr>
                    <w:pStyle w:val="Default"/>
                    <w:jc w:val="both"/>
                    <w:rPr>
                      <w:color w:val="000000" w:themeColor="text1"/>
                      <w:sz w:val="20"/>
                      <w:szCs w:val="20"/>
                    </w:rPr>
                  </w:pPr>
                  <w:r w:rsidRPr="00126539">
                    <w:rPr>
                      <w:color w:val="000000" w:themeColor="text1"/>
                      <w:sz w:val="20"/>
                      <w:szCs w:val="20"/>
                    </w:rPr>
                    <w:t xml:space="preserve">Smernica v čl. 13 ods. 3 v 3 stanovuje, že Členské štáty môžu stanoviť pravidlá, podľa ktorých by obchodník mal povinnosť poskytnúť takéto informácie spotrebiteľom len vtedy, ak by o to požiadal oprávnený subjekt. </w:t>
                  </w:r>
                  <w:r w:rsidRPr="00126539">
                    <w:rPr>
                      <w:bCs/>
                      <w:color w:val="000000" w:themeColor="text1"/>
                      <w:sz w:val="20"/>
                      <w:szCs w:val="20"/>
                    </w:rPr>
                    <w:t xml:space="preserve">Predkladateľ úpravu identifikoval ako pozitívny  </w:t>
                  </w:r>
                  <w:proofErr w:type="spellStart"/>
                  <w:r w:rsidRPr="00126539">
                    <w:rPr>
                      <w:bCs/>
                      <w:color w:val="000000" w:themeColor="text1"/>
                      <w:sz w:val="20"/>
                      <w:szCs w:val="20"/>
                    </w:rPr>
                    <w:t>goldplating</w:t>
                  </w:r>
                  <w:proofErr w:type="spellEnd"/>
                  <w:r w:rsidRPr="00126539">
                    <w:rPr>
                      <w:bCs/>
                      <w:color w:val="000000" w:themeColor="text1"/>
                      <w:sz w:val="20"/>
                      <w:szCs w:val="20"/>
                    </w:rPr>
                    <w:t>, pretože nepôjde o všeobecnú informačné povinnosť ale bude aktivovaná len na návrh oprávnenej osoby.</w:t>
                  </w:r>
                </w:p>
                <w:p w:rsidR="009D2FF7" w:rsidRPr="00126539" w:rsidRDefault="009D2FF7" w:rsidP="009D2FF7">
                  <w:pPr>
                    <w:pStyle w:val="Default"/>
                    <w:jc w:val="both"/>
                    <w:rPr>
                      <w:color w:val="000000" w:themeColor="text1"/>
                      <w:sz w:val="20"/>
                      <w:szCs w:val="20"/>
                    </w:rPr>
                  </w:pPr>
                </w:p>
                <w:p w:rsidR="0077073C" w:rsidRPr="00126539" w:rsidRDefault="009D2FF7" w:rsidP="009D2FF7">
                  <w:pPr>
                    <w:pStyle w:val="Default"/>
                    <w:jc w:val="both"/>
                    <w:rPr>
                      <w:color w:val="000000" w:themeColor="text1"/>
                      <w:sz w:val="20"/>
                      <w:szCs w:val="20"/>
                    </w:rPr>
                  </w:pPr>
                  <w:r w:rsidRPr="00126539">
                    <w:rPr>
                      <w:color w:val="000000" w:themeColor="text1"/>
                      <w:sz w:val="20"/>
                      <w:szCs w:val="20"/>
                    </w:rPr>
                    <w:t xml:space="preserve">Smernica v článku 20 nabáda členské štáty, aby prijali opatrenia na to, aby oprávnené osoby neniesli náklady spojené s konaním, resp. aby boli čo najmenšie, inými slovami nabáda na podporu oprávnených osôb, aby boli motivované podávať kolektívne žaloby, pričom výpočet foriem podpory je </w:t>
                  </w:r>
                  <w:proofErr w:type="spellStart"/>
                  <w:r w:rsidRPr="00126539">
                    <w:rPr>
                      <w:color w:val="000000" w:themeColor="text1"/>
                      <w:sz w:val="20"/>
                      <w:szCs w:val="20"/>
                    </w:rPr>
                    <w:t>príkladmý</w:t>
                  </w:r>
                  <w:proofErr w:type="spellEnd"/>
                  <w:r w:rsidRPr="00126539">
                    <w:rPr>
                      <w:color w:val="000000" w:themeColor="text1"/>
                      <w:sz w:val="20"/>
                      <w:szCs w:val="20"/>
                    </w:rPr>
                    <w:t xml:space="preserve">. Vzhľadom na to, že dotačný systém pre oprávnené osoby nie je postačujúci, predkladateľ pristúpil k schéme systému odmeny pre úspešnú oprávnenú osobu v súdnom konaní, oslobodenia od súdneho poplatku a možnosti priznania trov v prípade dôvodu hodného osobitného zreteľa. Predkladateľ má za to, že je to plne s </w:t>
                  </w:r>
                  <w:proofErr w:type="spellStart"/>
                  <w:r w:rsidRPr="00126539">
                    <w:rPr>
                      <w:color w:val="000000" w:themeColor="text1"/>
                      <w:sz w:val="20"/>
                      <w:szCs w:val="20"/>
                    </w:rPr>
                    <w:t>ratio</w:t>
                  </w:r>
                  <w:proofErr w:type="spellEnd"/>
                  <w:r w:rsidRPr="00126539">
                    <w:rPr>
                      <w:color w:val="000000" w:themeColor="text1"/>
                      <w:sz w:val="20"/>
                      <w:szCs w:val="20"/>
                    </w:rPr>
                    <w:t xml:space="preserve"> </w:t>
                  </w:r>
                  <w:proofErr w:type="spellStart"/>
                  <w:r w:rsidRPr="00126539">
                    <w:rPr>
                      <w:color w:val="000000" w:themeColor="text1"/>
                      <w:sz w:val="20"/>
                      <w:szCs w:val="20"/>
                    </w:rPr>
                    <w:t>legis</w:t>
                  </w:r>
                  <w:proofErr w:type="spellEnd"/>
                  <w:r w:rsidRPr="00126539">
                    <w:rPr>
                      <w:color w:val="000000" w:themeColor="text1"/>
                      <w:sz w:val="20"/>
                      <w:szCs w:val="20"/>
                    </w:rPr>
                    <w:t xml:space="preserve"> smernice, a identifikovaný </w:t>
                  </w:r>
                  <w:proofErr w:type="spellStart"/>
                  <w:r w:rsidRPr="00126539">
                    <w:rPr>
                      <w:color w:val="000000" w:themeColor="text1"/>
                      <w:sz w:val="20"/>
                      <w:szCs w:val="20"/>
                    </w:rPr>
                    <w:t>goldplating</w:t>
                  </w:r>
                  <w:proofErr w:type="spellEnd"/>
                  <w:r w:rsidRPr="00126539">
                    <w:rPr>
                      <w:color w:val="000000" w:themeColor="text1"/>
                      <w:sz w:val="20"/>
                      <w:szCs w:val="20"/>
                    </w:rPr>
                    <w:t xml:space="preserve"> má pozitívny sociálny vplyv.</w:t>
                  </w:r>
                </w:p>
                <w:p w:rsidR="00D75435" w:rsidRPr="00126539" w:rsidRDefault="00D75435" w:rsidP="009D2FF7">
                  <w:pPr>
                    <w:pStyle w:val="Default"/>
                    <w:jc w:val="both"/>
                    <w:rPr>
                      <w:color w:val="000000" w:themeColor="text1"/>
                      <w:sz w:val="20"/>
                      <w:szCs w:val="20"/>
                    </w:rPr>
                  </w:pPr>
                </w:p>
                <w:p w:rsidR="00D75435" w:rsidRPr="00126539" w:rsidRDefault="00D75435" w:rsidP="009D2FF7">
                  <w:pPr>
                    <w:pStyle w:val="Default"/>
                    <w:jc w:val="both"/>
                    <w:rPr>
                      <w:color w:val="000000" w:themeColor="text1"/>
                      <w:sz w:val="20"/>
                      <w:szCs w:val="20"/>
                    </w:rPr>
                  </w:pPr>
                  <w:r w:rsidRPr="00126539">
                    <w:rPr>
                      <w:color w:val="000000" w:themeColor="text1"/>
                      <w:sz w:val="20"/>
                      <w:szCs w:val="20"/>
                    </w:rPr>
                    <w:t xml:space="preserve">Smernica v čl. 20 ods. 2 stanovuje, že Opatrenia uvedené v odseku 1 môžu mať napríklad podobu verejného financovania vrátane štrukturálnej podpory pre oprávnené subjekty, obmedzenia uplatniteľných súdnych alebo správnych poplatkov, alebo priznania prístupu k právnej pomoci. Smernica 2020/1828/ES nabáda členské štáty na podporu oprávnených osôb, aby boli motivované podávať kolektívne žaloby, pričom výpočet foriem podpory je </w:t>
                  </w:r>
                  <w:proofErr w:type="spellStart"/>
                  <w:r w:rsidRPr="00126539">
                    <w:rPr>
                      <w:color w:val="000000" w:themeColor="text1"/>
                      <w:sz w:val="20"/>
                      <w:szCs w:val="20"/>
                    </w:rPr>
                    <w:t>príkladmý</w:t>
                  </w:r>
                  <w:proofErr w:type="spellEnd"/>
                  <w:r w:rsidRPr="00126539">
                    <w:rPr>
                      <w:color w:val="000000" w:themeColor="text1"/>
                      <w:sz w:val="20"/>
                      <w:szCs w:val="20"/>
                    </w:rPr>
                    <w:t>. Vzhľadom na to, že dotačný systém pre oprávnené osoby nie je postačujúci, predkladateľ pristúpil k schéme systému odmeny pre úspešnú oprávnenú osobu v súdnom konaní. Predkladateľ má za to, že je to plne s </w:t>
                  </w:r>
                  <w:proofErr w:type="spellStart"/>
                  <w:r w:rsidRPr="00126539">
                    <w:rPr>
                      <w:color w:val="000000" w:themeColor="text1"/>
                      <w:sz w:val="20"/>
                      <w:szCs w:val="20"/>
                    </w:rPr>
                    <w:t>ratio</w:t>
                  </w:r>
                  <w:proofErr w:type="spellEnd"/>
                  <w:r w:rsidRPr="00126539">
                    <w:rPr>
                      <w:color w:val="000000" w:themeColor="text1"/>
                      <w:sz w:val="20"/>
                      <w:szCs w:val="20"/>
                    </w:rPr>
                    <w:t xml:space="preserve"> </w:t>
                  </w:r>
                  <w:proofErr w:type="spellStart"/>
                  <w:r w:rsidRPr="00126539">
                    <w:rPr>
                      <w:color w:val="000000" w:themeColor="text1"/>
                      <w:sz w:val="20"/>
                      <w:szCs w:val="20"/>
                    </w:rPr>
                    <w:t>legis</w:t>
                  </w:r>
                  <w:proofErr w:type="spellEnd"/>
                  <w:r w:rsidRPr="00126539">
                    <w:rPr>
                      <w:color w:val="000000" w:themeColor="text1"/>
                      <w:sz w:val="20"/>
                      <w:szCs w:val="20"/>
                    </w:rPr>
                    <w:t xml:space="preserve"> smernice, a</w:t>
                  </w:r>
                  <w:r w:rsidRPr="00126539">
                    <w:rPr>
                      <w:bCs/>
                      <w:color w:val="000000" w:themeColor="text1"/>
                      <w:sz w:val="20"/>
                      <w:szCs w:val="20"/>
                    </w:rPr>
                    <w:t xml:space="preserve"> tento </w:t>
                  </w:r>
                  <w:proofErr w:type="spellStart"/>
                  <w:r w:rsidRPr="00126539">
                    <w:rPr>
                      <w:color w:val="000000" w:themeColor="text1"/>
                      <w:sz w:val="20"/>
                      <w:szCs w:val="20"/>
                    </w:rPr>
                    <w:t>goldplating</w:t>
                  </w:r>
                  <w:proofErr w:type="spellEnd"/>
                  <w:r w:rsidRPr="00126539">
                    <w:rPr>
                      <w:bCs/>
                      <w:color w:val="000000" w:themeColor="text1"/>
                      <w:sz w:val="20"/>
                      <w:szCs w:val="20"/>
                    </w:rPr>
                    <w:t xml:space="preserve"> považuje za pozitívny</w:t>
                  </w:r>
                  <w:r w:rsidRPr="00126539">
                    <w:rPr>
                      <w:color w:val="000000" w:themeColor="text1"/>
                      <w:sz w:val="20"/>
                      <w:szCs w:val="20"/>
                    </w:rPr>
                    <w:t>.</w:t>
                  </w:r>
                </w:p>
                <w:p w:rsidR="00D75435" w:rsidRPr="00126539" w:rsidRDefault="00D75435" w:rsidP="009D2FF7">
                  <w:pPr>
                    <w:pStyle w:val="Default"/>
                    <w:jc w:val="both"/>
                    <w:rPr>
                      <w:color w:val="000000" w:themeColor="text1"/>
                      <w:sz w:val="20"/>
                      <w:szCs w:val="20"/>
                    </w:rPr>
                  </w:pPr>
                </w:p>
                <w:p w:rsidR="00D75435" w:rsidRPr="00126539" w:rsidRDefault="00D75435" w:rsidP="009D2FF7">
                  <w:pPr>
                    <w:pStyle w:val="Default"/>
                    <w:jc w:val="both"/>
                    <w:rPr>
                      <w:bCs/>
                      <w:color w:val="000000" w:themeColor="text1"/>
                      <w:sz w:val="20"/>
                      <w:szCs w:val="20"/>
                    </w:rPr>
                  </w:pPr>
                  <w:r w:rsidRPr="00126539">
                    <w:rPr>
                      <w:color w:val="000000" w:themeColor="text1"/>
                      <w:sz w:val="20"/>
                      <w:szCs w:val="20"/>
                    </w:rPr>
                    <w:t xml:space="preserve">Smernica v čl. 20 ods. 3 stanovuje, že Členské štáty môžu stanoviť pravidlá, ktoré oprávneným subjektom umožňujú žiadať od tých spotrebiteľov, ktorí výslovne vyjadrili svoju vôľu byť zastúpení oprávneným subjektom             v rámci konkrétnej žaloby v zastúpení      o vydanie nápravných opatrení, aby zaplatili primeraný vstupný poplatok alebo podobný poplatok za účasť v rámci uvedenej žaloby v zastúpení. </w:t>
                  </w:r>
                  <w:r w:rsidRPr="00126539">
                    <w:rPr>
                      <w:bCs/>
                      <w:color w:val="000000" w:themeColor="text1"/>
                      <w:sz w:val="20"/>
                      <w:szCs w:val="20"/>
                    </w:rPr>
                    <w:t xml:space="preserve">Zavedenie poplatku za prihlásenie sa do konania a za odvolanie súhlasu k žalobnému zámeru voči notárovi zo strany spotrebiteľov sa zavádzajú kvôli tomu, aby jednak združenia neniesli náklady a administratívnu záťaž, a aby nedochádzalo k svojvoľnému a početnému odhlasovaniu sa spotrebiteľov z už začatého konania, a aby bola evidencia v počte aktuálne prihlásených spotrebiteľov v konaní. Predkladateľ má za to, že je to plne s </w:t>
                  </w:r>
                  <w:proofErr w:type="spellStart"/>
                  <w:r w:rsidRPr="00126539">
                    <w:rPr>
                      <w:bCs/>
                      <w:color w:val="000000" w:themeColor="text1"/>
                      <w:sz w:val="20"/>
                      <w:szCs w:val="20"/>
                    </w:rPr>
                    <w:t>ratio</w:t>
                  </w:r>
                  <w:proofErr w:type="spellEnd"/>
                  <w:r w:rsidRPr="00126539">
                    <w:rPr>
                      <w:bCs/>
                      <w:color w:val="000000" w:themeColor="text1"/>
                      <w:sz w:val="20"/>
                      <w:szCs w:val="20"/>
                    </w:rPr>
                    <w:t xml:space="preserve"> </w:t>
                  </w:r>
                  <w:proofErr w:type="spellStart"/>
                  <w:r w:rsidRPr="00126539">
                    <w:rPr>
                      <w:bCs/>
                      <w:color w:val="000000" w:themeColor="text1"/>
                      <w:sz w:val="20"/>
                      <w:szCs w:val="20"/>
                    </w:rPr>
                    <w:t>legis</w:t>
                  </w:r>
                  <w:proofErr w:type="spellEnd"/>
                  <w:r w:rsidRPr="00126539">
                    <w:rPr>
                      <w:bCs/>
                      <w:color w:val="000000" w:themeColor="text1"/>
                      <w:sz w:val="20"/>
                      <w:szCs w:val="20"/>
                    </w:rPr>
                    <w:t xml:space="preserve"> smernice, a identifikovaný </w:t>
                  </w:r>
                  <w:proofErr w:type="spellStart"/>
                  <w:r w:rsidRPr="00126539">
                    <w:rPr>
                      <w:bCs/>
                      <w:color w:val="000000" w:themeColor="text1"/>
                      <w:sz w:val="20"/>
                      <w:szCs w:val="20"/>
                    </w:rPr>
                    <w:t>goldplating</w:t>
                  </w:r>
                  <w:proofErr w:type="spellEnd"/>
                  <w:r w:rsidRPr="00126539">
                    <w:rPr>
                      <w:bCs/>
                      <w:color w:val="000000" w:themeColor="text1"/>
                      <w:sz w:val="20"/>
                      <w:szCs w:val="20"/>
                    </w:rPr>
                    <w:t xml:space="preserve"> má marginálny negatívny sociálny vplyv.</w:t>
                  </w:r>
                </w:p>
                <w:p w:rsidR="0068584C" w:rsidRPr="00126539" w:rsidRDefault="0068584C" w:rsidP="009D2FF7">
                  <w:pPr>
                    <w:pStyle w:val="Default"/>
                    <w:jc w:val="both"/>
                    <w:rPr>
                      <w:bCs/>
                      <w:color w:val="000000" w:themeColor="text1"/>
                      <w:sz w:val="20"/>
                      <w:szCs w:val="20"/>
                    </w:rPr>
                  </w:pPr>
                </w:p>
                <w:p w:rsidR="0068584C" w:rsidRPr="00126539" w:rsidRDefault="0068584C" w:rsidP="0068584C">
                  <w:pPr>
                    <w:pStyle w:val="Nadpis1"/>
                    <w:jc w:val="left"/>
                    <w:rPr>
                      <w:b w:val="0"/>
                      <w:color w:val="000000" w:themeColor="text1"/>
                      <w:sz w:val="20"/>
                      <w:szCs w:val="20"/>
                    </w:rPr>
                  </w:pPr>
                  <w:r w:rsidRPr="00126539">
                    <w:rPr>
                      <w:b w:val="0"/>
                      <w:bCs w:val="0"/>
                      <w:color w:val="000000" w:themeColor="text1"/>
                      <w:sz w:val="20"/>
                      <w:szCs w:val="20"/>
                    </w:rPr>
                    <w:t>V čl. 23 ods. 2 písm. a) smernica stanovuje, že č</w:t>
                  </w:r>
                  <w:r w:rsidRPr="00126539">
                    <w:rPr>
                      <w:b w:val="0"/>
                      <w:color w:val="000000" w:themeColor="text1"/>
                      <w:sz w:val="20"/>
                      <w:szCs w:val="20"/>
                    </w:rPr>
                    <w:t xml:space="preserve">lenské štáty Komisii prvýkrát do 26. júna 2027 a potom každý rok poskytnú tieto informácie potrebné na prípravu správy podľa odseku 1: a) počet a druh konaní o žalobách  v zastúpení, ktoré boli skončené pred ich súdmi alebo správnymi orgánmi. Pokiaľ má byť naplnený čl. 23 ods. 2 smernice 2020/1828/ES je potrebné mať k tomu aj dostatok podkladov a dát, preto </w:t>
                  </w:r>
                  <w:r w:rsidRPr="00126539">
                    <w:rPr>
                      <w:b w:val="0"/>
                      <w:color w:val="000000" w:themeColor="text1"/>
                      <w:sz w:val="20"/>
                      <w:szCs w:val="20"/>
                    </w:rPr>
                    <w:lastRenderedPageBreak/>
                    <w:t>sa zavádza povinnosť oprávnenej osoby notifikovať uvedené údaje ministerstvu. Predkladateľ uvedené považuje za marginálny negatívny vplyv na podnikateľské prostredie.</w:t>
                  </w:r>
                </w:p>
                <w:p w:rsidR="001674E3" w:rsidRPr="00126539" w:rsidRDefault="001674E3" w:rsidP="0068584C">
                  <w:pPr>
                    <w:adjustRightInd w:val="0"/>
                    <w:jc w:val="both"/>
                    <w:rPr>
                      <w:rFonts w:ascii="Times New Roman" w:hAnsi="Times New Roman" w:cs="Times New Roman"/>
                      <w:color w:val="000000" w:themeColor="text1"/>
                      <w:sz w:val="20"/>
                      <w:szCs w:val="20"/>
                    </w:rPr>
                  </w:pPr>
                </w:p>
                <w:p w:rsidR="0068584C" w:rsidRPr="00126539" w:rsidRDefault="0068584C" w:rsidP="0068584C">
                  <w:pPr>
                    <w:adjustRightInd w:val="0"/>
                    <w:jc w:val="both"/>
                    <w:rPr>
                      <w:rFonts w:ascii="Times New Roman" w:hAnsi="Times New Roman" w:cs="Times New Roman"/>
                      <w:color w:val="000000" w:themeColor="text1"/>
                      <w:sz w:val="20"/>
                      <w:szCs w:val="20"/>
                    </w:rPr>
                  </w:pPr>
                  <w:r w:rsidRPr="00126539">
                    <w:rPr>
                      <w:rFonts w:ascii="Times New Roman" w:hAnsi="Times New Roman" w:cs="Times New Roman"/>
                      <w:color w:val="000000" w:themeColor="text1"/>
                      <w:sz w:val="20"/>
                      <w:szCs w:val="20"/>
                    </w:rPr>
                    <w:t xml:space="preserve">V čl. 23. ods. 2 písm. b) smernica stanovuje, že členské štáty poskytnú informácie aj o druhu porušení právnych predpisov podľa článku 2 ods. 1 a strany uvedených konaní o žalobách v zastúpení. Ide o navýšenie požiadaviek, predkladateľ to však za marginálny negatívny vplyv na podnikateľské prostredie. </w:t>
                  </w:r>
                </w:p>
              </w:tc>
            </w:tr>
            <w:tr w:rsidR="0068584C" w:rsidRPr="00126539">
              <w:trPr>
                <w:trHeight w:val="296"/>
              </w:trPr>
              <w:tc>
                <w:tcPr>
                  <w:tcW w:w="8643" w:type="dxa"/>
                </w:tcPr>
                <w:p w:rsidR="00A7788F" w:rsidRPr="00126539" w:rsidRDefault="00A7788F" w:rsidP="009D2FF7">
                  <w:pPr>
                    <w:pStyle w:val="Default"/>
                    <w:jc w:val="both"/>
                    <w:rPr>
                      <w:color w:val="000000" w:themeColor="text1"/>
                      <w:sz w:val="20"/>
                      <w:szCs w:val="20"/>
                    </w:rPr>
                  </w:pPr>
                </w:p>
              </w:tc>
            </w:tr>
          </w:tbl>
          <w:p w:rsidR="001B23B7" w:rsidRPr="00126539" w:rsidRDefault="001B23B7" w:rsidP="008F4907">
            <w:pPr>
              <w:jc w:val="both"/>
              <w:rPr>
                <w:rFonts w:ascii="Times New Roman" w:eastAsia="Times New Roman" w:hAnsi="Times New Roman" w:cs="Times New Roman"/>
                <w:i/>
                <w:color w:val="000000" w:themeColor="text1"/>
                <w:sz w:val="20"/>
                <w:szCs w:val="20"/>
                <w:lang w:eastAsia="sk-SK"/>
              </w:rPr>
            </w:pPr>
          </w:p>
        </w:tc>
      </w:tr>
      <w:tr w:rsidR="001B23B7" w:rsidRPr="00126539" w:rsidTr="008F4907">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126539" w:rsidRDefault="001B23B7" w:rsidP="008F4907">
            <w:pPr>
              <w:jc w:val="center"/>
              <w:rPr>
                <w:rFonts w:ascii="Times New Roman" w:eastAsia="Times New Roman" w:hAnsi="Times New Roman" w:cs="Times New Roman"/>
                <w:sz w:val="20"/>
                <w:szCs w:val="20"/>
                <w:lang w:eastAsia="sk-SK"/>
              </w:rPr>
            </w:pPr>
          </w:p>
        </w:tc>
      </w:tr>
      <w:tr w:rsidR="001B23B7" w:rsidRPr="00126539" w:rsidTr="008F49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Preskúmanie účelnosti</w:t>
            </w:r>
          </w:p>
        </w:tc>
      </w:tr>
      <w:tr w:rsidR="001B23B7" w:rsidRPr="00126539" w:rsidTr="008F4907">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77073C" w:rsidRPr="00126539" w:rsidRDefault="0077073C" w:rsidP="0077073C">
            <w:pPr>
              <w:rPr>
                <w:rFonts w:ascii="Times New Roman" w:eastAsia="Times New Roman" w:hAnsi="Times New Roman" w:cs="Times New Roman"/>
                <w:i/>
                <w:sz w:val="20"/>
                <w:szCs w:val="20"/>
                <w:lang w:eastAsia="sk-SK"/>
              </w:rPr>
            </w:pPr>
            <w:r w:rsidRPr="00126539">
              <w:rPr>
                <w:rFonts w:ascii="Times New Roman" w:eastAsia="Times New Roman" w:hAnsi="Times New Roman" w:cs="Times New Roman"/>
                <w:i/>
                <w:sz w:val="20"/>
                <w:szCs w:val="20"/>
                <w:lang w:eastAsia="sk-SK"/>
              </w:rPr>
              <w:t xml:space="preserve">Termín na preskúmanie účinnosti a účelnosti predkladaného materiálu: </w:t>
            </w:r>
            <w:r w:rsidRPr="00126539">
              <w:rPr>
                <w:rFonts w:ascii="Times New Roman" w:eastAsia="Times New Roman" w:hAnsi="Times New Roman" w:cs="Times New Roman"/>
                <w:sz w:val="20"/>
                <w:szCs w:val="20"/>
                <w:lang w:eastAsia="sk-SK"/>
              </w:rPr>
              <w:t>2025</w:t>
            </w:r>
          </w:p>
          <w:p w:rsidR="0077073C" w:rsidRPr="00126539" w:rsidRDefault="0077073C" w:rsidP="0077073C">
            <w:pPr>
              <w:rPr>
                <w:rFonts w:ascii="Times New Roman" w:eastAsia="Times New Roman" w:hAnsi="Times New Roman" w:cs="Times New Roman"/>
                <w:i/>
                <w:sz w:val="20"/>
                <w:szCs w:val="20"/>
                <w:lang w:eastAsia="sk-SK"/>
              </w:rPr>
            </w:pPr>
            <w:r w:rsidRPr="00126539">
              <w:rPr>
                <w:rFonts w:ascii="Times New Roman" w:eastAsia="Times New Roman" w:hAnsi="Times New Roman" w:cs="Times New Roman"/>
                <w:i/>
                <w:sz w:val="20"/>
                <w:szCs w:val="20"/>
                <w:lang w:eastAsia="sk-SK"/>
              </w:rPr>
              <w:t xml:space="preserve">Kritériá: </w:t>
            </w:r>
          </w:p>
          <w:p w:rsidR="009D2FF7" w:rsidRPr="00126539" w:rsidRDefault="0077073C" w:rsidP="009D2FF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 </w:t>
            </w:r>
            <w:r w:rsidR="009D2FF7" w:rsidRPr="00126539">
              <w:rPr>
                <w:rFonts w:ascii="Times New Roman" w:eastAsia="Times New Roman" w:hAnsi="Times New Roman" w:cs="Times New Roman"/>
                <w:sz w:val="20"/>
                <w:szCs w:val="20"/>
                <w:lang w:eastAsia="sk-SK"/>
              </w:rPr>
              <w:t>Zvýšenie administratívnych nákladov – porovnanie administratívnych nákladov reálnych a odhadovaných</w:t>
            </w:r>
          </w:p>
          <w:p w:rsidR="009D2FF7" w:rsidRPr="00126539" w:rsidRDefault="009D2FF7" w:rsidP="009D2FF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 Miera </w:t>
            </w:r>
            <w:r w:rsidR="00FD694D" w:rsidRPr="00126539">
              <w:rPr>
                <w:rFonts w:ascii="Times New Roman" w:eastAsia="Times New Roman" w:hAnsi="Times New Roman" w:cs="Times New Roman"/>
                <w:sz w:val="20"/>
                <w:szCs w:val="20"/>
                <w:lang w:eastAsia="sk-SK"/>
              </w:rPr>
              <w:t>nápadu (</w:t>
            </w:r>
            <w:r w:rsidRPr="00126539">
              <w:rPr>
                <w:rFonts w:ascii="Times New Roman" w:eastAsia="Times New Roman" w:hAnsi="Times New Roman" w:cs="Times New Roman"/>
                <w:sz w:val="20"/>
                <w:szCs w:val="20"/>
                <w:lang w:eastAsia="sk-SK"/>
              </w:rPr>
              <w:t>počtu</w:t>
            </w:r>
            <w:r w:rsidR="00FD694D" w:rsidRPr="00126539">
              <w:rPr>
                <w:rFonts w:ascii="Times New Roman" w:eastAsia="Times New Roman" w:hAnsi="Times New Roman" w:cs="Times New Roman"/>
                <w:sz w:val="20"/>
                <w:szCs w:val="20"/>
                <w:lang w:eastAsia="sk-SK"/>
              </w:rPr>
              <w:t>)</w:t>
            </w:r>
            <w:r w:rsidRPr="00126539">
              <w:rPr>
                <w:rFonts w:ascii="Times New Roman" w:eastAsia="Times New Roman" w:hAnsi="Times New Roman" w:cs="Times New Roman"/>
                <w:sz w:val="20"/>
                <w:szCs w:val="20"/>
                <w:lang w:eastAsia="sk-SK"/>
              </w:rPr>
              <w:t xml:space="preserve"> a </w:t>
            </w:r>
            <w:r w:rsidR="002C3EC8" w:rsidRPr="00126539">
              <w:rPr>
                <w:rFonts w:ascii="Times New Roman" w:eastAsia="Times New Roman" w:hAnsi="Times New Roman" w:cs="Times New Roman"/>
                <w:sz w:val="20"/>
                <w:szCs w:val="20"/>
                <w:lang w:eastAsia="sk-SK"/>
              </w:rPr>
              <w:t>žalôb na ochranu kolektívnych záujmov spotrebiteľov</w:t>
            </w:r>
          </w:p>
          <w:p w:rsidR="002C3EC8" w:rsidRPr="00126539" w:rsidRDefault="002C3EC8" w:rsidP="009D2FF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Miera nápadu (počtu) návrh</w:t>
            </w:r>
            <w:r w:rsidR="00FA2FA0" w:rsidRPr="00126539">
              <w:rPr>
                <w:rFonts w:ascii="Times New Roman" w:eastAsia="Times New Roman" w:hAnsi="Times New Roman" w:cs="Times New Roman"/>
                <w:sz w:val="20"/>
                <w:szCs w:val="20"/>
                <w:lang w:eastAsia="sk-SK"/>
              </w:rPr>
              <w:t>ov</w:t>
            </w:r>
            <w:r w:rsidRPr="00126539">
              <w:rPr>
                <w:rFonts w:ascii="Times New Roman" w:eastAsia="Times New Roman" w:hAnsi="Times New Roman" w:cs="Times New Roman"/>
                <w:sz w:val="20"/>
                <w:szCs w:val="20"/>
                <w:lang w:eastAsia="sk-SK"/>
              </w:rPr>
              <w:t xml:space="preserve"> na začatie konania o abstraktnej kontrole v spotrebiteľských zmluvách</w:t>
            </w:r>
          </w:p>
          <w:p w:rsidR="001B23B7" w:rsidRPr="00126539" w:rsidRDefault="009D2FF7" w:rsidP="0077073C">
            <w:pPr>
              <w:rPr>
                <w:rFonts w:ascii="Times New Roman" w:eastAsia="Times New Roman" w:hAnsi="Times New Roman" w:cs="Times New Roman"/>
                <w:i/>
                <w:sz w:val="20"/>
                <w:szCs w:val="20"/>
                <w:lang w:eastAsia="sk-SK"/>
              </w:rPr>
            </w:pPr>
            <w:r w:rsidRPr="00126539">
              <w:rPr>
                <w:rFonts w:ascii="Times New Roman" w:eastAsia="Times New Roman" w:hAnsi="Times New Roman" w:cs="Times New Roman"/>
                <w:sz w:val="20"/>
                <w:szCs w:val="20"/>
                <w:lang w:eastAsia="sk-SK"/>
              </w:rPr>
              <w:t xml:space="preserve">- </w:t>
            </w:r>
          </w:p>
        </w:tc>
      </w:tr>
      <w:tr w:rsidR="0077073C" w:rsidRPr="00126539" w:rsidTr="008F4907">
        <w:tc>
          <w:tcPr>
            <w:tcW w:w="9180" w:type="dxa"/>
            <w:gridSpan w:val="11"/>
            <w:tcBorders>
              <w:top w:val="nil"/>
              <w:left w:val="nil"/>
              <w:bottom w:val="single" w:sz="4" w:space="0" w:color="auto"/>
              <w:right w:val="nil"/>
            </w:tcBorders>
            <w:shd w:val="clear" w:color="auto" w:fill="FFFFFF"/>
          </w:tcPr>
          <w:p w:rsidR="001B23B7" w:rsidRPr="00126539" w:rsidRDefault="001B23B7" w:rsidP="00A7788F">
            <w:pPr>
              <w:jc w:val="both"/>
              <w:rPr>
                <w:rFonts w:ascii="Times New Roman" w:eastAsia="Times New Roman" w:hAnsi="Times New Roman" w:cs="Times New Roman"/>
                <w:b/>
                <w:sz w:val="20"/>
                <w:szCs w:val="20"/>
                <w:lang w:eastAsia="sk-SK"/>
              </w:rPr>
            </w:pPr>
          </w:p>
          <w:p w:rsidR="001B23B7" w:rsidRPr="00126539" w:rsidRDefault="001B23B7" w:rsidP="00A7788F">
            <w:pPr>
              <w:jc w:val="both"/>
              <w:rPr>
                <w:rFonts w:ascii="Times New Roman" w:eastAsia="Times New Roman" w:hAnsi="Times New Roman" w:cs="Times New Roman"/>
                <w:b/>
                <w:sz w:val="20"/>
                <w:szCs w:val="20"/>
                <w:lang w:eastAsia="sk-SK"/>
              </w:rPr>
            </w:pPr>
          </w:p>
          <w:p w:rsidR="001B23B7" w:rsidRPr="00126539" w:rsidRDefault="001B23B7" w:rsidP="00A7788F">
            <w:pPr>
              <w:ind w:left="142" w:hanging="142"/>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126539" w:rsidRDefault="001B23B7" w:rsidP="00A7788F">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vyplniť iba v prípade, ak sa záverečné posúdenie</w:t>
            </w:r>
            <w:r w:rsidR="00A340BB" w:rsidRPr="00126539">
              <w:rPr>
                <w:rFonts w:ascii="Times New Roman" w:eastAsia="Times New Roman" w:hAnsi="Times New Roman" w:cs="Times New Roman"/>
                <w:sz w:val="20"/>
                <w:szCs w:val="20"/>
                <w:lang w:eastAsia="sk-SK"/>
              </w:rPr>
              <w:t xml:space="preserve"> vybraných vplyvov</w:t>
            </w:r>
            <w:r w:rsidRPr="00126539">
              <w:rPr>
                <w:rFonts w:ascii="Times New Roman" w:eastAsia="Times New Roman" w:hAnsi="Times New Roman" w:cs="Times New Roman"/>
                <w:sz w:val="20"/>
                <w:szCs w:val="20"/>
                <w:lang w:eastAsia="sk-SK"/>
              </w:rPr>
              <w:t xml:space="preserve"> uskutočnilo v zmysle bodu 9.1. </w:t>
            </w:r>
            <w:r w:rsidR="00A340BB" w:rsidRPr="00126539">
              <w:rPr>
                <w:rFonts w:ascii="Times New Roman" w:eastAsia="Times New Roman" w:hAnsi="Times New Roman" w:cs="Times New Roman"/>
                <w:sz w:val="20"/>
                <w:szCs w:val="20"/>
                <w:lang w:eastAsia="sk-SK"/>
              </w:rPr>
              <w:t>j</w:t>
            </w:r>
            <w:r w:rsidRPr="00126539">
              <w:rPr>
                <w:rFonts w:ascii="Times New Roman" w:eastAsia="Times New Roman" w:hAnsi="Times New Roman" w:cs="Times New Roman"/>
                <w:sz w:val="20"/>
                <w:szCs w:val="20"/>
                <w:lang w:eastAsia="sk-SK"/>
              </w:rPr>
              <w:t>ednotnej metodiky</w:t>
            </w:r>
            <w:r w:rsidR="00A340BB" w:rsidRPr="00126539">
              <w:rPr>
                <w:rFonts w:ascii="Times New Roman" w:eastAsia="Times New Roman" w:hAnsi="Times New Roman" w:cs="Times New Roman"/>
                <w:sz w:val="20"/>
                <w:szCs w:val="20"/>
                <w:lang w:eastAsia="sk-SK"/>
              </w:rPr>
              <w:t>.</w:t>
            </w:r>
          </w:p>
          <w:p w:rsidR="00A7788F" w:rsidRPr="00126539" w:rsidRDefault="00A7788F" w:rsidP="00A7788F">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4C6831" w:rsidRPr="00126539" w:rsidRDefault="004C6831" w:rsidP="00A7788F">
            <w:pPr>
              <w:jc w:val="both"/>
              <w:rPr>
                <w:rFonts w:ascii="Times New Roman" w:eastAsia="Times New Roman" w:hAnsi="Times New Roman" w:cs="Times New Roman"/>
                <w:sz w:val="20"/>
                <w:szCs w:val="20"/>
                <w:lang w:eastAsia="sk-SK"/>
              </w:rPr>
            </w:pPr>
          </w:p>
          <w:p w:rsidR="001B23B7" w:rsidRPr="00126539" w:rsidRDefault="001B23B7" w:rsidP="00A7788F">
            <w:pPr>
              <w:jc w:val="both"/>
              <w:rPr>
                <w:rFonts w:ascii="Times New Roman" w:eastAsia="Times New Roman" w:hAnsi="Times New Roman" w:cs="Times New Roman"/>
                <w:b/>
                <w:sz w:val="20"/>
                <w:szCs w:val="20"/>
                <w:lang w:eastAsia="sk-SK"/>
              </w:rPr>
            </w:pPr>
          </w:p>
        </w:tc>
      </w:tr>
      <w:tr w:rsidR="0077073C" w:rsidRPr="00126539"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Vybrané vplyvy  materiálu</w:t>
            </w:r>
          </w:p>
        </w:tc>
      </w:tr>
      <w:tr w:rsidR="0077073C" w:rsidRPr="00126539"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126539" w:rsidRDefault="001B23B7" w:rsidP="008F4907">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126539" w:rsidRDefault="003145AE" w:rsidP="008F4907">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126539" w:rsidRDefault="001B23B7" w:rsidP="008F4907">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126539" w:rsidRDefault="009D2FF7" w:rsidP="008F4907">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126539" w:rsidRDefault="001B23B7" w:rsidP="008F4907">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126539" w:rsidRDefault="009D2FF7" w:rsidP="008F4907">
                <w:pPr>
                  <w:ind w:left="-107" w:right="-108"/>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126539" w:rsidRDefault="001B23B7" w:rsidP="008F4907">
            <w:pPr>
              <w:ind w:left="34"/>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Negatívne</w:t>
            </w:r>
          </w:p>
        </w:tc>
      </w:tr>
      <w:tr w:rsidR="0077073C" w:rsidRPr="00126539" w:rsidTr="004C6831">
        <w:tc>
          <w:tcPr>
            <w:tcW w:w="3812" w:type="dxa"/>
            <w:tcBorders>
              <w:top w:val="nil"/>
              <w:left w:val="single" w:sz="4" w:space="0" w:color="auto"/>
              <w:bottom w:val="nil"/>
              <w:right w:val="single" w:sz="4" w:space="0" w:color="auto"/>
            </w:tcBorders>
            <w:shd w:val="clear" w:color="auto" w:fill="E2E2E2"/>
          </w:tcPr>
          <w:p w:rsidR="00B84F87" w:rsidRPr="00126539" w:rsidRDefault="00B84F8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    </w:t>
            </w:r>
            <w:r w:rsidR="001B23B7" w:rsidRPr="00126539">
              <w:rPr>
                <w:rFonts w:ascii="Times New Roman" w:eastAsia="Times New Roman" w:hAnsi="Times New Roman" w:cs="Times New Roman"/>
                <w:sz w:val="20"/>
                <w:szCs w:val="20"/>
                <w:lang w:eastAsia="sk-SK"/>
              </w:rPr>
              <w:t xml:space="preserve">z toho rozpočtovo zabezpečené vplyvy, </w:t>
            </w:r>
            <w:r w:rsidR="00A340BB" w:rsidRPr="00126539">
              <w:rPr>
                <w:rFonts w:ascii="Times New Roman" w:eastAsia="Times New Roman" w:hAnsi="Times New Roman" w:cs="Times New Roman"/>
                <w:sz w:val="20"/>
                <w:szCs w:val="20"/>
                <w:lang w:eastAsia="sk-SK"/>
              </w:rPr>
              <w:t xml:space="preserve">    </w:t>
            </w:r>
            <w:r w:rsidRPr="00126539">
              <w:rPr>
                <w:rFonts w:ascii="Times New Roman" w:eastAsia="Times New Roman" w:hAnsi="Times New Roman" w:cs="Times New Roman"/>
                <w:sz w:val="20"/>
                <w:szCs w:val="20"/>
                <w:lang w:eastAsia="sk-SK"/>
              </w:rPr>
              <w:t xml:space="preserve">    </w:t>
            </w:r>
          </w:p>
          <w:p w:rsidR="00B84F87" w:rsidRPr="00126539" w:rsidRDefault="00B84F8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    </w:t>
            </w:r>
            <w:r w:rsidR="001B23B7" w:rsidRPr="00126539">
              <w:rPr>
                <w:rFonts w:ascii="Times New Roman" w:eastAsia="Times New Roman" w:hAnsi="Times New Roman" w:cs="Times New Roman"/>
                <w:sz w:val="20"/>
                <w:szCs w:val="20"/>
                <w:lang w:eastAsia="sk-SK"/>
              </w:rPr>
              <w:t xml:space="preserve">v prípade identifikovaného negatívneho </w:t>
            </w:r>
          </w:p>
          <w:p w:rsidR="003145AE" w:rsidRPr="00126539" w:rsidRDefault="00B84F8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    </w:t>
            </w:r>
            <w:r w:rsidR="001B23B7" w:rsidRPr="00126539">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126539" w:rsidRDefault="003145AE" w:rsidP="00203EE3">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126539" w:rsidRDefault="001B23B7" w:rsidP="00203EE3">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126539" w:rsidRDefault="009D2FF7" w:rsidP="00203EE3">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126539" w:rsidRDefault="001B23B7" w:rsidP="00203EE3">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126539" w:rsidRDefault="00203EE3" w:rsidP="00203EE3">
                <w:pPr>
                  <w:ind w:left="-107" w:right="-108"/>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126539" w:rsidRDefault="001B23B7" w:rsidP="00203EE3">
            <w:pPr>
              <w:ind w:left="34"/>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Čiastočne</w:t>
            </w:r>
          </w:p>
        </w:tc>
      </w:tr>
      <w:tr w:rsidR="0077073C" w:rsidRPr="00126539" w:rsidTr="004C6831">
        <w:tc>
          <w:tcPr>
            <w:tcW w:w="3812" w:type="dxa"/>
            <w:tcBorders>
              <w:top w:val="nil"/>
              <w:left w:val="single" w:sz="4" w:space="0" w:color="auto"/>
              <w:bottom w:val="nil"/>
              <w:right w:val="single" w:sz="4" w:space="0" w:color="auto"/>
            </w:tcBorders>
            <w:shd w:val="clear" w:color="auto" w:fill="E2E2E2"/>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126539" w:rsidRDefault="009D2FF7"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126539" w:rsidRDefault="009D2FF7"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126539" w:rsidRDefault="009D2FF7" w:rsidP="003145AE">
                <w:pPr>
                  <w:ind w:left="-107" w:right="-108"/>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126539" w:rsidRDefault="003145AE" w:rsidP="003145AE">
            <w:pPr>
              <w:ind w:left="34"/>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Negatívne</w:t>
            </w:r>
          </w:p>
        </w:tc>
      </w:tr>
      <w:tr w:rsidR="0077073C" w:rsidRPr="00126539" w:rsidTr="00A7788F">
        <w:tc>
          <w:tcPr>
            <w:tcW w:w="3812" w:type="dxa"/>
            <w:tcBorders>
              <w:top w:val="nil"/>
              <w:left w:val="single" w:sz="4" w:space="0" w:color="auto"/>
              <w:bottom w:val="single" w:sz="4" w:space="0" w:color="auto"/>
              <w:right w:val="single" w:sz="4" w:space="0" w:color="auto"/>
            </w:tcBorders>
            <w:shd w:val="clear" w:color="auto" w:fill="E2E2E2"/>
          </w:tcPr>
          <w:p w:rsidR="003145AE" w:rsidRPr="00126539" w:rsidRDefault="003145AE" w:rsidP="003145AE">
            <w:pPr>
              <w:ind w:left="171"/>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z toho rozpočtovo zabezpečené vplyvy,</w:t>
            </w:r>
          </w:p>
          <w:p w:rsidR="003145AE" w:rsidRPr="00126539" w:rsidRDefault="003145AE" w:rsidP="003145AE">
            <w:pPr>
              <w:ind w:left="171"/>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126539" w:rsidRDefault="003145AE" w:rsidP="003145AE">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126539" w:rsidRDefault="003145AE" w:rsidP="003145AE">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126539" w:rsidRDefault="003145AE" w:rsidP="003145AE">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126539" w:rsidRDefault="003145AE" w:rsidP="003145AE">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126539" w:rsidRDefault="003145AE" w:rsidP="003145AE">
                <w:pPr>
                  <w:ind w:left="-107" w:right="-108"/>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126539" w:rsidRDefault="003145AE" w:rsidP="003145AE">
            <w:pPr>
              <w:ind w:left="34"/>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Čiastočne</w:t>
            </w:r>
          </w:p>
        </w:tc>
      </w:tr>
      <w:tr w:rsidR="0077073C" w:rsidRPr="00126539"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126539" w:rsidRDefault="00A7788F" w:rsidP="008F4907">
            <w:pPr>
              <w:ind w:left="171"/>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126539" w:rsidRDefault="00187182" w:rsidP="008F4907">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126539" w:rsidRDefault="00A7788F" w:rsidP="008F4907">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126539" w:rsidRDefault="00A7788F" w:rsidP="008F4907">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126539" w:rsidRDefault="00A7788F" w:rsidP="008F490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126539" w:rsidRDefault="00187182" w:rsidP="008F4907">
                <w:pPr>
                  <w:ind w:left="-107" w:right="-108"/>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126539" w:rsidRDefault="00A7788F" w:rsidP="008F4907">
            <w:pPr>
              <w:ind w:left="34"/>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Nie</w:t>
            </w:r>
          </w:p>
        </w:tc>
      </w:tr>
      <w:tr w:rsidR="003145AE" w:rsidRPr="00126539" w:rsidTr="00A7788F">
        <w:tc>
          <w:tcPr>
            <w:tcW w:w="3812" w:type="dxa"/>
            <w:tcBorders>
              <w:top w:val="single" w:sz="4" w:space="0" w:color="auto"/>
              <w:left w:val="single" w:sz="4" w:space="0" w:color="auto"/>
              <w:bottom w:val="nil"/>
              <w:right w:val="single" w:sz="4" w:space="0" w:color="auto"/>
            </w:tcBorders>
            <w:shd w:val="clear" w:color="auto" w:fill="E2E2E2"/>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3145AE" w:rsidRPr="00126539" w:rsidRDefault="0077073C"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3145AE" w:rsidRPr="00126539" w:rsidRDefault="003145AE" w:rsidP="003145AE">
            <w:pPr>
              <w:ind w:right="-108"/>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3145AE" w:rsidRPr="00126539" w:rsidRDefault="003145AE"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3145AE" w:rsidRPr="00126539" w:rsidRDefault="0077073C"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3145AE" w:rsidRPr="00126539" w:rsidRDefault="003145AE" w:rsidP="003145AE">
            <w:pPr>
              <w:ind w:left="54"/>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Negatívne</w:t>
            </w:r>
          </w:p>
        </w:tc>
      </w:tr>
      <w:tr w:rsidR="003145AE" w:rsidRPr="00126539" w:rsidTr="00203EE3">
        <w:tc>
          <w:tcPr>
            <w:tcW w:w="3812" w:type="dxa"/>
            <w:tcBorders>
              <w:top w:val="nil"/>
              <w:left w:val="single" w:sz="4" w:space="0" w:color="000000"/>
              <w:bottom w:val="nil"/>
              <w:right w:val="single" w:sz="4" w:space="0" w:color="000000"/>
            </w:tcBorders>
            <w:shd w:val="clear" w:color="auto" w:fill="E2E2E2"/>
          </w:tcPr>
          <w:p w:rsidR="003145AE" w:rsidRPr="00126539" w:rsidRDefault="003145AE" w:rsidP="003145AE">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    z toho vplyvy na MSP</w:t>
            </w:r>
          </w:p>
          <w:p w:rsidR="003145AE" w:rsidRPr="00126539"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3145AE" w:rsidRPr="00126539" w:rsidRDefault="0077073C" w:rsidP="003145AE">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145AE" w:rsidRPr="00126539" w:rsidRDefault="003145AE" w:rsidP="003145AE">
            <w:pPr>
              <w:ind w:right="-108"/>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3145AE" w:rsidRPr="00126539" w:rsidRDefault="003145AE" w:rsidP="003145AE">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145AE" w:rsidRPr="00126539" w:rsidRDefault="003145AE" w:rsidP="003145AE">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3145AE" w:rsidRPr="00126539" w:rsidRDefault="0077073C" w:rsidP="003145AE">
                <w:pPr>
                  <w:jc w:val="center"/>
                  <w:rPr>
                    <w:rFonts w:ascii="Times New Roman" w:eastAsia="Times New Roman" w:hAnsi="Times New Roman" w:cs="Times New Roman"/>
                    <w:sz w:val="20"/>
                    <w:szCs w:val="20"/>
                    <w:lang w:eastAsia="sk-SK"/>
                  </w:rPr>
                </w:pPr>
                <w:r w:rsidRPr="00126539">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145AE" w:rsidRPr="00126539" w:rsidRDefault="003145AE" w:rsidP="003145AE">
            <w:pPr>
              <w:ind w:left="54"/>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Negatívne</w:t>
            </w:r>
          </w:p>
        </w:tc>
      </w:tr>
      <w:tr w:rsidR="003145AE" w:rsidRPr="00126539" w:rsidTr="00203EE3">
        <w:tc>
          <w:tcPr>
            <w:tcW w:w="3812" w:type="dxa"/>
            <w:tcBorders>
              <w:top w:val="nil"/>
              <w:left w:val="single" w:sz="4" w:space="0" w:color="auto"/>
              <w:bottom w:val="single" w:sz="4" w:space="0" w:color="auto"/>
              <w:right w:val="single" w:sz="4" w:space="0" w:color="auto"/>
            </w:tcBorders>
            <w:shd w:val="clear" w:color="auto" w:fill="E2E2E2"/>
          </w:tcPr>
          <w:p w:rsidR="003145AE" w:rsidRPr="00126539" w:rsidRDefault="003145AE" w:rsidP="003145AE">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    Mechanizmus znižovania byrokracie    </w:t>
            </w:r>
          </w:p>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126539" w:rsidRDefault="008F4907"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3145AE" w:rsidRPr="00126539" w:rsidRDefault="003145AE" w:rsidP="003145AE">
            <w:pPr>
              <w:ind w:right="-108"/>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3145AE" w:rsidRPr="00126539"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3145AE" w:rsidRPr="00126539"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126539" w:rsidRDefault="008F4907"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126539" w:rsidRDefault="003145AE" w:rsidP="003145AE">
            <w:pPr>
              <w:ind w:left="54"/>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sz w:val="20"/>
                <w:szCs w:val="20"/>
                <w:lang w:eastAsia="sk-SK"/>
              </w:rPr>
              <w:t>Nie</w:t>
            </w:r>
          </w:p>
        </w:tc>
      </w:tr>
      <w:tr w:rsidR="003145AE" w:rsidRPr="00126539"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126539" w:rsidRDefault="009D2FF7"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126539" w:rsidRDefault="003145AE" w:rsidP="003145AE">
            <w:pPr>
              <w:ind w:right="-108"/>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126539" w:rsidRDefault="009D2FF7"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126539" w:rsidRDefault="009D2FF7"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126539" w:rsidRDefault="003145AE" w:rsidP="003145AE">
            <w:pPr>
              <w:ind w:left="54"/>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Negatívne</w:t>
            </w:r>
          </w:p>
        </w:tc>
      </w:tr>
      <w:tr w:rsidR="003145AE" w:rsidRPr="00126539"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126539" w:rsidRDefault="009D2FF7"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126539" w:rsidRDefault="003145AE" w:rsidP="003145AE">
            <w:pPr>
              <w:ind w:right="-108"/>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126539" w:rsidRDefault="0077073C"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126539" w:rsidRDefault="003145AE"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126539" w:rsidRDefault="003145AE" w:rsidP="003145AE">
            <w:pPr>
              <w:ind w:left="54"/>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Negatívne</w:t>
            </w:r>
          </w:p>
        </w:tc>
      </w:tr>
      <w:tr w:rsidR="003145AE" w:rsidRPr="00126539"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126539" w:rsidRDefault="009D2FF7"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126539" w:rsidRDefault="003145AE" w:rsidP="003145AE">
            <w:pPr>
              <w:ind w:right="-108"/>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126539" w:rsidRDefault="009D2FF7"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126539" w:rsidRDefault="003145AE" w:rsidP="003145AE">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126539" w:rsidRDefault="003145AE" w:rsidP="003145AE">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126539" w:rsidRDefault="003145AE" w:rsidP="003145AE">
            <w:pPr>
              <w:ind w:left="54"/>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126539"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126539" w:rsidRDefault="000F2BE9" w:rsidP="008F4907">
            <w:pPr>
              <w:spacing w:after="0" w:line="240" w:lineRule="auto"/>
              <w:rPr>
                <w:rFonts w:ascii="Times New Roman" w:eastAsia="Times New Roman" w:hAnsi="Times New Roman" w:cs="Times New Roman"/>
                <w:b/>
                <w:sz w:val="20"/>
                <w:szCs w:val="20"/>
                <w:lang w:eastAsia="sk-SK"/>
              </w:rPr>
            </w:pPr>
            <w:r w:rsidRPr="00126539">
              <w:rPr>
                <w:rFonts w:ascii="Times New Roman" w:eastAsia="Calibri" w:hAnsi="Times New Roman" w:cs="Times New Roman"/>
                <w:b/>
                <w:sz w:val="20"/>
                <w:szCs w:val="20"/>
              </w:rPr>
              <w:t>Vplyvy na služby verejnej správy pre občana, z</w:t>
            </w:r>
            <w:r w:rsidR="00CE6AAE" w:rsidRPr="00126539">
              <w:rPr>
                <w:rFonts w:ascii="Times New Roman" w:eastAsia="Calibri" w:hAnsi="Times New Roman" w:cs="Times New Roman"/>
                <w:b/>
                <w:sz w:val="20"/>
                <w:szCs w:val="20"/>
              </w:rPr>
              <w:t> </w:t>
            </w:r>
            <w:r w:rsidRPr="00126539">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126539" w:rsidRDefault="000F2BE9" w:rsidP="008F4907">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126539" w:rsidRDefault="000F2BE9" w:rsidP="008F4907">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126539" w:rsidRDefault="000F2BE9" w:rsidP="008F4907">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126539" w:rsidRDefault="000F2BE9" w:rsidP="008F4907">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126539" w:rsidRDefault="000F2BE9" w:rsidP="008F4907">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126539" w:rsidRDefault="000F2BE9" w:rsidP="008F4907">
            <w:pPr>
              <w:spacing w:after="0" w:line="240" w:lineRule="auto"/>
              <w:ind w:left="54"/>
              <w:rPr>
                <w:rFonts w:ascii="Times New Roman" w:eastAsia="Times New Roman" w:hAnsi="Times New Roman" w:cs="Times New Roman"/>
                <w:b/>
                <w:sz w:val="20"/>
                <w:szCs w:val="20"/>
                <w:lang w:eastAsia="sk-SK"/>
              </w:rPr>
            </w:pPr>
          </w:p>
        </w:tc>
      </w:tr>
      <w:tr w:rsidR="000F2BE9" w:rsidRPr="00126539" w:rsidTr="00B547F5">
        <w:tc>
          <w:tcPr>
            <w:tcW w:w="3812" w:type="dxa"/>
            <w:tcBorders>
              <w:top w:val="nil"/>
              <w:left w:val="single" w:sz="4" w:space="0" w:color="auto"/>
              <w:bottom w:val="nil"/>
              <w:right w:val="single" w:sz="4" w:space="0" w:color="auto"/>
            </w:tcBorders>
            <w:shd w:val="clear" w:color="auto" w:fill="E2E2E2"/>
          </w:tcPr>
          <w:p w:rsidR="000F2BE9" w:rsidRPr="00126539" w:rsidRDefault="000F2BE9" w:rsidP="008F4907">
            <w:pPr>
              <w:spacing w:after="0" w:line="240" w:lineRule="auto"/>
              <w:ind w:left="196" w:hanging="196"/>
              <w:rPr>
                <w:rFonts w:ascii="Times New Roman" w:eastAsia="Calibri" w:hAnsi="Times New Roman" w:cs="Times New Roman"/>
                <w:b/>
                <w:sz w:val="20"/>
                <w:szCs w:val="20"/>
              </w:rPr>
            </w:pPr>
            <w:r w:rsidRPr="00126539">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126539" w:rsidRDefault="0023360B" w:rsidP="00B547F5">
                <w:pPr>
                  <w:spacing w:after="0" w:line="240" w:lineRule="auto"/>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126539" w:rsidRDefault="000F2BE9" w:rsidP="00B547F5">
            <w:pPr>
              <w:spacing w:after="0" w:line="240" w:lineRule="auto"/>
              <w:ind w:right="-108"/>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126539" w:rsidRDefault="0077073C" w:rsidP="00B547F5">
                <w:pPr>
                  <w:spacing w:after="0" w:line="240" w:lineRule="auto"/>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126539" w:rsidRDefault="000F2BE9" w:rsidP="00B547F5">
            <w:pPr>
              <w:spacing w:after="0" w:line="240" w:lineRule="auto"/>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126539" w:rsidRDefault="0023360B" w:rsidP="00B547F5">
                <w:pPr>
                  <w:spacing w:after="0" w:line="240" w:lineRule="auto"/>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126539" w:rsidRDefault="000F2BE9" w:rsidP="00B547F5">
            <w:pPr>
              <w:spacing w:after="0" w:line="240" w:lineRule="auto"/>
              <w:ind w:left="54"/>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Negatívne</w:t>
            </w:r>
          </w:p>
        </w:tc>
      </w:tr>
      <w:tr w:rsidR="000F2BE9" w:rsidRPr="00126539" w:rsidTr="00B547F5">
        <w:tc>
          <w:tcPr>
            <w:tcW w:w="3812" w:type="dxa"/>
            <w:tcBorders>
              <w:top w:val="nil"/>
              <w:left w:val="single" w:sz="4" w:space="0" w:color="auto"/>
              <w:bottom w:val="nil"/>
              <w:right w:val="single" w:sz="4" w:space="0" w:color="auto"/>
            </w:tcBorders>
            <w:shd w:val="clear" w:color="auto" w:fill="E2E2E2"/>
          </w:tcPr>
          <w:p w:rsidR="000F2BE9" w:rsidRPr="00126539" w:rsidRDefault="000F2BE9" w:rsidP="008F4907">
            <w:pPr>
              <w:spacing w:after="0" w:line="240" w:lineRule="auto"/>
              <w:ind w:left="168" w:hanging="168"/>
              <w:rPr>
                <w:rFonts w:ascii="Times New Roman" w:eastAsia="Calibri" w:hAnsi="Times New Roman" w:cs="Times New Roman"/>
                <w:b/>
                <w:sz w:val="20"/>
                <w:szCs w:val="20"/>
              </w:rPr>
            </w:pPr>
            <w:r w:rsidRPr="00126539">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126539" w:rsidRDefault="0023360B" w:rsidP="00B547F5">
                <w:pPr>
                  <w:spacing w:after="0" w:line="240" w:lineRule="auto"/>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126539" w:rsidRDefault="000F2BE9" w:rsidP="00B547F5">
            <w:pPr>
              <w:spacing w:after="0" w:line="240" w:lineRule="auto"/>
              <w:ind w:right="-108"/>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126539" w:rsidRDefault="0077073C" w:rsidP="00B547F5">
                <w:pPr>
                  <w:spacing w:after="0" w:line="240" w:lineRule="auto"/>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126539" w:rsidRDefault="000F2BE9" w:rsidP="00B547F5">
            <w:pPr>
              <w:spacing w:after="0" w:line="240" w:lineRule="auto"/>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126539" w:rsidRDefault="0023360B" w:rsidP="00B547F5">
                <w:pPr>
                  <w:spacing w:after="0" w:line="240" w:lineRule="auto"/>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126539" w:rsidRDefault="000F2BE9" w:rsidP="00B547F5">
            <w:pPr>
              <w:spacing w:after="0" w:line="240" w:lineRule="auto"/>
              <w:ind w:left="54"/>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126539"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126539" w:rsidRDefault="00A340BB" w:rsidP="008F4907">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rPr>
              <w:t>Vplyvy na manželstvo</w:t>
            </w:r>
            <w:r w:rsidR="00DF357C" w:rsidRPr="00126539">
              <w:rPr>
                <w:rFonts w:ascii="Times New Roman" w:eastAsia="Times New Roman" w:hAnsi="Times New Roman" w:cs="Times New Roman"/>
                <w:b/>
                <w:sz w:val="20"/>
                <w:szCs w:val="20"/>
              </w:rPr>
              <w:t>,</w:t>
            </w:r>
            <w:r w:rsidRPr="00126539">
              <w:rPr>
                <w:rFonts w:ascii="Times New Roman" w:eastAsia="Times New Roman" w:hAnsi="Times New Roman" w:cs="Times New Roman"/>
                <w:b/>
                <w:sz w:val="20"/>
                <w:szCs w:val="20"/>
              </w:rPr>
              <w:t xml:space="preserve"> rodičovstvo a</w:t>
            </w:r>
            <w:r w:rsidR="00CE6AAE" w:rsidRPr="00126539">
              <w:rPr>
                <w:rFonts w:ascii="Times New Roman" w:eastAsia="Times New Roman" w:hAnsi="Times New Roman" w:cs="Times New Roman"/>
                <w:b/>
                <w:sz w:val="20"/>
                <w:szCs w:val="20"/>
              </w:rPr>
              <w:t> </w:t>
            </w:r>
            <w:r w:rsidRPr="00126539">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126539" w:rsidRDefault="0023360B" w:rsidP="0023360B">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126539" w:rsidRDefault="00A340BB" w:rsidP="0023360B">
            <w:pPr>
              <w:ind w:right="-108"/>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126539" w:rsidRDefault="0077073C" w:rsidP="0023360B">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126539" w:rsidRDefault="00A340BB" w:rsidP="0023360B">
            <w:pPr>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126539" w:rsidRDefault="0023360B" w:rsidP="0023360B">
                <w:pPr>
                  <w:jc w:val="center"/>
                  <w:rPr>
                    <w:rFonts w:ascii="Times New Roman" w:eastAsia="Times New Roman" w:hAnsi="Times New Roman" w:cs="Times New Roman"/>
                    <w:b/>
                    <w:sz w:val="20"/>
                    <w:szCs w:val="20"/>
                    <w:lang w:eastAsia="sk-SK"/>
                  </w:rPr>
                </w:pPr>
                <w:r w:rsidRPr="0012653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126539" w:rsidRDefault="00A340BB" w:rsidP="0023360B">
            <w:pPr>
              <w:ind w:left="54"/>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Negatívne</w:t>
            </w:r>
          </w:p>
        </w:tc>
      </w:tr>
    </w:tbl>
    <w:p w:rsidR="001B23B7" w:rsidRPr="00126539"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126539" w:rsidTr="008F4907">
        <w:tc>
          <w:tcPr>
            <w:tcW w:w="9176" w:type="dxa"/>
            <w:tcBorders>
              <w:top w:val="single" w:sz="4" w:space="0" w:color="auto"/>
              <w:left w:val="single" w:sz="4" w:space="0" w:color="auto"/>
              <w:bottom w:val="nil"/>
              <w:right w:val="single" w:sz="4" w:space="0" w:color="auto"/>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Poznámky</w:t>
            </w:r>
          </w:p>
        </w:tc>
      </w:tr>
      <w:tr w:rsidR="001B23B7" w:rsidRPr="00126539" w:rsidTr="008F4907">
        <w:trPr>
          <w:trHeight w:val="713"/>
        </w:trPr>
        <w:tc>
          <w:tcPr>
            <w:tcW w:w="9176" w:type="dxa"/>
            <w:tcBorders>
              <w:top w:val="nil"/>
              <w:left w:val="single" w:sz="4" w:space="0" w:color="auto"/>
              <w:bottom w:val="single" w:sz="4" w:space="0" w:color="FFFFFF"/>
              <w:right w:val="single" w:sz="4" w:space="0" w:color="auto"/>
            </w:tcBorders>
            <w:shd w:val="clear" w:color="auto" w:fill="auto"/>
          </w:tcPr>
          <w:p w:rsidR="008C611D" w:rsidRPr="00126539" w:rsidRDefault="008C611D" w:rsidP="008C611D">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lastRenderedPageBreak/>
              <w:t xml:space="preserve">Verejnosť bola o príprave návrhu zákona o žalobách na ochranu kolektívnych záujmov spotrebiteľov a o zmene a doplnení niektorých zákonov informovaná prostredníctvom predbežnej informácie PI/2021/248 zverejnenej na portáli Slov-lex v období od 05.11.2021 do 19.11.2021 (dostupné na https://www.slov-lex.sk/legislativne-procesy/SK/PI/2021/248). </w:t>
            </w:r>
          </w:p>
          <w:p w:rsidR="008C611D" w:rsidRPr="00126539" w:rsidRDefault="008C611D" w:rsidP="008C611D">
            <w:pPr>
              <w:jc w:val="both"/>
              <w:rPr>
                <w:rFonts w:ascii="Times New Roman" w:eastAsia="Times New Roman" w:hAnsi="Times New Roman" w:cs="Times New Roman"/>
                <w:sz w:val="20"/>
                <w:szCs w:val="20"/>
                <w:lang w:eastAsia="sk-SK"/>
              </w:rPr>
            </w:pPr>
          </w:p>
          <w:p w:rsidR="008F4907" w:rsidRPr="00126539" w:rsidRDefault="008C611D" w:rsidP="008F4907">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K vplyvom na informatizáciu spoločnosti:</w:t>
            </w:r>
          </w:p>
          <w:p w:rsidR="008C611D" w:rsidRPr="00126539" w:rsidRDefault="008C611D" w:rsidP="00FA2FA0">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V prípade zoznamu oprávnených osôb na podanie žaloby na ochranu kolektívnych záujmov spotrebiteľov pôjde o jednoduchý zoznam/dokument, ktorý sa bude zverejňovať na webovom sídle Ministerstva hospodárstva Slovenskej republiky bez potreby použitia osobitného informačného systému a formulárov. V súvislosti s vedením tohto zoznamu nevzniknú žiadne výdavky ani potreba finančných investícií. Vzhľadom na tieto skutočnosti príslušný gestor dospel po konzultácii s predkladateľom návrhu zákona k záveru, že ide o nepatrné vplyvy na informatizáciu a nie je potrebné posudzovať tieto vplyvy a vyhodnocovať ich v rámci Analýzy vplyvov na informatizáciu spoločnosti.</w:t>
            </w:r>
          </w:p>
          <w:p w:rsidR="008C611D" w:rsidRPr="00126539" w:rsidRDefault="008C611D" w:rsidP="008C611D">
            <w:pPr>
              <w:jc w:val="both"/>
              <w:rPr>
                <w:rFonts w:ascii="Times New Roman" w:eastAsia="Times New Roman" w:hAnsi="Times New Roman" w:cs="Times New Roman"/>
                <w:sz w:val="20"/>
                <w:szCs w:val="20"/>
                <w:lang w:eastAsia="sk-SK"/>
              </w:rPr>
            </w:pPr>
          </w:p>
          <w:p w:rsidR="008C611D" w:rsidRPr="00126539" w:rsidRDefault="008C611D" w:rsidP="008C611D">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Marginálne negatívne vplyvy:</w:t>
            </w:r>
          </w:p>
          <w:p w:rsidR="008C611D" w:rsidRPr="00126539" w:rsidRDefault="008C611D" w:rsidP="008C611D">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povinnosti spojené so zdanením príjmu/odmeny v prípade úspechu v súdnom konaní (§ 13)</w:t>
            </w:r>
          </w:p>
          <w:p w:rsidR="00FA2FA0" w:rsidRPr="00126539" w:rsidRDefault="008C611D" w:rsidP="00FA2FA0">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Nová právna úprava predstavuje povinnosť oprávnených osôb, ktoré budú mať zapísané aj ako doplnkovú podnikateľskú činnosť vo svojich stanovách a ktorých môže byť marginálny počet, zdaniť príjem (napr. odmenu) z úspešného súdneho sporu; predkladateľ návrhu zákona preto zaraďuje túto regulácia medzi marginálne negatívne vplyvy na podnikateľské prostredie.</w:t>
            </w:r>
          </w:p>
          <w:p w:rsidR="00FA2FA0" w:rsidRPr="00126539" w:rsidRDefault="00AD13F3" w:rsidP="00FA2FA0">
            <w:pPr>
              <w:jc w:val="both"/>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br/>
              <w:t xml:space="preserve">- informovanie spotrebiteľov o konečnom rozhodnutí, prípadne o schválenom zmieri </w:t>
            </w:r>
            <w:r w:rsidR="00934FF9" w:rsidRPr="00126539">
              <w:rPr>
                <w:rFonts w:ascii="Times New Roman" w:eastAsia="Times New Roman" w:hAnsi="Times New Roman" w:cs="Times New Roman"/>
                <w:sz w:val="20"/>
                <w:szCs w:val="20"/>
                <w:lang w:eastAsia="sk-SK"/>
              </w:rPr>
              <w:t>(§ 11 ods. 5)</w:t>
            </w:r>
            <w:r w:rsidRPr="00126539">
              <w:rPr>
                <w:rFonts w:ascii="Times New Roman" w:eastAsia="Times New Roman" w:hAnsi="Times New Roman" w:cs="Times New Roman"/>
                <w:sz w:val="20"/>
                <w:szCs w:val="20"/>
                <w:lang w:eastAsia="sk-SK"/>
              </w:rPr>
              <w:br/>
              <w:t>Nová právna úprava predstavuje povinnosť obchodníka informovať spotrebiteľov o konečnom rozhodnutí, prípadne schválenom zmieri na vlastné náklady. Návrh zákona predpokladá, že súd obchodníka vyzve, aby urobil úkon ako keby navyše; samotné vynesenie rozsudku na informáciu o konečnom rozhodnutí nestačí, ale obchodník musí proaktívne informovať o takomto rozhodnutí spotrebiteľo</w:t>
            </w:r>
            <w:r w:rsidR="00601B10" w:rsidRPr="00126539">
              <w:rPr>
                <w:rFonts w:ascii="Times New Roman" w:eastAsia="Times New Roman" w:hAnsi="Times New Roman" w:cs="Times New Roman"/>
                <w:sz w:val="20"/>
                <w:szCs w:val="20"/>
                <w:lang w:eastAsia="sk-SK"/>
              </w:rPr>
              <w:t>v. Keďže návrh zákona predpokladá výnimky, kedy obchodník tak urobiť nemusí</w:t>
            </w:r>
            <w:r w:rsidR="00FA2FA0" w:rsidRPr="00126539">
              <w:rPr>
                <w:rFonts w:ascii="Times New Roman" w:eastAsia="Times New Roman" w:hAnsi="Times New Roman" w:cs="Times New Roman"/>
                <w:sz w:val="20"/>
                <w:szCs w:val="20"/>
                <w:lang w:eastAsia="sk-SK"/>
              </w:rPr>
              <w:t xml:space="preserve"> (o tejto povinnosti súd rozhoduje len na návrh oprávnenej osoby)</w:t>
            </w:r>
            <w:r w:rsidR="00601B10" w:rsidRPr="00126539">
              <w:rPr>
                <w:rFonts w:ascii="Times New Roman" w:eastAsia="Times New Roman" w:hAnsi="Times New Roman" w:cs="Times New Roman"/>
                <w:sz w:val="20"/>
                <w:szCs w:val="20"/>
                <w:lang w:eastAsia="sk-SK"/>
              </w:rPr>
              <w:t>, regulácia bola zaradená medzi negatívne marginálne vplyvy</w:t>
            </w:r>
            <w:r w:rsidR="00F33C27" w:rsidRPr="00126539">
              <w:rPr>
                <w:rFonts w:ascii="Times New Roman" w:eastAsia="Times New Roman" w:hAnsi="Times New Roman" w:cs="Times New Roman"/>
                <w:sz w:val="20"/>
                <w:szCs w:val="20"/>
                <w:lang w:eastAsia="sk-SK"/>
              </w:rPr>
              <w:t>.</w:t>
            </w:r>
          </w:p>
          <w:p w:rsidR="008F1BF3" w:rsidRPr="00126539" w:rsidRDefault="008F1BF3" w:rsidP="00FA2FA0">
            <w:pPr>
              <w:jc w:val="both"/>
              <w:rPr>
                <w:rFonts w:ascii="Times New Roman" w:eastAsia="Times New Roman" w:hAnsi="Times New Roman" w:cs="Times New Roman"/>
                <w:sz w:val="20"/>
                <w:szCs w:val="20"/>
                <w:lang w:eastAsia="sk-SK"/>
              </w:rPr>
            </w:pPr>
          </w:p>
          <w:p w:rsidR="002B48EC" w:rsidRPr="00126539" w:rsidRDefault="008F1BF3" w:rsidP="004309A8">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 xml:space="preserve">Oprávnené osoby: </w:t>
            </w:r>
            <w:r w:rsidRPr="00126539">
              <w:rPr>
                <w:rFonts w:ascii="Times New Roman" w:eastAsia="Times New Roman" w:hAnsi="Times New Roman" w:cs="Times New Roman"/>
                <w:sz w:val="20"/>
                <w:szCs w:val="20"/>
                <w:lang w:eastAsia="sk-SK"/>
              </w:rPr>
              <w:br/>
            </w:r>
            <w:r w:rsidR="00F33C27" w:rsidRPr="00126539">
              <w:rPr>
                <w:rFonts w:ascii="Times New Roman" w:eastAsia="Times New Roman" w:hAnsi="Times New Roman" w:cs="Times New Roman"/>
                <w:sz w:val="20"/>
                <w:szCs w:val="20"/>
                <w:lang w:eastAsia="sk-SK"/>
              </w:rPr>
              <w:t>-</w:t>
            </w:r>
            <w:r w:rsidRPr="00126539">
              <w:rPr>
                <w:rFonts w:ascii="Times New Roman" w:eastAsia="Times New Roman" w:hAnsi="Times New Roman" w:cs="Times New Roman"/>
                <w:sz w:val="20"/>
                <w:szCs w:val="20"/>
                <w:lang w:eastAsia="sk-SK"/>
              </w:rPr>
              <w:t xml:space="preserve"> písomná žiadosť o zápis do zoznamu (§ 6 ods. 1)</w:t>
            </w:r>
            <w:r w:rsidRPr="00126539">
              <w:rPr>
                <w:rFonts w:ascii="Times New Roman" w:eastAsia="Times New Roman" w:hAnsi="Times New Roman" w:cs="Times New Roman"/>
                <w:sz w:val="20"/>
                <w:szCs w:val="20"/>
                <w:lang w:eastAsia="sk-SK"/>
              </w:rPr>
              <w:br/>
              <w:t xml:space="preserve">- </w:t>
            </w:r>
            <w:r w:rsidR="00E52C13" w:rsidRPr="00126539">
              <w:rPr>
                <w:rFonts w:ascii="Times New Roman" w:eastAsia="Times New Roman" w:hAnsi="Times New Roman" w:cs="Times New Roman"/>
                <w:sz w:val="20"/>
                <w:szCs w:val="20"/>
                <w:lang w:eastAsia="sk-SK"/>
              </w:rPr>
              <w:t>poskytnutie súčinnosti potrebnej na overenie správnosti a úplnosti údajov (§ 7 ods. 1)</w:t>
            </w:r>
            <w:r w:rsidR="00E52C13" w:rsidRPr="00126539">
              <w:rPr>
                <w:rFonts w:ascii="Times New Roman" w:eastAsia="Times New Roman" w:hAnsi="Times New Roman" w:cs="Times New Roman"/>
                <w:sz w:val="20"/>
                <w:szCs w:val="20"/>
                <w:lang w:eastAsia="sk-SK"/>
              </w:rPr>
              <w:br/>
              <w:t>- poskytnutie potrebnej súčinnosti – najmä poskytnutie dokumentov preukazujúce spĺňanie podmienok (§ 7 ods. 2)</w:t>
            </w:r>
            <w:r w:rsidR="00E52C13" w:rsidRPr="00126539">
              <w:rPr>
                <w:rFonts w:ascii="Times New Roman" w:eastAsia="Times New Roman" w:hAnsi="Times New Roman" w:cs="Times New Roman"/>
                <w:sz w:val="20"/>
                <w:szCs w:val="20"/>
                <w:lang w:eastAsia="sk-SK"/>
              </w:rPr>
              <w:br/>
              <w:t>- povinnosť oznámenia zmeny údajov (§</w:t>
            </w:r>
            <w:r w:rsidR="008301B7" w:rsidRPr="00126539">
              <w:rPr>
                <w:rFonts w:ascii="Times New Roman" w:eastAsia="Times New Roman" w:hAnsi="Times New Roman" w:cs="Times New Roman"/>
                <w:sz w:val="20"/>
                <w:szCs w:val="20"/>
                <w:lang w:eastAsia="sk-SK"/>
              </w:rPr>
              <w:t xml:space="preserve"> </w:t>
            </w:r>
            <w:r w:rsidR="00E52C13" w:rsidRPr="00126539">
              <w:rPr>
                <w:rFonts w:ascii="Times New Roman" w:eastAsia="Times New Roman" w:hAnsi="Times New Roman" w:cs="Times New Roman"/>
                <w:sz w:val="20"/>
                <w:szCs w:val="20"/>
                <w:lang w:eastAsia="sk-SK"/>
              </w:rPr>
              <w:t>7 ods. 3)</w:t>
            </w:r>
            <w:r w:rsidR="00E52C13" w:rsidRPr="00126539">
              <w:rPr>
                <w:rFonts w:ascii="Times New Roman" w:eastAsia="Times New Roman" w:hAnsi="Times New Roman" w:cs="Times New Roman"/>
                <w:sz w:val="20"/>
                <w:szCs w:val="20"/>
                <w:lang w:eastAsia="sk-SK"/>
              </w:rPr>
              <w:br/>
              <w:t>- povinnosť informovať o nespĺňaní podmienok na zápis do zoznamu (§ 7 ods. 4)</w:t>
            </w:r>
            <w:r w:rsidR="00E52C13" w:rsidRPr="00126539">
              <w:rPr>
                <w:rFonts w:ascii="Times New Roman" w:eastAsia="Times New Roman" w:hAnsi="Times New Roman" w:cs="Times New Roman"/>
                <w:sz w:val="20"/>
                <w:szCs w:val="20"/>
                <w:lang w:eastAsia="sk-SK"/>
              </w:rPr>
              <w:br/>
              <w:t xml:space="preserve">- </w:t>
            </w:r>
            <w:r w:rsidR="00014C3D" w:rsidRPr="00126539">
              <w:rPr>
                <w:rFonts w:ascii="Times New Roman" w:eastAsia="Times New Roman" w:hAnsi="Times New Roman" w:cs="Times New Roman"/>
                <w:sz w:val="20"/>
                <w:szCs w:val="20"/>
                <w:lang w:eastAsia="sk-SK"/>
              </w:rPr>
              <w:t>písomná žiadosť o vyčiarknutí zo zoznamu (§ 8 ods. 1)</w:t>
            </w:r>
            <w:r w:rsidR="00014C3D" w:rsidRPr="00126539">
              <w:rPr>
                <w:rFonts w:ascii="Times New Roman" w:eastAsia="Times New Roman" w:hAnsi="Times New Roman" w:cs="Times New Roman"/>
                <w:sz w:val="20"/>
                <w:szCs w:val="20"/>
                <w:lang w:eastAsia="sk-SK"/>
              </w:rPr>
              <w:br/>
              <w:t>- zverejňovanie informácií o žalobách na ochranu kolektívnych záujmov spotrebiteľov (§</w:t>
            </w:r>
            <w:r w:rsidR="00FA2FA0" w:rsidRPr="00126539">
              <w:rPr>
                <w:rFonts w:ascii="Times New Roman" w:eastAsia="Times New Roman" w:hAnsi="Times New Roman" w:cs="Times New Roman"/>
                <w:sz w:val="20"/>
                <w:szCs w:val="20"/>
                <w:lang w:eastAsia="sk-SK"/>
              </w:rPr>
              <w:t xml:space="preserve"> </w:t>
            </w:r>
            <w:r w:rsidR="00014C3D" w:rsidRPr="00126539">
              <w:rPr>
                <w:rFonts w:ascii="Times New Roman" w:eastAsia="Times New Roman" w:hAnsi="Times New Roman" w:cs="Times New Roman"/>
                <w:sz w:val="20"/>
                <w:szCs w:val="20"/>
                <w:lang w:eastAsia="sk-SK"/>
              </w:rPr>
              <w:t>11</w:t>
            </w:r>
            <w:r w:rsidR="00934FF9" w:rsidRPr="00126539">
              <w:rPr>
                <w:rFonts w:ascii="Times New Roman" w:eastAsia="Times New Roman" w:hAnsi="Times New Roman" w:cs="Times New Roman"/>
                <w:sz w:val="20"/>
                <w:szCs w:val="20"/>
                <w:lang w:eastAsia="sk-SK"/>
              </w:rPr>
              <w:t xml:space="preserve"> ods. 1, ods. 2, ods. 3, ods. 4, ods. 6</w:t>
            </w:r>
            <w:r w:rsidR="00014C3D" w:rsidRPr="00126539">
              <w:rPr>
                <w:rFonts w:ascii="Times New Roman" w:eastAsia="Times New Roman" w:hAnsi="Times New Roman" w:cs="Times New Roman"/>
                <w:sz w:val="20"/>
                <w:szCs w:val="20"/>
                <w:lang w:eastAsia="sk-SK"/>
              </w:rPr>
              <w:t>)</w:t>
            </w:r>
            <w:r w:rsidR="00934FF9" w:rsidRPr="00126539">
              <w:rPr>
                <w:rFonts w:ascii="Times New Roman" w:eastAsia="Times New Roman" w:hAnsi="Times New Roman" w:cs="Times New Roman"/>
                <w:sz w:val="20"/>
                <w:szCs w:val="20"/>
                <w:lang w:eastAsia="sk-SK"/>
              </w:rPr>
              <w:br/>
              <w:t xml:space="preserve">- </w:t>
            </w:r>
            <w:r w:rsidR="00B82DFC" w:rsidRPr="00126539">
              <w:rPr>
                <w:rFonts w:ascii="Times New Roman" w:eastAsia="Times New Roman" w:hAnsi="Times New Roman" w:cs="Times New Roman"/>
                <w:sz w:val="20"/>
                <w:szCs w:val="20"/>
                <w:lang w:eastAsia="sk-SK"/>
              </w:rPr>
              <w:t>zverejnenie žalobného zámeru v Obchodnom vestníku (§ 15</w:t>
            </w:r>
            <w:r w:rsidR="00D62F34" w:rsidRPr="00126539">
              <w:rPr>
                <w:rFonts w:ascii="Times New Roman" w:eastAsia="Times New Roman" w:hAnsi="Times New Roman" w:cs="Times New Roman"/>
                <w:sz w:val="20"/>
                <w:szCs w:val="20"/>
                <w:lang w:eastAsia="sk-SK"/>
              </w:rPr>
              <w:t xml:space="preserve"> ods. 1)</w:t>
            </w:r>
            <w:r w:rsidR="00B5265E" w:rsidRPr="00126539">
              <w:rPr>
                <w:rFonts w:ascii="Times New Roman" w:eastAsia="Times New Roman" w:hAnsi="Times New Roman" w:cs="Times New Roman"/>
                <w:sz w:val="20"/>
                <w:szCs w:val="20"/>
                <w:lang w:eastAsia="sk-SK"/>
              </w:rPr>
              <w:br/>
              <w:t>- možnosť preskúmania zoznamu prihlásených spotrebiteľov (§ 16 ods. 1)</w:t>
            </w:r>
            <w:r w:rsidR="00A37292" w:rsidRPr="00126539">
              <w:rPr>
                <w:rFonts w:ascii="Times New Roman" w:eastAsia="Times New Roman" w:hAnsi="Times New Roman" w:cs="Times New Roman"/>
                <w:sz w:val="20"/>
                <w:szCs w:val="20"/>
                <w:lang w:eastAsia="sk-SK"/>
              </w:rPr>
              <w:br/>
              <w:t>- povinnosť informovať o zámere uzavrieť zmier (§</w:t>
            </w:r>
            <w:r w:rsidR="008F4907" w:rsidRPr="00126539">
              <w:rPr>
                <w:rFonts w:ascii="Times New Roman" w:eastAsia="Times New Roman" w:hAnsi="Times New Roman" w:cs="Times New Roman"/>
                <w:sz w:val="20"/>
                <w:szCs w:val="20"/>
                <w:lang w:eastAsia="sk-SK"/>
              </w:rPr>
              <w:t xml:space="preserve"> </w:t>
            </w:r>
            <w:r w:rsidR="00A37292" w:rsidRPr="00126539">
              <w:rPr>
                <w:rFonts w:ascii="Times New Roman" w:eastAsia="Times New Roman" w:hAnsi="Times New Roman" w:cs="Times New Roman"/>
                <w:sz w:val="20"/>
                <w:szCs w:val="20"/>
                <w:lang w:eastAsia="sk-SK"/>
              </w:rPr>
              <w:t>20 ods. 1)</w:t>
            </w:r>
          </w:p>
          <w:p w:rsidR="002B48EC" w:rsidRPr="00126539" w:rsidRDefault="002B48EC" w:rsidP="004309A8">
            <w:pPr>
              <w:rPr>
                <w:rFonts w:ascii="Times New Roman" w:eastAsia="Times New Roman" w:hAnsi="Times New Roman" w:cs="Times New Roman"/>
                <w:sz w:val="20"/>
                <w:szCs w:val="20"/>
                <w:lang w:eastAsia="sk-SK"/>
              </w:rPr>
            </w:pPr>
          </w:p>
          <w:p w:rsidR="002B48EC" w:rsidRPr="00126539" w:rsidRDefault="002B48EC" w:rsidP="004309A8">
            <w:pPr>
              <w:rPr>
                <w:rFonts w:ascii="Times New Roman" w:eastAsia="Times New Roman" w:hAnsi="Times New Roman" w:cs="Times New Roman"/>
                <w:sz w:val="20"/>
                <w:szCs w:val="20"/>
                <w:lang w:eastAsia="sk-SK"/>
              </w:rPr>
            </w:pPr>
            <w:r w:rsidRPr="00126539">
              <w:rPr>
                <w:rFonts w:ascii="Times New Roman" w:eastAsia="Times New Roman" w:hAnsi="Times New Roman" w:cs="Times New Roman"/>
                <w:sz w:val="20"/>
                <w:szCs w:val="20"/>
                <w:lang w:eastAsia="sk-SK"/>
              </w:rPr>
              <w:t>Tieto regulácie boli zaradené medzi marginálne negatívne vplyvy z titulu nemožnosti odhadnúť, aké percento združení bude mať zapísanú podnikateľskú činnosť ako doplnkovú vo svojich stanovách.</w:t>
            </w:r>
            <w:r w:rsidR="00B5265E" w:rsidRPr="00126539">
              <w:rPr>
                <w:rFonts w:ascii="Times New Roman" w:eastAsia="Times New Roman" w:hAnsi="Times New Roman" w:cs="Times New Roman"/>
                <w:sz w:val="20"/>
                <w:szCs w:val="20"/>
                <w:lang w:eastAsia="sk-SK"/>
              </w:rPr>
              <w:br/>
            </w:r>
          </w:p>
          <w:p w:rsidR="00601B10" w:rsidRPr="00126539" w:rsidRDefault="00601B10" w:rsidP="004309A8">
            <w:pPr>
              <w:rPr>
                <w:rFonts w:ascii="Times New Roman" w:eastAsia="Times New Roman" w:hAnsi="Times New Roman" w:cs="Times New Roman"/>
                <w:sz w:val="20"/>
                <w:szCs w:val="20"/>
                <w:lang w:eastAsia="sk-SK"/>
              </w:rPr>
            </w:pPr>
          </w:p>
          <w:p w:rsidR="0077073C" w:rsidRPr="00126539" w:rsidRDefault="0077073C" w:rsidP="0077073C">
            <w:pPr>
              <w:contextualSpacing/>
              <w:rPr>
                <w:rFonts w:ascii="Times New Roman" w:eastAsia="Calibri" w:hAnsi="Times New Roman" w:cs="Times New Roman"/>
                <w:b/>
              </w:rPr>
            </w:pPr>
          </w:p>
        </w:tc>
      </w:tr>
      <w:tr w:rsidR="001B23B7" w:rsidRPr="00126539" w:rsidTr="008F4907">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Kontakt na spracovateľa</w:t>
            </w:r>
          </w:p>
        </w:tc>
      </w:tr>
      <w:tr w:rsidR="001B23B7" w:rsidRPr="00126539" w:rsidTr="008F4907">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A3993" w:rsidRPr="00126539" w:rsidRDefault="008A3993" w:rsidP="008A3993">
            <w:pPr>
              <w:jc w:val="both"/>
              <w:rPr>
                <w:rFonts w:ascii="Times New Roman" w:hAnsi="Times New Roman" w:cs="Times New Roman"/>
                <w:sz w:val="20"/>
                <w:szCs w:val="20"/>
              </w:rPr>
            </w:pPr>
            <w:r w:rsidRPr="00126539">
              <w:rPr>
                <w:rFonts w:ascii="Times New Roman" w:hAnsi="Times New Roman" w:cs="Times New Roman"/>
                <w:sz w:val="20"/>
                <w:szCs w:val="20"/>
              </w:rPr>
              <w:t xml:space="preserve">JUDr. Ing. Soňa </w:t>
            </w:r>
            <w:proofErr w:type="spellStart"/>
            <w:r w:rsidRPr="00126539">
              <w:rPr>
                <w:rFonts w:ascii="Times New Roman" w:hAnsi="Times New Roman" w:cs="Times New Roman"/>
                <w:sz w:val="20"/>
                <w:szCs w:val="20"/>
              </w:rPr>
              <w:t>Beráková</w:t>
            </w:r>
            <w:proofErr w:type="spellEnd"/>
            <w:r w:rsidRPr="00126539">
              <w:rPr>
                <w:rFonts w:ascii="Times New Roman" w:hAnsi="Times New Roman" w:cs="Times New Roman"/>
                <w:sz w:val="20"/>
                <w:szCs w:val="20"/>
              </w:rPr>
              <w:t xml:space="preserve">, </w:t>
            </w:r>
          </w:p>
          <w:p w:rsidR="008A3993" w:rsidRPr="00126539" w:rsidRDefault="008A3993" w:rsidP="008A3993">
            <w:pPr>
              <w:jc w:val="both"/>
              <w:rPr>
                <w:rFonts w:ascii="Times New Roman" w:hAnsi="Times New Roman" w:cs="Times New Roman"/>
                <w:sz w:val="20"/>
                <w:szCs w:val="20"/>
              </w:rPr>
            </w:pPr>
            <w:r w:rsidRPr="00126539">
              <w:rPr>
                <w:rFonts w:ascii="Times New Roman" w:hAnsi="Times New Roman" w:cs="Times New Roman"/>
                <w:sz w:val="20"/>
                <w:szCs w:val="20"/>
              </w:rPr>
              <w:t>odbor legislatívy občianskeho a obchodného práva, sekcia legislatívy Ministerstva spravodlivosti SR</w:t>
            </w:r>
          </w:p>
          <w:p w:rsidR="001B23B7" w:rsidRPr="00126539" w:rsidRDefault="00703F2C" w:rsidP="008F4907">
            <w:pPr>
              <w:rPr>
                <w:rFonts w:ascii="Times New Roman" w:eastAsia="Times New Roman" w:hAnsi="Times New Roman" w:cs="Times New Roman"/>
                <w:i/>
                <w:sz w:val="20"/>
                <w:szCs w:val="20"/>
                <w:lang w:eastAsia="sk-SK"/>
              </w:rPr>
            </w:pPr>
            <w:hyperlink r:id="rId9" w:history="1">
              <w:r w:rsidR="008A3993" w:rsidRPr="00126539">
                <w:rPr>
                  <w:rStyle w:val="Hypertextovprepojenie"/>
                  <w:rFonts w:ascii="Times New Roman" w:hAnsi="Times New Roman"/>
                  <w:sz w:val="20"/>
                  <w:szCs w:val="20"/>
                </w:rPr>
                <w:t>sona.berakova@justice.sk</w:t>
              </w:r>
            </w:hyperlink>
          </w:p>
        </w:tc>
      </w:tr>
      <w:tr w:rsidR="001B23B7" w:rsidRPr="00126539" w:rsidTr="008F4907">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126539" w:rsidRDefault="001B23B7" w:rsidP="008F4907">
            <w:pPr>
              <w:numPr>
                <w:ilvl w:val="0"/>
                <w:numId w:val="1"/>
              </w:numPr>
              <w:ind w:left="426"/>
              <w:contextualSpacing/>
              <w:rPr>
                <w:rFonts w:ascii="Times New Roman" w:eastAsia="Calibri" w:hAnsi="Times New Roman" w:cs="Times New Roman"/>
                <w:b/>
              </w:rPr>
            </w:pPr>
            <w:r w:rsidRPr="00126539">
              <w:rPr>
                <w:rFonts w:ascii="Times New Roman" w:eastAsia="Calibri" w:hAnsi="Times New Roman" w:cs="Times New Roman"/>
                <w:b/>
              </w:rPr>
              <w:t>Zdroje</w:t>
            </w:r>
          </w:p>
        </w:tc>
      </w:tr>
      <w:tr w:rsidR="001B23B7" w:rsidRPr="00126539" w:rsidTr="008F4907">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A3993" w:rsidRPr="00126539" w:rsidRDefault="008A3993" w:rsidP="008A3993">
            <w:pPr>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Zdroje: EURACTIV: KOLEKTÍVNE ŽALOBY NA SLOVENSKU, ŠPECIÁL | NOVEMBER 2021 https://sk.euractiv.eu/wp-content/uploads/sites/8/special-report/Špeciál_Kolektívne-žaloby-na-Slovensku.pdf, Prieskum verejnej mienky, ZÁVEREČNÁ SPRÁVA Z KVANTITATÍVNEHO PRIESKUMU, február 2021 (</w:t>
            </w:r>
            <w:proofErr w:type="spellStart"/>
            <w:r w:rsidRPr="00126539">
              <w:rPr>
                <w:rFonts w:ascii="Times New Roman" w:hAnsi="Times New Roman" w:cs="Times New Roman"/>
                <w:sz w:val="20"/>
                <w:szCs w:val="20"/>
                <w:lang w:eastAsia="sk-SK"/>
              </w:rPr>
              <w:t>Focus</w:t>
            </w:r>
            <w:proofErr w:type="spellEnd"/>
            <w:r w:rsidRPr="00126539">
              <w:rPr>
                <w:rFonts w:ascii="Times New Roman" w:hAnsi="Times New Roman" w:cs="Times New Roman"/>
                <w:sz w:val="20"/>
                <w:szCs w:val="20"/>
                <w:lang w:eastAsia="sk-SK"/>
              </w:rPr>
              <w:t xml:space="preserve"> Marketing &amp; </w:t>
            </w:r>
            <w:proofErr w:type="spellStart"/>
            <w:r w:rsidRPr="00126539">
              <w:rPr>
                <w:rFonts w:ascii="Times New Roman" w:hAnsi="Times New Roman" w:cs="Times New Roman"/>
                <w:sz w:val="20"/>
                <w:szCs w:val="20"/>
                <w:lang w:eastAsia="sk-SK"/>
              </w:rPr>
              <w:t>Social</w:t>
            </w:r>
            <w:proofErr w:type="spellEnd"/>
            <w:r w:rsidRPr="00126539">
              <w:rPr>
                <w:rFonts w:ascii="Times New Roman" w:hAnsi="Times New Roman" w:cs="Times New Roman"/>
                <w:sz w:val="20"/>
                <w:szCs w:val="20"/>
                <w:lang w:eastAsia="sk-SK"/>
              </w:rPr>
              <w:t xml:space="preserve"> </w:t>
            </w:r>
            <w:proofErr w:type="spellStart"/>
            <w:r w:rsidRPr="00126539">
              <w:rPr>
                <w:rFonts w:ascii="Times New Roman" w:hAnsi="Times New Roman" w:cs="Times New Roman"/>
                <w:sz w:val="20"/>
                <w:szCs w:val="20"/>
                <w:lang w:eastAsia="sk-SK"/>
              </w:rPr>
              <w:t>Research</w:t>
            </w:r>
            <w:proofErr w:type="spellEnd"/>
            <w:r w:rsidRPr="00126539">
              <w:rPr>
                <w:rFonts w:ascii="Times New Roman" w:hAnsi="Times New Roman" w:cs="Times New Roman"/>
                <w:sz w:val="20"/>
                <w:szCs w:val="20"/>
                <w:lang w:eastAsia="sk-SK"/>
              </w:rPr>
              <w:t xml:space="preserve">), </w:t>
            </w:r>
            <w:proofErr w:type="spellStart"/>
            <w:r w:rsidRPr="00126539">
              <w:rPr>
                <w:rFonts w:ascii="Times New Roman" w:hAnsi="Times New Roman" w:cs="Times New Roman"/>
                <w:sz w:val="20"/>
                <w:szCs w:val="20"/>
                <w:lang w:eastAsia="sk-SK"/>
              </w:rPr>
              <w:t>Briefing</w:t>
            </w:r>
            <w:proofErr w:type="spellEnd"/>
            <w:r w:rsidRPr="00126539">
              <w:rPr>
                <w:rFonts w:ascii="Times New Roman" w:hAnsi="Times New Roman" w:cs="Times New Roman"/>
                <w:sz w:val="20"/>
                <w:szCs w:val="20"/>
                <w:lang w:eastAsia="sk-SK"/>
              </w:rPr>
              <w:t xml:space="preserve"> k implementácii smernice a pozícia Spoločnosti ochrany spotrebiteľov, jún 2021 (Spoločnosť ochrany spotrebiteľov (S.O.S) Poprad), Návrh kľúčových tém za Slovenskú bankovú asociáciu k úprave podávania žalôb na ochranu kolektívnych záujmov spotrebiteľov (Slovenská banková asociácia).</w:t>
            </w:r>
          </w:p>
          <w:p w:rsidR="001B23B7" w:rsidRPr="00126539" w:rsidRDefault="008A3993" w:rsidP="004309A8">
            <w:pPr>
              <w:jc w:val="both"/>
              <w:rPr>
                <w:rFonts w:ascii="Times New Roman" w:eastAsia="Times New Roman" w:hAnsi="Times New Roman" w:cs="Times New Roman"/>
                <w:b/>
                <w:sz w:val="20"/>
                <w:szCs w:val="20"/>
                <w:lang w:eastAsia="sk-SK"/>
              </w:rPr>
            </w:pPr>
            <w:r w:rsidRPr="00126539">
              <w:rPr>
                <w:rFonts w:ascii="Times New Roman" w:hAnsi="Times New Roman" w:cs="Times New Roman"/>
                <w:sz w:val="20"/>
                <w:szCs w:val="20"/>
                <w:lang w:eastAsia="sk-SK"/>
              </w:rPr>
              <w:t xml:space="preserve">Ďalej sú to odborné publikácie a správy, napr.: MECHANIZMUS UPLATŇOVANIA KOLEKTÍVNYCH NÁROKOV V PODMIENKACH SLOVENSKEJ REPUBLIKY, Svetlana </w:t>
            </w:r>
            <w:proofErr w:type="spellStart"/>
            <w:r w:rsidRPr="00126539">
              <w:rPr>
                <w:rFonts w:ascii="Times New Roman" w:hAnsi="Times New Roman" w:cs="Times New Roman"/>
                <w:sz w:val="20"/>
                <w:szCs w:val="20"/>
                <w:lang w:eastAsia="sk-SK"/>
              </w:rPr>
              <w:t>Ficová</w:t>
            </w:r>
            <w:proofErr w:type="spellEnd"/>
            <w:r w:rsidRPr="00126539">
              <w:rPr>
                <w:rFonts w:ascii="Times New Roman" w:hAnsi="Times New Roman" w:cs="Times New Roman"/>
                <w:sz w:val="20"/>
                <w:szCs w:val="20"/>
                <w:lang w:eastAsia="sk-SK"/>
              </w:rPr>
              <w:t xml:space="preserve">, Imrich Fekete, Martin Križan </w:t>
            </w:r>
            <w:r w:rsidRPr="00126539">
              <w:rPr>
                <w:rFonts w:ascii="Times New Roman" w:hAnsi="Times New Roman" w:cs="Times New Roman"/>
                <w:sz w:val="20"/>
                <w:szCs w:val="20"/>
                <w:lang w:eastAsia="sk-SK"/>
              </w:rPr>
              <w:lastRenderedPageBreak/>
              <w:t xml:space="preserve">a kolektív; SYMPÓZIÁ, KOLOKVIÁ, KONFERENCIE MECHANIZMUS UPLATŇOVANIA KOLEKTÍVNYCH NÁROKOV V PODMIENKACH SR, Marek </w:t>
            </w:r>
            <w:proofErr w:type="spellStart"/>
            <w:r w:rsidRPr="00126539">
              <w:rPr>
                <w:rFonts w:ascii="Times New Roman" w:hAnsi="Times New Roman" w:cs="Times New Roman"/>
                <w:sz w:val="20"/>
                <w:szCs w:val="20"/>
                <w:lang w:eastAsia="sk-SK"/>
              </w:rPr>
              <w:t>Ivančo</w:t>
            </w:r>
            <w:proofErr w:type="spellEnd"/>
            <w:r w:rsidRPr="00126539">
              <w:rPr>
                <w:rFonts w:ascii="Times New Roman" w:hAnsi="Times New Roman" w:cs="Times New Roman"/>
                <w:sz w:val="20"/>
                <w:szCs w:val="20"/>
                <w:lang w:eastAsia="sk-SK"/>
              </w:rPr>
              <w:t xml:space="preserve"> (</w:t>
            </w:r>
            <w:proofErr w:type="spellStart"/>
            <w:r w:rsidRPr="00126539">
              <w:rPr>
                <w:rFonts w:ascii="Times New Roman" w:hAnsi="Times New Roman" w:cs="Times New Roman"/>
                <w:sz w:val="20"/>
                <w:szCs w:val="20"/>
                <w:lang w:eastAsia="sk-SK"/>
              </w:rPr>
              <w:t>ed</w:t>
            </w:r>
            <w:proofErr w:type="spellEnd"/>
            <w:r w:rsidRPr="00126539">
              <w:rPr>
                <w:rFonts w:ascii="Times New Roman" w:hAnsi="Times New Roman" w:cs="Times New Roman"/>
                <w:sz w:val="20"/>
                <w:szCs w:val="20"/>
                <w:lang w:eastAsia="sk-SK"/>
              </w:rPr>
              <w:t>.), Zborník príspevkov z medzinárodnej vedeckej konferencie, Bratislava, 14. december 2017</w:t>
            </w:r>
          </w:p>
        </w:tc>
      </w:tr>
      <w:tr w:rsidR="001B23B7" w:rsidRPr="00126539" w:rsidTr="008F4907">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126539" w:rsidRDefault="001B23B7" w:rsidP="008F4907">
            <w:pPr>
              <w:numPr>
                <w:ilvl w:val="0"/>
                <w:numId w:val="1"/>
              </w:numPr>
              <w:ind w:left="447" w:hanging="425"/>
              <w:contextualSpacing/>
              <w:rPr>
                <w:rFonts w:ascii="Times New Roman" w:eastAsia="Calibri" w:hAnsi="Times New Roman" w:cs="Times New Roman"/>
                <w:b/>
              </w:rPr>
            </w:pPr>
            <w:r w:rsidRPr="00126539">
              <w:rPr>
                <w:rFonts w:ascii="Times New Roman" w:eastAsia="Calibri" w:hAnsi="Times New Roman" w:cs="Times New Roman"/>
                <w:b/>
              </w:rPr>
              <w:lastRenderedPageBreak/>
              <w:t xml:space="preserve">Stanovisko Komisie na posudzovanie vybraných vplyvov z PPK č. </w:t>
            </w:r>
            <w:r w:rsidR="00D35CD0" w:rsidRPr="00126539">
              <w:rPr>
                <w:rFonts w:ascii="Times New Roman" w:eastAsia="Calibri" w:hAnsi="Times New Roman" w:cs="Times New Roman"/>
                <w:b/>
              </w:rPr>
              <w:t>18</w:t>
            </w:r>
            <w:r w:rsidR="00A35AAC" w:rsidRPr="00126539">
              <w:rPr>
                <w:rFonts w:ascii="Times New Roman" w:eastAsia="Calibri" w:hAnsi="Times New Roman" w:cs="Times New Roman"/>
                <w:b/>
              </w:rPr>
              <w:t>9/2022</w:t>
            </w:r>
            <w:r w:rsidR="00A35AAC" w:rsidRPr="00126539">
              <w:rPr>
                <w:rFonts w:ascii="Times New Roman" w:eastAsia="Calibri" w:hAnsi="Times New Roman" w:cs="Times New Roman"/>
              </w:rPr>
              <w:t xml:space="preserve"> </w:t>
            </w:r>
          </w:p>
          <w:p w:rsidR="001B23B7" w:rsidRPr="00126539" w:rsidRDefault="001B23B7" w:rsidP="008F4907">
            <w:pPr>
              <w:ind w:left="502"/>
              <w:rPr>
                <w:rFonts w:ascii="Times New Roman" w:eastAsia="Times New Roman" w:hAnsi="Times New Roman" w:cs="Times New Roman"/>
                <w:b/>
                <w:sz w:val="20"/>
                <w:szCs w:val="20"/>
                <w:lang w:eastAsia="sk-SK"/>
              </w:rPr>
            </w:pPr>
            <w:r w:rsidRPr="00126539">
              <w:rPr>
                <w:rFonts w:ascii="Times New Roman" w:eastAsia="Calibri" w:hAnsi="Times New Roman" w:cs="Times New Roman"/>
              </w:rPr>
              <w:t>(v prípade, ak sa uskutočnilo v zmysle bodu 8.1 Jednotnej metodiky)</w:t>
            </w:r>
          </w:p>
        </w:tc>
      </w:tr>
      <w:tr w:rsidR="00A35AAC" w:rsidRPr="00126539"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35AAC" w:rsidRPr="00126539" w:rsidRDefault="00A35AAC" w:rsidP="00A35AA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35AAC" w:rsidRPr="00126539" w:rsidTr="008F4907">
              <w:trPr>
                <w:trHeight w:val="396"/>
              </w:trPr>
              <w:tc>
                <w:tcPr>
                  <w:tcW w:w="2552" w:type="dxa"/>
                </w:tcPr>
                <w:p w:rsidR="00A35AAC" w:rsidRPr="00126539" w:rsidRDefault="00703F2C" w:rsidP="00A35A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281068259"/>
                      <w14:checkbox>
                        <w14:checked w14:val="0"/>
                        <w14:checkedState w14:val="2612" w14:font="MS Gothic"/>
                        <w14:uncheckedState w14:val="2610" w14:font="MS Gothic"/>
                      </w14:checkbox>
                    </w:sdtPr>
                    <w:sdtEndPr/>
                    <w:sdtContent>
                      <w:r w:rsidR="00A35AAC" w:rsidRPr="00126539">
                        <w:rPr>
                          <w:rFonts w:ascii="Segoe UI Symbol" w:eastAsia="MS Gothic" w:hAnsi="Segoe UI Symbol" w:cs="Segoe UI Symbol"/>
                          <w:b/>
                          <w:sz w:val="20"/>
                          <w:szCs w:val="20"/>
                          <w:lang w:eastAsia="sk-SK"/>
                        </w:rPr>
                        <w:t>☐</w:t>
                      </w:r>
                    </w:sdtContent>
                  </w:sdt>
                  <w:r w:rsidR="00A35AAC" w:rsidRPr="00126539">
                    <w:rPr>
                      <w:rFonts w:ascii="Times New Roman" w:eastAsia="Times New Roman" w:hAnsi="Times New Roman" w:cs="Times New Roman"/>
                      <w:b/>
                      <w:sz w:val="20"/>
                      <w:szCs w:val="20"/>
                      <w:lang w:eastAsia="sk-SK"/>
                    </w:rPr>
                    <w:t xml:space="preserve">   Súhlasné </w:t>
                  </w:r>
                </w:p>
              </w:tc>
              <w:tc>
                <w:tcPr>
                  <w:tcW w:w="3827" w:type="dxa"/>
                </w:tcPr>
                <w:p w:rsidR="00A35AAC" w:rsidRPr="00126539" w:rsidRDefault="00703F2C" w:rsidP="00A35A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295792434"/>
                      <w14:checkbox>
                        <w14:checked w14:val="0"/>
                        <w14:checkedState w14:val="2612" w14:font="MS Gothic"/>
                        <w14:uncheckedState w14:val="2610" w14:font="MS Gothic"/>
                      </w14:checkbox>
                    </w:sdtPr>
                    <w:sdtEndPr/>
                    <w:sdtContent>
                      <w:r w:rsidR="00A35AAC" w:rsidRPr="00126539">
                        <w:rPr>
                          <w:rFonts w:ascii="Segoe UI Symbol" w:eastAsia="MS Gothic" w:hAnsi="Segoe UI Symbol" w:cs="Segoe UI Symbol"/>
                          <w:b/>
                          <w:sz w:val="20"/>
                          <w:szCs w:val="20"/>
                          <w:lang w:eastAsia="sk-SK"/>
                        </w:rPr>
                        <w:t>☐</w:t>
                      </w:r>
                    </w:sdtContent>
                  </w:sdt>
                  <w:r w:rsidR="00A35AAC" w:rsidRPr="00126539">
                    <w:rPr>
                      <w:rFonts w:ascii="Times New Roman" w:eastAsia="Times New Roman" w:hAnsi="Times New Roman" w:cs="Times New Roman"/>
                      <w:b/>
                      <w:sz w:val="20"/>
                      <w:szCs w:val="20"/>
                      <w:lang w:eastAsia="sk-SK"/>
                    </w:rPr>
                    <w:t xml:space="preserve">  Súhlasné s  návrhom na dopracovanie</w:t>
                  </w:r>
                </w:p>
              </w:tc>
              <w:tc>
                <w:tcPr>
                  <w:tcW w:w="2534" w:type="dxa"/>
                </w:tcPr>
                <w:p w:rsidR="00A35AAC" w:rsidRPr="00126539" w:rsidRDefault="00703F2C" w:rsidP="00A35AA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70278883"/>
                      <w14:checkbox>
                        <w14:checked w14:val="1"/>
                        <w14:checkedState w14:val="2612" w14:font="MS Gothic"/>
                        <w14:uncheckedState w14:val="2610" w14:font="MS Gothic"/>
                      </w14:checkbox>
                    </w:sdtPr>
                    <w:sdtEndPr/>
                    <w:sdtContent>
                      <w:r w:rsidR="00C44DEB" w:rsidRPr="00126539">
                        <w:rPr>
                          <w:rFonts w:ascii="Segoe UI Symbol" w:eastAsia="MS Gothic" w:hAnsi="Segoe UI Symbol" w:cs="Segoe UI Symbol"/>
                          <w:b/>
                          <w:sz w:val="20"/>
                          <w:szCs w:val="20"/>
                          <w:lang w:eastAsia="sk-SK"/>
                        </w:rPr>
                        <w:t>☒</w:t>
                      </w:r>
                    </w:sdtContent>
                  </w:sdt>
                  <w:r w:rsidR="00A35AAC" w:rsidRPr="00126539">
                    <w:rPr>
                      <w:rFonts w:ascii="Times New Roman" w:eastAsia="Times New Roman" w:hAnsi="Times New Roman" w:cs="Times New Roman"/>
                      <w:b/>
                      <w:sz w:val="20"/>
                      <w:szCs w:val="20"/>
                      <w:lang w:eastAsia="sk-SK"/>
                    </w:rPr>
                    <w:t xml:space="preserve">  Nesúhlasné</w:t>
                  </w:r>
                </w:p>
              </w:tc>
            </w:tr>
          </w:tbl>
          <w:p w:rsidR="00ED3F91" w:rsidRPr="00126539" w:rsidRDefault="00ED3F91" w:rsidP="00ED3F91">
            <w:pPr>
              <w:jc w:val="both"/>
              <w:rPr>
                <w:rFonts w:ascii="Times New Roman" w:eastAsia="Times New Roman" w:hAnsi="Times New Roman" w:cs="Times New Roman"/>
                <w:b/>
                <w:sz w:val="20"/>
                <w:szCs w:val="20"/>
                <w:lang w:eastAsia="sk-SK"/>
              </w:rPr>
            </w:pPr>
            <w:r w:rsidRPr="00126539">
              <w:rPr>
                <w:rFonts w:ascii="Times New Roman" w:eastAsia="Times New Roman" w:hAnsi="Times New Roman" w:cs="Times New Roman"/>
                <w:b/>
                <w:sz w:val="20"/>
                <w:szCs w:val="20"/>
                <w:lang w:eastAsia="sk-SK"/>
              </w:rPr>
              <w:t>Uveďte pripomienky zo stanoviska Komisie z časti II. spolu s Vaším vyhodnotením:</w:t>
            </w:r>
          </w:p>
          <w:p w:rsidR="00ED3F91" w:rsidRPr="00126539" w:rsidRDefault="00ED3F91" w:rsidP="00A35AAC">
            <w:pPr>
              <w:jc w:val="both"/>
              <w:rPr>
                <w:rFonts w:ascii="Times New Roman" w:eastAsia="Times New Roman" w:hAnsi="Times New Roman" w:cs="Times New Roman"/>
                <w:b/>
                <w:sz w:val="20"/>
                <w:szCs w:val="20"/>
                <w:lang w:eastAsia="sk-SK"/>
              </w:rPr>
            </w:pPr>
          </w:p>
          <w:p w:rsidR="00D35CD0" w:rsidRPr="00126539" w:rsidRDefault="00D35CD0" w:rsidP="00D35CD0">
            <w:pPr>
              <w:jc w:val="both"/>
              <w:rPr>
                <w:rFonts w:ascii="Times New Roman" w:hAnsi="Times New Roman" w:cs="Times New Roman"/>
                <w:b/>
                <w:sz w:val="20"/>
                <w:szCs w:val="20"/>
                <w:lang w:eastAsia="sk-SK"/>
              </w:rPr>
            </w:pPr>
            <w:r w:rsidRPr="00126539">
              <w:rPr>
                <w:rFonts w:ascii="Times New Roman" w:hAnsi="Times New Roman" w:cs="Times New Roman"/>
                <w:b/>
                <w:bCs/>
                <w:sz w:val="20"/>
                <w:szCs w:val="20"/>
                <w:lang w:eastAsia="sk-SK"/>
              </w:rPr>
              <w:t>Komisia uplatňuje k materiálu nasledovné pripomienky a odporúčania:</w:t>
            </w:r>
          </w:p>
          <w:p w:rsidR="00D35CD0" w:rsidRPr="00126539" w:rsidRDefault="00D35CD0" w:rsidP="00D35CD0">
            <w:pPr>
              <w:jc w:val="both"/>
              <w:rPr>
                <w:rFonts w:ascii="Times New Roman" w:hAnsi="Times New Roman" w:cs="Times New Roman"/>
                <w:b/>
                <w:sz w:val="20"/>
                <w:szCs w:val="20"/>
                <w:lang w:eastAsia="sk-SK"/>
              </w:rPr>
            </w:pPr>
          </w:p>
          <w:p w:rsidR="00D35CD0" w:rsidRPr="00126539" w:rsidRDefault="00D35CD0" w:rsidP="00D35CD0">
            <w:pPr>
              <w:jc w:val="both"/>
              <w:rPr>
                <w:rFonts w:ascii="Times New Roman" w:hAnsi="Times New Roman" w:cs="Times New Roman"/>
                <w:b/>
                <w:bCs/>
                <w:sz w:val="20"/>
                <w:szCs w:val="20"/>
                <w:lang w:eastAsia="sk-SK"/>
              </w:rPr>
            </w:pPr>
            <w:r w:rsidRPr="00126539">
              <w:rPr>
                <w:rFonts w:ascii="Times New Roman" w:hAnsi="Times New Roman" w:cs="Times New Roman"/>
                <w:b/>
                <w:bCs/>
                <w:sz w:val="20"/>
                <w:szCs w:val="20"/>
                <w:lang w:eastAsia="sk-SK"/>
              </w:rPr>
              <w:t>K doložke vybraných vplyvov</w:t>
            </w:r>
          </w:p>
          <w:p w:rsidR="00D35CD0" w:rsidRPr="00126539" w:rsidRDefault="00D35CD0" w:rsidP="00D35CD0">
            <w:p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Komisia odporúča predkladateľovi vypracovať aktuálnu verziu Doložky vybraných vplyvov.</w:t>
            </w:r>
          </w:p>
          <w:p w:rsidR="00D35CD0" w:rsidRPr="00126539" w:rsidRDefault="00D35CD0" w:rsidP="00D35CD0">
            <w:pPr>
              <w:jc w:val="both"/>
              <w:rPr>
                <w:rFonts w:ascii="Times New Roman" w:hAnsi="Times New Roman" w:cs="Times New Roman"/>
                <w:iCs/>
                <w:sz w:val="20"/>
                <w:szCs w:val="20"/>
                <w:lang w:eastAsia="sk-SK"/>
              </w:rPr>
            </w:pPr>
            <w:r w:rsidRPr="00126539">
              <w:rPr>
                <w:rFonts w:ascii="Times New Roman" w:hAnsi="Times New Roman" w:cs="Times New Roman"/>
                <w:iCs/>
                <w:sz w:val="20"/>
                <w:szCs w:val="20"/>
                <w:u w:val="single"/>
                <w:lang w:eastAsia="sk-SK"/>
              </w:rPr>
              <w:t>Odôvodnenie:</w:t>
            </w:r>
            <w:r w:rsidRPr="00126539">
              <w:rPr>
                <w:rFonts w:ascii="Times New Roman" w:hAnsi="Times New Roman" w:cs="Times New Roman"/>
                <w:iCs/>
                <w:sz w:val="20"/>
                <w:szCs w:val="20"/>
                <w:lang w:eastAsia="sk-SK"/>
              </w:rPr>
              <w:t xml:space="preserve"> V zmysle aktuálnej Jednotnej metodiky na posudzovanie vybraných vplyvov platnej od 10.6.2022, v ktorej sa aktualizovala aj Doložka vybraných vplyvov. Aktuálna verzia je dostupná na:  </w:t>
            </w:r>
          </w:p>
          <w:p w:rsidR="00D35CD0" w:rsidRPr="00126539" w:rsidRDefault="00703F2C" w:rsidP="00D35CD0">
            <w:pPr>
              <w:jc w:val="both"/>
              <w:rPr>
                <w:rFonts w:ascii="Times New Roman" w:hAnsi="Times New Roman" w:cs="Times New Roman"/>
                <w:sz w:val="20"/>
                <w:szCs w:val="20"/>
                <w:lang w:eastAsia="sk-SK"/>
              </w:rPr>
            </w:pPr>
            <w:hyperlink r:id="rId10" w:history="1">
              <w:r w:rsidR="00D35CD0" w:rsidRPr="00126539">
                <w:rPr>
                  <w:rStyle w:val="Hypertextovprepojenie"/>
                  <w:rFonts w:ascii="Times New Roman" w:hAnsi="Times New Roman"/>
                  <w:iCs/>
                  <w:sz w:val="20"/>
                  <w:szCs w:val="20"/>
                  <w:lang w:eastAsia="sk-SK"/>
                </w:rPr>
                <w:t>https://www.mhsr.sk/podnikatelske-prostredie/jednotna-metodika/dokumenty</w:t>
              </w:r>
            </w:hyperlink>
          </w:p>
          <w:p w:rsidR="00D35CD0" w:rsidRPr="00126539" w:rsidRDefault="00D35CD0" w:rsidP="00D35CD0">
            <w:pPr>
              <w:jc w:val="both"/>
              <w:rPr>
                <w:rFonts w:ascii="Times New Roman" w:hAnsi="Times New Roman" w:cs="Times New Roman"/>
                <w:sz w:val="20"/>
                <w:szCs w:val="20"/>
                <w:lang w:eastAsia="sk-SK"/>
              </w:rPr>
            </w:pPr>
          </w:p>
          <w:p w:rsidR="00D35CD0" w:rsidRPr="00126539" w:rsidRDefault="00D35CD0" w:rsidP="00D35CD0">
            <w:pPr>
              <w:jc w:val="both"/>
              <w:rPr>
                <w:rFonts w:ascii="Times New Roman" w:hAnsi="Times New Roman" w:cs="Times New Roman"/>
                <w:b/>
                <w:iCs/>
                <w:sz w:val="20"/>
                <w:szCs w:val="20"/>
                <w:lang w:eastAsia="sk-SK"/>
              </w:rPr>
            </w:pPr>
            <w:r w:rsidRPr="00126539">
              <w:rPr>
                <w:rFonts w:ascii="Times New Roman" w:hAnsi="Times New Roman" w:cs="Times New Roman"/>
                <w:b/>
                <w:sz w:val="20"/>
                <w:szCs w:val="20"/>
                <w:lang w:eastAsia="sk-SK"/>
              </w:rPr>
              <w:t>Vyhodnotenie predkladateľa: Formulár bol aktualizovaný v zmysle pripomienky.</w:t>
            </w:r>
          </w:p>
          <w:p w:rsidR="00D35CD0" w:rsidRPr="00126539" w:rsidRDefault="00D35CD0" w:rsidP="00D35CD0">
            <w:pPr>
              <w:jc w:val="both"/>
              <w:rPr>
                <w:rFonts w:ascii="Times New Roman" w:hAnsi="Times New Roman" w:cs="Times New Roman"/>
                <w:b/>
                <w:bCs/>
                <w:sz w:val="20"/>
                <w:szCs w:val="20"/>
                <w:lang w:eastAsia="sk-SK"/>
              </w:rPr>
            </w:pPr>
          </w:p>
          <w:p w:rsidR="00D35CD0" w:rsidRPr="00126539" w:rsidRDefault="00D35CD0" w:rsidP="00D35CD0">
            <w:pPr>
              <w:jc w:val="both"/>
              <w:rPr>
                <w:rFonts w:ascii="Times New Roman" w:hAnsi="Times New Roman" w:cs="Times New Roman"/>
                <w:b/>
                <w:bCs/>
                <w:sz w:val="20"/>
                <w:szCs w:val="20"/>
                <w:lang w:eastAsia="sk-SK"/>
              </w:rPr>
            </w:pPr>
            <w:r w:rsidRPr="00126539">
              <w:rPr>
                <w:rFonts w:ascii="Times New Roman" w:hAnsi="Times New Roman" w:cs="Times New Roman"/>
                <w:b/>
                <w:bCs/>
                <w:sz w:val="20"/>
                <w:szCs w:val="20"/>
                <w:lang w:eastAsia="sk-SK"/>
              </w:rPr>
              <w:t>K vplyvom na podnikateľské prostredie</w:t>
            </w:r>
          </w:p>
          <w:p w:rsidR="00D35CD0" w:rsidRPr="00126539" w:rsidRDefault="00D35CD0" w:rsidP="00D35CD0">
            <w:p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Komisia žiada predkladateľa doplniť Analýzu vplyvov na podnikateľské prostredie a</w:t>
            </w:r>
            <w:r w:rsidR="00FA2FA0" w:rsidRPr="00126539">
              <w:rPr>
                <w:rFonts w:ascii="Times New Roman" w:hAnsi="Times New Roman" w:cs="Times New Roman"/>
                <w:iCs/>
                <w:sz w:val="20"/>
                <w:szCs w:val="20"/>
                <w:lang w:eastAsia="sk-SK"/>
              </w:rPr>
              <w:t xml:space="preserve"> </w:t>
            </w:r>
            <w:r w:rsidRPr="00126539">
              <w:rPr>
                <w:rFonts w:ascii="Times New Roman" w:hAnsi="Times New Roman" w:cs="Times New Roman"/>
                <w:iCs/>
                <w:sz w:val="20"/>
                <w:szCs w:val="20"/>
                <w:lang w:eastAsia="sk-SK"/>
              </w:rPr>
              <w:t>Kalkulačku nákladov o ďalšie identifikované vplyvy (pozitívne +</w:t>
            </w:r>
            <w:r w:rsidR="00FA2FA0" w:rsidRPr="00126539">
              <w:rPr>
                <w:rFonts w:ascii="Times New Roman" w:hAnsi="Times New Roman" w:cs="Times New Roman"/>
                <w:iCs/>
                <w:sz w:val="20"/>
                <w:szCs w:val="20"/>
                <w:lang w:eastAsia="sk-SK"/>
              </w:rPr>
              <w:t xml:space="preserve"> </w:t>
            </w:r>
            <w:r w:rsidRPr="00126539">
              <w:rPr>
                <w:rFonts w:ascii="Times New Roman" w:hAnsi="Times New Roman" w:cs="Times New Roman"/>
                <w:iCs/>
                <w:sz w:val="20"/>
                <w:szCs w:val="20"/>
                <w:lang w:eastAsia="sk-SK"/>
              </w:rPr>
              <w:t xml:space="preserve">negatívne). Zároveň žiada Komisia aby predkladateľ identifikoval v danom návrhu aj ustanovenia, ktoré sa týkajú </w:t>
            </w:r>
            <w:proofErr w:type="spellStart"/>
            <w:r w:rsidRPr="00126539">
              <w:rPr>
                <w:rFonts w:ascii="Times New Roman" w:hAnsi="Times New Roman" w:cs="Times New Roman"/>
                <w:iCs/>
                <w:sz w:val="20"/>
                <w:szCs w:val="20"/>
                <w:lang w:eastAsia="sk-SK"/>
              </w:rPr>
              <w:t>goldplatingu</w:t>
            </w:r>
            <w:proofErr w:type="spellEnd"/>
            <w:r w:rsidRPr="00126539">
              <w:rPr>
                <w:rFonts w:ascii="Times New Roman" w:hAnsi="Times New Roman" w:cs="Times New Roman"/>
                <w:iCs/>
                <w:sz w:val="20"/>
                <w:szCs w:val="20"/>
                <w:lang w:eastAsia="sk-SK"/>
              </w:rPr>
              <w:t xml:space="preserve"> a vyznačil to v analýze vplyvov na podnikateľské prostredie a v Kalkulačke nákladov ( vyznačiť v pôvode regulácie: EÚ harmonizácia s možnosťou voľby)</w:t>
            </w:r>
            <w:r w:rsidR="00FA2FA0" w:rsidRPr="00126539">
              <w:rPr>
                <w:rFonts w:ascii="Times New Roman" w:hAnsi="Times New Roman" w:cs="Times New Roman"/>
                <w:iCs/>
                <w:sz w:val="20"/>
                <w:szCs w:val="20"/>
                <w:lang w:eastAsia="sk-SK"/>
              </w:rPr>
              <w:t>.</w:t>
            </w:r>
            <w:r w:rsidRPr="00126539">
              <w:rPr>
                <w:rFonts w:ascii="Times New Roman" w:hAnsi="Times New Roman" w:cs="Times New Roman"/>
                <w:iCs/>
                <w:sz w:val="20"/>
                <w:szCs w:val="20"/>
                <w:lang w:eastAsia="sk-SK"/>
              </w:rPr>
              <w:t xml:space="preserve"> </w:t>
            </w:r>
          </w:p>
          <w:p w:rsidR="00D35CD0" w:rsidRPr="00126539" w:rsidRDefault="00D35CD0" w:rsidP="00D35CD0">
            <w:pPr>
              <w:jc w:val="both"/>
              <w:rPr>
                <w:rFonts w:ascii="Times New Roman" w:hAnsi="Times New Roman" w:cs="Times New Roman"/>
                <w:sz w:val="20"/>
                <w:szCs w:val="20"/>
                <w:lang w:eastAsia="sk-SK"/>
              </w:rPr>
            </w:pPr>
            <w:r w:rsidRPr="00126539">
              <w:rPr>
                <w:rFonts w:ascii="Times New Roman" w:hAnsi="Times New Roman" w:cs="Times New Roman"/>
                <w:iCs/>
                <w:sz w:val="20"/>
                <w:szCs w:val="20"/>
                <w:u w:val="single"/>
                <w:lang w:eastAsia="sk-SK"/>
              </w:rPr>
              <w:t>Odôvodnenie:</w:t>
            </w:r>
            <w:r w:rsidRPr="00126539">
              <w:rPr>
                <w:rFonts w:ascii="Times New Roman" w:hAnsi="Times New Roman" w:cs="Times New Roman"/>
                <w:iCs/>
                <w:sz w:val="20"/>
                <w:szCs w:val="20"/>
                <w:lang w:eastAsia="sk-SK"/>
              </w:rPr>
              <w:t xml:space="preserve"> V</w:t>
            </w:r>
            <w:r w:rsidR="00FA2FA0" w:rsidRPr="00126539">
              <w:rPr>
                <w:rFonts w:ascii="Times New Roman" w:hAnsi="Times New Roman" w:cs="Times New Roman"/>
                <w:iCs/>
                <w:sz w:val="20"/>
                <w:szCs w:val="20"/>
                <w:lang w:eastAsia="sk-SK"/>
              </w:rPr>
              <w:t xml:space="preserve"> </w:t>
            </w:r>
            <w:r w:rsidRPr="00126539">
              <w:rPr>
                <w:rFonts w:ascii="Times New Roman" w:hAnsi="Times New Roman" w:cs="Times New Roman"/>
                <w:iCs/>
                <w:sz w:val="20"/>
                <w:szCs w:val="20"/>
                <w:lang w:eastAsia="sk-SK"/>
              </w:rPr>
              <w:t>materiáli boli identifikované ďalšie vplyvy na podnikateľské prostredie, ktoré je potrebné zahrnúť do Analýzy vplyvov na podnikateľské prostredie a kvantifikovať v kalkulačke nákladov. Prevažná časť týchto nákladov predstavuje administratívne vplyvy, ktoré je možné kvantifikovať. Návrh zákona predpokladá, že oprávnené subjekty budú neziskové organizácie, ktoré ak im to osobitný predpis dovoľuje, podnikať môžu, avšak ide len o sekundárnu činnosť.</w:t>
            </w:r>
            <w:r w:rsidRPr="00126539">
              <w:rPr>
                <w:rFonts w:ascii="Times New Roman" w:hAnsi="Times New Roman" w:cs="Times New Roman"/>
                <w:sz w:val="20"/>
                <w:szCs w:val="20"/>
                <w:lang w:eastAsia="sk-SK"/>
              </w:rPr>
              <w:t xml:space="preserve"> </w:t>
            </w:r>
          </w:p>
          <w:p w:rsidR="00D35CD0" w:rsidRPr="00126539" w:rsidRDefault="00D35CD0" w:rsidP="00D35CD0">
            <w:pPr>
              <w:jc w:val="both"/>
              <w:rPr>
                <w:rFonts w:ascii="Times New Roman" w:hAnsi="Times New Roman" w:cs="Times New Roman"/>
                <w:sz w:val="20"/>
                <w:szCs w:val="20"/>
                <w:lang w:eastAsia="sk-SK"/>
              </w:rPr>
            </w:pPr>
            <w:r w:rsidRPr="00126539">
              <w:rPr>
                <w:rFonts w:ascii="Times New Roman" w:hAnsi="Times New Roman" w:cs="Times New Roman"/>
                <w:iCs/>
                <w:sz w:val="20"/>
                <w:szCs w:val="20"/>
                <w:lang w:eastAsia="sk-SK"/>
              </w:rPr>
              <w:t>Negatívne vplyvy:</w:t>
            </w:r>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xml:space="preserve">§ 5 ods. 1 – povinnosť doručiť písomnú žiadosť o zápis právnickej osoby - </w:t>
            </w:r>
            <w:proofErr w:type="spellStart"/>
            <w:r w:rsidRPr="00126539">
              <w:rPr>
                <w:rFonts w:ascii="Times New Roman" w:hAnsi="Times New Roman" w:cs="Times New Roman"/>
                <w:iCs/>
                <w:sz w:val="20"/>
                <w:szCs w:val="20"/>
                <w:lang w:eastAsia="sk-SK"/>
              </w:rPr>
              <w:t>goldplating</w:t>
            </w:r>
            <w:proofErr w:type="spellEnd"/>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xml:space="preserve">§ 6 ods. 3 – povinnosť oprávnenej osoby oznámiť zmenu údajov - </w:t>
            </w:r>
            <w:proofErr w:type="spellStart"/>
            <w:r w:rsidRPr="00126539">
              <w:rPr>
                <w:rFonts w:ascii="Times New Roman" w:hAnsi="Times New Roman" w:cs="Times New Roman"/>
                <w:iCs/>
                <w:sz w:val="20"/>
                <w:szCs w:val="20"/>
                <w:lang w:eastAsia="sk-SK"/>
              </w:rPr>
              <w:t>goldplating</w:t>
            </w:r>
            <w:proofErr w:type="spellEnd"/>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xml:space="preserve">§ 7 ods. 7 – povinnosť oprávnenej osoby, o ktorej vyčiarknutí zo zoznamu bolo rozhodnuté, vrátiť dotknutým subjektom podklady súvisiace so žalobami, ako aj poplatky, ktoré dotknutí spotrebitelia uhradili - </w:t>
            </w:r>
            <w:proofErr w:type="spellStart"/>
            <w:r w:rsidRPr="00126539">
              <w:rPr>
                <w:rFonts w:ascii="Times New Roman" w:hAnsi="Times New Roman" w:cs="Times New Roman"/>
                <w:iCs/>
                <w:sz w:val="20"/>
                <w:szCs w:val="20"/>
                <w:lang w:eastAsia="sk-SK"/>
              </w:rPr>
              <w:t>goldplating</w:t>
            </w:r>
            <w:proofErr w:type="spellEnd"/>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10 ods. 1 – povinnosť oprávnenej osoby zverejňovať informácie na webovom sídle</w:t>
            </w:r>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xml:space="preserve">§ 10 ods. 2 – povinnosť oprávnenej osoby zasielať informácie podľa § 10 ods. 1 písm. b) až d) ministerstvu raz ročne - </w:t>
            </w:r>
            <w:proofErr w:type="spellStart"/>
            <w:r w:rsidRPr="00126539">
              <w:rPr>
                <w:rFonts w:ascii="Times New Roman" w:hAnsi="Times New Roman" w:cs="Times New Roman"/>
                <w:iCs/>
                <w:sz w:val="20"/>
                <w:szCs w:val="20"/>
                <w:lang w:eastAsia="sk-SK"/>
              </w:rPr>
              <w:t>goldplating</w:t>
            </w:r>
            <w:proofErr w:type="spellEnd"/>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xml:space="preserve">§ 10 ods. 5 – povinnosť oprávnenej osoby bezodkladne informovať ministerstvo o podaní žaloby na ochranu kolektívnych záujmov spotrebiteľov - </w:t>
            </w:r>
            <w:proofErr w:type="spellStart"/>
            <w:r w:rsidRPr="00126539">
              <w:rPr>
                <w:rFonts w:ascii="Times New Roman" w:hAnsi="Times New Roman" w:cs="Times New Roman"/>
                <w:iCs/>
                <w:sz w:val="20"/>
                <w:szCs w:val="20"/>
                <w:lang w:eastAsia="sk-SK"/>
              </w:rPr>
              <w:t>goldplating</w:t>
            </w:r>
            <w:proofErr w:type="spellEnd"/>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10 ods. 6 – povinnosť oprávnenej osoby informovať dotknutých spotrebiteľov, ktorých sa pripravované alebo prebiehajúce konanie o žalobe na ochranu kolektívnych záujmov spotrebiteľa týka</w:t>
            </w:r>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xml:space="preserve">§ 13 – možnosť súdu uložiť obchodníkovi povinnosť poskytnúť dotknutým spotrebiteľom náhradu školy, opravu alebo výmenu produktu, ... </w:t>
            </w:r>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14 ods. 1 – povinnosť oprávnenej osoby zverejniť v Obchodnom vestníku žalobný zámer</w:t>
            </w:r>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14 ods. 5 – povinnosť uhradiť poplatok pri odvolaní súhlasu s účasťou na žalobnom zámere po podaní prihlášky k žalobnému zámeru</w:t>
            </w:r>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14 ods. 8 – povinnosť oprávnenej osoby viesť zoznam prihlásených dotknutých spotrebiteľov, pravidelne ho aktualizovať a zverejňovať na webovom sídle</w:t>
            </w:r>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14 ods. 9 – povinnosť oprávnenej osoby v prípade nepodania žaloby na vydanie nápravného opatrenia vrátiť poplatok dotknutému spotrebiteľovi podľa odseku 4</w:t>
            </w:r>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18 – povinnosť oprávnenej osoby informovať dotknutých spotrebiteľov o jej zámere uzavrieť zmier s obchodníkom</w:t>
            </w:r>
          </w:p>
          <w:p w:rsidR="00D35CD0" w:rsidRPr="00126539" w:rsidRDefault="00D35CD0" w:rsidP="00D35CD0">
            <w:p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Pozitívne vplyvy:</w:t>
            </w:r>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xml:space="preserve">§ 12 – nárok na odmenu oprávnenej osoby – </w:t>
            </w:r>
            <w:proofErr w:type="spellStart"/>
            <w:r w:rsidRPr="00126539">
              <w:rPr>
                <w:rFonts w:ascii="Times New Roman" w:hAnsi="Times New Roman" w:cs="Times New Roman"/>
                <w:iCs/>
                <w:sz w:val="20"/>
                <w:szCs w:val="20"/>
                <w:lang w:eastAsia="sk-SK"/>
              </w:rPr>
              <w:t>goldplating</w:t>
            </w:r>
            <w:proofErr w:type="spellEnd"/>
            <w:r w:rsidRPr="00126539">
              <w:rPr>
                <w:rFonts w:ascii="Times New Roman" w:hAnsi="Times New Roman" w:cs="Times New Roman"/>
                <w:iCs/>
                <w:sz w:val="20"/>
                <w:szCs w:val="20"/>
                <w:lang w:eastAsia="sk-SK"/>
              </w:rPr>
              <w:t xml:space="preserve"> </w:t>
            </w:r>
          </w:p>
          <w:p w:rsidR="00D35CD0" w:rsidRPr="00126539" w:rsidRDefault="00D35CD0" w:rsidP="00D35CD0">
            <w:pPr>
              <w:numPr>
                <w:ilvl w:val="0"/>
                <w:numId w:val="2"/>
              </w:num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 17 – právna istota dotknutého spotrebiteľa zúčastneného v konaní o vydanie nápravného opatrenia, o neznášaní trov konania o vydanie nápravného opatrenia.</w:t>
            </w:r>
          </w:p>
          <w:p w:rsidR="00D35CD0" w:rsidRPr="00126539" w:rsidRDefault="00D35CD0" w:rsidP="00D35CD0">
            <w:pPr>
              <w:ind w:left="720"/>
              <w:jc w:val="both"/>
              <w:rPr>
                <w:rFonts w:ascii="Times New Roman" w:hAnsi="Times New Roman" w:cs="Times New Roman"/>
                <w:iCs/>
                <w:sz w:val="20"/>
                <w:szCs w:val="20"/>
                <w:lang w:eastAsia="sk-SK"/>
              </w:rPr>
            </w:pPr>
          </w:p>
          <w:p w:rsidR="00D35CD0" w:rsidRPr="00126539" w:rsidRDefault="00D35CD0" w:rsidP="00D35CD0">
            <w:pPr>
              <w:jc w:val="both"/>
              <w:rPr>
                <w:rFonts w:ascii="Times New Roman" w:hAnsi="Times New Roman" w:cs="Times New Roman"/>
                <w:b/>
                <w:iCs/>
                <w:sz w:val="20"/>
                <w:szCs w:val="20"/>
                <w:lang w:eastAsia="sk-SK"/>
              </w:rPr>
            </w:pPr>
            <w:r w:rsidRPr="00126539">
              <w:rPr>
                <w:rFonts w:ascii="Times New Roman" w:hAnsi="Times New Roman" w:cs="Times New Roman"/>
                <w:b/>
                <w:iCs/>
                <w:sz w:val="20"/>
                <w:szCs w:val="20"/>
                <w:lang w:eastAsia="sk-SK"/>
              </w:rPr>
              <w:t>Vyhodnotenie predkladateľa:</w:t>
            </w:r>
            <w:r w:rsidRPr="00126539">
              <w:rPr>
                <w:rFonts w:ascii="Times New Roman" w:hAnsi="Times New Roman" w:cs="Times New Roman"/>
                <w:color w:val="000000"/>
                <w:sz w:val="20"/>
                <w:szCs w:val="20"/>
                <w:lang w:eastAsia="sk-SK"/>
              </w:rPr>
              <w:t xml:space="preserve"> </w:t>
            </w:r>
            <w:r w:rsidRPr="00126539">
              <w:rPr>
                <w:rFonts w:ascii="Times New Roman" w:hAnsi="Times New Roman" w:cs="Times New Roman"/>
                <w:b/>
                <w:iCs/>
                <w:sz w:val="20"/>
                <w:szCs w:val="20"/>
                <w:lang w:eastAsia="sk-SK"/>
              </w:rPr>
              <w:t xml:space="preserve">Analýza vplyvov na podnikateľské prostredie bola v časti "Iné vplyvy" upravená v súlade s pripomienkou Komisie. V ostatných častiach predkladateľ zotrváva na znení analýzy vplyvov na podnikateľské prostredie tak ako bola predložená do predbežného pripomienkového konania. </w:t>
            </w:r>
            <w:r w:rsidRPr="00126539">
              <w:rPr>
                <w:rFonts w:ascii="Times New Roman" w:hAnsi="Times New Roman" w:cs="Times New Roman"/>
                <w:b/>
                <w:iCs/>
                <w:sz w:val="20"/>
                <w:szCs w:val="20"/>
                <w:lang w:eastAsia="sk-SK"/>
              </w:rPr>
              <w:lastRenderedPageBreak/>
              <w:t xml:space="preserve">Ku </w:t>
            </w:r>
            <w:proofErr w:type="spellStart"/>
            <w:r w:rsidRPr="00126539">
              <w:rPr>
                <w:rFonts w:ascii="Times New Roman" w:hAnsi="Times New Roman" w:cs="Times New Roman"/>
                <w:b/>
                <w:iCs/>
                <w:sz w:val="20"/>
                <w:szCs w:val="20"/>
                <w:lang w:eastAsia="sk-SK"/>
              </w:rPr>
              <w:t>goldplatingu</w:t>
            </w:r>
            <w:proofErr w:type="spellEnd"/>
            <w:r w:rsidRPr="00126539">
              <w:rPr>
                <w:rFonts w:ascii="Times New Roman" w:hAnsi="Times New Roman" w:cs="Times New Roman"/>
                <w:b/>
                <w:iCs/>
                <w:sz w:val="20"/>
                <w:szCs w:val="20"/>
                <w:lang w:eastAsia="sk-SK"/>
              </w:rPr>
              <w:t xml:space="preserve">. Účelom označovania </w:t>
            </w:r>
            <w:proofErr w:type="spellStart"/>
            <w:r w:rsidRPr="00126539">
              <w:rPr>
                <w:rFonts w:ascii="Times New Roman" w:hAnsi="Times New Roman" w:cs="Times New Roman"/>
                <w:b/>
                <w:iCs/>
                <w:sz w:val="20"/>
                <w:szCs w:val="20"/>
                <w:lang w:eastAsia="sk-SK"/>
              </w:rPr>
              <w:t>goldplatingu</w:t>
            </w:r>
            <w:proofErr w:type="spellEnd"/>
            <w:r w:rsidRPr="00126539">
              <w:rPr>
                <w:rFonts w:ascii="Times New Roman" w:hAnsi="Times New Roman" w:cs="Times New Roman"/>
                <w:b/>
                <w:iCs/>
                <w:sz w:val="20"/>
                <w:szCs w:val="20"/>
                <w:lang w:eastAsia="sk-SK"/>
              </w:rPr>
              <w:t xml:space="preserve"> je zabrániť zníženiu konkurencieschopnosti domácich podnikov v porovnaní s podnikmi z krajín, kde právne predpisy nie sú natoľko prísne. Oprávnené osoby však nie sú podnikmi, nemôžu byť založené za účelom podnikania, musia mať neziskový charakter (§ 5 zákona), preto nemôžu spoločne súťažiť s podnikateľskými subjektami v oblasti ochrany kolektívnych záujmov spotrebiteľov a navzájom si konkurovať.</w:t>
            </w:r>
          </w:p>
          <w:p w:rsidR="00D35CD0" w:rsidRPr="00126539" w:rsidRDefault="00D35CD0" w:rsidP="00D35CD0">
            <w:pPr>
              <w:jc w:val="both"/>
              <w:rPr>
                <w:rFonts w:ascii="Times New Roman" w:hAnsi="Times New Roman" w:cs="Times New Roman"/>
                <w:b/>
                <w:iCs/>
                <w:sz w:val="20"/>
                <w:szCs w:val="20"/>
                <w:lang w:eastAsia="sk-SK"/>
              </w:rPr>
            </w:pPr>
          </w:p>
          <w:p w:rsidR="00D35CD0" w:rsidRPr="00126539" w:rsidRDefault="00D35CD0" w:rsidP="00D35CD0">
            <w:pPr>
              <w:jc w:val="both"/>
              <w:rPr>
                <w:rFonts w:ascii="Times New Roman" w:hAnsi="Times New Roman" w:cs="Times New Roman"/>
                <w:iCs/>
                <w:sz w:val="20"/>
                <w:szCs w:val="20"/>
                <w:lang w:eastAsia="sk-SK"/>
              </w:rPr>
            </w:pPr>
            <w:r w:rsidRPr="00126539">
              <w:rPr>
                <w:rFonts w:ascii="Times New Roman" w:hAnsi="Times New Roman" w:cs="Times New Roman"/>
                <w:iCs/>
                <w:sz w:val="20"/>
                <w:szCs w:val="20"/>
                <w:lang w:eastAsia="sk-SK"/>
              </w:rPr>
              <w:t>Komisia odporúča predkladateľovi,  aby v  Doložke vybraných vplyvov v časti 9.Vybrané vplyvy materiálu vyznačil, že sa uplatňuje mechanizmus znižovania byrokracie a nákladov.</w:t>
            </w:r>
          </w:p>
          <w:p w:rsidR="00D35CD0" w:rsidRPr="00126539" w:rsidRDefault="00D35CD0" w:rsidP="00D35CD0">
            <w:pPr>
              <w:jc w:val="both"/>
              <w:rPr>
                <w:rFonts w:ascii="Times New Roman" w:hAnsi="Times New Roman" w:cs="Times New Roman"/>
                <w:b/>
                <w:iCs/>
                <w:sz w:val="20"/>
                <w:szCs w:val="20"/>
                <w:lang w:eastAsia="sk-SK"/>
              </w:rPr>
            </w:pPr>
            <w:r w:rsidRPr="00126539">
              <w:rPr>
                <w:rFonts w:ascii="Times New Roman" w:hAnsi="Times New Roman" w:cs="Times New Roman"/>
                <w:b/>
                <w:iCs/>
                <w:sz w:val="20"/>
                <w:szCs w:val="20"/>
                <w:lang w:eastAsia="sk-SK"/>
              </w:rPr>
              <w:t>Vyhodnotenie predkladateľa: V zmysle bodu 6.5. JM sa pri úplnej transpozícii právne záväzného aktu EÚ mechanizmus neuplatňuje.</w:t>
            </w:r>
          </w:p>
          <w:p w:rsidR="00D35CD0" w:rsidRPr="00126539" w:rsidRDefault="00D35CD0" w:rsidP="00D35CD0">
            <w:pPr>
              <w:jc w:val="both"/>
              <w:rPr>
                <w:rFonts w:ascii="Times New Roman" w:hAnsi="Times New Roman" w:cs="Times New Roman"/>
                <w:iCs/>
                <w:sz w:val="20"/>
                <w:szCs w:val="20"/>
                <w:lang w:eastAsia="sk-SK"/>
              </w:rPr>
            </w:pPr>
          </w:p>
          <w:p w:rsidR="00D35CD0" w:rsidRPr="00126539" w:rsidRDefault="00D35CD0" w:rsidP="00D35CD0">
            <w:pPr>
              <w:jc w:val="both"/>
              <w:rPr>
                <w:rFonts w:ascii="Times New Roman" w:hAnsi="Times New Roman" w:cs="Times New Roman"/>
                <w:b/>
                <w:iCs/>
                <w:sz w:val="20"/>
                <w:szCs w:val="20"/>
                <w:lang w:eastAsia="sk-SK"/>
              </w:rPr>
            </w:pPr>
            <w:r w:rsidRPr="00126539">
              <w:rPr>
                <w:rFonts w:ascii="Times New Roman" w:hAnsi="Times New Roman" w:cs="Times New Roman"/>
                <w:b/>
                <w:iCs/>
                <w:sz w:val="20"/>
                <w:szCs w:val="20"/>
                <w:lang w:eastAsia="sk-SK"/>
              </w:rPr>
              <w:t>K sociálnym vplyvom</w:t>
            </w:r>
          </w:p>
          <w:p w:rsidR="00D35CD0" w:rsidRPr="00126539" w:rsidRDefault="00D35CD0" w:rsidP="00D35CD0">
            <w:pPr>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Text uvedený v bode 4.2, ktorý je duplicitný s hodnotením uvedeným v bode 4.1  tejto analýzy (týkajúcim sa hospodárenia dotknutých domácností) je potrebné vypustiť. V bode 4.2 považuje Komisia za potrebné zhodnotiť navrhované opatrenia, ktoré zlepšujú/uľahčujú prístup k spravodlivosti (napr. návrh na zavedenie fikcie, že rozhodnutie súdu/správneho orgánu ktoréhokoľvek členského štátu o existencii porušenia kolektívnych záujmov spotrebiteľov môžu použiť strany konania ako dôkaz na účely akejkoľvek ďalšej žaloby proti tomu istému obchodníkovi pre ten istý postup). Zároveň Komisia odporúča vo všeobecnej časti dôvodovej správy konkretizovať, že predložený návrh zákona zakladá pozitívne sociálne vplyvy.</w:t>
            </w:r>
          </w:p>
          <w:p w:rsidR="00D35CD0" w:rsidRPr="00126539" w:rsidRDefault="00D35CD0" w:rsidP="00D35CD0">
            <w:pPr>
              <w:jc w:val="both"/>
              <w:rPr>
                <w:rFonts w:ascii="Times New Roman" w:hAnsi="Times New Roman" w:cs="Times New Roman"/>
                <w:sz w:val="20"/>
                <w:szCs w:val="20"/>
                <w:lang w:eastAsia="sk-SK"/>
              </w:rPr>
            </w:pPr>
          </w:p>
          <w:p w:rsidR="00D35CD0" w:rsidRPr="00126539" w:rsidRDefault="00D35CD0" w:rsidP="00D35CD0">
            <w:pPr>
              <w:jc w:val="both"/>
              <w:rPr>
                <w:rFonts w:ascii="Times New Roman" w:hAnsi="Times New Roman" w:cs="Times New Roman"/>
                <w:b/>
                <w:sz w:val="20"/>
                <w:szCs w:val="20"/>
                <w:lang w:eastAsia="sk-SK"/>
              </w:rPr>
            </w:pPr>
            <w:r w:rsidRPr="00126539">
              <w:rPr>
                <w:rFonts w:ascii="Times New Roman" w:hAnsi="Times New Roman" w:cs="Times New Roman"/>
                <w:b/>
                <w:sz w:val="20"/>
                <w:szCs w:val="20"/>
                <w:lang w:eastAsia="sk-SK"/>
              </w:rPr>
              <w:t>Vyhodnotenie predkladateľa: Analýza sociálnych vplyvov bola upravená.</w:t>
            </w:r>
          </w:p>
          <w:p w:rsidR="00D35CD0" w:rsidRPr="00126539" w:rsidRDefault="00D35CD0" w:rsidP="00D35CD0">
            <w:pPr>
              <w:jc w:val="both"/>
              <w:rPr>
                <w:rFonts w:ascii="Times New Roman" w:hAnsi="Times New Roman" w:cs="Times New Roman"/>
                <w:sz w:val="20"/>
                <w:szCs w:val="20"/>
                <w:lang w:eastAsia="sk-SK"/>
              </w:rPr>
            </w:pPr>
          </w:p>
          <w:p w:rsidR="00D35CD0" w:rsidRPr="00126539" w:rsidRDefault="00D35CD0" w:rsidP="00D35CD0">
            <w:pPr>
              <w:jc w:val="both"/>
              <w:rPr>
                <w:rFonts w:ascii="Times New Roman" w:hAnsi="Times New Roman" w:cs="Times New Roman"/>
                <w:b/>
                <w:iCs/>
                <w:sz w:val="20"/>
                <w:szCs w:val="20"/>
                <w:lang w:eastAsia="sk-SK"/>
              </w:rPr>
            </w:pPr>
            <w:r w:rsidRPr="00126539">
              <w:rPr>
                <w:rFonts w:ascii="Times New Roman" w:hAnsi="Times New Roman" w:cs="Times New Roman"/>
                <w:b/>
                <w:iCs/>
                <w:sz w:val="20"/>
                <w:szCs w:val="20"/>
                <w:lang w:eastAsia="sk-SK"/>
              </w:rPr>
              <w:t>K vplyvom na informatizáciu spoločnosti</w:t>
            </w:r>
          </w:p>
          <w:p w:rsidR="00D35CD0" w:rsidRPr="00126539" w:rsidRDefault="00D35CD0" w:rsidP="00D35CD0">
            <w:pPr>
              <w:jc w:val="both"/>
              <w:rPr>
                <w:rFonts w:ascii="Times New Roman" w:hAnsi="Times New Roman" w:cs="Times New Roman"/>
                <w:iCs/>
                <w:sz w:val="20"/>
                <w:szCs w:val="20"/>
                <w:lang w:eastAsia="sk-SK"/>
              </w:rPr>
            </w:pPr>
            <w:r w:rsidRPr="00126539">
              <w:rPr>
                <w:rFonts w:ascii="Times New Roman" w:hAnsi="Times New Roman" w:cs="Times New Roman"/>
                <w:sz w:val="20"/>
                <w:szCs w:val="20"/>
                <w:lang w:eastAsia="sk-SK"/>
              </w:rPr>
              <w:t>Komisia nesúhlasí s tým, že „</w:t>
            </w:r>
            <w:r w:rsidRPr="00126539">
              <w:rPr>
                <w:rFonts w:ascii="Times New Roman" w:hAnsi="Times New Roman" w:cs="Times New Roman"/>
                <w:bCs/>
                <w:i/>
                <w:iCs/>
                <w:sz w:val="20"/>
                <w:szCs w:val="20"/>
                <w:lang w:eastAsia="sk-SK"/>
              </w:rPr>
              <w:t>Návrh zákona o žalobách na ochranu kolektívnych záujmov spotrebiteľov.</w:t>
            </w:r>
            <w:r w:rsidRPr="00126539">
              <w:rPr>
                <w:rFonts w:ascii="Times New Roman" w:hAnsi="Times New Roman" w:cs="Times New Roman"/>
                <w:i/>
                <w:iCs/>
                <w:sz w:val="20"/>
                <w:szCs w:val="20"/>
                <w:lang w:eastAsia="sk-SK"/>
              </w:rPr>
              <w:t>“</w:t>
            </w:r>
            <w:r w:rsidRPr="00126539">
              <w:rPr>
                <w:rFonts w:ascii="Times New Roman" w:hAnsi="Times New Roman" w:cs="Times New Roman"/>
                <w:sz w:val="20"/>
                <w:szCs w:val="20"/>
                <w:lang w:eastAsia="sk-SK"/>
              </w:rPr>
              <w:t xml:space="preserve"> nemá vplyv na informatizáciu spoločnosti. V zmysle návrhu zákona sa vytvára elektronický zoznam oprávnených osôb, kde sa na základe rozhodnutia ministerstva zapisujú oprávnené osoby. Uvedené je vplyvom na informatizáciu spoločnosti.</w:t>
            </w:r>
          </w:p>
          <w:p w:rsidR="00D35CD0" w:rsidRPr="00126539" w:rsidRDefault="00D35CD0" w:rsidP="00D35CD0">
            <w:pPr>
              <w:jc w:val="both"/>
              <w:rPr>
                <w:rFonts w:ascii="Times New Roman" w:hAnsi="Times New Roman" w:cs="Times New Roman"/>
                <w:sz w:val="20"/>
                <w:szCs w:val="20"/>
                <w:lang w:eastAsia="sk-SK"/>
              </w:rPr>
            </w:pPr>
          </w:p>
          <w:p w:rsidR="00A35AAC" w:rsidRPr="00126539" w:rsidRDefault="00D35CD0" w:rsidP="00A35AAC">
            <w:pPr>
              <w:rPr>
                <w:rFonts w:ascii="Times New Roman" w:eastAsia="Times New Roman" w:hAnsi="Times New Roman" w:cs="Times New Roman"/>
                <w:b/>
                <w:sz w:val="20"/>
                <w:szCs w:val="20"/>
                <w:lang w:eastAsia="sk-SK"/>
              </w:rPr>
            </w:pPr>
            <w:r w:rsidRPr="00126539">
              <w:rPr>
                <w:rFonts w:ascii="Times New Roman" w:hAnsi="Times New Roman" w:cs="Times New Roman"/>
                <w:b/>
                <w:sz w:val="20"/>
                <w:szCs w:val="20"/>
                <w:lang w:eastAsia="sk-SK"/>
              </w:rPr>
              <w:t>Vyhodnotenie predkladateľa: Po komunikácii s MIRRI ako gestorom vplyvov na informatizáciu spoločnosti a vysvetlení si charakteru zoznamu oprávnených osôb nie je potrebné vypracovať analýzu vplyvov na informatizáciu, vysvetlenie marginálneho vplyvu je doplnené v poznámkach v bode 10.</w:t>
            </w:r>
          </w:p>
          <w:p w:rsidR="00A35AAC" w:rsidRPr="00126539" w:rsidRDefault="00A35AAC" w:rsidP="00A35AAC">
            <w:pPr>
              <w:rPr>
                <w:rFonts w:ascii="Times New Roman" w:eastAsia="Times New Roman" w:hAnsi="Times New Roman" w:cs="Times New Roman"/>
                <w:b/>
                <w:sz w:val="20"/>
                <w:szCs w:val="20"/>
                <w:lang w:eastAsia="sk-SK"/>
              </w:rPr>
            </w:pPr>
          </w:p>
        </w:tc>
      </w:tr>
      <w:tr w:rsidR="00A35AAC" w:rsidRPr="00126539" w:rsidTr="008F4907">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A35AAC" w:rsidRPr="00126539" w:rsidRDefault="00A35AAC" w:rsidP="00A35AAC">
            <w:pPr>
              <w:numPr>
                <w:ilvl w:val="0"/>
                <w:numId w:val="1"/>
              </w:numPr>
              <w:ind w:left="450" w:hanging="425"/>
              <w:contextualSpacing/>
              <w:jc w:val="both"/>
              <w:rPr>
                <w:rFonts w:ascii="Times New Roman" w:eastAsia="Calibri" w:hAnsi="Times New Roman" w:cs="Times New Roman"/>
                <w:b/>
              </w:rPr>
            </w:pPr>
            <w:r w:rsidRPr="00126539">
              <w:rPr>
                <w:rFonts w:ascii="Times New Roman" w:eastAsia="Calibri" w:hAnsi="Times New Roman" w:cs="Times New Roman"/>
                <w:b/>
              </w:rPr>
              <w:lastRenderedPageBreak/>
              <w:t>Stanovisko Komisie na posudzovanie vybraných vplyvov zo záverečného posúdenia č. ..........</w:t>
            </w:r>
            <w:r w:rsidRPr="00126539">
              <w:rPr>
                <w:rFonts w:ascii="Times New Roman" w:eastAsia="Calibri" w:hAnsi="Times New Roman" w:cs="Times New Roman"/>
              </w:rPr>
              <w:t xml:space="preserve"> (v prípade, ak sa uskutočnilo v zmysle bodu 9.1. Jednotnej metodiky) </w:t>
            </w:r>
          </w:p>
        </w:tc>
      </w:tr>
      <w:tr w:rsidR="00A35AAC" w:rsidRPr="00126539" w:rsidTr="008F4907">
        <w:tblPrEx>
          <w:tblBorders>
            <w:insideH w:val="single" w:sz="4" w:space="0" w:color="FFFFFF"/>
            <w:insideV w:val="single" w:sz="4" w:space="0" w:color="FFFFFF"/>
          </w:tblBorders>
        </w:tblPrEx>
        <w:tc>
          <w:tcPr>
            <w:tcW w:w="9176" w:type="dxa"/>
            <w:shd w:val="clear" w:color="auto" w:fill="FFFFFF"/>
          </w:tcPr>
          <w:p w:rsidR="00A35AAC" w:rsidRPr="00126539" w:rsidRDefault="00A35AAC" w:rsidP="00A35AA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35AAC" w:rsidRPr="00126539" w:rsidTr="008F4907">
              <w:trPr>
                <w:trHeight w:val="396"/>
              </w:trPr>
              <w:tc>
                <w:tcPr>
                  <w:tcW w:w="2552" w:type="dxa"/>
                </w:tcPr>
                <w:p w:rsidR="00A35AAC" w:rsidRPr="00126539" w:rsidRDefault="00703F2C" w:rsidP="00A35A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A35AAC" w:rsidRPr="00126539">
                        <w:rPr>
                          <w:rFonts w:ascii="Segoe UI Symbol" w:eastAsia="MS Gothic" w:hAnsi="Segoe UI Symbol" w:cs="Segoe UI Symbol"/>
                          <w:b/>
                          <w:sz w:val="20"/>
                          <w:szCs w:val="20"/>
                          <w:lang w:eastAsia="sk-SK"/>
                        </w:rPr>
                        <w:t>☐</w:t>
                      </w:r>
                    </w:sdtContent>
                  </w:sdt>
                  <w:r w:rsidR="00A35AAC" w:rsidRPr="00126539">
                    <w:rPr>
                      <w:rFonts w:ascii="Times New Roman" w:eastAsia="Times New Roman" w:hAnsi="Times New Roman" w:cs="Times New Roman"/>
                      <w:b/>
                      <w:sz w:val="20"/>
                      <w:szCs w:val="20"/>
                      <w:lang w:eastAsia="sk-SK"/>
                    </w:rPr>
                    <w:t xml:space="preserve">   Súhlasné </w:t>
                  </w:r>
                </w:p>
              </w:tc>
              <w:tc>
                <w:tcPr>
                  <w:tcW w:w="3827" w:type="dxa"/>
                </w:tcPr>
                <w:p w:rsidR="00A35AAC" w:rsidRPr="00126539" w:rsidRDefault="00703F2C" w:rsidP="00A35A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A35AAC" w:rsidRPr="00126539">
                        <w:rPr>
                          <w:rFonts w:ascii="Segoe UI Symbol" w:eastAsia="MS Gothic" w:hAnsi="Segoe UI Symbol" w:cs="Segoe UI Symbol"/>
                          <w:b/>
                          <w:sz w:val="20"/>
                          <w:szCs w:val="20"/>
                          <w:lang w:eastAsia="sk-SK"/>
                        </w:rPr>
                        <w:t>☐</w:t>
                      </w:r>
                    </w:sdtContent>
                  </w:sdt>
                  <w:r w:rsidR="00A35AAC" w:rsidRPr="00126539">
                    <w:rPr>
                      <w:rFonts w:ascii="Times New Roman" w:eastAsia="Times New Roman" w:hAnsi="Times New Roman" w:cs="Times New Roman"/>
                      <w:b/>
                      <w:sz w:val="20"/>
                      <w:szCs w:val="20"/>
                      <w:lang w:eastAsia="sk-SK"/>
                    </w:rPr>
                    <w:t xml:space="preserve">  Súhlasné s  návrhom na dopracovanie</w:t>
                  </w:r>
                </w:p>
              </w:tc>
              <w:tc>
                <w:tcPr>
                  <w:tcW w:w="2534" w:type="dxa"/>
                </w:tcPr>
                <w:p w:rsidR="00A35AAC" w:rsidRPr="00126539" w:rsidRDefault="00703F2C" w:rsidP="00A35AA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A35AAC" w:rsidRPr="00126539">
                        <w:rPr>
                          <w:rFonts w:ascii="Segoe UI Symbol" w:eastAsia="MS Gothic" w:hAnsi="Segoe UI Symbol" w:cs="Segoe UI Symbol"/>
                          <w:b/>
                          <w:sz w:val="20"/>
                          <w:szCs w:val="20"/>
                          <w:lang w:eastAsia="sk-SK"/>
                        </w:rPr>
                        <w:t>☐</w:t>
                      </w:r>
                    </w:sdtContent>
                  </w:sdt>
                  <w:r w:rsidR="00A35AAC" w:rsidRPr="00126539">
                    <w:rPr>
                      <w:rFonts w:ascii="Times New Roman" w:eastAsia="Times New Roman" w:hAnsi="Times New Roman" w:cs="Times New Roman"/>
                      <w:b/>
                      <w:sz w:val="20"/>
                      <w:szCs w:val="20"/>
                      <w:lang w:eastAsia="sk-SK"/>
                    </w:rPr>
                    <w:t xml:space="preserve">  Nesúhlasné</w:t>
                  </w:r>
                </w:p>
              </w:tc>
            </w:tr>
          </w:tbl>
          <w:p w:rsidR="00A35AAC" w:rsidRPr="00126539" w:rsidRDefault="00A35AAC" w:rsidP="00A35AAC">
            <w:pPr>
              <w:jc w:val="both"/>
              <w:rPr>
                <w:rFonts w:ascii="Times New Roman" w:eastAsia="Times New Roman" w:hAnsi="Times New Roman" w:cs="Times New Roman"/>
                <w:b/>
                <w:sz w:val="20"/>
                <w:szCs w:val="20"/>
                <w:lang w:eastAsia="sk-SK"/>
              </w:rPr>
            </w:pPr>
          </w:p>
          <w:p w:rsidR="00A35AAC" w:rsidRPr="00126539" w:rsidRDefault="00A35AAC" w:rsidP="00A35AAC">
            <w:pPr>
              <w:rPr>
                <w:rFonts w:ascii="Times New Roman" w:eastAsia="Times New Roman" w:hAnsi="Times New Roman" w:cs="Times New Roman"/>
                <w:b/>
                <w:sz w:val="20"/>
                <w:szCs w:val="20"/>
                <w:lang w:eastAsia="sk-SK"/>
              </w:rPr>
            </w:pPr>
          </w:p>
          <w:p w:rsidR="00A35AAC" w:rsidRPr="00126539" w:rsidRDefault="00A35AAC" w:rsidP="00A35AAC">
            <w:pPr>
              <w:rPr>
                <w:rFonts w:ascii="Times New Roman" w:eastAsia="Times New Roman" w:hAnsi="Times New Roman" w:cs="Times New Roman"/>
                <w:b/>
                <w:sz w:val="20"/>
                <w:szCs w:val="20"/>
                <w:lang w:eastAsia="sk-SK"/>
              </w:rPr>
            </w:pPr>
          </w:p>
        </w:tc>
      </w:tr>
      <w:tr w:rsidR="00A35AAC" w:rsidRPr="00126539" w:rsidTr="008F4907">
        <w:tblPrEx>
          <w:tblBorders>
            <w:insideH w:val="single" w:sz="4" w:space="0" w:color="FFFFFF"/>
            <w:insideV w:val="single" w:sz="4" w:space="0" w:color="FFFFFF"/>
          </w:tblBorders>
        </w:tblPrEx>
        <w:tc>
          <w:tcPr>
            <w:tcW w:w="9176" w:type="dxa"/>
            <w:shd w:val="clear" w:color="auto" w:fill="FFFFFF"/>
          </w:tcPr>
          <w:p w:rsidR="00A35AAC" w:rsidRPr="00126539" w:rsidRDefault="00A35AAC" w:rsidP="00A35AAC">
            <w:pPr>
              <w:rPr>
                <w:rFonts w:ascii="Times New Roman" w:eastAsia="Times New Roman" w:hAnsi="Times New Roman" w:cs="Times New Roman"/>
                <w:b/>
                <w:sz w:val="20"/>
                <w:szCs w:val="20"/>
                <w:lang w:eastAsia="sk-SK"/>
              </w:rPr>
            </w:pPr>
          </w:p>
        </w:tc>
      </w:tr>
    </w:tbl>
    <w:p w:rsidR="008F4907" w:rsidRPr="00126539" w:rsidRDefault="008F4907"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126539">
      <w:pPr>
        <w:jc w:val="center"/>
        <w:rPr>
          <w:rFonts w:ascii="Times New Roman" w:eastAsia="Calibri" w:hAnsi="Times New Roman" w:cs="Times New Roman"/>
          <w:b/>
          <w:sz w:val="28"/>
          <w:szCs w:val="28"/>
        </w:rPr>
      </w:pPr>
      <w:r w:rsidRPr="00126539">
        <w:rPr>
          <w:rFonts w:ascii="Times New Roman" w:eastAsia="Calibri" w:hAnsi="Times New Roman" w:cs="Times New Roman"/>
          <w:b/>
          <w:sz w:val="28"/>
          <w:szCs w:val="28"/>
        </w:rPr>
        <w:lastRenderedPageBreak/>
        <w:t>Analýza vplyvov na podnikateľské prostredie</w:t>
      </w:r>
    </w:p>
    <w:p w:rsidR="00126539" w:rsidRPr="00126539" w:rsidRDefault="00126539" w:rsidP="00126539">
      <w:pPr>
        <w:jc w:val="both"/>
        <w:rPr>
          <w:rFonts w:ascii="Times New Roman" w:eastAsia="Calibri" w:hAnsi="Times New Roman" w:cs="Times New Roman"/>
          <w:b/>
          <w:sz w:val="24"/>
          <w:szCs w:val="24"/>
        </w:rPr>
      </w:pPr>
    </w:p>
    <w:p w:rsidR="00126539" w:rsidRPr="00126539" w:rsidRDefault="00126539" w:rsidP="00126539">
      <w:pPr>
        <w:jc w:val="both"/>
        <w:rPr>
          <w:rFonts w:ascii="Times New Roman" w:eastAsia="Calibri" w:hAnsi="Times New Roman" w:cs="Times New Roman"/>
          <w:sz w:val="24"/>
          <w:szCs w:val="24"/>
        </w:rPr>
      </w:pPr>
      <w:r w:rsidRPr="00126539">
        <w:rPr>
          <w:rFonts w:ascii="Times New Roman" w:eastAsia="Calibri" w:hAnsi="Times New Roman" w:cs="Times New Roman"/>
          <w:b/>
          <w:sz w:val="24"/>
          <w:szCs w:val="24"/>
        </w:rPr>
        <w:t xml:space="preserve">Názov materiálu: </w:t>
      </w:r>
      <w:r w:rsidRPr="00126539">
        <w:rPr>
          <w:rFonts w:ascii="Times New Roman" w:eastAsia="Calibri" w:hAnsi="Times New Roman" w:cs="Times New Roman"/>
          <w:sz w:val="24"/>
          <w:szCs w:val="24"/>
        </w:rPr>
        <w:t>Návrh zákona o žalobách na ochranu kolektívnych záujmov spotrebiteľov</w:t>
      </w:r>
    </w:p>
    <w:p w:rsidR="00126539" w:rsidRPr="00126539" w:rsidRDefault="00126539" w:rsidP="00126539">
      <w:pPr>
        <w:jc w:val="both"/>
        <w:rPr>
          <w:rFonts w:ascii="Times New Roman" w:eastAsia="Calibri" w:hAnsi="Times New Roman" w:cs="Times New Roman"/>
          <w:b/>
          <w:sz w:val="24"/>
          <w:szCs w:val="24"/>
        </w:rPr>
      </w:pPr>
      <w:r w:rsidRPr="00126539">
        <w:rPr>
          <w:rFonts w:ascii="Times New Roman" w:eastAsia="Calibri" w:hAnsi="Times New Roman" w:cs="Times New Roman"/>
          <w:b/>
          <w:sz w:val="24"/>
          <w:szCs w:val="24"/>
        </w:rPr>
        <w:t xml:space="preserve">Predkladateľ: </w:t>
      </w:r>
      <w:r w:rsidRPr="00126539">
        <w:rPr>
          <w:rFonts w:ascii="Times New Roman" w:eastAsia="Calibri" w:hAnsi="Times New Roman" w:cs="Times New Roman"/>
          <w:sz w:val="24"/>
          <w:szCs w:val="24"/>
        </w:rPr>
        <w:t>Ministerstvo spravodlivosti SR</w:t>
      </w:r>
    </w:p>
    <w:p w:rsidR="00126539" w:rsidRPr="00126539" w:rsidRDefault="00126539" w:rsidP="00126539">
      <w:pPr>
        <w:jc w:val="both"/>
        <w:rPr>
          <w:rFonts w:ascii="Times New Roman" w:eastAsia="Calibri" w:hAnsi="Times New Roman" w:cs="Times New Roman"/>
          <w:b/>
          <w:sz w:val="24"/>
          <w:szCs w:val="24"/>
        </w:rPr>
      </w:pPr>
      <w:r w:rsidRPr="00126539">
        <w:rPr>
          <w:rFonts w:ascii="Times New Roman" w:eastAsia="Calibri" w:hAnsi="Times New Roman" w:cs="Times New Roman"/>
          <w:b/>
          <w:sz w:val="24"/>
          <w:szCs w:val="24"/>
        </w:rPr>
        <w:t>3.1 Náklady regulácie</w:t>
      </w:r>
    </w:p>
    <w:p w:rsidR="00126539" w:rsidRPr="00126539" w:rsidRDefault="00126539" w:rsidP="00126539">
      <w:pPr>
        <w:tabs>
          <w:tab w:val="left" w:pos="8025"/>
        </w:tabs>
        <w:rPr>
          <w:rFonts w:ascii="Times New Roman" w:eastAsia="Calibri" w:hAnsi="Times New Roman" w:cs="Times New Roman"/>
          <w:bCs/>
          <w:i/>
          <w:iCs/>
          <w:sz w:val="24"/>
          <w:szCs w:val="24"/>
        </w:rPr>
      </w:pPr>
      <w:r w:rsidRPr="00126539">
        <w:rPr>
          <w:rFonts w:ascii="Times New Roman" w:eastAsia="Calibri" w:hAnsi="Times New Roman" w:cs="Times New Roman"/>
          <w:b/>
          <w:i/>
          <w:iCs/>
          <w:sz w:val="24"/>
          <w:szCs w:val="24"/>
        </w:rPr>
        <w:t xml:space="preserve">3.1.1 Súhrnná tabuľka nákladov regulácie </w:t>
      </w:r>
      <w:r w:rsidRPr="00126539">
        <w:rPr>
          <w:rFonts w:ascii="Times New Roman" w:eastAsia="Calibri" w:hAnsi="Times New Roman" w:cs="Times New Roman"/>
          <w:b/>
          <w:i/>
          <w:iCs/>
          <w:sz w:val="24"/>
          <w:szCs w:val="24"/>
        </w:rPr>
        <w:tab/>
      </w:r>
    </w:p>
    <w:p w:rsidR="00126539" w:rsidRPr="00126539" w:rsidRDefault="00126539" w:rsidP="00126539">
      <w:pPr>
        <w:spacing w:after="0"/>
        <w:jc w:val="both"/>
        <w:rPr>
          <w:rFonts w:ascii="Times New Roman" w:eastAsia="Calibri" w:hAnsi="Times New Roman" w:cs="Times New Roman"/>
          <w:b/>
          <w:sz w:val="24"/>
          <w:szCs w:val="24"/>
        </w:rPr>
      </w:pPr>
    </w:p>
    <w:p w:rsidR="00126539" w:rsidRPr="00126539" w:rsidRDefault="00126539" w:rsidP="00126539">
      <w:pPr>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126539" w:rsidRPr="00126539" w:rsidRDefault="00126539" w:rsidP="00126539">
      <w:pPr>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1" w:history="1">
        <w:r w:rsidRPr="00126539">
          <w:rPr>
            <w:rFonts w:ascii="Times New Roman" w:eastAsia="Calibri" w:hAnsi="Times New Roman" w:cs="Times New Roman"/>
            <w:i/>
            <w:color w:val="0563C1"/>
            <w:sz w:val="24"/>
            <w:szCs w:val="24"/>
            <w:u w:val="single"/>
          </w:rPr>
          <w:t>webovom sídle MH SR</w:t>
        </w:r>
      </w:hyperlink>
      <w:r w:rsidRPr="00126539">
        <w:rPr>
          <w:rFonts w:ascii="Times New Roman" w:eastAsia="Calibri" w:hAnsi="Times New Roman" w:cs="Times New Roman"/>
          <w:i/>
          <w:sz w:val="24"/>
          <w:szCs w:val="24"/>
        </w:rPr>
        <w:t>, (ďalej len „Kalkulačka nákladov“):</w:t>
      </w:r>
    </w:p>
    <w:p w:rsidR="00126539" w:rsidRPr="00126539" w:rsidRDefault="00126539" w:rsidP="00126539">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126539" w:rsidRPr="00126539" w:rsidTr="009B5BD2">
        <w:tc>
          <w:tcPr>
            <w:tcW w:w="3681" w:type="dxa"/>
            <w:vAlign w:val="center"/>
          </w:tcPr>
          <w:p w:rsidR="00126539" w:rsidRPr="00126539" w:rsidRDefault="00126539" w:rsidP="009B5BD2">
            <w:pPr>
              <w:rPr>
                <w:rFonts w:ascii="Times New Roman" w:eastAsia="Calibri" w:hAnsi="Times New Roman" w:cs="Times New Roman"/>
                <w:b/>
                <w:bCs/>
                <w:i/>
                <w:sz w:val="20"/>
                <w:szCs w:val="20"/>
              </w:rPr>
            </w:pPr>
            <w:r w:rsidRPr="00126539">
              <w:rPr>
                <w:rFonts w:ascii="Times New Roman" w:hAnsi="Times New Roman" w:cs="Times New Roman"/>
                <w:b/>
                <w:bCs/>
                <w:i/>
                <w:iCs/>
                <w:color w:val="000000"/>
                <w:sz w:val="20"/>
                <w:szCs w:val="20"/>
              </w:rPr>
              <w:t>TYP NÁKLADOV</w:t>
            </w:r>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i/>
                <w:sz w:val="20"/>
                <w:szCs w:val="20"/>
              </w:rPr>
            </w:pPr>
            <w:r w:rsidRPr="00126539">
              <w:rPr>
                <w:rFonts w:ascii="Times New Roman" w:hAnsi="Times New Roman" w:cs="Times New Roman"/>
                <w:b/>
                <w:bCs/>
                <w:color w:val="000000"/>
                <w:sz w:val="20"/>
                <w:szCs w:val="20"/>
              </w:rPr>
              <w:t>Zvýšenie nákladov v € na PP</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b/>
                <w:bCs/>
                <w:color w:val="000000"/>
                <w:sz w:val="20"/>
                <w:szCs w:val="20"/>
              </w:rPr>
            </w:pPr>
            <w:r w:rsidRPr="00126539">
              <w:rPr>
                <w:rFonts w:ascii="Times New Roman" w:hAnsi="Times New Roman" w:cs="Times New Roman"/>
                <w:b/>
                <w:bCs/>
                <w:color w:val="000000"/>
                <w:sz w:val="20"/>
                <w:szCs w:val="20"/>
              </w:rPr>
              <w:t>Zníženie nákladov v € na PP</w:t>
            </w:r>
          </w:p>
        </w:tc>
      </w:tr>
      <w:tr w:rsidR="00126539" w:rsidRPr="00126539" w:rsidTr="009B5BD2">
        <w:trPr>
          <w:trHeight w:val="227"/>
        </w:trPr>
        <w:tc>
          <w:tcPr>
            <w:tcW w:w="3681" w:type="dxa"/>
            <w:vAlign w:val="center"/>
          </w:tcPr>
          <w:p w:rsidR="00126539" w:rsidRPr="00126539" w:rsidRDefault="00126539" w:rsidP="009B5BD2">
            <w:pPr>
              <w:rPr>
                <w:rFonts w:ascii="Times New Roman" w:eastAsia="Calibri" w:hAnsi="Times New Roman" w:cs="Times New Roman"/>
                <w:i/>
                <w:iCs/>
              </w:rPr>
            </w:pPr>
            <w:proofErr w:type="spellStart"/>
            <w:r w:rsidRPr="00126539">
              <w:rPr>
                <w:rFonts w:ascii="Times New Roman" w:hAnsi="Times New Roman" w:cs="Times New Roman"/>
                <w:b/>
                <w:bCs/>
                <w:i/>
                <w:iCs/>
                <w:color w:val="000000"/>
                <w:sz w:val="20"/>
                <w:szCs w:val="20"/>
              </w:rPr>
              <w:t>A.Dane</w:t>
            </w:r>
            <w:proofErr w:type="spellEnd"/>
            <w:r w:rsidRPr="00126539">
              <w:rPr>
                <w:rFonts w:ascii="Times New Roman" w:hAnsi="Times New Roman" w:cs="Times New Roman"/>
                <w:b/>
                <w:bCs/>
                <w:i/>
                <w:iCs/>
                <w:color w:val="000000"/>
                <w:sz w:val="20"/>
                <w:szCs w:val="20"/>
              </w:rPr>
              <w:t xml:space="preserve">, odvody, clá a poplatky, ktorých cieľom je znižovať negatívne </w:t>
            </w:r>
            <w:proofErr w:type="spellStart"/>
            <w:r w:rsidRPr="00126539">
              <w:rPr>
                <w:rFonts w:ascii="Times New Roman" w:hAnsi="Times New Roman" w:cs="Times New Roman"/>
                <w:b/>
                <w:bCs/>
                <w:i/>
                <w:iCs/>
                <w:color w:val="000000"/>
                <w:sz w:val="20"/>
                <w:szCs w:val="20"/>
              </w:rPr>
              <w:t>externality</w:t>
            </w:r>
            <w:proofErr w:type="spellEnd"/>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i/>
              </w:rPr>
            </w:pPr>
            <w:r w:rsidRPr="00126539">
              <w:rPr>
                <w:rFonts w:ascii="Times New Roman" w:hAnsi="Times New Roman" w:cs="Times New Roman"/>
                <w:b/>
                <w:bCs/>
                <w:color w:val="000000"/>
                <w:sz w:val="20"/>
                <w:szCs w:val="20"/>
              </w:rPr>
              <w:t>0</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i/>
              </w:rPr>
            </w:pPr>
            <w:r w:rsidRPr="00126539">
              <w:rPr>
                <w:rFonts w:ascii="Times New Roman" w:hAnsi="Times New Roman" w:cs="Times New Roman"/>
                <w:b/>
                <w:bCs/>
                <w:color w:val="000000"/>
                <w:sz w:val="20"/>
                <w:szCs w:val="20"/>
              </w:rPr>
              <w:t>0</w:t>
            </w:r>
          </w:p>
        </w:tc>
      </w:tr>
      <w:tr w:rsidR="00126539" w:rsidRPr="00126539" w:rsidTr="009B5BD2">
        <w:tc>
          <w:tcPr>
            <w:tcW w:w="3681" w:type="dxa"/>
            <w:vAlign w:val="center"/>
          </w:tcPr>
          <w:p w:rsidR="00126539" w:rsidRPr="00126539" w:rsidRDefault="00126539" w:rsidP="009B5BD2">
            <w:pPr>
              <w:rPr>
                <w:rFonts w:ascii="Times New Roman" w:eastAsia="Calibri" w:hAnsi="Times New Roman" w:cs="Times New Roman"/>
                <w:i/>
              </w:rPr>
            </w:pPr>
            <w:r w:rsidRPr="00126539">
              <w:rPr>
                <w:rFonts w:ascii="Times New Roman" w:hAnsi="Times New Roman" w:cs="Times New Roman"/>
                <w:b/>
                <w:bCs/>
                <w:i/>
                <w:iCs/>
                <w:color w:val="000000"/>
                <w:sz w:val="20"/>
                <w:szCs w:val="20"/>
              </w:rPr>
              <w:t>B. Iné poplatky</w:t>
            </w:r>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i/>
              </w:rPr>
            </w:pPr>
            <w:r w:rsidRPr="00126539">
              <w:rPr>
                <w:rFonts w:ascii="Times New Roman" w:hAnsi="Times New Roman" w:cs="Times New Roman"/>
                <w:b/>
                <w:bCs/>
                <w:color w:val="000000"/>
                <w:sz w:val="20"/>
                <w:szCs w:val="20"/>
              </w:rPr>
              <w:t>0</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i/>
              </w:rPr>
            </w:pPr>
            <w:r w:rsidRPr="00126539">
              <w:rPr>
                <w:rFonts w:ascii="Times New Roman" w:hAnsi="Times New Roman" w:cs="Times New Roman"/>
                <w:b/>
                <w:bCs/>
                <w:color w:val="000000"/>
                <w:sz w:val="20"/>
                <w:szCs w:val="20"/>
              </w:rPr>
              <w:t>0</w:t>
            </w:r>
          </w:p>
        </w:tc>
      </w:tr>
      <w:tr w:rsidR="00126539" w:rsidRPr="00126539" w:rsidTr="009B5BD2">
        <w:tc>
          <w:tcPr>
            <w:tcW w:w="3681" w:type="dxa"/>
            <w:vAlign w:val="center"/>
          </w:tcPr>
          <w:p w:rsidR="00126539" w:rsidRPr="00126539" w:rsidRDefault="00126539" w:rsidP="009B5BD2">
            <w:pPr>
              <w:rPr>
                <w:rFonts w:ascii="Times New Roman" w:eastAsia="Calibri" w:hAnsi="Times New Roman" w:cs="Times New Roman"/>
                <w:i/>
              </w:rPr>
            </w:pPr>
            <w:r w:rsidRPr="00126539">
              <w:rPr>
                <w:rFonts w:ascii="Times New Roman" w:hAnsi="Times New Roman" w:cs="Times New Roman"/>
                <w:b/>
                <w:bCs/>
                <w:i/>
                <w:iCs/>
                <w:color w:val="000000"/>
                <w:sz w:val="20"/>
                <w:szCs w:val="20"/>
              </w:rPr>
              <w:t>C. Nepriame finančné náklady</w:t>
            </w:r>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i/>
              </w:rPr>
            </w:pPr>
            <w:r w:rsidRPr="00126539">
              <w:rPr>
                <w:rFonts w:ascii="Times New Roman" w:hAnsi="Times New Roman" w:cs="Times New Roman"/>
                <w:b/>
                <w:bCs/>
                <w:color w:val="000000"/>
                <w:sz w:val="20"/>
                <w:szCs w:val="20"/>
              </w:rPr>
              <w:t>0</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i/>
              </w:rPr>
            </w:pPr>
            <w:r w:rsidRPr="00126539">
              <w:rPr>
                <w:rFonts w:ascii="Times New Roman" w:hAnsi="Times New Roman" w:cs="Times New Roman"/>
                <w:b/>
                <w:bCs/>
                <w:color w:val="000000"/>
                <w:sz w:val="20"/>
                <w:szCs w:val="20"/>
              </w:rPr>
              <w:t>0</w:t>
            </w:r>
          </w:p>
        </w:tc>
      </w:tr>
      <w:tr w:rsidR="00126539" w:rsidRPr="00126539" w:rsidTr="009B5BD2">
        <w:tc>
          <w:tcPr>
            <w:tcW w:w="3681" w:type="dxa"/>
            <w:vAlign w:val="center"/>
          </w:tcPr>
          <w:p w:rsidR="00126539" w:rsidRPr="00126539" w:rsidRDefault="00126539" w:rsidP="009B5BD2">
            <w:pPr>
              <w:rPr>
                <w:rFonts w:ascii="Times New Roman" w:eastAsia="Calibri" w:hAnsi="Times New Roman" w:cs="Times New Roman"/>
                <w:i/>
              </w:rPr>
            </w:pPr>
            <w:r w:rsidRPr="00126539">
              <w:rPr>
                <w:rFonts w:ascii="Times New Roman" w:hAnsi="Times New Roman" w:cs="Times New Roman"/>
                <w:b/>
                <w:bCs/>
                <w:i/>
                <w:iCs/>
                <w:color w:val="000000"/>
                <w:sz w:val="20"/>
                <w:szCs w:val="20"/>
              </w:rPr>
              <w:t>D. Administratívne náklady</w:t>
            </w:r>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b/>
                <w:i/>
              </w:rPr>
            </w:pPr>
            <w:r w:rsidRPr="00126539">
              <w:rPr>
                <w:rFonts w:ascii="Times New Roman" w:hAnsi="Times New Roman" w:cs="Times New Roman"/>
                <w:b/>
                <w:bCs/>
                <w:color w:val="000000"/>
                <w:sz w:val="20"/>
                <w:szCs w:val="20"/>
              </w:rPr>
              <w:t>1 484</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b/>
                <w:i/>
              </w:rPr>
            </w:pPr>
            <w:r w:rsidRPr="00126539">
              <w:rPr>
                <w:rFonts w:ascii="Times New Roman" w:hAnsi="Times New Roman" w:cs="Times New Roman"/>
                <w:b/>
                <w:bCs/>
                <w:color w:val="000000"/>
                <w:sz w:val="20"/>
                <w:szCs w:val="20"/>
              </w:rPr>
              <w:t>0</w:t>
            </w:r>
          </w:p>
        </w:tc>
      </w:tr>
      <w:tr w:rsidR="00126539" w:rsidRPr="00126539" w:rsidTr="009B5BD2">
        <w:tc>
          <w:tcPr>
            <w:tcW w:w="3681" w:type="dxa"/>
            <w:vAlign w:val="center"/>
          </w:tcPr>
          <w:p w:rsidR="00126539" w:rsidRPr="00126539" w:rsidRDefault="00126539" w:rsidP="009B5BD2">
            <w:pPr>
              <w:rPr>
                <w:rFonts w:ascii="Times New Roman" w:eastAsia="Calibri" w:hAnsi="Times New Roman" w:cs="Times New Roman"/>
                <w:b/>
                <w:i/>
              </w:rPr>
            </w:pPr>
            <w:r w:rsidRPr="00126539">
              <w:rPr>
                <w:rFonts w:ascii="Times New Roman" w:hAnsi="Times New Roman" w:cs="Times New Roman"/>
                <w:b/>
                <w:bCs/>
                <w:i/>
                <w:iCs/>
                <w:color w:val="000000"/>
                <w:sz w:val="20"/>
                <w:szCs w:val="20"/>
              </w:rPr>
              <w:t>Spolu = A+B+C+D</w:t>
            </w:r>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b/>
                <w:i/>
              </w:rPr>
            </w:pPr>
            <w:r w:rsidRPr="00126539">
              <w:rPr>
                <w:rFonts w:ascii="Times New Roman" w:hAnsi="Times New Roman" w:cs="Times New Roman"/>
                <w:b/>
                <w:bCs/>
                <w:color w:val="000000"/>
                <w:sz w:val="20"/>
                <w:szCs w:val="20"/>
              </w:rPr>
              <w:t>1 484</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b/>
                <w:i/>
              </w:rPr>
            </w:pPr>
            <w:r w:rsidRPr="00126539">
              <w:rPr>
                <w:rFonts w:ascii="Times New Roman" w:hAnsi="Times New Roman" w:cs="Times New Roman"/>
                <w:b/>
                <w:bCs/>
                <w:color w:val="000000"/>
                <w:sz w:val="20"/>
                <w:szCs w:val="20"/>
              </w:rPr>
              <w:t>0</w:t>
            </w:r>
          </w:p>
        </w:tc>
      </w:tr>
      <w:tr w:rsidR="00126539" w:rsidRPr="00126539" w:rsidTr="009B5BD2">
        <w:tc>
          <w:tcPr>
            <w:tcW w:w="3681" w:type="dxa"/>
            <w:vAlign w:val="center"/>
          </w:tcPr>
          <w:p w:rsidR="00126539" w:rsidRPr="00126539" w:rsidRDefault="00126539" w:rsidP="009B5BD2">
            <w:pPr>
              <w:rPr>
                <w:rFonts w:ascii="Times New Roman" w:eastAsia="Calibri" w:hAnsi="Times New Roman" w:cs="Times New Roman"/>
                <w:b/>
                <w:i/>
              </w:rPr>
            </w:pPr>
            <w:r w:rsidRPr="00126539">
              <w:rPr>
                <w:rFonts w:ascii="Times New Roman" w:hAnsi="Times New Roman" w:cs="Times New Roman"/>
                <w:b/>
                <w:bCs/>
                <w:i/>
                <w:iCs/>
                <w:color w:val="000000"/>
                <w:sz w:val="20"/>
                <w:szCs w:val="20"/>
              </w:rPr>
              <w:t xml:space="preserve"> Z toho</w:t>
            </w:r>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i/>
              </w:rPr>
            </w:pPr>
            <w:r w:rsidRPr="00126539">
              <w:rPr>
                <w:rFonts w:ascii="Times New Roman" w:hAnsi="Times New Roman" w:cs="Times New Roman"/>
                <w:b/>
                <w:bCs/>
                <w:color w:val="000000"/>
                <w:sz w:val="20"/>
                <w:szCs w:val="20"/>
              </w:rPr>
              <w:t> </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i/>
              </w:rPr>
            </w:pPr>
            <w:r w:rsidRPr="00126539">
              <w:rPr>
                <w:rFonts w:ascii="Times New Roman" w:hAnsi="Times New Roman" w:cs="Times New Roman"/>
                <w:b/>
                <w:bCs/>
                <w:color w:val="000000"/>
                <w:sz w:val="20"/>
                <w:szCs w:val="20"/>
              </w:rPr>
              <w:t> </w:t>
            </w:r>
          </w:p>
        </w:tc>
      </w:tr>
      <w:tr w:rsidR="00126539" w:rsidRPr="00126539" w:rsidTr="009B5BD2">
        <w:tc>
          <w:tcPr>
            <w:tcW w:w="3681" w:type="dxa"/>
            <w:vAlign w:val="center"/>
          </w:tcPr>
          <w:p w:rsidR="00126539" w:rsidRPr="00126539" w:rsidRDefault="00126539" w:rsidP="009B5BD2">
            <w:pPr>
              <w:rPr>
                <w:rFonts w:ascii="Times New Roman" w:eastAsia="Calibri" w:hAnsi="Times New Roman" w:cs="Times New Roman"/>
                <w:i/>
              </w:rPr>
            </w:pPr>
            <w:r w:rsidRPr="00126539">
              <w:rPr>
                <w:rFonts w:ascii="Times New Roman" w:hAnsi="Times New Roman" w:cs="Times New Roman"/>
                <w:b/>
                <w:bCs/>
                <w:i/>
                <w:iCs/>
                <w:color w:val="000000"/>
                <w:sz w:val="20"/>
                <w:szCs w:val="20"/>
              </w:rPr>
              <w:t xml:space="preserve">E. Vplyv na </w:t>
            </w:r>
            <w:proofErr w:type="spellStart"/>
            <w:r w:rsidRPr="00126539">
              <w:rPr>
                <w:rFonts w:ascii="Times New Roman" w:hAnsi="Times New Roman" w:cs="Times New Roman"/>
                <w:b/>
                <w:bCs/>
                <w:i/>
                <w:iCs/>
                <w:color w:val="000000"/>
                <w:sz w:val="20"/>
                <w:szCs w:val="20"/>
              </w:rPr>
              <w:t>mikro</w:t>
            </w:r>
            <w:proofErr w:type="spellEnd"/>
            <w:r w:rsidRPr="00126539">
              <w:rPr>
                <w:rFonts w:ascii="Times New Roman" w:hAnsi="Times New Roman" w:cs="Times New Roman"/>
                <w:b/>
                <w:bCs/>
                <w:i/>
                <w:iCs/>
                <w:color w:val="000000"/>
                <w:sz w:val="20"/>
                <w:szCs w:val="20"/>
              </w:rPr>
              <w:t xml:space="preserve">, malé a stredné </w:t>
            </w:r>
            <w:proofErr w:type="spellStart"/>
            <w:r w:rsidRPr="00126539">
              <w:rPr>
                <w:rFonts w:ascii="Times New Roman" w:hAnsi="Times New Roman" w:cs="Times New Roman"/>
                <w:b/>
                <w:bCs/>
                <w:i/>
                <w:iCs/>
                <w:color w:val="000000"/>
                <w:sz w:val="20"/>
                <w:szCs w:val="20"/>
              </w:rPr>
              <w:t>podn</w:t>
            </w:r>
            <w:proofErr w:type="spellEnd"/>
            <w:r w:rsidRPr="00126539">
              <w:rPr>
                <w:rFonts w:ascii="Times New Roman" w:hAnsi="Times New Roman" w:cs="Times New Roman"/>
                <w:b/>
                <w:bCs/>
                <w:i/>
                <w:iCs/>
                <w:color w:val="000000"/>
                <w:sz w:val="20"/>
                <w:szCs w:val="20"/>
              </w:rPr>
              <w:t>.</w:t>
            </w:r>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i/>
              </w:rPr>
            </w:pPr>
            <w:r w:rsidRPr="00126539">
              <w:rPr>
                <w:rFonts w:ascii="Times New Roman" w:hAnsi="Times New Roman" w:cs="Times New Roman"/>
                <w:b/>
                <w:bCs/>
                <w:color w:val="000000"/>
                <w:sz w:val="20"/>
                <w:szCs w:val="20"/>
              </w:rPr>
              <w:t>0</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i/>
              </w:rPr>
            </w:pPr>
            <w:r w:rsidRPr="00126539">
              <w:rPr>
                <w:rFonts w:ascii="Times New Roman" w:hAnsi="Times New Roman" w:cs="Times New Roman"/>
                <w:b/>
                <w:bCs/>
                <w:color w:val="000000"/>
                <w:sz w:val="20"/>
                <w:szCs w:val="20"/>
              </w:rPr>
              <w:t>0</w:t>
            </w:r>
          </w:p>
        </w:tc>
      </w:tr>
      <w:tr w:rsidR="00126539" w:rsidRPr="00126539" w:rsidTr="009B5BD2">
        <w:tc>
          <w:tcPr>
            <w:tcW w:w="3681" w:type="dxa"/>
            <w:vAlign w:val="center"/>
          </w:tcPr>
          <w:p w:rsidR="00126539" w:rsidRPr="00126539" w:rsidRDefault="00126539" w:rsidP="009B5BD2">
            <w:pPr>
              <w:rPr>
                <w:rFonts w:ascii="Times New Roman" w:eastAsia="Calibri" w:hAnsi="Times New Roman" w:cs="Times New Roman"/>
                <w:i/>
              </w:rPr>
            </w:pPr>
            <w:r w:rsidRPr="00126539">
              <w:rPr>
                <w:rFonts w:ascii="Times New Roman" w:hAnsi="Times New Roman" w:cs="Times New Roman"/>
                <w:b/>
                <w:bCs/>
                <w:i/>
                <w:iCs/>
                <w:color w:val="000000"/>
                <w:sz w:val="20"/>
                <w:szCs w:val="20"/>
              </w:rPr>
              <w:t>F. Úplná harmonizácia práva EÚ</w:t>
            </w:r>
            <w:r w:rsidRPr="00126539">
              <w:rPr>
                <w:rFonts w:ascii="Times New Roman" w:hAnsi="Times New Roman" w:cs="Times New Roman"/>
                <w:b/>
                <w:bCs/>
                <w:i/>
                <w:iCs/>
                <w:color w:val="000000"/>
                <w:sz w:val="20"/>
                <w:szCs w:val="20"/>
              </w:rPr>
              <w:br/>
            </w:r>
            <w:r w:rsidRPr="00126539">
              <w:rPr>
                <w:rFonts w:ascii="Times New Roman" w:hAnsi="Times New Roman" w:cs="Times New Roman"/>
                <w:i/>
                <w:iCs/>
                <w:color w:val="000000"/>
                <w:sz w:val="16"/>
                <w:szCs w:val="16"/>
              </w:rPr>
              <w:t xml:space="preserve">(okrem daní, odvodov, ciel a poplatkov, ktorých cieľom je znižovať negatívne </w:t>
            </w:r>
            <w:proofErr w:type="spellStart"/>
            <w:r w:rsidRPr="00126539">
              <w:rPr>
                <w:rFonts w:ascii="Times New Roman" w:hAnsi="Times New Roman" w:cs="Times New Roman"/>
                <w:i/>
                <w:iCs/>
                <w:color w:val="000000"/>
                <w:sz w:val="16"/>
                <w:szCs w:val="16"/>
              </w:rPr>
              <w:t>externality</w:t>
            </w:r>
            <w:proofErr w:type="spellEnd"/>
            <w:r w:rsidRPr="00126539">
              <w:rPr>
                <w:rFonts w:ascii="Times New Roman" w:hAnsi="Times New Roman" w:cs="Times New Roman"/>
                <w:i/>
                <w:iCs/>
                <w:color w:val="000000"/>
                <w:sz w:val="16"/>
                <w:szCs w:val="16"/>
              </w:rPr>
              <w:t>)</w:t>
            </w:r>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b/>
                <w:i/>
              </w:rPr>
            </w:pPr>
            <w:r w:rsidRPr="00126539">
              <w:rPr>
                <w:rFonts w:ascii="Times New Roman" w:hAnsi="Times New Roman" w:cs="Times New Roman"/>
                <w:b/>
                <w:bCs/>
                <w:color w:val="000000"/>
                <w:sz w:val="20"/>
                <w:szCs w:val="20"/>
              </w:rPr>
              <w:t>1 484</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b/>
                <w:i/>
              </w:rPr>
            </w:pPr>
            <w:r w:rsidRPr="00126539">
              <w:rPr>
                <w:rFonts w:ascii="Times New Roman" w:hAnsi="Times New Roman" w:cs="Times New Roman"/>
                <w:b/>
                <w:bCs/>
                <w:color w:val="000000"/>
                <w:sz w:val="20"/>
                <w:szCs w:val="20"/>
              </w:rPr>
              <w:t>0</w:t>
            </w:r>
          </w:p>
        </w:tc>
      </w:tr>
      <w:tr w:rsidR="00126539" w:rsidRPr="00126539" w:rsidTr="009B5BD2">
        <w:tc>
          <w:tcPr>
            <w:tcW w:w="9067" w:type="dxa"/>
            <w:gridSpan w:val="3"/>
            <w:shd w:val="clear" w:color="auto" w:fill="auto"/>
          </w:tcPr>
          <w:p w:rsidR="00126539" w:rsidRPr="00126539" w:rsidRDefault="00126539" w:rsidP="009B5BD2">
            <w:pPr>
              <w:jc w:val="center"/>
              <w:rPr>
                <w:rFonts w:ascii="Times New Roman" w:eastAsia="Calibri" w:hAnsi="Times New Roman" w:cs="Times New Roman"/>
                <w:b/>
                <w:bCs/>
                <w:i/>
                <w:sz w:val="20"/>
                <w:szCs w:val="20"/>
              </w:rPr>
            </w:pPr>
          </w:p>
        </w:tc>
      </w:tr>
      <w:tr w:rsidR="00126539" w:rsidRPr="00126539" w:rsidTr="009B5BD2">
        <w:tc>
          <w:tcPr>
            <w:tcW w:w="3681" w:type="dxa"/>
            <w:vAlign w:val="center"/>
          </w:tcPr>
          <w:p w:rsidR="00126539" w:rsidRPr="00126539" w:rsidRDefault="00126539" w:rsidP="009B5BD2">
            <w:pPr>
              <w:rPr>
                <w:rFonts w:ascii="Times New Roman" w:eastAsia="Calibri" w:hAnsi="Times New Roman" w:cs="Times New Roman"/>
                <w:b/>
                <w:i/>
                <w:sz w:val="20"/>
                <w:szCs w:val="20"/>
              </w:rPr>
            </w:pPr>
            <w:r w:rsidRPr="00126539">
              <w:rPr>
                <w:rFonts w:ascii="Times New Roman" w:hAnsi="Times New Roman" w:cs="Times New Roman"/>
                <w:i/>
                <w:iCs/>
                <w:color w:val="000000"/>
                <w:sz w:val="20"/>
                <w:szCs w:val="20"/>
              </w:rPr>
              <w:t>VÝPOČET PRAVIDLA 1in2out:</w:t>
            </w:r>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b/>
                <w:bCs/>
                <w:i/>
                <w:sz w:val="20"/>
                <w:szCs w:val="20"/>
              </w:rPr>
            </w:pPr>
            <w:r w:rsidRPr="00126539">
              <w:rPr>
                <w:rFonts w:ascii="Times New Roman" w:hAnsi="Times New Roman" w:cs="Times New Roman"/>
                <w:color w:val="000000"/>
                <w:sz w:val="20"/>
                <w:szCs w:val="20"/>
              </w:rPr>
              <w:t>IN</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b/>
                <w:bCs/>
                <w:i/>
                <w:sz w:val="20"/>
                <w:szCs w:val="20"/>
              </w:rPr>
            </w:pPr>
            <w:r w:rsidRPr="00126539">
              <w:rPr>
                <w:rFonts w:ascii="Times New Roman" w:hAnsi="Times New Roman" w:cs="Times New Roman"/>
                <w:color w:val="000000"/>
                <w:sz w:val="20"/>
                <w:szCs w:val="20"/>
              </w:rPr>
              <w:t>OUT</w:t>
            </w:r>
          </w:p>
        </w:tc>
      </w:tr>
      <w:tr w:rsidR="00126539" w:rsidRPr="00126539" w:rsidTr="009B5BD2">
        <w:tc>
          <w:tcPr>
            <w:tcW w:w="3681" w:type="dxa"/>
            <w:vAlign w:val="center"/>
          </w:tcPr>
          <w:p w:rsidR="00126539" w:rsidRPr="00126539" w:rsidRDefault="00126539" w:rsidP="009B5BD2">
            <w:pPr>
              <w:rPr>
                <w:rFonts w:ascii="Times New Roman" w:eastAsia="Calibri" w:hAnsi="Times New Roman" w:cs="Times New Roman"/>
                <w:b/>
                <w:i/>
                <w:sz w:val="20"/>
                <w:szCs w:val="20"/>
              </w:rPr>
            </w:pPr>
            <w:r w:rsidRPr="00126539">
              <w:rPr>
                <w:rFonts w:ascii="Times New Roman" w:hAnsi="Times New Roman" w:cs="Times New Roman"/>
                <w:i/>
                <w:iCs/>
                <w:color w:val="000000"/>
                <w:sz w:val="20"/>
                <w:szCs w:val="20"/>
              </w:rPr>
              <w:t>G. Náklady okrem výnimiek = B+C+D-F</w:t>
            </w:r>
          </w:p>
        </w:tc>
        <w:tc>
          <w:tcPr>
            <w:tcW w:w="2693" w:type="dxa"/>
            <w:shd w:val="clear" w:color="auto" w:fill="FFC000"/>
            <w:vAlign w:val="center"/>
          </w:tcPr>
          <w:p w:rsidR="00126539" w:rsidRPr="00126539" w:rsidRDefault="00126539" w:rsidP="009B5BD2">
            <w:pPr>
              <w:jc w:val="center"/>
              <w:rPr>
                <w:rFonts w:ascii="Times New Roman" w:eastAsia="Calibri" w:hAnsi="Times New Roman" w:cs="Times New Roman"/>
                <w:bCs/>
                <w:i/>
                <w:sz w:val="20"/>
                <w:szCs w:val="20"/>
              </w:rPr>
            </w:pPr>
            <w:r w:rsidRPr="00126539">
              <w:rPr>
                <w:rFonts w:ascii="Times New Roman" w:hAnsi="Times New Roman" w:cs="Times New Roman"/>
                <w:b/>
                <w:bCs/>
                <w:color w:val="000000"/>
                <w:sz w:val="20"/>
                <w:szCs w:val="20"/>
              </w:rPr>
              <w:t>0</w:t>
            </w:r>
          </w:p>
        </w:tc>
        <w:tc>
          <w:tcPr>
            <w:tcW w:w="2693" w:type="dxa"/>
            <w:shd w:val="clear" w:color="auto" w:fill="92D050"/>
            <w:vAlign w:val="center"/>
          </w:tcPr>
          <w:p w:rsidR="00126539" w:rsidRPr="00126539" w:rsidRDefault="00126539" w:rsidP="009B5BD2">
            <w:pPr>
              <w:jc w:val="center"/>
              <w:rPr>
                <w:rFonts w:ascii="Times New Roman" w:eastAsia="Calibri" w:hAnsi="Times New Roman" w:cs="Times New Roman"/>
                <w:bCs/>
                <w:i/>
                <w:sz w:val="20"/>
                <w:szCs w:val="20"/>
              </w:rPr>
            </w:pPr>
            <w:r w:rsidRPr="00126539">
              <w:rPr>
                <w:rFonts w:ascii="Times New Roman" w:hAnsi="Times New Roman" w:cs="Times New Roman"/>
                <w:b/>
                <w:bCs/>
                <w:color w:val="000000"/>
                <w:sz w:val="20"/>
                <w:szCs w:val="20"/>
              </w:rPr>
              <w:t>0</w:t>
            </w:r>
          </w:p>
        </w:tc>
      </w:tr>
    </w:tbl>
    <w:p w:rsidR="00126539" w:rsidRPr="00126539" w:rsidRDefault="00126539" w:rsidP="00126539">
      <w:pPr>
        <w:spacing w:after="0"/>
        <w:rPr>
          <w:rFonts w:ascii="Times New Roman" w:eastAsia="Calibri" w:hAnsi="Times New Roman" w:cs="Times New Roman"/>
          <w:i/>
        </w:rPr>
      </w:pPr>
    </w:p>
    <w:p w:rsidR="00126539" w:rsidRPr="00126539" w:rsidRDefault="00126539" w:rsidP="00126539">
      <w:pPr>
        <w:rPr>
          <w:rFonts w:ascii="Times New Roman" w:eastAsia="Calibri" w:hAnsi="Times New Roman" w:cs="Times New Roman"/>
          <w:b/>
          <w:sz w:val="24"/>
          <w:szCs w:val="24"/>
        </w:rPr>
      </w:pPr>
    </w:p>
    <w:p w:rsidR="00126539" w:rsidRPr="00126539" w:rsidRDefault="00126539" w:rsidP="00126539">
      <w:pPr>
        <w:rPr>
          <w:rFonts w:ascii="Times New Roman" w:eastAsia="Calibri" w:hAnsi="Times New Roman" w:cs="Times New Roman"/>
          <w:b/>
          <w:sz w:val="24"/>
          <w:szCs w:val="24"/>
        </w:rPr>
        <w:sectPr w:rsidR="00126539" w:rsidRPr="00126539" w:rsidSect="00142154">
          <w:footerReference w:type="default" r:id="rId12"/>
          <w:pgSz w:w="11906" w:h="16838"/>
          <w:pgMar w:top="993" w:right="1417" w:bottom="1417" w:left="1417" w:header="708" w:footer="708" w:gutter="0"/>
          <w:pgNumType w:start="1"/>
          <w:cols w:space="708"/>
          <w:docGrid w:linePitch="360"/>
        </w:sectPr>
      </w:pPr>
    </w:p>
    <w:p w:rsidR="00126539" w:rsidRPr="00126539" w:rsidRDefault="00126539" w:rsidP="00126539">
      <w:pPr>
        <w:rPr>
          <w:rFonts w:ascii="Times New Roman" w:eastAsia="Calibri" w:hAnsi="Times New Roman" w:cs="Times New Roman"/>
          <w:b/>
          <w:i/>
          <w:iCs/>
          <w:sz w:val="24"/>
          <w:szCs w:val="24"/>
        </w:rPr>
      </w:pPr>
      <w:r w:rsidRPr="00126539">
        <w:rPr>
          <w:rFonts w:ascii="Times New Roman" w:eastAsia="Calibri" w:hAnsi="Times New Roman" w:cs="Times New Roman"/>
          <w:b/>
          <w:i/>
          <w:iCs/>
          <w:sz w:val="24"/>
          <w:szCs w:val="24"/>
        </w:rPr>
        <w:lastRenderedPageBreak/>
        <w:t>3.1.2 Výpočty vplyvov jednotlivých regulácií na zmeny v nákladoch podnikateľov</w:t>
      </w:r>
      <w:r w:rsidRPr="00126539">
        <w:rPr>
          <w:rFonts w:ascii="Times New Roman" w:eastAsia="Calibri" w:hAnsi="Times New Roman" w:cs="Times New Roman"/>
          <w:i/>
          <w:sz w:val="24"/>
          <w:szCs w:val="24"/>
        </w:rPr>
        <w:tab/>
      </w:r>
      <w:r w:rsidRPr="00126539">
        <w:rPr>
          <w:rFonts w:ascii="Times New Roman" w:eastAsia="Calibri" w:hAnsi="Times New Roman" w:cs="Times New Roman"/>
          <w:i/>
          <w:sz w:val="24"/>
          <w:szCs w:val="24"/>
        </w:rPr>
        <w:tab/>
      </w:r>
      <w:r w:rsidRPr="00126539">
        <w:rPr>
          <w:rFonts w:ascii="Times New Roman" w:eastAsia="Calibri" w:hAnsi="Times New Roman" w:cs="Times New Roman"/>
          <w:i/>
          <w:sz w:val="24"/>
          <w:szCs w:val="24"/>
        </w:rPr>
        <w:tab/>
      </w:r>
      <w:r w:rsidRPr="00126539">
        <w:rPr>
          <w:rFonts w:ascii="Times New Roman" w:eastAsia="Calibri" w:hAnsi="Times New Roman" w:cs="Times New Roman"/>
          <w:i/>
          <w:sz w:val="24"/>
          <w:szCs w:val="24"/>
        </w:rPr>
        <w:tab/>
      </w:r>
      <w:r w:rsidRPr="00126539">
        <w:rPr>
          <w:rFonts w:ascii="Times New Roman" w:eastAsia="Calibri" w:hAnsi="Times New Roman" w:cs="Times New Roman"/>
          <w:i/>
          <w:sz w:val="24"/>
          <w:szCs w:val="24"/>
        </w:rPr>
        <w:tab/>
      </w:r>
      <w:r w:rsidRPr="00126539">
        <w:rPr>
          <w:rFonts w:ascii="Times New Roman" w:eastAsia="Calibri" w:hAnsi="Times New Roman" w:cs="Times New Roman"/>
          <w:i/>
          <w:sz w:val="24"/>
          <w:szCs w:val="24"/>
        </w:rPr>
        <w:tab/>
      </w:r>
      <w:r w:rsidRPr="00126539">
        <w:rPr>
          <w:rFonts w:ascii="Times New Roman" w:eastAsia="Calibri" w:hAnsi="Times New Roman" w:cs="Times New Roman"/>
          <w:i/>
          <w:sz w:val="24"/>
          <w:szCs w:val="24"/>
        </w:rPr>
        <w:tab/>
      </w:r>
      <w:r w:rsidRPr="00126539">
        <w:rPr>
          <w:rFonts w:ascii="Times New Roman" w:eastAsia="Calibri" w:hAnsi="Times New Roman" w:cs="Times New Roman"/>
          <w:i/>
          <w:sz w:val="24"/>
          <w:szCs w:val="24"/>
        </w:rPr>
        <w:tab/>
      </w:r>
    </w:p>
    <w:p w:rsidR="00126539" w:rsidRPr="00126539" w:rsidRDefault="00126539" w:rsidP="00126539">
      <w:pPr>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3422"/>
        <w:gridCol w:w="1032"/>
        <w:gridCol w:w="1129"/>
        <w:gridCol w:w="1433"/>
        <w:gridCol w:w="980"/>
        <w:gridCol w:w="1323"/>
        <w:gridCol w:w="974"/>
        <w:gridCol w:w="974"/>
        <w:gridCol w:w="982"/>
        <w:gridCol w:w="992"/>
        <w:gridCol w:w="1123"/>
      </w:tblGrid>
      <w:tr w:rsidR="00126539" w:rsidRPr="00126539" w:rsidTr="009B5BD2">
        <w:trPr>
          <w:trHeight w:val="1885"/>
        </w:trPr>
        <w:tc>
          <w:tcPr>
            <w:tcW w:w="497" w:type="dxa"/>
            <w:shd w:val="clear" w:color="auto" w:fill="BFBFBF"/>
            <w:vAlign w:val="center"/>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126539">
              <w:rPr>
                <w:rFonts w:ascii="Times New Roman" w:eastAsia="Times New Roman" w:hAnsi="Times New Roman" w:cs="Times New Roman"/>
                <w:b/>
                <w:bCs/>
                <w:color w:val="000000"/>
                <w:sz w:val="20"/>
                <w:szCs w:val="20"/>
                <w:lang w:eastAsia="sk-SK"/>
              </w:rPr>
              <w:t>P.č</w:t>
            </w:r>
            <w:proofErr w:type="spellEnd"/>
            <w:r w:rsidRPr="00126539">
              <w:rPr>
                <w:rFonts w:ascii="Times New Roman" w:eastAsia="Times New Roman" w:hAnsi="Times New Roman" w:cs="Times New Roman"/>
                <w:b/>
                <w:bCs/>
                <w:color w:val="000000"/>
                <w:sz w:val="20"/>
                <w:szCs w:val="20"/>
                <w:lang w:eastAsia="sk-SK"/>
              </w:rPr>
              <w:t>.</w:t>
            </w:r>
          </w:p>
        </w:tc>
        <w:tc>
          <w:tcPr>
            <w:tcW w:w="3422" w:type="dxa"/>
            <w:shd w:val="clear" w:color="auto" w:fill="BFBFBF"/>
            <w:vAlign w:val="center"/>
            <w:hideMark/>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32" w:type="dxa"/>
            <w:shd w:val="clear" w:color="auto" w:fill="BFBFBF"/>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p>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Číslo normy</w:t>
            </w:r>
          </w:p>
          <w:p w:rsidR="00126539" w:rsidRPr="00126539" w:rsidRDefault="00126539" w:rsidP="009B5BD2">
            <w:pPr>
              <w:spacing w:after="0" w:line="240" w:lineRule="auto"/>
              <w:jc w:val="center"/>
              <w:rPr>
                <w:rFonts w:ascii="Times New Roman" w:eastAsia="Times New Roman" w:hAnsi="Times New Roman" w:cs="Times New Roman"/>
                <w:bCs/>
                <w:color w:val="000000"/>
                <w:sz w:val="20"/>
                <w:szCs w:val="20"/>
                <w:lang w:eastAsia="sk-SK"/>
              </w:rPr>
            </w:pPr>
            <w:r w:rsidRPr="00126539">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 xml:space="preserve">Lokalizácia </w:t>
            </w:r>
            <w:r w:rsidRPr="00126539">
              <w:rPr>
                <w:rFonts w:ascii="Times New Roman" w:eastAsia="Times New Roman" w:hAnsi="Times New Roman" w:cs="Times New Roman"/>
                <w:bCs/>
                <w:color w:val="000000"/>
                <w:sz w:val="20"/>
                <w:szCs w:val="20"/>
                <w:lang w:eastAsia="sk-SK"/>
              </w:rPr>
              <w:t>(§, ods.)</w:t>
            </w:r>
          </w:p>
        </w:tc>
        <w:tc>
          <w:tcPr>
            <w:tcW w:w="1433" w:type="dxa"/>
            <w:shd w:val="clear" w:color="auto" w:fill="BFBFBF"/>
            <w:vAlign w:val="center"/>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Pôvod regulácie:</w:t>
            </w:r>
          </w:p>
          <w:p w:rsidR="00126539" w:rsidRPr="00126539" w:rsidRDefault="00126539" w:rsidP="009B5BD2">
            <w:pPr>
              <w:spacing w:after="0" w:line="240" w:lineRule="auto"/>
              <w:jc w:val="center"/>
              <w:rPr>
                <w:rFonts w:ascii="Times New Roman" w:eastAsia="Times New Roman" w:hAnsi="Times New Roman" w:cs="Times New Roman"/>
                <w:color w:val="000000"/>
                <w:sz w:val="20"/>
                <w:szCs w:val="20"/>
                <w:lang w:eastAsia="sk-SK"/>
              </w:rPr>
            </w:pPr>
            <w:r w:rsidRPr="00126539">
              <w:rPr>
                <w:rFonts w:ascii="Times New Roman" w:eastAsia="Times New Roman" w:hAnsi="Times New Roman" w:cs="Times New Roman"/>
                <w:color w:val="000000"/>
                <w:sz w:val="20"/>
                <w:szCs w:val="20"/>
                <w:lang w:eastAsia="sk-SK"/>
              </w:rPr>
              <w:t xml:space="preserve">SK/EÚ úplná </w:t>
            </w:r>
            <w:proofErr w:type="spellStart"/>
            <w:r w:rsidRPr="00126539">
              <w:rPr>
                <w:rFonts w:ascii="Times New Roman" w:eastAsia="Times New Roman" w:hAnsi="Times New Roman" w:cs="Times New Roman"/>
                <w:color w:val="000000"/>
                <w:sz w:val="20"/>
                <w:szCs w:val="20"/>
                <w:lang w:eastAsia="sk-SK"/>
              </w:rPr>
              <w:t>harm</w:t>
            </w:r>
            <w:proofErr w:type="spellEnd"/>
            <w:r w:rsidRPr="00126539">
              <w:rPr>
                <w:rFonts w:ascii="Times New Roman" w:eastAsia="Times New Roman" w:hAnsi="Times New Roman" w:cs="Times New Roman"/>
                <w:color w:val="000000"/>
                <w:sz w:val="20"/>
                <w:szCs w:val="20"/>
                <w:lang w:eastAsia="sk-SK"/>
              </w:rPr>
              <w:t xml:space="preserve">./EÚ </w:t>
            </w:r>
            <w:proofErr w:type="spellStart"/>
            <w:r w:rsidRPr="00126539">
              <w:rPr>
                <w:rFonts w:ascii="Times New Roman" w:eastAsia="Times New Roman" w:hAnsi="Times New Roman" w:cs="Times New Roman"/>
                <w:color w:val="000000"/>
                <w:sz w:val="20"/>
                <w:szCs w:val="20"/>
                <w:lang w:eastAsia="sk-SK"/>
              </w:rPr>
              <w:t>harm</w:t>
            </w:r>
            <w:proofErr w:type="spellEnd"/>
            <w:r w:rsidRPr="00126539">
              <w:rPr>
                <w:rFonts w:ascii="Times New Roman" w:eastAsia="Times New Roman" w:hAnsi="Times New Roman" w:cs="Times New Roman"/>
                <w:color w:val="000000"/>
                <w:sz w:val="20"/>
                <w:szCs w:val="20"/>
                <w:lang w:eastAsia="sk-SK"/>
              </w:rPr>
              <w:t>. s možnosťou voľby</w:t>
            </w:r>
          </w:p>
        </w:tc>
        <w:tc>
          <w:tcPr>
            <w:tcW w:w="980" w:type="dxa"/>
            <w:shd w:val="clear" w:color="auto" w:fill="BFBFBF"/>
            <w:vAlign w:val="center"/>
            <w:hideMark/>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Účinnosť</w:t>
            </w:r>
          </w:p>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regulácie</w:t>
            </w:r>
          </w:p>
          <w:p w:rsidR="00126539" w:rsidRPr="00126539" w:rsidRDefault="00126539" w:rsidP="009B5BD2">
            <w:pPr>
              <w:spacing w:after="0" w:line="240" w:lineRule="auto"/>
              <w:jc w:val="center"/>
              <w:rPr>
                <w:rFonts w:ascii="Times New Roman" w:eastAsia="Times New Roman" w:hAnsi="Times New Roman" w:cs="Times New Roman"/>
                <w:bCs/>
                <w:color w:val="000000"/>
                <w:sz w:val="20"/>
                <w:szCs w:val="20"/>
                <w:lang w:eastAsia="sk-SK"/>
              </w:rPr>
            </w:pPr>
          </w:p>
        </w:tc>
        <w:tc>
          <w:tcPr>
            <w:tcW w:w="1323" w:type="dxa"/>
            <w:shd w:val="clear" w:color="auto" w:fill="BFBFBF"/>
            <w:vAlign w:val="center"/>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 xml:space="preserve">Kategória </w:t>
            </w:r>
            <w:proofErr w:type="spellStart"/>
            <w:r w:rsidRPr="00126539">
              <w:rPr>
                <w:rFonts w:ascii="Times New Roman" w:eastAsia="Times New Roman" w:hAnsi="Times New Roman" w:cs="Times New Roman"/>
                <w:b/>
                <w:bCs/>
                <w:color w:val="000000"/>
                <w:sz w:val="20"/>
                <w:szCs w:val="20"/>
                <w:lang w:eastAsia="sk-SK"/>
              </w:rPr>
              <w:t>dotk</w:t>
            </w:r>
            <w:proofErr w:type="spellEnd"/>
            <w:r w:rsidRPr="00126539">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Počet  subjektov v </w:t>
            </w:r>
            <w:proofErr w:type="spellStart"/>
            <w:r w:rsidRPr="00126539">
              <w:rPr>
                <w:rFonts w:ascii="Times New Roman" w:eastAsia="Times New Roman" w:hAnsi="Times New Roman" w:cs="Times New Roman"/>
                <w:b/>
                <w:bCs/>
                <w:color w:val="000000"/>
                <w:sz w:val="20"/>
                <w:szCs w:val="20"/>
                <w:lang w:eastAsia="sk-SK"/>
              </w:rPr>
              <w:t>dotk</w:t>
            </w:r>
            <w:proofErr w:type="spellEnd"/>
            <w:r w:rsidRPr="00126539">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Počet subjektov MSP v </w:t>
            </w:r>
            <w:proofErr w:type="spellStart"/>
            <w:r w:rsidRPr="00126539">
              <w:rPr>
                <w:rFonts w:ascii="Times New Roman" w:eastAsia="Times New Roman" w:hAnsi="Times New Roman" w:cs="Times New Roman"/>
                <w:b/>
                <w:bCs/>
                <w:color w:val="000000"/>
                <w:sz w:val="20"/>
                <w:szCs w:val="20"/>
                <w:lang w:eastAsia="sk-SK"/>
              </w:rPr>
              <w:t>dotk</w:t>
            </w:r>
            <w:proofErr w:type="spellEnd"/>
            <w:r w:rsidRPr="00126539">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 xml:space="preserve">Vplyv na kategóriu </w:t>
            </w:r>
            <w:proofErr w:type="spellStart"/>
            <w:r w:rsidRPr="00126539">
              <w:rPr>
                <w:rFonts w:ascii="Times New Roman" w:eastAsia="Times New Roman" w:hAnsi="Times New Roman" w:cs="Times New Roman"/>
                <w:b/>
                <w:bCs/>
                <w:color w:val="000000"/>
                <w:sz w:val="20"/>
                <w:szCs w:val="20"/>
                <w:lang w:eastAsia="sk-SK"/>
              </w:rPr>
              <w:t>dotk</w:t>
            </w:r>
            <w:proofErr w:type="spellEnd"/>
            <w:r w:rsidRPr="00126539">
              <w:rPr>
                <w:rFonts w:ascii="Times New Roman" w:eastAsia="Times New Roman" w:hAnsi="Times New Roman" w:cs="Times New Roman"/>
                <w:b/>
                <w:bCs/>
                <w:color w:val="000000"/>
                <w:sz w:val="20"/>
                <w:szCs w:val="20"/>
                <w:lang w:eastAsia="sk-SK"/>
              </w:rPr>
              <w:t>. subjektov v €</w:t>
            </w:r>
          </w:p>
        </w:tc>
        <w:tc>
          <w:tcPr>
            <w:tcW w:w="1123" w:type="dxa"/>
            <w:shd w:val="clear" w:color="auto" w:fill="BFBFBF"/>
            <w:vAlign w:val="center"/>
          </w:tcPr>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r w:rsidRPr="00126539">
              <w:rPr>
                <w:rFonts w:ascii="Times New Roman" w:eastAsia="Times New Roman" w:hAnsi="Times New Roman" w:cs="Times New Roman"/>
                <w:b/>
                <w:bCs/>
                <w:color w:val="000000"/>
                <w:sz w:val="20"/>
                <w:szCs w:val="20"/>
                <w:lang w:eastAsia="sk-SK"/>
              </w:rPr>
              <w:t>Druh vplyvu</w:t>
            </w:r>
          </w:p>
          <w:p w:rsidR="00126539" w:rsidRPr="00126539" w:rsidRDefault="00126539" w:rsidP="009B5BD2">
            <w:pPr>
              <w:spacing w:after="0" w:line="240" w:lineRule="auto"/>
              <w:jc w:val="center"/>
              <w:rPr>
                <w:rFonts w:ascii="Times New Roman" w:eastAsia="Times New Roman" w:hAnsi="Times New Roman" w:cs="Times New Roman"/>
                <w:bCs/>
                <w:color w:val="000000"/>
                <w:sz w:val="20"/>
                <w:szCs w:val="20"/>
                <w:lang w:eastAsia="sk-SK"/>
              </w:rPr>
            </w:pPr>
            <w:r w:rsidRPr="00126539">
              <w:rPr>
                <w:rFonts w:ascii="Times New Roman" w:eastAsia="Times New Roman" w:hAnsi="Times New Roman" w:cs="Times New Roman"/>
                <w:bCs/>
                <w:color w:val="000000"/>
                <w:sz w:val="20"/>
                <w:szCs w:val="20"/>
                <w:lang w:eastAsia="sk-SK"/>
              </w:rPr>
              <w:t xml:space="preserve">In (zvyšuje náklady) / </w:t>
            </w:r>
          </w:p>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126539">
              <w:rPr>
                <w:rFonts w:ascii="Times New Roman" w:eastAsia="Times New Roman" w:hAnsi="Times New Roman" w:cs="Times New Roman"/>
                <w:bCs/>
                <w:color w:val="000000"/>
                <w:sz w:val="20"/>
                <w:szCs w:val="20"/>
                <w:lang w:eastAsia="sk-SK"/>
              </w:rPr>
              <w:t>Out</w:t>
            </w:r>
            <w:proofErr w:type="spellEnd"/>
            <w:r w:rsidRPr="00126539">
              <w:rPr>
                <w:rFonts w:ascii="Times New Roman" w:eastAsia="Times New Roman" w:hAnsi="Times New Roman" w:cs="Times New Roman"/>
                <w:bCs/>
                <w:color w:val="000000"/>
                <w:sz w:val="20"/>
                <w:szCs w:val="20"/>
                <w:lang w:eastAsia="sk-SK"/>
              </w:rPr>
              <w:t xml:space="preserve"> (znižuje náklady</w:t>
            </w:r>
            <w:r w:rsidRPr="00126539">
              <w:rPr>
                <w:rFonts w:ascii="Times New Roman" w:eastAsia="Times New Roman" w:hAnsi="Times New Roman" w:cs="Times New Roman"/>
                <w:b/>
                <w:bCs/>
                <w:color w:val="000000"/>
                <w:sz w:val="20"/>
                <w:szCs w:val="20"/>
                <w:lang w:eastAsia="sk-SK"/>
              </w:rPr>
              <w:t>)</w:t>
            </w:r>
          </w:p>
          <w:p w:rsidR="00126539" w:rsidRPr="00126539" w:rsidRDefault="00126539" w:rsidP="009B5BD2">
            <w:pPr>
              <w:spacing w:after="0" w:line="240" w:lineRule="auto"/>
              <w:jc w:val="center"/>
              <w:rPr>
                <w:rFonts w:ascii="Times New Roman" w:eastAsia="Times New Roman" w:hAnsi="Times New Roman" w:cs="Times New Roman"/>
                <w:b/>
                <w:bCs/>
                <w:color w:val="000000"/>
                <w:sz w:val="20"/>
                <w:szCs w:val="20"/>
                <w:lang w:eastAsia="sk-SK"/>
              </w:rPr>
            </w:pPr>
          </w:p>
        </w:tc>
      </w:tr>
      <w:tr w:rsidR="00126539" w:rsidRPr="00126539" w:rsidTr="009B5BD2">
        <w:trPr>
          <w:trHeight w:val="612"/>
        </w:trPr>
        <w:tc>
          <w:tcPr>
            <w:tcW w:w="497" w:type="dxa"/>
            <w:vAlign w:val="center"/>
          </w:tcPr>
          <w:p w:rsidR="00126539" w:rsidRPr="00126539" w:rsidRDefault="00126539" w:rsidP="009B5BD2">
            <w:pPr>
              <w:spacing w:after="0" w:line="240" w:lineRule="auto"/>
              <w:rPr>
                <w:rFonts w:ascii="Times New Roman" w:eastAsia="Times New Roman" w:hAnsi="Times New Roman" w:cs="Times New Roman"/>
                <w:sz w:val="20"/>
                <w:szCs w:val="20"/>
                <w:lang w:eastAsia="sk-SK"/>
              </w:rPr>
            </w:pPr>
            <w:r w:rsidRPr="00126539">
              <w:rPr>
                <w:rFonts w:ascii="Times New Roman" w:hAnsi="Times New Roman" w:cs="Times New Roman"/>
                <w:color w:val="000000"/>
                <w:sz w:val="20"/>
                <w:szCs w:val="20"/>
              </w:rPr>
              <w:t>1</w:t>
            </w:r>
          </w:p>
        </w:tc>
        <w:tc>
          <w:tcPr>
            <w:tcW w:w="3422" w:type="dxa"/>
            <w:shd w:val="clear" w:color="auto" w:fill="auto"/>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právo uplatniť na súde námietku</w:t>
            </w:r>
          </w:p>
        </w:tc>
        <w:tc>
          <w:tcPr>
            <w:tcW w:w="1032" w:type="dxa"/>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n/a</w:t>
            </w:r>
          </w:p>
        </w:tc>
        <w:tc>
          <w:tcPr>
            <w:tcW w:w="1129" w:type="dxa"/>
            <w:shd w:val="clear" w:color="auto" w:fill="auto"/>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 10 ods. 3</w:t>
            </w:r>
          </w:p>
        </w:tc>
        <w:tc>
          <w:tcPr>
            <w:tcW w:w="1433" w:type="dxa"/>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EÚ úplná harmonizácia</w:t>
            </w:r>
          </w:p>
        </w:tc>
        <w:tc>
          <w:tcPr>
            <w:tcW w:w="980"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25.06.23</w:t>
            </w:r>
          </w:p>
        </w:tc>
        <w:tc>
          <w:tcPr>
            <w:tcW w:w="1323" w:type="dxa"/>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 xml:space="preserve">žalovaný obchodník </w:t>
            </w:r>
          </w:p>
        </w:tc>
        <w:tc>
          <w:tcPr>
            <w:tcW w:w="974"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 xml:space="preserve">               100 </w:t>
            </w:r>
          </w:p>
        </w:tc>
        <w:tc>
          <w:tcPr>
            <w:tcW w:w="974"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 xml:space="preserve"> N </w:t>
            </w:r>
          </w:p>
        </w:tc>
        <w:tc>
          <w:tcPr>
            <w:tcW w:w="982"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9</w:t>
            </w:r>
          </w:p>
        </w:tc>
        <w:tc>
          <w:tcPr>
            <w:tcW w:w="992"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853</w:t>
            </w:r>
          </w:p>
        </w:tc>
        <w:tc>
          <w:tcPr>
            <w:tcW w:w="1123" w:type="dxa"/>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In (zvyšuje náklady)</w:t>
            </w:r>
          </w:p>
        </w:tc>
      </w:tr>
      <w:tr w:rsidR="00126539" w:rsidRPr="00126539" w:rsidTr="009B5BD2">
        <w:trPr>
          <w:trHeight w:val="600"/>
        </w:trPr>
        <w:tc>
          <w:tcPr>
            <w:tcW w:w="497" w:type="dxa"/>
            <w:vAlign w:val="center"/>
          </w:tcPr>
          <w:p w:rsidR="00126539" w:rsidRPr="00126539" w:rsidRDefault="00126539" w:rsidP="009B5BD2">
            <w:pPr>
              <w:spacing w:after="0" w:line="240" w:lineRule="auto"/>
              <w:rPr>
                <w:rFonts w:ascii="Times New Roman" w:eastAsia="Times New Roman" w:hAnsi="Times New Roman" w:cs="Times New Roman"/>
                <w:sz w:val="20"/>
                <w:szCs w:val="20"/>
                <w:lang w:eastAsia="sk-SK"/>
              </w:rPr>
            </w:pPr>
            <w:r w:rsidRPr="00126539">
              <w:rPr>
                <w:rFonts w:ascii="Times New Roman" w:hAnsi="Times New Roman" w:cs="Times New Roman"/>
                <w:color w:val="000000"/>
                <w:sz w:val="20"/>
                <w:szCs w:val="20"/>
              </w:rPr>
              <w:t>2</w:t>
            </w:r>
          </w:p>
        </w:tc>
        <w:tc>
          <w:tcPr>
            <w:tcW w:w="3422" w:type="dxa"/>
            <w:shd w:val="clear" w:color="auto" w:fill="auto"/>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sprístupnenie dôkazu</w:t>
            </w:r>
          </w:p>
        </w:tc>
        <w:tc>
          <w:tcPr>
            <w:tcW w:w="1032" w:type="dxa"/>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n/a</w:t>
            </w:r>
          </w:p>
        </w:tc>
        <w:tc>
          <w:tcPr>
            <w:tcW w:w="1129" w:type="dxa"/>
            <w:shd w:val="clear" w:color="auto" w:fill="auto"/>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 12 ods. 5</w:t>
            </w:r>
          </w:p>
        </w:tc>
        <w:tc>
          <w:tcPr>
            <w:tcW w:w="1433" w:type="dxa"/>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EÚ úplná harmonizácia</w:t>
            </w:r>
          </w:p>
        </w:tc>
        <w:tc>
          <w:tcPr>
            <w:tcW w:w="980"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25.06.23</w:t>
            </w:r>
          </w:p>
        </w:tc>
        <w:tc>
          <w:tcPr>
            <w:tcW w:w="1323" w:type="dxa"/>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obchodník</w:t>
            </w:r>
          </w:p>
        </w:tc>
        <w:tc>
          <w:tcPr>
            <w:tcW w:w="974"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 xml:space="preserve">               100 </w:t>
            </w:r>
          </w:p>
        </w:tc>
        <w:tc>
          <w:tcPr>
            <w:tcW w:w="974"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 xml:space="preserve"> N </w:t>
            </w:r>
          </w:p>
        </w:tc>
        <w:tc>
          <w:tcPr>
            <w:tcW w:w="982"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4</w:t>
            </w:r>
          </w:p>
        </w:tc>
        <w:tc>
          <w:tcPr>
            <w:tcW w:w="992"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426</w:t>
            </w:r>
          </w:p>
        </w:tc>
        <w:tc>
          <w:tcPr>
            <w:tcW w:w="1123" w:type="dxa"/>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In (zvyšuje náklady)</w:t>
            </w:r>
          </w:p>
        </w:tc>
      </w:tr>
      <w:tr w:rsidR="00126539" w:rsidRPr="00126539" w:rsidTr="009B5BD2">
        <w:trPr>
          <w:trHeight w:val="600"/>
        </w:trPr>
        <w:tc>
          <w:tcPr>
            <w:tcW w:w="497" w:type="dxa"/>
            <w:vAlign w:val="center"/>
          </w:tcPr>
          <w:p w:rsidR="00126539" w:rsidRPr="00126539" w:rsidRDefault="00126539" w:rsidP="009B5BD2">
            <w:pPr>
              <w:spacing w:after="0" w:line="240" w:lineRule="auto"/>
              <w:rPr>
                <w:rFonts w:ascii="Times New Roman" w:eastAsia="Times New Roman" w:hAnsi="Times New Roman" w:cs="Times New Roman"/>
                <w:sz w:val="20"/>
                <w:szCs w:val="20"/>
                <w:lang w:eastAsia="sk-SK"/>
              </w:rPr>
            </w:pPr>
            <w:r w:rsidRPr="00126539">
              <w:rPr>
                <w:rFonts w:ascii="Times New Roman" w:hAnsi="Times New Roman" w:cs="Times New Roman"/>
                <w:color w:val="000000"/>
                <w:sz w:val="20"/>
                <w:szCs w:val="20"/>
              </w:rPr>
              <w:t>3</w:t>
            </w:r>
          </w:p>
        </w:tc>
        <w:tc>
          <w:tcPr>
            <w:tcW w:w="3422" w:type="dxa"/>
            <w:shd w:val="clear" w:color="auto" w:fill="auto"/>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zverejnenie rozsudku alebo opravného vyhlásenia</w:t>
            </w:r>
          </w:p>
        </w:tc>
        <w:tc>
          <w:tcPr>
            <w:tcW w:w="1032" w:type="dxa"/>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n/a</w:t>
            </w:r>
          </w:p>
        </w:tc>
        <w:tc>
          <w:tcPr>
            <w:tcW w:w="1129" w:type="dxa"/>
            <w:shd w:val="clear" w:color="auto" w:fill="auto"/>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 24 ods. 2</w:t>
            </w:r>
          </w:p>
        </w:tc>
        <w:tc>
          <w:tcPr>
            <w:tcW w:w="1433" w:type="dxa"/>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EÚ úplná harmonizácia</w:t>
            </w:r>
          </w:p>
        </w:tc>
        <w:tc>
          <w:tcPr>
            <w:tcW w:w="980"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25.06.23</w:t>
            </w:r>
          </w:p>
        </w:tc>
        <w:tc>
          <w:tcPr>
            <w:tcW w:w="1323" w:type="dxa"/>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obchodník</w:t>
            </w:r>
          </w:p>
        </w:tc>
        <w:tc>
          <w:tcPr>
            <w:tcW w:w="974"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 xml:space="preserve">                 80 </w:t>
            </w:r>
          </w:p>
        </w:tc>
        <w:tc>
          <w:tcPr>
            <w:tcW w:w="974"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 xml:space="preserve"> N </w:t>
            </w:r>
          </w:p>
        </w:tc>
        <w:tc>
          <w:tcPr>
            <w:tcW w:w="982"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3</w:t>
            </w:r>
          </w:p>
        </w:tc>
        <w:tc>
          <w:tcPr>
            <w:tcW w:w="992" w:type="dxa"/>
            <w:shd w:val="clear" w:color="auto" w:fill="auto"/>
            <w:noWrap/>
            <w:vAlign w:val="center"/>
          </w:tcPr>
          <w:p w:rsidR="00126539" w:rsidRPr="00126539" w:rsidRDefault="00126539" w:rsidP="009B5BD2">
            <w:pPr>
              <w:spacing w:after="0" w:line="240" w:lineRule="auto"/>
              <w:rPr>
                <w:rFonts w:ascii="Times New Roman" w:eastAsia="Times New Roman" w:hAnsi="Times New Roman" w:cs="Times New Roman"/>
                <w:color w:val="000000"/>
                <w:sz w:val="24"/>
                <w:szCs w:val="24"/>
                <w:lang w:eastAsia="sk-SK"/>
              </w:rPr>
            </w:pPr>
            <w:r w:rsidRPr="00126539">
              <w:rPr>
                <w:rFonts w:ascii="Times New Roman" w:hAnsi="Times New Roman" w:cs="Times New Roman"/>
                <w:color w:val="000000"/>
                <w:sz w:val="20"/>
                <w:szCs w:val="20"/>
              </w:rPr>
              <w:t>205</w:t>
            </w:r>
          </w:p>
        </w:tc>
        <w:tc>
          <w:tcPr>
            <w:tcW w:w="1123" w:type="dxa"/>
            <w:vAlign w:val="center"/>
          </w:tcPr>
          <w:p w:rsidR="00126539" w:rsidRPr="00126539" w:rsidRDefault="00126539" w:rsidP="009B5BD2">
            <w:pPr>
              <w:spacing w:after="0" w:line="240" w:lineRule="auto"/>
              <w:rPr>
                <w:rFonts w:ascii="Times New Roman" w:eastAsia="Times New Roman" w:hAnsi="Times New Roman" w:cs="Times New Roman"/>
                <w:sz w:val="24"/>
                <w:szCs w:val="24"/>
                <w:lang w:eastAsia="sk-SK"/>
              </w:rPr>
            </w:pPr>
            <w:r w:rsidRPr="00126539">
              <w:rPr>
                <w:rFonts w:ascii="Times New Roman" w:hAnsi="Times New Roman" w:cs="Times New Roman"/>
                <w:color w:val="000000"/>
                <w:sz w:val="20"/>
                <w:szCs w:val="20"/>
              </w:rPr>
              <w:t>In (zvyšuje náklady)</w:t>
            </w:r>
          </w:p>
        </w:tc>
      </w:tr>
    </w:tbl>
    <w:p w:rsidR="00126539" w:rsidRPr="00126539" w:rsidRDefault="00126539" w:rsidP="00126539">
      <w:pPr>
        <w:jc w:val="both"/>
        <w:rPr>
          <w:rFonts w:ascii="Times New Roman" w:eastAsia="Calibri" w:hAnsi="Times New Roman" w:cs="Times New Roman"/>
          <w:i/>
        </w:rPr>
      </w:pPr>
    </w:p>
    <w:p w:rsidR="00126539" w:rsidRPr="00126539" w:rsidRDefault="00126539" w:rsidP="00126539">
      <w:pPr>
        <w:jc w:val="both"/>
        <w:rPr>
          <w:rFonts w:ascii="Times New Roman" w:eastAsia="Calibri" w:hAnsi="Times New Roman" w:cs="Times New Roman"/>
          <w:b/>
          <w:bCs/>
          <w:i/>
          <w:sz w:val="24"/>
          <w:szCs w:val="24"/>
        </w:rPr>
        <w:sectPr w:rsidR="00126539" w:rsidRPr="00126539" w:rsidSect="00142154">
          <w:pgSz w:w="16838" w:h="11906" w:orient="landscape"/>
          <w:pgMar w:top="1417" w:right="1417" w:bottom="1417" w:left="1417" w:header="708" w:footer="708" w:gutter="0"/>
          <w:cols w:space="708"/>
          <w:docGrid w:linePitch="360"/>
        </w:sectPr>
      </w:pPr>
    </w:p>
    <w:p w:rsidR="00126539" w:rsidRPr="00126539" w:rsidRDefault="00126539" w:rsidP="00126539">
      <w:pPr>
        <w:jc w:val="both"/>
        <w:rPr>
          <w:rFonts w:ascii="Times New Roman" w:eastAsia="Calibri" w:hAnsi="Times New Roman" w:cs="Times New Roman"/>
          <w:b/>
          <w:bCs/>
          <w:i/>
          <w:sz w:val="24"/>
          <w:szCs w:val="24"/>
          <w:u w:val="single"/>
        </w:rPr>
      </w:pPr>
      <w:r w:rsidRPr="00126539">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rsidR="00126539" w:rsidRPr="00126539" w:rsidRDefault="00126539" w:rsidP="00126539">
      <w:pPr>
        <w:jc w:val="both"/>
        <w:rPr>
          <w:rFonts w:ascii="Times New Roman" w:eastAsia="Calibri" w:hAnsi="Times New Roman" w:cs="Times New Roman"/>
          <w:bCs/>
          <w:i/>
          <w:iCs/>
          <w:color w:val="000000"/>
        </w:rPr>
      </w:pPr>
      <w:r w:rsidRPr="00126539">
        <w:rPr>
          <w:rFonts w:ascii="Times New Roman" w:eastAsia="Calibri" w:hAnsi="Times New Roman" w:cs="Times New Roman"/>
          <w:bCs/>
          <w:i/>
          <w:iCs/>
          <w:color w:val="00000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126539">
        <w:rPr>
          <w:rFonts w:ascii="Times New Roman" w:eastAsia="Calibri" w:hAnsi="Times New Roman" w:cs="Times New Roman"/>
          <w:bCs/>
          <w:i/>
          <w:iCs/>
          <w:color w:val="000000"/>
        </w:rPr>
        <w:t>link</w:t>
      </w:r>
      <w:proofErr w:type="spellEnd"/>
      <w:r w:rsidRPr="00126539">
        <w:rPr>
          <w:rFonts w:ascii="Times New Roman" w:eastAsia="Calibri" w:hAnsi="Times New Roman" w:cs="Times New Roman"/>
          <w:bCs/>
          <w:i/>
          <w:iCs/>
          <w:color w:val="000000"/>
        </w:rPr>
        <w:t xml:space="preserve"> na konkrétne štatistiky, ak sú dostupné na internete). Jednotlivé regulácie môžu mať jeden alebo viac typov nákladov (A. Dane, odvody, clá a poplatky, ktorých cieľom je znižovať negatívne </w:t>
      </w:r>
      <w:proofErr w:type="spellStart"/>
      <w:r w:rsidRPr="00126539">
        <w:rPr>
          <w:rFonts w:ascii="Times New Roman" w:eastAsia="Calibri" w:hAnsi="Times New Roman" w:cs="Times New Roman"/>
          <w:bCs/>
          <w:i/>
          <w:iCs/>
          <w:color w:val="000000"/>
        </w:rPr>
        <w:t>externality</w:t>
      </w:r>
      <w:proofErr w:type="spellEnd"/>
      <w:r w:rsidRPr="00126539">
        <w:rPr>
          <w:rFonts w:ascii="Times New Roman" w:eastAsia="Calibri" w:hAnsi="Times New Roman" w:cs="Times New Roman"/>
          <w:bCs/>
          <w:i/>
          <w:iCs/>
          <w:color w:val="000000"/>
        </w:rPr>
        <w:t xml:space="preserve">, B. Iné poplatky, C. Nepriame finančné náklady, D. Administratívne náklady). Rozčleňte ich a vypočítajte v súlade s metodickým postupom. </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 xml:space="preserve">V predkladanom návrhu zákona boli identifikované 3 regulácie s vplyvom na podnikateľské prostredie. </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 xml:space="preserve">Predmetom kalkulačky nákladov sú regulácie súvisiace s konaniami na ochranu kolektívnych záujmov spotrebiteľov – od počiatku až po výsledok daného konania. </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 xml:space="preserve">Pri identifikácií počtov dotknutých subjektov bolo zámerom v čo najväčšej miere využiť dáta rezortnej štatistiky, ktoré pochádzajú priamo zo súdov. Pri určovaní počtu dotknutých subjektov v konanie o abstraktnej kontrole sa vychádzalo z registra „C“ – Súdny register prvostupňovej agendy krajských súdov, do ktorého sa zapisuje nápad v konaní o abstraktnej kontrole v spotrebiteľských veciach za obdobie rokov 2018 – 2021. </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 xml:space="preserve">Tam, kde to však nebolo možné, počet dotknutých subjektov bol určený na základe modelových príkladov. </w:t>
      </w:r>
    </w:p>
    <w:p w:rsidR="00126539" w:rsidRPr="00126539" w:rsidRDefault="00126539" w:rsidP="00126539">
      <w:pPr>
        <w:pStyle w:val="Odsekzoznamu"/>
        <w:numPr>
          <w:ilvl w:val="0"/>
          <w:numId w:val="7"/>
        </w:num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právo uplatniť na súde námietku</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 xml:space="preserve">Právo uplatniť na súde námietku je typ regulácie, ktorá administratívne zvyšuje náklady podnikateľským subjektom – konkrétne obchodníkom, ktorých návrh zákona definuje ako osobu, ktorá v súvislosti so zmluvou alebo pri obchodnej praktike koná v rámci predmetu svojej podnikateľskej činnosti alebo povolania, a to aj prostredníctvom inej osoby, ktorá koná v jej mene alebo na jej účet. </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Kategóriou dotknutých subjektov bol určený žalovaný obchodník. Keďže tieto náklady vzniknú iba na strane obchodníkov, voči ktorým začalo konanie o žalobe na ochranu kolektívnych záujmov spotrebiteľov, ich počet bol modelovo stanovený na 100.  Hodnotí sa nový právny predpis, a preto nie je možné ani na základe expertného odhadu určiť presný počet dotknutých subjektov.</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Modelový príklad bol zvolený aj v Českej republike pri predkladaní návrhu zákona o </w:t>
      </w:r>
      <w:proofErr w:type="spellStart"/>
      <w:r w:rsidRPr="00126539">
        <w:rPr>
          <w:rFonts w:ascii="Times New Roman" w:eastAsia="Calibri" w:hAnsi="Times New Roman" w:cs="Times New Roman"/>
          <w:bCs/>
          <w:iCs/>
          <w:color w:val="000000"/>
        </w:rPr>
        <w:t>hromadném</w:t>
      </w:r>
      <w:proofErr w:type="spellEnd"/>
      <w:r w:rsidRPr="00126539">
        <w:rPr>
          <w:rFonts w:ascii="Times New Roman" w:eastAsia="Calibri" w:hAnsi="Times New Roman" w:cs="Times New Roman"/>
          <w:bCs/>
          <w:iCs/>
          <w:color w:val="000000"/>
        </w:rPr>
        <w:t xml:space="preserve"> </w:t>
      </w:r>
      <w:proofErr w:type="spellStart"/>
      <w:r w:rsidRPr="00126539">
        <w:rPr>
          <w:rFonts w:ascii="Times New Roman" w:eastAsia="Calibri" w:hAnsi="Times New Roman" w:cs="Times New Roman"/>
          <w:bCs/>
          <w:iCs/>
          <w:color w:val="000000"/>
        </w:rPr>
        <w:t>řízení</w:t>
      </w:r>
      <w:proofErr w:type="spellEnd"/>
      <w:r w:rsidRPr="00126539">
        <w:rPr>
          <w:rFonts w:ascii="Times New Roman" w:eastAsia="Calibri" w:hAnsi="Times New Roman" w:cs="Times New Roman"/>
          <w:bCs/>
          <w:iCs/>
          <w:color w:val="000000"/>
        </w:rPr>
        <w:t xml:space="preserve"> z roku 2020. Predpokladali výskyt približne 50 hromadných udalostí ročne, na základe ktorých bude možné podať hromadnú žalobu. </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 xml:space="preserve">Typ administratívnych nákladov (časová náročnosť povinnosti) bol určený ako Alternatíva č. 2 na základe číselníka – Žiadosť/návrh vo frekvencii plnenia nepravidelne/jednorazovo, keďže nie je predpoklad na pravidelné podávanie návrhov na začiatok konania o žalobe na ochranu kolektívnych záujmov spotrebiteľov zo strany oprávnených osôb voči obchodníkom, teda podnikateľským subjektom. </w:t>
      </w:r>
    </w:p>
    <w:p w:rsidR="00126539" w:rsidRPr="00126539" w:rsidRDefault="00126539" w:rsidP="00126539">
      <w:pPr>
        <w:pStyle w:val="Odsekzoznamu"/>
        <w:numPr>
          <w:ilvl w:val="0"/>
          <w:numId w:val="7"/>
        </w:numPr>
        <w:jc w:val="both"/>
        <w:rPr>
          <w:rFonts w:ascii="Times New Roman" w:eastAsia="Calibri" w:hAnsi="Times New Roman" w:cs="Times New Roman"/>
          <w:bCs/>
          <w:iCs/>
          <w:color w:val="000000"/>
        </w:rPr>
      </w:pPr>
      <w:r w:rsidRPr="00126539">
        <w:rPr>
          <w:rFonts w:ascii="Times New Roman" w:hAnsi="Times New Roman" w:cs="Times New Roman"/>
          <w:color w:val="000000"/>
        </w:rPr>
        <w:t>sprístupnenie dôkazu</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 xml:space="preserve">Sprístupnenie dôkazu zvyšuje administratívne náklady podnikateľským subjektom. Kategóriou dotknutých subjektov bol určený obchodník. Zvyšovanie administratívnych nákladov sa však dotkne len tých, voči ktorým sa začne konanie o žalobe na ochranu kolektívnych záujmov spotrebiteľov zo strany oprávnených osôb voči obchodníkom, a pri ktorých súd uloží strane sporu sprístupniť dôkazy. </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Keďže ide o nový právny predpis, počet dotknutých subjektov bol modelovo určený na 100. Typ administratívnych nákladov (časová náročnosť povinnosti) bol aj v tomto prípade určený ako Alternatíva 2 z preddefinovaného číselníka – Poskytnutie súčinnosti.</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 xml:space="preserve">Frekvencia plnenia bola stanovená na nepravidelne/jednorazovo. Dôvodom je, že sa nepredpokladá pravidelné podávanie návrhov na začiatok konania o žalobe na ochranu kolektívnych záujmov spotrebiteľov zo strany oprávnených osôb voči obchodníkom, teda podnikateľským subjektom. </w:t>
      </w:r>
    </w:p>
    <w:p w:rsidR="00126539" w:rsidRPr="00126539" w:rsidRDefault="00126539" w:rsidP="00126539">
      <w:pPr>
        <w:pStyle w:val="Odsekzoznamu"/>
        <w:numPr>
          <w:ilvl w:val="0"/>
          <w:numId w:val="7"/>
        </w:num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lastRenderedPageBreak/>
        <w:t>zverejnenie rozsudku alebo opravného vyhlásenia</w:t>
      </w:r>
    </w:p>
    <w:p w:rsidR="00126539" w:rsidRPr="00126539" w:rsidRDefault="00126539" w:rsidP="00126539">
      <w:pPr>
        <w:jc w:val="both"/>
        <w:rPr>
          <w:rFonts w:ascii="Times New Roman" w:hAnsi="Times New Roman" w:cs="Times New Roman"/>
        </w:rPr>
      </w:pPr>
      <w:r w:rsidRPr="00126539">
        <w:rPr>
          <w:rFonts w:ascii="Times New Roman" w:eastAsia="Calibri" w:hAnsi="Times New Roman" w:cs="Times New Roman"/>
          <w:bCs/>
          <w:iCs/>
          <w:color w:val="000000"/>
        </w:rPr>
        <w:t xml:space="preserve">Zverejnenie rozsudku alebo opravného vyhlásenia </w:t>
      </w:r>
      <w:r w:rsidRPr="00126539">
        <w:rPr>
          <w:rFonts w:ascii="Times New Roman" w:hAnsi="Times New Roman" w:cs="Times New Roman"/>
        </w:rPr>
        <w:t xml:space="preserve">je regulácia, ktorá podnikateľskému sektoru bude zvyšovať administratívne náklady. </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eastAsia="Calibri" w:hAnsi="Times New Roman" w:cs="Times New Roman"/>
          <w:bCs/>
          <w:iCs/>
          <w:color w:val="000000"/>
        </w:rPr>
        <w:t xml:space="preserve">Typ administratívnych nákladov (časová náročnosť povinnosti) bol zvolený ako Alternatíva 2 z preddefinovaného číselníka – Ohlásenie, oznámenie, poskytnutie informácie vo frekvencii plnenia nepravidelne/jednorazovo. Nepredpokladá sa pravidelné podávanie návrhov na začiatok konania o žalobe na ochranu kolektívnych záujmov spotrebiteľov zo strany oprávnených osôb voči obchodníkom, teda podnikateľským subjektom. </w:t>
      </w:r>
    </w:p>
    <w:p w:rsidR="00126539" w:rsidRPr="00126539" w:rsidRDefault="00126539" w:rsidP="00126539">
      <w:pPr>
        <w:jc w:val="both"/>
        <w:rPr>
          <w:rFonts w:ascii="Times New Roman" w:hAnsi="Times New Roman" w:cs="Times New Roman"/>
        </w:rPr>
      </w:pPr>
      <w:r w:rsidRPr="00126539">
        <w:rPr>
          <w:rFonts w:ascii="Times New Roman" w:hAnsi="Times New Roman" w:cs="Times New Roman"/>
        </w:rPr>
        <w:t xml:space="preserve">Kategóriou dotknutých subjektov bol označený obchodník. Ide však len o časť subjektov – teda tých, voči ktorým na jednej strane bude podaný návrh na začatie konania o žalobe na ochranu kolektívnych záujmov spotrebiteľov zo strany oprávnených osôb voči obchodníkom a na druhej strane, voči ktorým súd právoplatne určil neprijateľnosť zmluvnej podmienky, alebo že došlo k porušovaniu právnych predpisov na ochranu spotrebiteľa. </w:t>
      </w:r>
    </w:p>
    <w:p w:rsidR="00126539" w:rsidRPr="00126539" w:rsidRDefault="00126539" w:rsidP="00126539">
      <w:pPr>
        <w:jc w:val="both"/>
        <w:rPr>
          <w:rFonts w:ascii="Times New Roman" w:eastAsia="Calibri" w:hAnsi="Times New Roman" w:cs="Times New Roman"/>
          <w:bCs/>
          <w:iCs/>
          <w:color w:val="000000"/>
        </w:rPr>
      </w:pPr>
      <w:r w:rsidRPr="00126539">
        <w:rPr>
          <w:rFonts w:ascii="Times New Roman" w:hAnsi="Times New Roman" w:cs="Times New Roman"/>
        </w:rPr>
        <w:t xml:space="preserve">Aj preto počet subjektov bol určený na 80. Ide o číslo určené expertným odhadom, keďže počet vybavených vecí v registri </w:t>
      </w:r>
      <w:r w:rsidRPr="00126539">
        <w:rPr>
          <w:rFonts w:ascii="Times New Roman" w:eastAsia="Calibri" w:hAnsi="Times New Roman" w:cs="Times New Roman"/>
          <w:bCs/>
          <w:iCs/>
          <w:color w:val="000000"/>
        </w:rPr>
        <w:t xml:space="preserve">„C“ – Súdny register prvostupňovej agendy krajských súdov – do ktorého sa zapisuje žaloba v konaní o abstraktnej kontrole v spotrebiteľských veciach za obdobie rokov 2018 – 2021 bol spolu 100. </w:t>
      </w:r>
    </w:p>
    <w:p w:rsidR="00126539" w:rsidRPr="00126539" w:rsidRDefault="00126539" w:rsidP="00126539">
      <w:pPr>
        <w:jc w:val="both"/>
        <w:rPr>
          <w:rFonts w:ascii="Times New Roman" w:eastAsia="Calibri" w:hAnsi="Times New Roman" w:cs="Times New Roman"/>
          <w:b/>
          <w:sz w:val="24"/>
          <w:szCs w:val="24"/>
        </w:rPr>
      </w:pPr>
      <w:r w:rsidRPr="00126539">
        <w:rPr>
          <w:rFonts w:ascii="Times New Roman" w:eastAsia="Calibri" w:hAnsi="Times New Roman" w:cs="Times New Roman"/>
          <w:b/>
          <w:sz w:val="24"/>
          <w:szCs w:val="24"/>
        </w:rPr>
        <w:t>3.2 Vyhodnotenie konzultácií s podnikateľskými subjektmi pred predbežným pripomienkovým konaním</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126539">
        <w:rPr>
          <w:rFonts w:ascii="Times New Roman" w:eastAsia="Calibri" w:hAnsi="Times New Roman" w:cs="Times New Roman"/>
          <w:i/>
          <w:sz w:val="24"/>
          <w:szCs w:val="24"/>
        </w:rPr>
        <w:t>link</w:t>
      </w:r>
      <w:proofErr w:type="spellEnd"/>
      <w:r w:rsidRPr="00126539">
        <w:rPr>
          <w:rFonts w:ascii="Times New Roman" w:eastAsia="Calibri" w:hAnsi="Times New Roman" w:cs="Times New Roman"/>
          <w:i/>
          <w:sz w:val="24"/>
          <w:szCs w:val="24"/>
        </w:rPr>
        <w:t xml:space="preserve"> na webovú stránku, na ktorej boli konzultácie zverejnené. </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Uveďte hlavné body konzultácií a ich závery. </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126539" w:rsidRPr="00126539" w:rsidRDefault="00126539" w:rsidP="00126539">
      <w:pPr>
        <w:spacing w:after="0"/>
        <w:jc w:val="both"/>
        <w:rPr>
          <w:rFonts w:ascii="Times New Roman" w:eastAsia="Calibri" w:hAnsi="Times New Roman" w:cs="Times New Roman"/>
          <w:i/>
          <w:sz w:val="24"/>
          <w:szCs w:val="24"/>
        </w:rPr>
      </w:pPr>
    </w:p>
    <w:p w:rsidR="00126539" w:rsidRPr="00126539" w:rsidRDefault="00126539" w:rsidP="00126539">
      <w:pPr>
        <w:jc w:val="both"/>
        <w:rPr>
          <w:rFonts w:ascii="Times New Roman" w:hAnsi="Times New Roman" w:cs="Times New Roman"/>
        </w:rPr>
      </w:pPr>
      <w:r w:rsidRPr="00126539">
        <w:rPr>
          <w:rFonts w:ascii="Times New Roman" w:hAnsi="Times New Roman" w:cs="Times New Roman"/>
        </w:rPr>
        <w:t>Verejnosť bola o príprave návrhu zákona o žalobách na ochranu kolektívnych záujmov spotrebiteľov informovaná prostredníctvom predbežnej informácie PI/2021/248 zverejnenej na portáli Slov-lex v období od 05.11.2021 do 19.11.2021 (dostupné na </w:t>
      </w:r>
      <w:hyperlink r:id="rId13" w:tgtFrame="_blank" w:history="1">
        <w:r w:rsidRPr="00126539">
          <w:rPr>
            <w:rFonts w:ascii="Times New Roman" w:hAnsi="Times New Roman" w:cs="Times New Roman"/>
          </w:rPr>
          <w:t>https://www.slov-lex.sk/legislativne-procesy/SK/PI/2021/248</w:t>
        </w:r>
      </w:hyperlink>
      <w:r w:rsidRPr="00126539">
        <w:rPr>
          <w:rFonts w:ascii="Times New Roman" w:hAnsi="Times New Roman" w:cs="Times New Roman"/>
        </w:rPr>
        <w:t xml:space="preserve">). </w:t>
      </w:r>
    </w:p>
    <w:p w:rsidR="00126539" w:rsidRPr="00126539" w:rsidRDefault="00126539" w:rsidP="00126539">
      <w:pPr>
        <w:jc w:val="both"/>
        <w:rPr>
          <w:rFonts w:ascii="Times New Roman" w:hAnsi="Times New Roman" w:cs="Times New Roman"/>
        </w:rPr>
      </w:pPr>
      <w:r w:rsidRPr="00126539">
        <w:rPr>
          <w:rFonts w:ascii="Times New Roman" w:hAnsi="Times New Roman" w:cs="Times New Roman"/>
        </w:rPr>
        <w:t xml:space="preserve">V rámci tejto lehoty reagovali na prípravu návrhu zákona združenia na ochranu spotrebiteľov, ktoré prejavili svoj záujem zapojiť sa do prípravy návrhu ale aj ako oprávnené osoby (na podávanie žalôb podľa nového zákona), pričom niektoré zaslali aj svoje návrhy a podklady, ktoré v niektorých častiach slúžili na inšpiráciu pri príprave návrhu zákona. </w:t>
      </w:r>
    </w:p>
    <w:p w:rsidR="00126539" w:rsidRPr="00126539" w:rsidRDefault="00126539" w:rsidP="00126539">
      <w:pPr>
        <w:jc w:val="both"/>
        <w:rPr>
          <w:rFonts w:ascii="Times New Roman" w:hAnsi="Times New Roman" w:cs="Times New Roman"/>
        </w:rPr>
      </w:pPr>
      <w:r w:rsidRPr="00126539">
        <w:rPr>
          <w:rFonts w:ascii="Times New Roman" w:hAnsi="Times New Roman" w:cs="Times New Roman"/>
        </w:rPr>
        <w:t xml:space="preserve">Taktiež sa ozvala Slovenská banková asociácia (SBA), s ktorou sa uskutočnilo dňa 26. novembra 2021 online stretnutie, na ktorom sa pokračovalo v už začatých konzultáciách, ktoré sa začali prvým informatívnym stretnutím v auguste 2021 ohľadom tvorby cit. zákona, ktorým sa transponuje smernica Európskeho parlamentu a Rady (EÚ) 2020/1828 z 25. novembra 2020 o žalobách v zastúpení na ochranu kolektívnych záujmov spotrebiteľov a o zrušení smernice 2009/22/ES. </w:t>
      </w:r>
    </w:p>
    <w:p w:rsidR="00126539" w:rsidRPr="00126539" w:rsidRDefault="00126539" w:rsidP="00126539">
      <w:pPr>
        <w:jc w:val="both"/>
        <w:rPr>
          <w:rFonts w:ascii="Times New Roman" w:hAnsi="Times New Roman" w:cs="Times New Roman"/>
        </w:rPr>
      </w:pPr>
      <w:r w:rsidRPr="00126539">
        <w:rPr>
          <w:rFonts w:ascii="Times New Roman" w:hAnsi="Times New Roman" w:cs="Times New Roman"/>
        </w:rPr>
        <w:t xml:space="preserve">V rámci konzultácií vyjadrila SBA niektoré obavy, ktoré spája s novou právnou úpravou a bolo dohodnuté, že okruhy problémov zašlú písomne. Následne prebehla emailová komunikácia so SBA. Predkladateľ niektoré z týchto okruhov zohľadnil (napr. obava pred systémom </w:t>
      </w:r>
      <w:proofErr w:type="spellStart"/>
      <w:r w:rsidRPr="00126539">
        <w:rPr>
          <w:rFonts w:ascii="Times New Roman" w:hAnsi="Times New Roman" w:cs="Times New Roman"/>
        </w:rPr>
        <w:t>opt-out</w:t>
      </w:r>
      <w:proofErr w:type="spellEnd"/>
      <w:r w:rsidRPr="00126539">
        <w:rPr>
          <w:rFonts w:ascii="Times New Roman" w:hAnsi="Times New Roman" w:cs="Times New Roman"/>
        </w:rPr>
        <w:t xml:space="preserve">, financovaním sporov tretími stranami, špekulatívnymi žalobami, a pod.) pri príprave návrhu zákona a obavy SBA rozptýlil. </w:t>
      </w:r>
    </w:p>
    <w:p w:rsidR="00126539" w:rsidRPr="00126539" w:rsidRDefault="00126539" w:rsidP="00126539">
      <w:pPr>
        <w:jc w:val="both"/>
        <w:rPr>
          <w:rFonts w:ascii="Times New Roman" w:hAnsi="Times New Roman" w:cs="Times New Roman"/>
        </w:rPr>
      </w:pPr>
      <w:r w:rsidRPr="00126539">
        <w:rPr>
          <w:rFonts w:ascii="Times New Roman" w:hAnsi="Times New Roman" w:cs="Times New Roman"/>
        </w:rPr>
        <w:lastRenderedPageBreak/>
        <w:t>Posledná konzultácia so SBA sa uskutočnila dňa 18.7.2022, kedy im bol zaslaný návrh zákona v paragrafovom znení, pričom bolo dohodnuté, že SBA pošle aj písomné pripomienky k návrhu zákona. Tieto boli zaslané dňa 27.7.2022 a niektoré z nich boli úplne alebo čiastočne zapracované do predkladaného návrhu zákona.</w:t>
      </w:r>
    </w:p>
    <w:p w:rsidR="00126539" w:rsidRPr="00126539" w:rsidRDefault="00126539" w:rsidP="00126539">
      <w:pPr>
        <w:jc w:val="both"/>
        <w:rPr>
          <w:rFonts w:ascii="Times New Roman" w:eastAsia="Calibri" w:hAnsi="Times New Roman" w:cs="Times New Roman"/>
          <w:b/>
          <w:sz w:val="24"/>
          <w:szCs w:val="24"/>
        </w:rPr>
      </w:pPr>
      <w:bookmarkStart w:id="1" w:name="_Hlk47698091"/>
      <w:r w:rsidRPr="00126539">
        <w:rPr>
          <w:rFonts w:ascii="Times New Roman" w:eastAsia="Calibri" w:hAnsi="Times New Roman" w:cs="Times New Roman"/>
          <w:b/>
          <w:sz w:val="24"/>
          <w:szCs w:val="24"/>
        </w:rPr>
        <w:t>3.3 Vplyvy na konkurencieschopnosť a produktivitu</w:t>
      </w:r>
    </w:p>
    <w:bookmarkEnd w:id="1"/>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Dochádza k vytvoreniu resp. k zmene bariér na trhu? </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126539">
        <w:rPr>
          <w:rFonts w:ascii="Times New Roman" w:eastAsia="Calibri" w:hAnsi="Times New Roman" w:cs="Times New Roman"/>
          <w:i/>
          <w:sz w:val="24"/>
          <w:szCs w:val="24"/>
        </w:rPr>
        <w:t>mikro</w:t>
      </w:r>
      <w:proofErr w:type="spellEnd"/>
      <w:r w:rsidRPr="00126539">
        <w:rPr>
          <w:rFonts w:ascii="Times New Roman" w:eastAsia="Calibri" w:hAnsi="Times New Roman" w:cs="Times New Roman"/>
          <w:i/>
          <w:sz w:val="24"/>
          <w:szCs w:val="24"/>
        </w:rPr>
        <w:t xml:space="preserve">, malé a stredné podniky tzv. MSP)? </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Ovplyvní dostupnosť základných zdrojov (financie, pracovná sila, suroviny, mechanizmy, energie atď.)? </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Ovplyvňuje zmena regulácie inovácie, vedu a výskum?</w:t>
      </w:r>
    </w:p>
    <w:p w:rsidR="00126539" w:rsidRPr="00126539" w:rsidRDefault="00126539" w:rsidP="00126539">
      <w:pPr>
        <w:spacing w:after="0"/>
        <w:jc w:val="both"/>
        <w:rPr>
          <w:rFonts w:ascii="Times New Roman" w:eastAsia="Calibri" w:hAnsi="Times New Roman" w:cs="Times New Roman"/>
          <w:i/>
          <w:iCs/>
          <w:sz w:val="24"/>
          <w:szCs w:val="24"/>
        </w:rPr>
      </w:pPr>
      <w:r w:rsidRPr="00126539">
        <w:rPr>
          <w:rFonts w:ascii="Times New Roman" w:eastAsia="Calibri" w:hAnsi="Times New Roman" w:cs="Times New Roman"/>
          <w:i/>
          <w:iCs/>
          <w:sz w:val="24"/>
          <w:szCs w:val="24"/>
        </w:rPr>
        <w:t>Ako prispieva zmena regulácie k cieľu Slovenska mať najlepšie podnikateľské prostredie spomedzi susediacich krajín EÚ?</w:t>
      </w:r>
    </w:p>
    <w:p w:rsidR="00126539" w:rsidRPr="00126539" w:rsidRDefault="00126539" w:rsidP="00126539">
      <w:pPr>
        <w:spacing w:after="0"/>
        <w:jc w:val="both"/>
        <w:rPr>
          <w:rFonts w:ascii="Times New Roman" w:eastAsia="Calibri" w:hAnsi="Times New Roman" w:cs="Times New Roman"/>
          <w:i/>
          <w:iCs/>
          <w:sz w:val="24"/>
          <w:szCs w:val="24"/>
        </w:rPr>
      </w:pPr>
    </w:p>
    <w:p w:rsidR="00126539" w:rsidRPr="00126539" w:rsidRDefault="00126539" w:rsidP="00126539">
      <w:pPr>
        <w:spacing w:after="0"/>
        <w:jc w:val="both"/>
        <w:rPr>
          <w:rFonts w:ascii="Times New Roman" w:eastAsia="Calibri" w:hAnsi="Times New Roman" w:cs="Times New Roman"/>
          <w:b/>
          <w:i/>
          <w:sz w:val="24"/>
          <w:szCs w:val="24"/>
        </w:rPr>
      </w:pPr>
      <w:r w:rsidRPr="00126539">
        <w:rPr>
          <w:rFonts w:ascii="Times New Roman" w:eastAsia="Calibri" w:hAnsi="Times New Roman" w:cs="Times New Roman"/>
          <w:b/>
          <w:i/>
          <w:sz w:val="24"/>
          <w:szCs w:val="24"/>
        </w:rPr>
        <w:t>Konkurencieschopnosť:</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Na základe uvedených odpovedí zaškrtnite a popíšte, či materiál konkurencieschopnosť:</w:t>
      </w:r>
    </w:p>
    <w:p w:rsidR="00126539" w:rsidRPr="00126539" w:rsidRDefault="00703F2C" w:rsidP="00126539">
      <w:pPr>
        <w:spacing w:before="100" w:beforeAutospacing="1" w:after="100" w:afterAutospacing="1"/>
        <w:jc w:val="both"/>
        <w:rPr>
          <w:rFonts w:ascii="Times New Roman" w:eastAsia="Calibri" w:hAnsi="Times New Roman" w:cs="Times New Roman"/>
          <w:iCs/>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126539" w:rsidRPr="00126539">
                <w:rPr>
                  <w:rFonts w:ascii="Segoe UI Symbol" w:eastAsia="Calibri" w:hAnsi="Segoe UI Symbol" w:cs="Segoe UI Symbol"/>
                  <w:i/>
                  <w:sz w:val="24"/>
                  <w:szCs w:val="24"/>
                </w:rPr>
                <w:t>☐</w:t>
              </w:r>
            </w:sdtContent>
          </w:sdt>
        </w:sdtContent>
      </w:sdt>
      <w:r w:rsidR="00126539" w:rsidRPr="00126539">
        <w:rPr>
          <w:rFonts w:ascii="Times New Roman" w:eastAsia="Calibri" w:hAnsi="Times New Roman" w:cs="Times New Roman"/>
          <w:i/>
          <w:sz w:val="24"/>
          <w:szCs w:val="24"/>
        </w:rPr>
        <w:t xml:space="preserve"> zvyšuje  </w:t>
      </w:r>
      <w:r w:rsidR="00126539" w:rsidRPr="00126539">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126539" w:rsidRPr="00126539">
                <w:rPr>
                  <w:rFonts w:ascii="Cambria Math" w:eastAsia="Calibri" w:hAnsi="Cambria Math" w:cs="Cambria Math"/>
                  <w:i/>
                  <w:sz w:val="24"/>
                  <w:szCs w:val="24"/>
                </w:rPr>
                <w:t>⌧</w:t>
              </w:r>
            </w:sdtContent>
          </w:sdt>
        </w:sdtContent>
      </w:sdt>
      <w:r w:rsidR="00126539" w:rsidRPr="00126539">
        <w:rPr>
          <w:rFonts w:ascii="Times New Roman" w:eastAsia="Calibri" w:hAnsi="Times New Roman" w:cs="Times New Roman"/>
          <w:i/>
          <w:sz w:val="24"/>
          <w:szCs w:val="24"/>
        </w:rPr>
        <w:t xml:space="preserve"> nemení</w:t>
      </w:r>
      <w:r w:rsidR="00126539" w:rsidRPr="00126539">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126539" w:rsidRPr="00126539">
                <w:rPr>
                  <w:rFonts w:ascii="Segoe UI Symbol" w:eastAsia="Calibri" w:hAnsi="Segoe UI Symbol" w:cs="Segoe UI Symbol"/>
                  <w:i/>
                  <w:sz w:val="24"/>
                  <w:szCs w:val="24"/>
                </w:rPr>
                <w:t>☐</w:t>
              </w:r>
            </w:sdtContent>
          </w:sdt>
        </w:sdtContent>
      </w:sdt>
      <w:r w:rsidR="00126539" w:rsidRPr="00126539">
        <w:rPr>
          <w:rFonts w:ascii="Times New Roman" w:eastAsia="Calibri" w:hAnsi="Times New Roman" w:cs="Times New Roman"/>
          <w:i/>
          <w:sz w:val="24"/>
          <w:szCs w:val="24"/>
        </w:rPr>
        <w:t xml:space="preserve"> znižuje</w:t>
      </w:r>
    </w:p>
    <w:p w:rsidR="00126539" w:rsidRPr="00126539" w:rsidRDefault="00126539" w:rsidP="00126539">
      <w:pPr>
        <w:spacing w:before="100" w:beforeAutospacing="1" w:after="100" w:afterAutospacing="1" w:line="276"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 xml:space="preserve">Predkladaná legislatívna úprava nevytvára ani nemení bariéry na trhu. Takisto nezavádza osobitné režimy pre </w:t>
      </w:r>
      <w:proofErr w:type="spellStart"/>
      <w:r w:rsidRPr="00126539">
        <w:rPr>
          <w:rFonts w:ascii="Times New Roman" w:eastAsia="Calibri" w:hAnsi="Times New Roman" w:cs="Times New Roman"/>
          <w:iCs/>
          <w:sz w:val="24"/>
          <w:szCs w:val="24"/>
        </w:rPr>
        <w:t>mikro</w:t>
      </w:r>
      <w:proofErr w:type="spellEnd"/>
      <w:r w:rsidRPr="00126539">
        <w:rPr>
          <w:rFonts w:ascii="Times New Roman" w:eastAsia="Calibri" w:hAnsi="Times New Roman" w:cs="Times New Roman"/>
          <w:iCs/>
          <w:sz w:val="24"/>
          <w:szCs w:val="24"/>
        </w:rPr>
        <w:t xml:space="preserve">, malé a stredné podniky. Navrhovaný právny predpis zavádza regulácie pre všetky typy podnikov rovnako. Predkladaný legislatívny návrh tiež nebude mať vplyv na cezhraničné investície. </w:t>
      </w:r>
    </w:p>
    <w:p w:rsidR="00126539" w:rsidRPr="00126539" w:rsidRDefault="00126539" w:rsidP="00126539">
      <w:pPr>
        <w:spacing w:before="100" w:beforeAutospacing="1" w:after="100" w:afterAutospacing="1"/>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 xml:space="preserve">Dostupnosť základných zdrojov môže byť po schválení navrhovanej právnej úpravy čiastočne ovplyvnená, keďže obchodníci po právoplatnom rozhodnutí súdu môžu spotrebiteľom poskytnúť náhrady škody, opravu alebo výmenu produktu a pod. Pôjde však len o nevýznamnú časť podnikateľského prostredia – tú, voči ktorej súdy právoplatne rozhodnú o porušeniach právnych predpisov v konaniach o žalobách </w:t>
      </w:r>
      <w:r w:rsidRPr="00126539">
        <w:rPr>
          <w:rFonts w:ascii="Times New Roman" w:eastAsia="Calibri" w:hAnsi="Times New Roman" w:cs="Times New Roman"/>
          <w:sz w:val="24"/>
          <w:szCs w:val="24"/>
        </w:rPr>
        <w:t>na ochranu kolektívnych záujmov spotrebiteľov</w:t>
      </w:r>
      <w:r w:rsidRPr="00126539">
        <w:rPr>
          <w:rFonts w:ascii="Times New Roman" w:eastAsia="Calibri" w:hAnsi="Times New Roman" w:cs="Times New Roman"/>
          <w:iCs/>
          <w:sz w:val="24"/>
          <w:szCs w:val="24"/>
        </w:rPr>
        <w:t xml:space="preserve">. </w:t>
      </w:r>
    </w:p>
    <w:p w:rsidR="00126539" w:rsidRPr="00126539" w:rsidRDefault="00126539" w:rsidP="00126539">
      <w:pPr>
        <w:spacing w:before="100" w:beforeAutospacing="1" w:after="100" w:afterAutospacing="1"/>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 xml:space="preserve">Predkladaná legislatívna právna nepredpokladá vplyv na inovácie, vedu a výskum. Podnikateľské prostredie v porovnaní so susednými štátmi EÚ bude porovnateľné, o transpozíciu smernice, </w:t>
      </w:r>
      <w:proofErr w:type="spellStart"/>
      <w:r w:rsidRPr="00126539">
        <w:rPr>
          <w:rFonts w:ascii="Times New Roman" w:eastAsia="Calibri" w:hAnsi="Times New Roman" w:cs="Times New Roman"/>
          <w:iCs/>
          <w:sz w:val="24"/>
          <w:szCs w:val="24"/>
        </w:rPr>
        <w:t>t.j</w:t>
      </w:r>
      <w:proofErr w:type="spellEnd"/>
      <w:r w:rsidRPr="00126539">
        <w:rPr>
          <w:rFonts w:ascii="Times New Roman" w:eastAsia="Calibri" w:hAnsi="Times New Roman" w:cs="Times New Roman"/>
          <w:iCs/>
          <w:sz w:val="24"/>
          <w:szCs w:val="24"/>
        </w:rPr>
        <w:t>. obdobnú úpravu s porovnateľnými parametrami musia mať v určitom čase všetky členské štáty Európskej únie.</w:t>
      </w:r>
    </w:p>
    <w:p w:rsidR="00126539" w:rsidRPr="00126539" w:rsidRDefault="00126539" w:rsidP="00126539">
      <w:pPr>
        <w:spacing w:before="100" w:beforeAutospacing="1" w:after="100" w:afterAutospacing="1"/>
        <w:jc w:val="both"/>
        <w:rPr>
          <w:rFonts w:ascii="Times New Roman" w:eastAsia="Calibri" w:hAnsi="Times New Roman" w:cs="Times New Roman"/>
          <w:iCs/>
          <w:sz w:val="24"/>
          <w:szCs w:val="24"/>
        </w:rPr>
      </w:pPr>
    </w:p>
    <w:p w:rsidR="00126539" w:rsidRPr="00126539" w:rsidRDefault="00126539" w:rsidP="00126539">
      <w:pPr>
        <w:spacing w:after="0"/>
        <w:jc w:val="both"/>
        <w:rPr>
          <w:rFonts w:ascii="Times New Roman" w:eastAsia="Calibri" w:hAnsi="Times New Roman" w:cs="Times New Roman"/>
          <w:b/>
          <w:i/>
          <w:sz w:val="24"/>
          <w:szCs w:val="24"/>
        </w:rPr>
      </w:pPr>
      <w:r w:rsidRPr="00126539">
        <w:rPr>
          <w:rFonts w:ascii="Times New Roman" w:eastAsia="Calibri" w:hAnsi="Times New Roman" w:cs="Times New Roman"/>
          <w:b/>
          <w:i/>
          <w:sz w:val="24"/>
          <w:szCs w:val="24"/>
        </w:rPr>
        <w:t>Produktivita:</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Aký má materiál vplyv na zmenu pomeru medzi produkciou podnikov a ich nákladmi? </w:t>
      </w:r>
    </w:p>
    <w:p w:rsidR="00126539" w:rsidRPr="00126539" w:rsidRDefault="00126539" w:rsidP="00126539">
      <w:pPr>
        <w:spacing w:after="0"/>
        <w:jc w:val="both"/>
        <w:rPr>
          <w:rFonts w:ascii="Times New Roman" w:eastAsia="Calibri" w:hAnsi="Times New Roman" w:cs="Times New Roman"/>
          <w:i/>
          <w:sz w:val="24"/>
          <w:szCs w:val="24"/>
        </w:rPr>
      </w:pP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sz w:val="24"/>
          <w:szCs w:val="24"/>
        </w:rPr>
        <w:t>Predkladaný materiál má negatívny vplyv na zvýšenie nákladov pre podnikateľský sektor. Dotkne sa však len minimálneho počtu subjektov, preto predkladateľom bolo zaškrtnuté, že návrh právneho predpis produktivitu nemení.</w:t>
      </w:r>
    </w:p>
    <w:p w:rsidR="00126539" w:rsidRPr="00126539" w:rsidRDefault="00126539" w:rsidP="00126539">
      <w:pPr>
        <w:spacing w:after="0"/>
        <w:jc w:val="both"/>
        <w:rPr>
          <w:rFonts w:ascii="Times New Roman" w:eastAsia="Calibri" w:hAnsi="Times New Roman" w:cs="Times New Roman"/>
          <w:i/>
          <w:sz w:val="24"/>
          <w:szCs w:val="24"/>
        </w:rPr>
      </w:pP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Na základe uvedenej odpovede zaškrtnite a popíšte, či materiál produktivitu:</w:t>
      </w:r>
    </w:p>
    <w:p w:rsidR="00126539" w:rsidRPr="00126539" w:rsidRDefault="00703F2C" w:rsidP="00126539">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126539" w:rsidRPr="00126539">
                <w:rPr>
                  <w:rFonts w:ascii="Segoe UI Symbol" w:eastAsia="Calibri" w:hAnsi="Segoe UI Symbol" w:cs="Segoe UI Symbol"/>
                  <w:i/>
                  <w:sz w:val="24"/>
                  <w:szCs w:val="24"/>
                </w:rPr>
                <w:t>☐</w:t>
              </w:r>
            </w:sdtContent>
          </w:sdt>
        </w:sdtContent>
      </w:sdt>
      <w:r w:rsidR="00126539" w:rsidRPr="00126539">
        <w:rPr>
          <w:rFonts w:ascii="Times New Roman" w:eastAsia="Calibri" w:hAnsi="Times New Roman" w:cs="Times New Roman"/>
          <w:i/>
          <w:sz w:val="24"/>
          <w:szCs w:val="24"/>
        </w:rPr>
        <w:t xml:space="preserve"> zvyšuje  </w:t>
      </w:r>
      <w:r w:rsidR="00126539" w:rsidRPr="00126539">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232303002"/>
        </w:sdtPr>
        <w:sdtEndPr/>
        <w:sdtContent>
          <w:r w:rsidR="00126539" w:rsidRPr="00126539">
            <w:rPr>
              <w:rFonts w:ascii="Cambria Math" w:eastAsia="Calibri" w:hAnsi="Cambria Math" w:cs="Cambria Math"/>
              <w:i/>
              <w:sz w:val="24"/>
              <w:szCs w:val="24"/>
            </w:rPr>
            <w:t>⌧</w:t>
          </w:r>
        </w:sdtContent>
      </w:sdt>
      <w:r w:rsidR="00126539" w:rsidRPr="00126539">
        <w:rPr>
          <w:rFonts w:ascii="Times New Roman" w:eastAsia="Calibri" w:hAnsi="Times New Roman" w:cs="Times New Roman"/>
          <w:i/>
          <w:sz w:val="24"/>
          <w:szCs w:val="24"/>
        </w:rPr>
        <w:t xml:space="preserve"> nemení</w:t>
      </w:r>
      <w:r w:rsidR="00126539" w:rsidRPr="00126539">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128845060"/>
        </w:sdtPr>
        <w:sdtEndPr/>
        <w:sdtContent>
          <w:r w:rsidR="00126539" w:rsidRPr="00126539">
            <w:rPr>
              <w:rFonts w:ascii="Segoe UI Symbol" w:eastAsia="Calibri" w:hAnsi="Segoe UI Symbol" w:cs="Segoe UI Symbol"/>
              <w:i/>
              <w:sz w:val="24"/>
              <w:szCs w:val="24"/>
            </w:rPr>
            <w:t>☐</w:t>
          </w:r>
        </w:sdtContent>
      </w:sdt>
      <w:r w:rsidR="00126539" w:rsidRPr="00126539">
        <w:rPr>
          <w:rFonts w:ascii="Times New Roman" w:eastAsia="Calibri" w:hAnsi="Times New Roman" w:cs="Times New Roman"/>
          <w:i/>
          <w:sz w:val="24"/>
          <w:szCs w:val="24"/>
        </w:rPr>
        <w:t xml:space="preserve"> znižuje</w:t>
      </w:r>
    </w:p>
    <w:p w:rsidR="00126539" w:rsidRPr="00126539" w:rsidRDefault="00126539" w:rsidP="00126539">
      <w:pPr>
        <w:spacing w:after="0"/>
        <w:jc w:val="both"/>
        <w:rPr>
          <w:rFonts w:ascii="Times New Roman" w:eastAsia="Calibri" w:hAnsi="Times New Roman" w:cs="Times New Roman"/>
          <w:i/>
          <w:sz w:val="24"/>
          <w:szCs w:val="24"/>
        </w:rPr>
      </w:pPr>
    </w:p>
    <w:p w:rsidR="00126539" w:rsidRPr="00126539" w:rsidRDefault="00126539" w:rsidP="00126539">
      <w:pPr>
        <w:spacing w:after="0"/>
        <w:jc w:val="both"/>
        <w:rPr>
          <w:rFonts w:ascii="Times New Roman" w:eastAsia="Calibri" w:hAnsi="Times New Roman" w:cs="Times New Roman"/>
          <w:i/>
          <w:sz w:val="24"/>
          <w:szCs w:val="24"/>
        </w:rPr>
      </w:pPr>
    </w:p>
    <w:p w:rsidR="00126539" w:rsidRPr="00126539" w:rsidRDefault="00126539" w:rsidP="00126539">
      <w:pPr>
        <w:jc w:val="both"/>
        <w:rPr>
          <w:rFonts w:ascii="Times New Roman" w:eastAsia="Calibri" w:hAnsi="Times New Roman" w:cs="Times New Roman"/>
          <w:b/>
          <w:sz w:val="24"/>
          <w:szCs w:val="24"/>
        </w:rPr>
      </w:pPr>
      <w:r w:rsidRPr="00126539">
        <w:rPr>
          <w:rFonts w:ascii="Times New Roman" w:eastAsia="Calibri" w:hAnsi="Times New Roman" w:cs="Times New Roman"/>
          <w:b/>
          <w:sz w:val="24"/>
          <w:szCs w:val="24"/>
        </w:rPr>
        <w:t xml:space="preserve">3.4  Iné vplyvy na podnikateľské prostredie </w:t>
      </w:r>
    </w:p>
    <w:p w:rsidR="00126539" w:rsidRPr="00126539" w:rsidRDefault="00126539" w:rsidP="00126539">
      <w:pPr>
        <w:spacing w:after="0"/>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126539" w:rsidRPr="00126539" w:rsidRDefault="00126539" w:rsidP="00126539">
      <w:pPr>
        <w:pStyle w:val="Odsekzoznamu"/>
        <w:numPr>
          <w:ilvl w:val="0"/>
          <w:numId w:val="6"/>
        </w:numPr>
        <w:spacing w:after="0" w:line="254" w:lineRule="auto"/>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sankcie alebo pokuty, ako dôsledok porušenia právne záväzných ustanovení;</w:t>
      </w:r>
    </w:p>
    <w:p w:rsidR="00126539" w:rsidRPr="00126539" w:rsidRDefault="00126539" w:rsidP="00126539">
      <w:pPr>
        <w:pStyle w:val="Odsekzoznamu"/>
        <w:numPr>
          <w:ilvl w:val="0"/>
          <w:numId w:val="6"/>
        </w:numPr>
        <w:spacing w:after="0" w:line="254" w:lineRule="auto"/>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126539" w:rsidRPr="00126539" w:rsidRDefault="00126539" w:rsidP="00126539">
      <w:pPr>
        <w:pStyle w:val="Odsekzoznamu"/>
        <w:numPr>
          <w:ilvl w:val="0"/>
          <w:numId w:val="6"/>
        </w:numPr>
        <w:spacing w:after="0" w:line="254" w:lineRule="auto"/>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regulované ceny podľa zákona č. 18/1996 Z. z. o cenách;</w:t>
      </w:r>
    </w:p>
    <w:p w:rsidR="00126539" w:rsidRPr="00126539" w:rsidRDefault="00126539" w:rsidP="00126539">
      <w:pPr>
        <w:pStyle w:val="Odsekzoznamu"/>
        <w:numPr>
          <w:ilvl w:val="0"/>
          <w:numId w:val="6"/>
        </w:numPr>
        <w:spacing w:after="0" w:line="254" w:lineRule="auto"/>
        <w:jc w:val="both"/>
        <w:rPr>
          <w:rFonts w:ascii="Times New Roman" w:eastAsia="Calibri" w:hAnsi="Times New Roman" w:cs="Times New Roman"/>
          <w:i/>
          <w:sz w:val="24"/>
          <w:szCs w:val="24"/>
        </w:rPr>
      </w:pPr>
      <w:r w:rsidRPr="00126539">
        <w:rPr>
          <w:rFonts w:ascii="Times New Roman" w:eastAsia="Calibri" w:hAnsi="Times New Roman" w:cs="Times New Roman"/>
          <w:i/>
          <w:sz w:val="24"/>
          <w:szCs w:val="24"/>
        </w:rPr>
        <w:t xml:space="preserve">iné vplyvy, ktoré predpokladá materiál, ale nemožno ich zaradiť do častí 3.1 a 3.3. </w:t>
      </w:r>
    </w:p>
    <w:p w:rsidR="00126539" w:rsidRPr="00126539" w:rsidRDefault="00126539" w:rsidP="00126539">
      <w:pPr>
        <w:spacing w:after="0" w:line="254" w:lineRule="auto"/>
        <w:jc w:val="both"/>
        <w:rPr>
          <w:rFonts w:ascii="Times New Roman" w:eastAsia="Calibri" w:hAnsi="Times New Roman" w:cs="Times New Roman"/>
          <w:i/>
          <w:sz w:val="24"/>
          <w:szCs w:val="24"/>
        </w:rPr>
      </w:pPr>
    </w:p>
    <w:p w:rsidR="00126539" w:rsidRPr="00126539" w:rsidRDefault="00126539" w:rsidP="00126539">
      <w:p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 xml:space="preserve">Navrhovaný právny predpis bude mať aj iné vplyvy na podnikateľské prostredie - obchodníkov, ktoré ho negatívne ovplyvnia. Súvisieť bude s uhrádzaním poplatkov súvisiacich so súdnym konaním na ochranu kolektívnych záujmov spotrebiteľov. </w:t>
      </w:r>
    </w:p>
    <w:p w:rsidR="00126539" w:rsidRPr="00126539" w:rsidRDefault="00126539" w:rsidP="00126539">
      <w:pPr>
        <w:spacing w:after="0" w:line="254" w:lineRule="auto"/>
        <w:jc w:val="both"/>
        <w:rPr>
          <w:rFonts w:ascii="Times New Roman" w:eastAsia="Calibri" w:hAnsi="Times New Roman" w:cs="Times New Roman"/>
          <w:iCs/>
          <w:sz w:val="24"/>
          <w:szCs w:val="24"/>
        </w:rPr>
      </w:pPr>
    </w:p>
    <w:p w:rsidR="00126539" w:rsidRPr="00126539" w:rsidRDefault="00126539" w:rsidP="00126539">
      <w:p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Predkladateľ návrhu zákona identifikoval aj ďalšie iné vplyvy, ktoré negatívne ovplyvnia podnikateľské prostredie (§ 12 ods. 5 a § 17 ods. 5 návrhu zákona v súčinnosti s § 3 písm. i)):</w:t>
      </w:r>
    </w:p>
    <w:p w:rsidR="00126539" w:rsidRPr="00126539" w:rsidRDefault="00126539" w:rsidP="00126539">
      <w:pPr>
        <w:spacing w:after="0" w:line="254" w:lineRule="auto"/>
        <w:jc w:val="both"/>
        <w:rPr>
          <w:rFonts w:ascii="Times New Roman" w:eastAsia="Calibri" w:hAnsi="Times New Roman" w:cs="Times New Roman"/>
          <w:iCs/>
          <w:sz w:val="24"/>
          <w:szCs w:val="24"/>
        </w:rPr>
      </w:pPr>
    </w:p>
    <w:p w:rsidR="00126539" w:rsidRPr="00126539" w:rsidRDefault="00126539" w:rsidP="00126539">
      <w:p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 xml:space="preserve">§ 12 ods. 5: </w:t>
      </w:r>
    </w:p>
    <w:p w:rsidR="00126539" w:rsidRPr="00126539" w:rsidRDefault="00126539" w:rsidP="00126539">
      <w:pPr>
        <w:pStyle w:val="Odsekzoznamu"/>
        <w:numPr>
          <w:ilvl w:val="0"/>
          <w:numId w:val="8"/>
        </w:num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Uloženie poriadkového opatrenia</w:t>
      </w:r>
    </w:p>
    <w:p w:rsidR="00126539" w:rsidRPr="00126539" w:rsidRDefault="00126539" w:rsidP="00126539">
      <w:pPr>
        <w:spacing w:after="0" w:line="254" w:lineRule="auto"/>
        <w:jc w:val="both"/>
        <w:rPr>
          <w:rFonts w:ascii="Times New Roman" w:eastAsia="Calibri" w:hAnsi="Times New Roman" w:cs="Times New Roman"/>
          <w:iCs/>
          <w:sz w:val="24"/>
          <w:szCs w:val="24"/>
        </w:rPr>
      </w:pPr>
    </w:p>
    <w:p w:rsidR="00126539" w:rsidRPr="00126539" w:rsidRDefault="00126539" w:rsidP="00126539">
      <w:p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 xml:space="preserve">§ 17 ods. 5 určenie nápravného opatrenia v súčinnosti s § 3 písm. i): </w:t>
      </w:r>
    </w:p>
    <w:p w:rsidR="00126539" w:rsidRPr="00126539" w:rsidRDefault="00126539" w:rsidP="00126539">
      <w:pPr>
        <w:pStyle w:val="Odsekzoznamu"/>
        <w:numPr>
          <w:ilvl w:val="0"/>
          <w:numId w:val="9"/>
        </w:num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náhrada škody,</w:t>
      </w:r>
    </w:p>
    <w:p w:rsidR="00126539" w:rsidRPr="00126539" w:rsidRDefault="00126539" w:rsidP="00126539">
      <w:pPr>
        <w:pStyle w:val="Odsekzoznamu"/>
        <w:numPr>
          <w:ilvl w:val="0"/>
          <w:numId w:val="9"/>
        </w:num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oprava alebo výmenu produktu,</w:t>
      </w:r>
    </w:p>
    <w:p w:rsidR="00126539" w:rsidRPr="00126539" w:rsidRDefault="00126539" w:rsidP="00126539">
      <w:pPr>
        <w:pStyle w:val="Odsekzoznamu"/>
        <w:numPr>
          <w:ilvl w:val="0"/>
          <w:numId w:val="9"/>
        </w:num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zľava z kúpnej ceny,</w:t>
      </w:r>
    </w:p>
    <w:p w:rsidR="00126539" w:rsidRPr="00126539" w:rsidRDefault="00126539" w:rsidP="00126539">
      <w:pPr>
        <w:pStyle w:val="Odsekzoznamu"/>
        <w:numPr>
          <w:ilvl w:val="0"/>
          <w:numId w:val="9"/>
        </w:num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vypovedanie zmluvy,</w:t>
      </w:r>
    </w:p>
    <w:p w:rsidR="00126539" w:rsidRPr="00126539" w:rsidRDefault="00126539" w:rsidP="00126539">
      <w:pPr>
        <w:pStyle w:val="Odsekzoznamu"/>
        <w:numPr>
          <w:ilvl w:val="0"/>
          <w:numId w:val="9"/>
        </w:num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vrátenie uhradenej kúpnej ceny</w:t>
      </w:r>
    </w:p>
    <w:p w:rsidR="00126539" w:rsidRPr="00126539" w:rsidRDefault="00126539" w:rsidP="00126539">
      <w:pPr>
        <w:pStyle w:val="Odsekzoznamu"/>
        <w:numPr>
          <w:ilvl w:val="0"/>
          <w:numId w:val="9"/>
        </w:numPr>
        <w:spacing w:after="0" w:line="254" w:lineRule="auto"/>
        <w:jc w:val="both"/>
        <w:rPr>
          <w:rFonts w:ascii="Times New Roman" w:eastAsia="Calibri" w:hAnsi="Times New Roman" w:cs="Times New Roman"/>
          <w:iCs/>
          <w:sz w:val="24"/>
          <w:szCs w:val="24"/>
        </w:rPr>
      </w:pPr>
      <w:r w:rsidRPr="00126539">
        <w:rPr>
          <w:rFonts w:ascii="Times New Roman" w:eastAsia="Calibri" w:hAnsi="Times New Roman" w:cs="Times New Roman"/>
          <w:iCs/>
          <w:sz w:val="24"/>
          <w:szCs w:val="24"/>
        </w:rPr>
        <w:t xml:space="preserve">vydanie bezdôvodného obohatenia. </w:t>
      </w:r>
    </w:p>
    <w:p w:rsidR="00126539" w:rsidRPr="00126539" w:rsidRDefault="00126539" w:rsidP="00126539">
      <w:pPr>
        <w:spacing w:after="0" w:line="254" w:lineRule="auto"/>
        <w:jc w:val="both"/>
        <w:rPr>
          <w:rFonts w:ascii="Times New Roman" w:eastAsia="Calibri" w:hAnsi="Times New Roman" w:cs="Times New Roman"/>
          <w:iCs/>
          <w:sz w:val="24"/>
          <w:szCs w:val="24"/>
        </w:rPr>
      </w:pPr>
    </w:p>
    <w:p w:rsidR="00126539" w:rsidRPr="00126539" w:rsidRDefault="00126539" w:rsidP="00126539">
      <w:pPr>
        <w:spacing w:after="0" w:line="254" w:lineRule="auto"/>
        <w:jc w:val="both"/>
        <w:rPr>
          <w:rFonts w:ascii="Times New Roman" w:eastAsia="Calibri" w:hAnsi="Times New Roman" w:cs="Times New Roman"/>
          <w:sz w:val="24"/>
          <w:szCs w:val="24"/>
        </w:rPr>
      </w:pPr>
      <w:r w:rsidRPr="00126539">
        <w:rPr>
          <w:rFonts w:ascii="Times New Roman" w:eastAsia="Calibri" w:hAnsi="Times New Roman" w:cs="Times New Roman"/>
          <w:iCs/>
          <w:sz w:val="24"/>
          <w:szCs w:val="24"/>
        </w:rPr>
        <w:t xml:space="preserve">§ 3 písm. i): </w:t>
      </w:r>
      <w:r w:rsidRPr="00126539">
        <w:rPr>
          <w:rFonts w:ascii="Times New Roman" w:hAnsi="Times New Roman" w:cs="Times New Roman"/>
          <w:sz w:val="24"/>
          <w:szCs w:val="24"/>
        </w:rPr>
        <w:t>nápravným opatrením opatrenie, ktorým sa obchodníkovi ukladá povinnosť poskytnúť prihláseným spotrebiteľom nápravu spočívajúcu v náhrade škody, oprave alebo výmene produktu, zľave z kúpnej ceny, vrátení uhradenej kúpnej ceny, vydaní bezdôvodného obohatenia, v povinnosti obchodníka ukončiť zmluvný záväzok a vysporiadať so spotrebiteľmi vzájomné nároky plynúce zo zmluvného záväzku, v povinnosti obchodníka pokračovať v plnení záväzku, ktorý ukončil, alebo inom obdobnom opatrení, ktoré smeruje k náprave, okrem povinnosti úhrady primeraného finančného zadosťučinenia.</w:t>
      </w:r>
    </w:p>
    <w:p w:rsidR="00126539" w:rsidRPr="00126539" w:rsidRDefault="00126539" w:rsidP="00126539">
      <w:pPr>
        <w:spacing w:after="0" w:line="254" w:lineRule="auto"/>
        <w:jc w:val="both"/>
        <w:rPr>
          <w:rFonts w:ascii="Times New Roman" w:eastAsia="Calibri" w:hAnsi="Times New Roman" w:cs="Times New Roman"/>
          <w:sz w:val="24"/>
          <w:szCs w:val="24"/>
        </w:rPr>
      </w:pPr>
    </w:p>
    <w:p w:rsidR="00126539" w:rsidRPr="00126539" w:rsidRDefault="00126539" w:rsidP="00126539">
      <w:pPr>
        <w:spacing w:after="0" w:line="254" w:lineRule="auto"/>
        <w:jc w:val="both"/>
        <w:rPr>
          <w:rFonts w:ascii="Times New Roman" w:eastAsia="Calibri" w:hAnsi="Times New Roman" w:cs="Times New Roman"/>
          <w:sz w:val="24"/>
          <w:szCs w:val="24"/>
        </w:rPr>
      </w:pPr>
      <w:r w:rsidRPr="00126539">
        <w:rPr>
          <w:rFonts w:ascii="Times New Roman" w:eastAsia="Calibri" w:hAnsi="Times New Roman" w:cs="Times New Roman"/>
          <w:iCs/>
          <w:sz w:val="24"/>
          <w:szCs w:val="24"/>
        </w:rPr>
        <w:t>Na druhej strane, spory, ktorý majú základ v tom istom údajnom porušení právnych predpisov, sa budú rozhodovať v jednom konaní začatom na základe kolektívnej žaloby miesto veľkého počtu individuálnych konaní začatých na základe žalôb jednotlivých dotknutých spotrebiteľov. To môže v konečnom dôsledku znamenať úsporu na strane obchodníkov, a teda pozitívny vplyv na podnikateľský sektor.</w:t>
      </w: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126539" w:rsidRPr="00126539" w:rsidTr="009B5BD2">
        <w:trPr>
          <w:trHeight w:val="534"/>
          <w:jc w:val="center"/>
        </w:trPr>
        <w:tc>
          <w:tcPr>
            <w:tcW w:w="5000" w:type="pct"/>
            <w:gridSpan w:val="3"/>
            <w:shd w:val="clear" w:color="auto" w:fill="808080"/>
          </w:tcPr>
          <w:p w:rsidR="00126539" w:rsidRPr="00126539" w:rsidRDefault="00126539" w:rsidP="009B5BD2">
            <w:pPr>
              <w:spacing w:after="0" w:line="240" w:lineRule="auto"/>
              <w:ind w:left="-284" w:firstLine="284"/>
              <w:jc w:val="center"/>
              <w:rPr>
                <w:rFonts w:ascii="Times New Roman" w:hAnsi="Times New Roman" w:cs="Times New Roman"/>
                <w:b/>
                <w:lang w:eastAsia="sk-SK"/>
              </w:rPr>
            </w:pPr>
            <w:r w:rsidRPr="00126539">
              <w:rPr>
                <w:rFonts w:ascii="Times New Roman" w:hAnsi="Times New Roman" w:cs="Times New Roman"/>
                <w:b/>
                <w:sz w:val="28"/>
                <w:lang w:eastAsia="sk-SK"/>
              </w:rPr>
              <w:lastRenderedPageBreak/>
              <w:t>Analýza sociálnych vplyvov</w:t>
            </w:r>
          </w:p>
          <w:p w:rsidR="00126539" w:rsidRPr="00126539" w:rsidRDefault="00126539" w:rsidP="009B5BD2">
            <w:pPr>
              <w:spacing w:after="0" w:line="240" w:lineRule="auto"/>
              <w:jc w:val="center"/>
              <w:rPr>
                <w:rFonts w:ascii="Times New Roman" w:hAnsi="Times New Roman" w:cs="Times New Roman"/>
                <w:b/>
                <w:sz w:val="24"/>
                <w:lang w:eastAsia="sk-SK"/>
              </w:rPr>
            </w:pPr>
            <w:r w:rsidRPr="00126539">
              <w:rPr>
                <w:rFonts w:ascii="Times New Roman"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126539" w:rsidRPr="00126539" w:rsidRDefault="00126539" w:rsidP="009B5BD2">
            <w:pPr>
              <w:spacing w:after="0" w:line="240" w:lineRule="auto"/>
              <w:jc w:val="both"/>
              <w:rPr>
                <w:rFonts w:ascii="Times New Roman" w:hAnsi="Times New Roman" w:cs="Times New Roman"/>
                <w:b/>
                <w:lang w:eastAsia="sk-SK"/>
              </w:rPr>
            </w:pPr>
            <w:r w:rsidRPr="00126539">
              <w:rPr>
                <w:rFonts w:ascii="Times New Roman" w:hAnsi="Times New Roman" w:cs="Times New Roman"/>
                <w:b/>
                <w:sz w:val="18"/>
                <w:lang w:eastAsia="sk-SK"/>
              </w:rPr>
              <w:t>(</w:t>
            </w:r>
            <w:r w:rsidRPr="00126539">
              <w:rPr>
                <w:rFonts w:ascii="Times New Roman" w:hAnsi="Times New Roman" w:cs="Times New Roman"/>
                <w:sz w:val="18"/>
                <w:lang w:eastAsia="sk-SK"/>
              </w:rPr>
              <w:t>Ak v niektorej z hodnotených oblastí sociálnych vplyvov (bodov 4.1 až 4.4) nebol identifikovaný vplyv, uveďte v príslušnom riadku analýzy poznámku „Bez vplyvu.“.)</w:t>
            </w:r>
          </w:p>
        </w:tc>
      </w:tr>
      <w:tr w:rsidR="00126539" w:rsidRPr="00126539" w:rsidTr="009B5BD2">
        <w:trPr>
          <w:jc w:val="center"/>
        </w:trPr>
        <w:tc>
          <w:tcPr>
            <w:tcW w:w="5000" w:type="pct"/>
            <w:gridSpan w:val="3"/>
            <w:shd w:val="clear" w:color="auto" w:fill="A6A6A6"/>
          </w:tcPr>
          <w:p w:rsidR="00126539" w:rsidRPr="00126539" w:rsidRDefault="00126539" w:rsidP="009B5BD2">
            <w:pPr>
              <w:spacing w:after="0" w:line="240" w:lineRule="auto"/>
              <w:rPr>
                <w:rFonts w:ascii="Times New Roman" w:hAnsi="Times New Roman" w:cs="Times New Roman"/>
                <w:b/>
                <w:sz w:val="24"/>
                <w:lang w:eastAsia="sk-SK"/>
              </w:rPr>
            </w:pPr>
            <w:r w:rsidRPr="00126539">
              <w:rPr>
                <w:rFonts w:ascii="Times New Roman" w:hAnsi="Times New Roman" w:cs="Times New Roman"/>
                <w:b/>
                <w:lang w:eastAsia="sk-SK"/>
              </w:rPr>
              <w:t xml:space="preserve">4.1 </w:t>
            </w:r>
            <w:r w:rsidRPr="00126539">
              <w:rPr>
                <w:rFonts w:ascii="Times New Roman"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126539" w:rsidRPr="00126539" w:rsidTr="009B5BD2">
        <w:trPr>
          <w:jc w:val="center"/>
        </w:trPr>
        <w:tc>
          <w:tcPr>
            <w:tcW w:w="5000" w:type="pct"/>
            <w:gridSpan w:val="3"/>
            <w:shd w:val="clear" w:color="auto" w:fill="F2F2F2"/>
          </w:tcPr>
          <w:p w:rsidR="00126539" w:rsidRPr="00126539" w:rsidRDefault="00126539" w:rsidP="009B5BD2">
            <w:pPr>
              <w:spacing w:after="0" w:line="240" w:lineRule="auto"/>
              <w:rPr>
                <w:rFonts w:ascii="Times New Roman" w:hAnsi="Times New Roman" w:cs="Times New Roman"/>
                <w:i/>
                <w:sz w:val="20"/>
                <w:lang w:eastAsia="sk-SK"/>
              </w:rPr>
            </w:pPr>
            <w:r w:rsidRPr="00126539">
              <w:rPr>
                <w:rFonts w:ascii="Times New Roman" w:hAnsi="Times New Roman" w:cs="Times New Roman"/>
                <w:i/>
                <w:sz w:val="20"/>
                <w:lang w:eastAsia="sk-SK"/>
              </w:rPr>
              <w:t xml:space="preserve">Vedie návrh k zvýšeniu alebo zníženiu príjmov alebo výdavkov domácností? </w:t>
            </w:r>
          </w:p>
          <w:p w:rsidR="00126539" w:rsidRPr="00126539" w:rsidRDefault="00126539" w:rsidP="009B5BD2">
            <w:pPr>
              <w:spacing w:after="0" w:line="240" w:lineRule="auto"/>
              <w:rPr>
                <w:rFonts w:ascii="Times New Roman" w:hAnsi="Times New Roman" w:cs="Times New Roman"/>
                <w:i/>
                <w:sz w:val="20"/>
                <w:lang w:eastAsia="sk-SK"/>
              </w:rPr>
            </w:pPr>
            <w:r w:rsidRPr="00126539">
              <w:rPr>
                <w:rFonts w:ascii="Times New Roman" w:hAnsi="Times New Roman" w:cs="Times New Roman"/>
                <w:i/>
                <w:sz w:val="20"/>
                <w:lang w:eastAsia="sk-SK"/>
              </w:rPr>
              <w:t xml:space="preserve">Ktoré skupiny domácností/obyvateľstva sú takto ovplyvnené a akým spôsobom? </w:t>
            </w:r>
          </w:p>
          <w:p w:rsidR="00126539" w:rsidRPr="00126539" w:rsidRDefault="00126539" w:rsidP="009B5BD2">
            <w:pPr>
              <w:spacing w:after="0" w:line="240" w:lineRule="auto"/>
              <w:rPr>
                <w:rFonts w:ascii="Times New Roman" w:hAnsi="Times New Roman" w:cs="Times New Roman"/>
                <w:i/>
                <w:sz w:val="20"/>
                <w:lang w:eastAsia="sk-SK"/>
              </w:rPr>
            </w:pPr>
            <w:r w:rsidRPr="00126539">
              <w:rPr>
                <w:rFonts w:ascii="Times New Roman" w:hAnsi="Times New Roman" w:cs="Times New Roman"/>
                <w:i/>
                <w:sz w:val="20"/>
                <w:lang w:eastAsia="sk-SK"/>
              </w:rPr>
              <w:t>Sú medzi potenciálne ovplyvnenými skupinami skupiny v riziku chudoby alebo sociálneho vylúčenia?</w:t>
            </w:r>
          </w:p>
          <w:p w:rsidR="00126539" w:rsidRPr="00126539" w:rsidRDefault="00126539" w:rsidP="009B5BD2">
            <w:pPr>
              <w:spacing w:after="0" w:line="240" w:lineRule="auto"/>
              <w:rPr>
                <w:rFonts w:ascii="Times New Roman" w:hAnsi="Times New Roman" w:cs="Times New Roman"/>
                <w:b/>
                <w:sz w:val="18"/>
                <w:lang w:eastAsia="sk-SK"/>
              </w:rPr>
            </w:pPr>
            <w:r w:rsidRPr="00126539">
              <w:rPr>
                <w:rFonts w:ascii="Times New Roman" w:hAnsi="Times New Roman" w:cs="Times New Roman"/>
                <w:b/>
                <w:sz w:val="18"/>
                <w:lang w:eastAsia="sk-SK"/>
              </w:rPr>
              <w:t>(V prípade vyššieho počtu hodnotených opatrení doplňte podľa potreby do tabuľky pred bod 4.2 ďalšie sekcie - 4.1.1 Pozitívny vplyv/4.1.2 Negatívny vplyv).</w:t>
            </w:r>
          </w:p>
        </w:tc>
      </w:tr>
      <w:tr w:rsidR="00126539" w:rsidRPr="00126539" w:rsidTr="009B5BD2">
        <w:trPr>
          <w:trHeight w:val="170"/>
          <w:jc w:val="center"/>
        </w:trPr>
        <w:tc>
          <w:tcPr>
            <w:tcW w:w="129" w:type="pct"/>
            <w:shd w:val="clear" w:color="auto" w:fill="DDDDDD"/>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a)</w:t>
            </w:r>
          </w:p>
        </w:tc>
        <w:tc>
          <w:tcPr>
            <w:tcW w:w="4871" w:type="pct"/>
            <w:gridSpan w:val="2"/>
            <w:shd w:val="clear" w:color="auto" w:fill="DDDDDD"/>
            <w:vAlign w:val="center"/>
          </w:tcPr>
          <w:p w:rsidR="00126539" w:rsidRPr="00126539" w:rsidRDefault="00126539" w:rsidP="009B5BD2">
            <w:pPr>
              <w:spacing w:after="0" w:line="240" w:lineRule="auto"/>
              <w:jc w:val="center"/>
              <w:rPr>
                <w:rFonts w:ascii="Times New Roman" w:hAnsi="Times New Roman" w:cs="Times New Roman"/>
                <w:b/>
                <w:sz w:val="20"/>
                <w:szCs w:val="20"/>
                <w:lang w:eastAsia="sk-SK"/>
              </w:rPr>
            </w:pPr>
            <w:r w:rsidRPr="00126539">
              <w:rPr>
                <w:rFonts w:ascii="Times New Roman" w:hAnsi="Times New Roman" w:cs="Times New Roman"/>
                <w:b/>
                <w:i/>
                <w:sz w:val="20"/>
                <w:szCs w:val="20"/>
                <w:lang w:eastAsia="sk-SK"/>
              </w:rPr>
              <w:t>4.1.1 Pozitívny vplyv</w:t>
            </w:r>
          </w:p>
        </w:tc>
      </w:tr>
      <w:tr w:rsidR="00126539" w:rsidRPr="00126539" w:rsidTr="009B5BD2">
        <w:trPr>
          <w:trHeight w:val="759"/>
          <w:jc w:val="center"/>
        </w:trPr>
        <w:tc>
          <w:tcPr>
            <w:tcW w:w="129" w:type="pct"/>
            <w:vAlign w:val="center"/>
          </w:tcPr>
          <w:p w:rsidR="00126539" w:rsidRPr="00126539" w:rsidRDefault="00126539" w:rsidP="009B5BD2">
            <w:pPr>
              <w:spacing w:after="0" w:line="240" w:lineRule="auto"/>
              <w:contextualSpacing/>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b)</w:t>
            </w:r>
          </w:p>
        </w:tc>
        <w:tc>
          <w:tcPr>
            <w:tcW w:w="1642" w:type="pct"/>
            <w:vAlign w:val="center"/>
          </w:tcPr>
          <w:p w:rsidR="00126539" w:rsidRPr="00126539" w:rsidRDefault="00126539" w:rsidP="009B5BD2">
            <w:pPr>
              <w:spacing w:after="0" w:line="240" w:lineRule="auto"/>
              <w:jc w:val="both"/>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 xml:space="preserve">Popíšte </w:t>
            </w:r>
            <w:r w:rsidRPr="00126539">
              <w:rPr>
                <w:rFonts w:ascii="Times New Roman" w:hAnsi="Times New Roman" w:cs="Times New Roman"/>
                <w:i/>
                <w:sz w:val="20"/>
                <w:szCs w:val="20"/>
                <w:lang w:eastAsia="sk-SK"/>
              </w:rPr>
              <w:t>opatrenie a jeho vplyv na hospodárenie domácností s uvedením, či ide o zvýšenie príjmov alebo zníženie výdavkov:</w:t>
            </w:r>
          </w:p>
        </w:tc>
        <w:tc>
          <w:tcPr>
            <w:tcW w:w="3229" w:type="pct"/>
          </w:tcPr>
          <w:p w:rsidR="00126539" w:rsidRPr="00126539" w:rsidRDefault="00126539" w:rsidP="009B5BD2">
            <w:pPr>
              <w:spacing w:after="0" w:line="240" w:lineRule="auto"/>
              <w:jc w:val="both"/>
              <w:rPr>
                <w:rFonts w:ascii="Times New Roman" w:hAnsi="Times New Roman" w:cs="Times New Roman"/>
                <w:b/>
                <w:sz w:val="20"/>
                <w:szCs w:val="20"/>
                <w:lang w:eastAsia="sk-SK"/>
              </w:rPr>
            </w:pPr>
            <w:r w:rsidRPr="00126539">
              <w:rPr>
                <w:rFonts w:ascii="Times New Roman" w:hAnsi="Times New Roman" w:cs="Times New Roman"/>
                <w:sz w:val="20"/>
                <w:szCs w:val="20"/>
                <w:lang w:eastAsia="sk-SK"/>
              </w:rPr>
              <w:t>Predkladaný návrh zákona o žalobách na ochranu kolektívnych záujmov spotrebiteľov a o zmene a doplnení niektorých zákonov</w:t>
            </w:r>
            <w:r w:rsidRPr="00126539">
              <w:rPr>
                <w:rFonts w:ascii="Times New Roman" w:hAnsi="Times New Roman" w:cs="Times New Roman"/>
                <w:b/>
                <w:sz w:val="20"/>
                <w:szCs w:val="20"/>
                <w:lang w:eastAsia="sk-SK"/>
              </w:rPr>
              <w:t xml:space="preserve"> </w:t>
            </w:r>
            <w:r w:rsidRPr="00126539">
              <w:rPr>
                <w:rFonts w:ascii="Times New Roman" w:hAnsi="Times New Roman" w:cs="Times New Roman"/>
                <w:sz w:val="20"/>
                <w:szCs w:val="20"/>
                <w:lang w:eastAsia="sk-SK"/>
              </w:rPr>
              <w:t>zakladá pozitívny vplyv a predpokladá sa zvýšenie príjmov v domácnostiach, v ktorým je aspoň jeden člen domácnosti poškodeným spotrebiteľom, pretože:</w:t>
            </w:r>
          </w:p>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a) poškodený spotrebiteľ nebude potrebovať hradiť individuálne náklady spojené s právnym zastúpením na súde (advokáta), pričom na to, aby bolo jeho poškodené právo hájené v súdnom konaní bude postačovať, ak uhradí paušálny poplatok (jeho výšku určí príslušná vyhláška, ktorý bude 20 eur) pri podaní prihlášky k žalobnému zámeru, ktorý predstavuje akúsi solidárnu odplatu za to, že oprávnená osoba bude viesť súdne konanie s cieľom hájiť kolektívne záujmy spotrebiteľov, čo bude mať dopad nielen (primárne) na jednotlivé domácnosti poškodených spotrebiteľov, ale sekundárne aj na správanie súťažiteľov/obchodníkov na trhu. V porovnaní s odplatou advokátovi, ktorá by predstavovala napr. pri cieľovej sume 1.000 eur, o ktorú by sa spotrebiteľ súdil, najmenej 245,64 eur (v príklade sa počíta len so 4 úkonmi advokáta (prevzatie a príprava zastúpenia vrátane prvej porady s klientom, ďalšia porada alebo rokovanie s klientom za každú skončenú hodinu, písomné podanie na súd alebo iný orgán alebo protistrane týkajúce sa veci samej a účasť na konaní pred súdom alebo iným orgánom a na konaní o zmieri, a to za každé začaté dve hodiny bez ohľadu na počet týchto za sebou nadväzujúcich úkonov vykonaných počas dvoch hodín; ak úkon alebo na seba nadväzujúce úkony trvajú viac ako štyri hodiny, patrí odmena za každé dve skončené hodiny) bez DPH a bez náhradu hotových výdavkov a za stratu času), by išlo o úsporu vo výške 225,64 eur; v prípade podania odhlášky (výšku určí príslušná vyhláška vo výške 10 eur) by išlo o úsporu 215,64 eur, keďže poškodený by uhradil celkovo 30 eur – za podanie prihlášky a následne podanie odhlášky;</w:t>
            </w:r>
          </w:p>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 xml:space="preserve"> b) prostredníctvom jediného úspešného súdneho konania sa zabezpečí dosiahnutie súdneho rozhodnutia, ktorého výrok bude obsahovať nápravné opatrenie prevažne vyjadrené finančne ako nárok za poškodenie práv spotrebiteľov, čo bude znamenať efektívnejší, rýchlejší a účinnejší prístup k spravodlivosti, pretože nebude potrebné, aby si spotrebitelia uplatňovali jednotlivo svoje individuálne nároky na súde;</w:t>
            </w:r>
          </w:p>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c) sa uspokojí peňažný nárok spotrebiteľa prostredníctvom úhrady zo strany obchodníka, prípadne pokiaľ nebude obchodník dobrovoľne plniť, prostredníctvom exekúcie, ktorej priebeh bude primárne zastrešovať oprávnená osoba, ktorá bola v konaní úspešná.</w:t>
            </w:r>
          </w:p>
        </w:tc>
      </w:tr>
      <w:tr w:rsidR="00126539" w:rsidRPr="00126539" w:rsidTr="009B5BD2">
        <w:trPr>
          <w:trHeight w:val="397"/>
          <w:jc w:val="center"/>
        </w:trPr>
        <w:tc>
          <w:tcPr>
            <w:tcW w:w="129" w:type="pct"/>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c)</w:t>
            </w:r>
          </w:p>
        </w:tc>
        <w:tc>
          <w:tcPr>
            <w:tcW w:w="1642" w:type="pct"/>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 xml:space="preserve">Špecifikujte </w:t>
            </w:r>
            <w:r w:rsidRPr="00126539">
              <w:rPr>
                <w:rFonts w:ascii="Times New Roman" w:hAnsi="Times New Roman" w:cs="Times New Roman"/>
                <w:i/>
                <w:sz w:val="20"/>
                <w:szCs w:val="20"/>
                <w:lang w:eastAsia="sk-SK"/>
              </w:rPr>
              <w:t>ovplyvnené skupiny:</w:t>
            </w:r>
          </w:p>
        </w:tc>
        <w:tc>
          <w:tcPr>
            <w:tcW w:w="3229" w:type="pct"/>
          </w:tcPr>
          <w:p w:rsidR="00126539" w:rsidRPr="00126539" w:rsidRDefault="00126539" w:rsidP="009B5BD2">
            <w:pPr>
              <w:spacing w:after="0" w:line="240" w:lineRule="auto"/>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Ovplyvnená skupina č. 1</w:t>
            </w:r>
          </w:p>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 xml:space="preserve">Všetky fyzické osoby v postavení poškodených spotrebiteľov, ktorí budú mať právo a možnosť prihlásiť sa do konaní o vydanie nápravného opatrenia. </w:t>
            </w:r>
          </w:p>
        </w:tc>
      </w:tr>
      <w:tr w:rsidR="00126539" w:rsidRPr="00126539" w:rsidTr="009B5BD2">
        <w:trPr>
          <w:trHeight w:val="454"/>
          <w:jc w:val="center"/>
        </w:trPr>
        <w:tc>
          <w:tcPr>
            <w:tcW w:w="129" w:type="pct"/>
            <w:tcBorders>
              <w:top w:val="dotted" w:sz="4" w:space="0" w:color="auto"/>
            </w:tcBorders>
            <w:shd w:val="clear" w:color="auto" w:fill="F2F2F2"/>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126539" w:rsidRPr="00126539" w:rsidRDefault="00126539" w:rsidP="009B5BD2">
            <w:pPr>
              <w:spacing w:after="0" w:line="240" w:lineRule="auto"/>
              <w:rPr>
                <w:rFonts w:ascii="Times New Roman" w:hAnsi="Times New Roman" w:cs="Times New Roman"/>
                <w:sz w:val="20"/>
                <w:szCs w:val="20"/>
                <w:lang w:eastAsia="sk-SK"/>
              </w:rPr>
            </w:pPr>
            <w:r w:rsidRPr="00126539">
              <w:rPr>
                <w:rFonts w:ascii="Times New Roman" w:hAnsi="Times New Roman" w:cs="Times New Roman"/>
                <w:b/>
                <w:i/>
                <w:sz w:val="20"/>
                <w:szCs w:val="20"/>
                <w:lang w:eastAsia="sk-SK"/>
              </w:rPr>
              <w:t>Kvantifikujte</w:t>
            </w:r>
            <w:r w:rsidRPr="00126539">
              <w:rPr>
                <w:rFonts w:ascii="Times New Roman" w:hAnsi="Times New Roman" w:cs="Times New Roman"/>
                <w:i/>
                <w:sz w:val="20"/>
                <w:szCs w:val="20"/>
                <w:lang w:eastAsia="sk-SK"/>
              </w:rPr>
              <w:t xml:space="preserve"> rast príjmov alebo pokles výdavkov </w:t>
            </w:r>
            <w:r w:rsidRPr="00126539">
              <w:rPr>
                <w:rFonts w:ascii="Times New Roman" w:hAnsi="Times New Roman" w:cs="Times New Roman"/>
                <w:b/>
                <w:i/>
                <w:sz w:val="20"/>
                <w:szCs w:val="20"/>
                <w:lang w:eastAsia="sk-SK"/>
              </w:rPr>
              <w:t>za jednotlivé</w:t>
            </w:r>
            <w:r w:rsidRPr="00126539">
              <w:rPr>
                <w:rFonts w:ascii="Times New Roman" w:hAnsi="Times New Roman" w:cs="Times New Roman"/>
                <w:i/>
                <w:sz w:val="20"/>
                <w:szCs w:val="20"/>
                <w:lang w:eastAsia="sk-SK"/>
              </w:rPr>
              <w:t xml:space="preserve"> </w:t>
            </w:r>
            <w:r w:rsidRPr="00126539">
              <w:rPr>
                <w:rFonts w:ascii="Times New Roman" w:hAnsi="Times New Roman" w:cs="Times New Roman"/>
                <w:b/>
                <w:i/>
                <w:sz w:val="20"/>
                <w:szCs w:val="20"/>
                <w:lang w:eastAsia="sk-SK"/>
              </w:rPr>
              <w:t>ovplyvnené</w:t>
            </w:r>
            <w:r w:rsidRPr="00126539">
              <w:rPr>
                <w:rFonts w:ascii="Times New Roman" w:hAnsi="Times New Roman" w:cs="Times New Roman"/>
                <w:i/>
                <w:sz w:val="20"/>
                <w:szCs w:val="20"/>
                <w:lang w:eastAsia="sk-SK"/>
              </w:rPr>
              <w:t xml:space="preserve"> </w:t>
            </w:r>
            <w:r w:rsidRPr="00126539">
              <w:rPr>
                <w:rFonts w:ascii="Times New Roman" w:hAnsi="Times New Roman" w:cs="Times New Roman"/>
                <w:b/>
                <w:i/>
                <w:sz w:val="20"/>
                <w:szCs w:val="20"/>
                <w:lang w:eastAsia="sk-SK"/>
              </w:rPr>
              <w:t>skupiny</w:t>
            </w:r>
            <w:r w:rsidRPr="00126539">
              <w:rPr>
                <w:rFonts w:ascii="Times New Roman" w:hAnsi="Times New Roman" w:cs="Times New Roman"/>
                <w:i/>
                <w:sz w:val="20"/>
                <w:szCs w:val="20"/>
                <w:lang w:eastAsia="sk-SK"/>
              </w:rPr>
              <w:t xml:space="preserve"> domácností / skupiny jednotlivcov a počet obyvateľstva/domácností ovplyvnených predkladaným návrhom.</w:t>
            </w:r>
          </w:p>
        </w:tc>
      </w:tr>
      <w:tr w:rsidR="00126539" w:rsidRPr="00126539" w:rsidTr="009B5BD2">
        <w:trPr>
          <w:trHeight w:val="680"/>
          <w:jc w:val="center"/>
        </w:trPr>
        <w:tc>
          <w:tcPr>
            <w:tcW w:w="129" w:type="pct"/>
            <w:tcBorders>
              <w:top w:val="dotted" w:sz="4" w:space="0" w:color="auto"/>
            </w:tcBorders>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e)</w:t>
            </w:r>
          </w:p>
        </w:tc>
        <w:tc>
          <w:tcPr>
            <w:tcW w:w="1642" w:type="pct"/>
            <w:tcBorders>
              <w:top w:val="dotted" w:sz="4" w:space="0" w:color="auto"/>
            </w:tcBorders>
          </w:tcPr>
          <w:p w:rsidR="00126539" w:rsidRPr="00126539" w:rsidRDefault="00126539" w:rsidP="00126539">
            <w:pPr>
              <w:numPr>
                <w:ilvl w:val="0"/>
                <w:numId w:val="12"/>
              </w:numPr>
              <w:spacing w:after="0" w:line="240" w:lineRule="auto"/>
              <w:contextualSpacing/>
              <w:jc w:val="both"/>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priemerný rast príjmov/ pokles výdavkov v skupine v eurách a/alebo v % / obdobie:</w:t>
            </w:r>
          </w:p>
          <w:p w:rsidR="00126539" w:rsidRPr="00126539" w:rsidRDefault="00126539" w:rsidP="00126539">
            <w:pPr>
              <w:numPr>
                <w:ilvl w:val="0"/>
                <w:numId w:val="12"/>
              </w:numPr>
              <w:spacing w:after="0" w:line="240" w:lineRule="auto"/>
              <w:contextualSpacing/>
              <w:jc w:val="both"/>
              <w:rPr>
                <w:rFonts w:ascii="Times New Roman" w:hAnsi="Times New Roman" w:cs="Times New Roman"/>
                <w:i/>
                <w:sz w:val="20"/>
                <w:szCs w:val="20"/>
                <w:lang w:eastAsia="sk-SK"/>
              </w:rPr>
            </w:pPr>
            <w:r w:rsidRPr="00126539">
              <w:rPr>
                <w:rFonts w:ascii="Times New Roman" w:hAnsi="Times New Roman" w:cs="Times New Roman"/>
                <w:i/>
                <w:sz w:val="18"/>
                <w:szCs w:val="20"/>
                <w:lang w:eastAsia="sk-SK"/>
              </w:rPr>
              <w:t>veľkosť skupiny (počet obyvateľov):</w:t>
            </w:r>
          </w:p>
        </w:tc>
        <w:tc>
          <w:tcPr>
            <w:tcW w:w="3229" w:type="pct"/>
            <w:tcBorders>
              <w:top w:val="dotted" w:sz="4" w:space="0" w:color="auto"/>
            </w:tcBorders>
          </w:tcPr>
          <w:p w:rsidR="00126539" w:rsidRPr="00126539" w:rsidRDefault="00126539" w:rsidP="009B5BD2">
            <w:pPr>
              <w:spacing w:after="0" w:line="240" w:lineRule="auto"/>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Ovplyvnená skupina č. 1</w:t>
            </w:r>
          </w:p>
          <w:p w:rsidR="00126539" w:rsidRPr="00126539" w:rsidRDefault="00126539" w:rsidP="009B5BD2">
            <w:pPr>
              <w:spacing w:after="0" w:line="240" w:lineRule="auto"/>
              <w:rPr>
                <w:rFonts w:ascii="Times New Roman" w:hAnsi="Times New Roman" w:cs="Times New Roman"/>
                <w:sz w:val="20"/>
                <w:szCs w:val="20"/>
                <w:lang w:eastAsia="sk-SK"/>
              </w:rPr>
            </w:pPr>
          </w:p>
          <w:p w:rsidR="00126539" w:rsidRPr="00126539" w:rsidRDefault="00126539" w:rsidP="009B5BD2">
            <w:pPr>
              <w:spacing w:after="0" w:line="240" w:lineRule="auto"/>
              <w:rPr>
                <w:rFonts w:ascii="Times New Roman" w:hAnsi="Times New Roman" w:cs="Times New Roman"/>
                <w:sz w:val="20"/>
                <w:szCs w:val="20"/>
                <w:lang w:eastAsia="sk-SK"/>
              </w:rPr>
            </w:pPr>
            <w:r w:rsidRPr="00126539">
              <w:rPr>
                <w:rFonts w:ascii="Times New Roman" w:hAnsi="Times New Roman" w:cs="Times New Roman"/>
                <w:sz w:val="20"/>
                <w:szCs w:val="20"/>
                <w:lang w:eastAsia="sk-SK"/>
              </w:rPr>
              <w:t>Nemožno kvantifikovať.</w:t>
            </w:r>
          </w:p>
          <w:p w:rsidR="00126539" w:rsidRPr="00126539" w:rsidRDefault="00126539" w:rsidP="009B5BD2">
            <w:pPr>
              <w:spacing w:after="0" w:line="240" w:lineRule="auto"/>
              <w:rPr>
                <w:rFonts w:ascii="Times New Roman" w:hAnsi="Times New Roman" w:cs="Times New Roman"/>
                <w:sz w:val="20"/>
                <w:szCs w:val="20"/>
                <w:lang w:eastAsia="sk-SK"/>
              </w:rPr>
            </w:pPr>
          </w:p>
        </w:tc>
      </w:tr>
      <w:tr w:rsidR="00126539" w:rsidRPr="00126539" w:rsidTr="009B5BD2">
        <w:trPr>
          <w:trHeight w:val="397"/>
          <w:jc w:val="center"/>
        </w:trPr>
        <w:tc>
          <w:tcPr>
            <w:tcW w:w="129" w:type="pct"/>
            <w:tcBorders>
              <w:top w:val="dotted" w:sz="4" w:space="0" w:color="auto"/>
            </w:tcBorders>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f)</w:t>
            </w:r>
          </w:p>
        </w:tc>
        <w:tc>
          <w:tcPr>
            <w:tcW w:w="1642" w:type="pct"/>
            <w:tcBorders>
              <w:top w:val="dotted" w:sz="4" w:space="0" w:color="auto"/>
            </w:tcBorders>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i/>
                <w:sz w:val="20"/>
                <w:szCs w:val="20"/>
                <w:lang w:eastAsia="sk-SK"/>
              </w:rPr>
              <w:t>Dôvod chýbajúcej kvantifikácie:</w:t>
            </w:r>
          </w:p>
        </w:tc>
        <w:tc>
          <w:tcPr>
            <w:tcW w:w="3229" w:type="pct"/>
            <w:tcBorders>
              <w:top w:val="dotted" w:sz="4" w:space="0" w:color="auto"/>
            </w:tcBorders>
          </w:tcPr>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 xml:space="preserve">Predpokladaný rast príjmov alebo pokles výdavkov za jednotlivé ovplyvnené skupiny poškodených spotrebiteľov nie je možné kvantifikovať, </w:t>
            </w:r>
            <w:r w:rsidRPr="00126539">
              <w:rPr>
                <w:rFonts w:ascii="Times New Roman" w:hAnsi="Times New Roman" w:cs="Times New Roman"/>
                <w:sz w:val="20"/>
                <w:szCs w:val="20"/>
                <w:lang w:eastAsia="sk-SK"/>
              </w:rPr>
              <w:lastRenderedPageBreak/>
              <w:t xml:space="preserve">nakoľko neexistujú relevantné údaje, na základe ktorých by bolo možné takúto kvantifikáciu vykonať, a tieto údaje nie je možné ani získať z existujúcich informačných systémov, a to vzhľadom na rôznorodosť budúcich konaní o vydanie nápravného opatrenia – nie je možné predpokladať množstvo takýchto konaní ani kvantifikovať ich dopady na poškodených spotrebiteľov. Doterajšie konania týkajúce sa ochrany kolektívnych záujmov spotrebiteľov možno vysledovať len pokiaľ ide o konania o abstraktnej kontrole (podľa § 301 až 306 Civilného sporového poriadku), ktorých bolo v priemere cca 30 ročne za roky 2018 - 2021. Tento druh konania však nie je totožný s konaniami o žalobách o vydanie nápravné opatrenia, ktoré sa upravujú ako nový inštitút zákonom o žalobách na ochranu kolektívnych záujmov spotrebiteľov. Základným rozdielom medzi nimi je to, že v prípade konaní o abstraktnej kontrole ide o posúdenie neprijateľných zmluvných podmienok alebo nekalých praktík zo strany obchodníka bez toho, aby išlo o poškodenie konkrétneho spotrebiteľa/spotrebiteľov, pričom v konaní o vydanie nápravného opatrenia budú na základe systému </w:t>
            </w:r>
            <w:proofErr w:type="spellStart"/>
            <w:r w:rsidRPr="00126539">
              <w:rPr>
                <w:rFonts w:ascii="Times New Roman" w:hAnsi="Times New Roman" w:cs="Times New Roman"/>
                <w:sz w:val="20"/>
                <w:szCs w:val="20"/>
                <w:lang w:eastAsia="sk-SK"/>
              </w:rPr>
              <w:t>opt</w:t>
            </w:r>
            <w:proofErr w:type="spellEnd"/>
            <w:r w:rsidRPr="00126539">
              <w:rPr>
                <w:rFonts w:ascii="Times New Roman" w:hAnsi="Times New Roman" w:cs="Times New Roman"/>
                <w:sz w:val="20"/>
                <w:szCs w:val="20"/>
                <w:lang w:eastAsia="sk-SK"/>
              </w:rPr>
              <w:t>-in prihlásení do konania jednotliví poškodení spotrebitelia, a ich nároky bude možné explicitne kvantifikovať. Napriek tomu, že v týchto konaniach bude jasná výška nárokov jednotlivých spotrebiteľov, táto bude závisieť od toho, v akom rozsahu dôjde zo strany obchodníka k poškodeniu ich práv, čo bude určené a finančne vyjadrené súdom v petite rozsudku, ktorý bude po jeho právoplatnosti exekučným titulom pre vyplatenie všetkých dotknutých spotrebiteľov. Vopred nie je možné odhadnúť, koľko takýchto konaní a s akými dopadmi na obchodníkov bude vedených a úspešne dokončených. Taktiež je potrebné zohľadniť, že v aplikačnej praxi bude pravdepodobne dochádzať aj k uzatváraniu zmierov, ktorých počet taktiež nie je možné odhadnúť, pričom v prípade uzavretých zmierov pôjde s vysokou pravdepodobnosťou o nižšie finančné čiastky, ktoré bude obchodník vyplácať poškodeným spotrebiteľom.</w:t>
            </w:r>
          </w:p>
        </w:tc>
      </w:tr>
      <w:tr w:rsidR="00126539" w:rsidRPr="00126539" w:rsidTr="009B5BD2">
        <w:trPr>
          <w:trHeight w:val="170"/>
          <w:jc w:val="center"/>
        </w:trPr>
        <w:tc>
          <w:tcPr>
            <w:tcW w:w="129" w:type="pct"/>
            <w:tcBorders>
              <w:top w:val="nil"/>
            </w:tcBorders>
            <w:shd w:val="clear" w:color="auto" w:fill="F2F2F2"/>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lastRenderedPageBreak/>
              <w:t>g)</w:t>
            </w:r>
          </w:p>
        </w:tc>
        <w:tc>
          <w:tcPr>
            <w:tcW w:w="4871" w:type="pct"/>
            <w:gridSpan w:val="2"/>
            <w:tcBorders>
              <w:top w:val="nil"/>
            </w:tcBorders>
            <w:shd w:val="clear" w:color="auto" w:fill="F2F2F2"/>
            <w:vAlign w:val="center"/>
          </w:tcPr>
          <w:p w:rsidR="00126539" w:rsidRPr="00126539" w:rsidRDefault="00126539" w:rsidP="009B5BD2">
            <w:pPr>
              <w:spacing w:after="0" w:line="240" w:lineRule="auto"/>
              <w:rPr>
                <w:rFonts w:ascii="Times New Roman" w:hAnsi="Times New Roman" w:cs="Times New Roman"/>
                <w:b/>
                <w:i/>
                <w:sz w:val="20"/>
                <w:szCs w:val="20"/>
                <w:lang w:eastAsia="sk-SK"/>
              </w:rPr>
            </w:pPr>
            <w:r w:rsidRPr="00126539">
              <w:rPr>
                <w:rFonts w:ascii="Times New Roman" w:hAnsi="Times New Roman" w:cs="Times New Roman"/>
                <w:b/>
                <w:i/>
                <w:sz w:val="20"/>
                <w:szCs w:val="20"/>
                <w:lang w:eastAsia="sk-SK"/>
              </w:rPr>
              <w:t>4.1.1.1</w:t>
            </w:r>
            <w:r w:rsidRPr="00126539">
              <w:rPr>
                <w:rFonts w:ascii="Times New Roman" w:hAnsi="Times New Roman" w:cs="Times New Roman"/>
                <w:i/>
                <w:sz w:val="20"/>
                <w:szCs w:val="20"/>
                <w:lang w:eastAsia="sk-SK"/>
              </w:rPr>
              <w:t xml:space="preserve"> </w:t>
            </w:r>
            <w:r w:rsidRPr="00126539">
              <w:rPr>
                <w:rFonts w:ascii="Times New Roman" w:hAnsi="Times New Roman" w:cs="Times New Roman"/>
                <w:b/>
                <w:i/>
                <w:sz w:val="20"/>
                <w:szCs w:val="20"/>
                <w:lang w:eastAsia="sk-SK"/>
              </w:rPr>
              <w:t>Z toho pozitívny vplyv na skupiny v riziku chudoby alebo sociálneho vylúčenia</w:t>
            </w:r>
          </w:p>
          <w:p w:rsidR="00126539" w:rsidRPr="00126539" w:rsidRDefault="00126539" w:rsidP="009B5BD2">
            <w:pPr>
              <w:spacing w:after="0" w:line="240" w:lineRule="auto"/>
              <w:rPr>
                <w:rFonts w:ascii="Times New Roman" w:hAnsi="Times New Roman" w:cs="Times New Roman"/>
                <w:b/>
                <w:sz w:val="20"/>
                <w:szCs w:val="20"/>
                <w:lang w:eastAsia="sk-SK"/>
              </w:rPr>
            </w:pPr>
            <w:r w:rsidRPr="00126539">
              <w:rPr>
                <w:rFonts w:ascii="Times New Roman"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126539" w:rsidRPr="00126539" w:rsidTr="009B5BD2">
        <w:trPr>
          <w:trHeight w:val="759"/>
          <w:jc w:val="center"/>
        </w:trPr>
        <w:tc>
          <w:tcPr>
            <w:tcW w:w="129" w:type="pct"/>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h)</w:t>
            </w:r>
          </w:p>
        </w:tc>
        <w:tc>
          <w:tcPr>
            <w:tcW w:w="1642" w:type="pct"/>
          </w:tcPr>
          <w:p w:rsidR="00126539" w:rsidRPr="00126539" w:rsidRDefault="00126539" w:rsidP="009B5BD2">
            <w:pPr>
              <w:spacing w:after="0" w:line="240" w:lineRule="auto"/>
              <w:jc w:val="both"/>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 xml:space="preserve">Popíšte </w:t>
            </w:r>
            <w:r w:rsidRPr="00126539">
              <w:rPr>
                <w:rFonts w:ascii="Times New Roman" w:hAnsi="Times New Roman" w:cs="Times New Roman"/>
                <w:i/>
                <w:sz w:val="20"/>
                <w:szCs w:val="20"/>
                <w:lang w:eastAsia="sk-SK"/>
              </w:rPr>
              <w:t>opatrenie a jeho vplyv na hospodárenie domácností s uvedením, či ide o zvýšenie príjmov alebo zníženie výdavkov:</w:t>
            </w:r>
          </w:p>
        </w:tc>
        <w:tc>
          <w:tcPr>
            <w:tcW w:w="3229" w:type="pct"/>
          </w:tcPr>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Návrh zákona môže mať pozitívne vplyvy na skupiny v riziku chudoby alebo sociálneho vylúčenia a môže zvýšiť príjem domácností v tomto prípade, ak aspoň jeden člen domácnosti bude poškodeným spotrebiteľom a v prípade, ak bude prihlásený v konaní o vydanie nápravného opatrenia, toto  konanie skončí úspešne a obchodník mu uspokojí jeho nárok určený v petite súdneho rozhodnutia, prípadne dôjde k uspokojeniu prostredníctvom donucovacieho opatrenia (exekúcie).</w:t>
            </w:r>
          </w:p>
        </w:tc>
      </w:tr>
      <w:tr w:rsidR="00126539" w:rsidRPr="00126539" w:rsidTr="009B5BD2">
        <w:trPr>
          <w:trHeight w:val="397"/>
          <w:jc w:val="center"/>
        </w:trPr>
        <w:tc>
          <w:tcPr>
            <w:tcW w:w="129" w:type="pct"/>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i)</w:t>
            </w:r>
          </w:p>
        </w:tc>
        <w:tc>
          <w:tcPr>
            <w:tcW w:w="1642" w:type="pct"/>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 xml:space="preserve">Špecifikujte </w:t>
            </w:r>
            <w:r w:rsidRPr="00126539">
              <w:rPr>
                <w:rFonts w:ascii="Times New Roman" w:hAnsi="Times New Roman" w:cs="Times New Roman"/>
                <w:i/>
                <w:sz w:val="20"/>
                <w:szCs w:val="20"/>
                <w:lang w:eastAsia="sk-SK"/>
              </w:rPr>
              <w:t>ovplyvnené skupiny:</w:t>
            </w:r>
          </w:p>
        </w:tc>
        <w:tc>
          <w:tcPr>
            <w:tcW w:w="3229" w:type="pct"/>
          </w:tcPr>
          <w:p w:rsidR="00126539" w:rsidRPr="00126539" w:rsidRDefault="00126539" w:rsidP="009B5BD2">
            <w:pPr>
              <w:spacing w:after="0" w:line="240" w:lineRule="auto"/>
              <w:rPr>
                <w:rFonts w:ascii="Times New Roman" w:hAnsi="Times New Roman" w:cs="Times New Roman"/>
                <w:sz w:val="18"/>
                <w:szCs w:val="20"/>
                <w:lang w:eastAsia="sk-SK"/>
              </w:rPr>
            </w:pPr>
            <w:r w:rsidRPr="00126539">
              <w:rPr>
                <w:rFonts w:ascii="Times New Roman" w:hAnsi="Times New Roman" w:cs="Times New Roman"/>
                <w:i/>
                <w:sz w:val="18"/>
                <w:szCs w:val="20"/>
                <w:lang w:eastAsia="sk-SK"/>
              </w:rPr>
              <w:t>Ovplyvnená skupina č. 1</w:t>
            </w:r>
          </w:p>
          <w:p w:rsidR="00126539" w:rsidRPr="00126539" w:rsidRDefault="00126539" w:rsidP="009B5BD2">
            <w:pPr>
              <w:spacing w:after="0" w:line="240" w:lineRule="auto"/>
              <w:jc w:val="both"/>
              <w:rPr>
                <w:rFonts w:ascii="Times New Roman" w:hAnsi="Times New Roman" w:cs="Times New Roman"/>
                <w:i/>
                <w:sz w:val="18"/>
                <w:szCs w:val="20"/>
                <w:lang w:eastAsia="sk-SK"/>
              </w:rPr>
            </w:pPr>
            <w:r w:rsidRPr="00126539">
              <w:rPr>
                <w:rFonts w:ascii="Times New Roman" w:hAnsi="Times New Roman" w:cs="Times New Roman"/>
                <w:sz w:val="20"/>
                <w:szCs w:val="20"/>
                <w:lang w:eastAsia="sk-SK"/>
              </w:rPr>
              <w:t xml:space="preserve"> Všetky fyzické osoby v postavení poškodených spotrebiteľov prihlásené v konaní o vydanie nápravného opatrenia, ktoré skončilo úspešne. </w:t>
            </w:r>
          </w:p>
        </w:tc>
      </w:tr>
      <w:tr w:rsidR="00126539" w:rsidRPr="00126539" w:rsidTr="009B5BD2">
        <w:trPr>
          <w:trHeight w:val="397"/>
          <w:jc w:val="center"/>
        </w:trPr>
        <w:tc>
          <w:tcPr>
            <w:tcW w:w="129" w:type="pct"/>
            <w:tcBorders>
              <w:top w:val="dotted" w:sz="4" w:space="0" w:color="auto"/>
            </w:tcBorders>
            <w:shd w:val="clear" w:color="auto" w:fill="F2F2F2"/>
            <w:vAlign w:val="center"/>
          </w:tcPr>
          <w:p w:rsidR="00126539" w:rsidRPr="00126539" w:rsidRDefault="00126539" w:rsidP="009B5BD2">
            <w:pPr>
              <w:spacing w:after="0" w:line="240" w:lineRule="auto"/>
              <w:jc w:val="center"/>
              <w:rPr>
                <w:rFonts w:ascii="Times New Roman" w:hAnsi="Times New Roman" w:cs="Times New Roman"/>
                <w:sz w:val="18"/>
                <w:szCs w:val="18"/>
                <w:lang w:eastAsia="sk-SK"/>
              </w:rPr>
            </w:pPr>
            <w:r w:rsidRPr="00126539">
              <w:rPr>
                <w:rFonts w:ascii="Times New Roman" w:hAnsi="Times New Roman" w:cs="Times New Roman"/>
                <w:i/>
                <w:sz w:val="18"/>
                <w:szCs w:val="18"/>
                <w:lang w:eastAsia="sk-SK"/>
              </w:rPr>
              <w:t>j</w:t>
            </w:r>
            <w:r w:rsidRPr="00126539">
              <w:rPr>
                <w:rFonts w:ascii="Times New Roman" w:hAnsi="Times New Roman" w:cs="Times New Roman"/>
                <w:sz w:val="18"/>
                <w:szCs w:val="18"/>
                <w:lang w:eastAsia="sk-SK"/>
              </w:rPr>
              <w:t>)</w:t>
            </w:r>
          </w:p>
        </w:tc>
        <w:tc>
          <w:tcPr>
            <w:tcW w:w="4871" w:type="pct"/>
            <w:gridSpan w:val="2"/>
            <w:tcBorders>
              <w:top w:val="dotted" w:sz="4" w:space="0" w:color="auto"/>
            </w:tcBorders>
            <w:shd w:val="clear" w:color="auto" w:fill="F2F2F2"/>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 xml:space="preserve">Kvantifikujte </w:t>
            </w:r>
            <w:r w:rsidRPr="00126539">
              <w:rPr>
                <w:rFonts w:ascii="Times New Roman" w:hAnsi="Times New Roman" w:cs="Times New Roman"/>
                <w:i/>
                <w:sz w:val="20"/>
                <w:szCs w:val="20"/>
                <w:lang w:eastAsia="sk-SK"/>
              </w:rPr>
              <w:t xml:space="preserve">rast príjmov alebo pokles výdavkov </w:t>
            </w:r>
            <w:r w:rsidRPr="00126539">
              <w:rPr>
                <w:rFonts w:ascii="Times New Roman" w:hAnsi="Times New Roman" w:cs="Times New Roman"/>
                <w:b/>
                <w:i/>
                <w:sz w:val="20"/>
                <w:szCs w:val="20"/>
                <w:lang w:eastAsia="sk-SK"/>
              </w:rPr>
              <w:t>za jednotlivé ovplyvnené skupiny</w:t>
            </w:r>
            <w:r w:rsidRPr="00126539">
              <w:rPr>
                <w:rFonts w:ascii="Times New Roman" w:hAnsi="Times New Roman" w:cs="Times New Roman"/>
                <w:i/>
                <w:sz w:val="20"/>
                <w:szCs w:val="20"/>
                <w:lang w:eastAsia="sk-SK"/>
              </w:rPr>
              <w:t xml:space="preserve"> domácností / skupiny jednotlivcov a počet obyvateľstva/domácností ovplyvnených predkladaným návrhom.</w:t>
            </w:r>
          </w:p>
        </w:tc>
      </w:tr>
      <w:tr w:rsidR="00126539" w:rsidRPr="00126539" w:rsidTr="009B5BD2">
        <w:trPr>
          <w:trHeight w:val="680"/>
          <w:jc w:val="center"/>
        </w:trPr>
        <w:tc>
          <w:tcPr>
            <w:tcW w:w="129" w:type="pct"/>
            <w:tcBorders>
              <w:top w:val="dotted" w:sz="4" w:space="0" w:color="auto"/>
            </w:tcBorders>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k)</w:t>
            </w:r>
          </w:p>
        </w:tc>
        <w:tc>
          <w:tcPr>
            <w:tcW w:w="1642" w:type="pct"/>
            <w:tcBorders>
              <w:top w:val="dotted" w:sz="4" w:space="0" w:color="auto"/>
            </w:tcBorders>
          </w:tcPr>
          <w:p w:rsidR="00126539" w:rsidRPr="00126539" w:rsidRDefault="00126539" w:rsidP="00126539">
            <w:pPr>
              <w:numPr>
                <w:ilvl w:val="0"/>
                <w:numId w:val="12"/>
              </w:numPr>
              <w:spacing w:after="0" w:line="240" w:lineRule="auto"/>
              <w:contextualSpacing/>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priemerný rast príjmov/ pokles výdavkov v skupine v eurách a/alebo v % / obdobie:</w:t>
            </w:r>
          </w:p>
          <w:p w:rsidR="00126539" w:rsidRPr="00126539" w:rsidRDefault="00126539" w:rsidP="00126539">
            <w:pPr>
              <w:numPr>
                <w:ilvl w:val="0"/>
                <w:numId w:val="12"/>
              </w:numPr>
              <w:spacing w:after="0" w:line="240" w:lineRule="auto"/>
              <w:contextualSpacing/>
              <w:rPr>
                <w:rFonts w:ascii="Times New Roman" w:hAnsi="Times New Roman" w:cs="Times New Roman"/>
                <w:i/>
                <w:sz w:val="20"/>
                <w:szCs w:val="20"/>
                <w:lang w:eastAsia="sk-SK"/>
              </w:rPr>
            </w:pPr>
            <w:r w:rsidRPr="00126539">
              <w:rPr>
                <w:rFonts w:ascii="Times New Roman" w:hAnsi="Times New Roman" w:cs="Times New Roman"/>
                <w:i/>
                <w:sz w:val="18"/>
                <w:szCs w:val="20"/>
                <w:lang w:eastAsia="sk-SK"/>
              </w:rPr>
              <w:t>veľkosť skupiny (počet obyvateľov):</w:t>
            </w:r>
          </w:p>
        </w:tc>
        <w:tc>
          <w:tcPr>
            <w:tcW w:w="3229" w:type="pct"/>
            <w:tcBorders>
              <w:top w:val="dotted" w:sz="4" w:space="0" w:color="auto"/>
            </w:tcBorders>
          </w:tcPr>
          <w:p w:rsidR="00126539" w:rsidRPr="00126539" w:rsidRDefault="00126539" w:rsidP="009B5BD2">
            <w:pPr>
              <w:spacing w:after="0" w:line="240" w:lineRule="auto"/>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Ovplyvnená skupina č. 1</w:t>
            </w:r>
          </w:p>
          <w:p w:rsidR="00126539" w:rsidRPr="00126539" w:rsidRDefault="00126539" w:rsidP="009B5BD2">
            <w:pPr>
              <w:spacing w:after="0" w:line="240" w:lineRule="auto"/>
              <w:rPr>
                <w:rFonts w:ascii="Times New Roman" w:hAnsi="Times New Roman" w:cs="Times New Roman"/>
                <w:i/>
                <w:sz w:val="18"/>
                <w:szCs w:val="20"/>
                <w:lang w:eastAsia="sk-SK"/>
              </w:rPr>
            </w:pPr>
          </w:p>
          <w:p w:rsidR="00126539" w:rsidRPr="00126539" w:rsidRDefault="00126539" w:rsidP="009B5BD2">
            <w:pPr>
              <w:spacing w:after="0" w:line="240" w:lineRule="auto"/>
              <w:rPr>
                <w:rFonts w:ascii="Times New Roman" w:hAnsi="Times New Roman" w:cs="Times New Roman"/>
                <w:sz w:val="20"/>
                <w:szCs w:val="20"/>
                <w:lang w:eastAsia="sk-SK"/>
              </w:rPr>
            </w:pPr>
            <w:r w:rsidRPr="00126539">
              <w:rPr>
                <w:rFonts w:ascii="Times New Roman" w:hAnsi="Times New Roman" w:cs="Times New Roman"/>
                <w:sz w:val="20"/>
                <w:szCs w:val="20"/>
                <w:lang w:eastAsia="sk-SK"/>
              </w:rPr>
              <w:t>Nemožno kvantifikovať priemerný rast príjmov/prípadne pokles výdavkov;</w:t>
            </w:r>
            <w:r w:rsidRPr="00126539">
              <w:rPr>
                <w:rFonts w:ascii="Times New Roman" w:hAnsi="Times New Roman" w:cs="Times New Roman"/>
                <w:sz w:val="20"/>
                <w:szCs w:val="20"/>
                <w:lang w:eastAsia="sk-SK"/>
              </w:rPr>
              <w:br/>
              <w:t>Potenciálne sa táto regulácia môže dotknúť 5,43 milióna obyvateľov SR, teda jej všetkých obyvateľov.</w:t>
            </w:r>
          </w:p>
        </w:tc>
      </w:tr>
      <w:tr w:rsidR="00126539" w:rsidRPr="00126539" w:rsidTr="009B5BD2">
        <w:trPr>
          <w:trHeight w:val="350"/>
          <w:jc w:val="center"/>
        </w:trPr>
        <w:tc>
          <w:tcPr>
            <w:tcW w:w="129" w:type="pct"/>
            <w:tcBorders>
              <w:top w:val="dotted" w:sz="4" w:space="0" w:color="auto"/>
            </w:tcBorders>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l)</w:t>
            </w:r>
          </w:p>
        </w:tc>
        <w:tc>
          <w:tcPr>
            <w:tcW w:w="1642" w:type="pct"/>
            <w:tcBorders>
              <w:top w:val="dotted" w:sz="4" w:space="0" w:color="auto"/>
            </w:tcBorders>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i/>
                <w:sz w:val="20"/>
                <w:szCs w:val="20"/>
                <w:lang w:eastAsia="sk-SK"/>
              </w:rPr>
              <w:t>Dôvod chýbajúcej kvantifikácie:</w:t>
            </w:r>
          </w:p>
        </w:tc>
        <w:tc>
          <w:tcPr>
            <w:tcW w:w="3229" w:type="pct"/>
            <w:tcBorders>
              <w:top w:val="dotted" w:sz="4" w:space="0" w:color="auto"/>
            </w:tcBorders>
          </w:tcPr>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Predpokladaný rast príjmov alebo pokles výdavkov za jednotlivé ovplyvnené skupiny poškodených spotrebiteľov nie je možné kvantifikovať, nakoľko neexistujú relevantné údaje, na základe ktorých by bolo možné takúto kvantifikáciu vykonať, a tieto údaje nie je možné ani získať z existujúcich informačných systémov, a to vzhľadom na rôznorodosť budúcich konaní o vydanie nápravného opatrenia – nie je možné predpokladať množstvo takýchto konaní ani kvantifikovať ich dopady na poškodených spotrebiteľov. Doterajšie konania týkajúce sa ochrany kolektívnych záujmov spotrebiteľov možno vysledovať len pokiaľ ide o konania o abstraktnej kontrole (podľa § 301 až 306 Civilného sporového poriadku), ktorých bolo v </w:t>
            </w:r>
            <w:proofErr w:type="spellStart"/>
            <w:r w:rsidRPr="00126539">
              <w:rPr>
                <w:rFonts w:ascii="Times New Roman" w:hAnsi="Times New Roman" w:cs="Times New Roman"/>
                <w:sz w:val="20"/>
                <w:szCs w:val="20"/>
                <w:lang w:eastAsia="sk-SK"/>
              </w:rPr>
              <w:t>primere</w:t>
            </w:r>
            <w:proofErr w:type="spellEnd"/>
            <w:r w:rsidRPr="00126539">
              <w:rPr>
                <w:rFonts w:ascii="Times New Roman" w:hAnsi="Times New Roman" w:cs="Times New Roman"/>
                <w:sz w:val="20"/>
                <w:szCs w:val="20"/>
                <w:lang w:eastAsia="sk-SK"/>
              </w:rPr>
              <w:t xml:space="preserve"> cca 30 ročne za roky 2018 - 2021. Tento druh konania však nie je totožný s konaniami o žalobách o vydanie nápravné opatrenia, ktoré sa upravujú ako nový inštitút zákonom o žalobách na </w:t>
            </w:r>
            <w:r w:rsidRPr="00126539">
              <w:rPr>
                <w:rFonts w:ascii="Times New Roman" w:hAnsi="Times New Roman" w:cs="Times New Roman"/>
                <w:sz w:val="20"/>
                <w:szCs w:val="20"/>
                <w:lang w:eastAsia="sk-SK"/>
              </w:rPr>
              <w:lastRenderedPageBreak/>
              <w:t xml:space="preserve">ochranu kolektívnych záujmov spotrebiteľov. Základným rozdielom medzi nimi je to, že v prípade konaní o abstraktnej kontrole ide o posúdenie neprijateľných zmluvných podmienok alebo nekalých praktík zo strany obchodníka bez toho, aby išlo o poškodenie konkrétneho spotrebiteľa/spotrebiteľov, pričom v konaní o vydanie nápravného opatrenia budú na základe systému </w:t>
            </w:r>
            <w:proofErr w:type="spellStart"/>
            <w:r w:rsidRPr="00126539">
              <w:rPr>
                <w:rFonts w:ascii="Times New Roman" w:hAnsi="Times New Roman" w:cs="Times New Roman"/>
                <w:sz w:val="20"/>
                <w:szCs w:val="20"/>
                <w:lang w:eastAsia="sk-SK"/>
              </w:rPr>
              <w:t>opt</w:t>
            </w:r>
            <w:proofErr w:type="spellEnd"/>
            <w:r w:rsidRPr="00126539">
              <w:rPr>
                <w:rFonts w:ascii="Times New Roman" w:hAnsi="Times New Roman" w:cs="Times New Roman"/>
                <w:sz w:val="20"/>
                <w:szCs w:val="20"/>
                <w:lang w:eastAsia="sk-SK"/>
              </w:rPr>
              <w:t xml:space="preserve">-in prihlásení do konania jednotliví poškodení spotrebitelia, a ich nároky bude možné explicitne kvantifikovať. Napriek tomu, že v týchto konaniach bude jasná výška nárokov jednotlivých spotrebiteľov, táto bude závisieť od toho, v akom rozsahu dôjde zo strany obchodníka k poškodeniu ich práv, čo bude určené a finančne vyjadrené súdom v petite rozsudku, ktorý bude po jeho právoplatnosti exekučným titulom pre vyplatenie všetkých dotknutých spotrebiteľov. Vopred nie je možné odhadnúť, koľko takýchto konaní a s akými dopadmi na obchodníkov bude vedených a úspešne dokončených. Taktiež je potrebné zohľadniť, že v aplikačnej praxi bude pravdepodobne dochádzať aj k uzatváraniu zmierov, ktorých počet taktiež nie je možné odhadnúť, pričom v prípade uzavretých zmierov pôjde s vysokou pravdepodobnosťou o nižšie finančné čiastky, ktoré bude obchodník vyplácať poškodeným spotrebiteľom. </w:t>
            </w:r>
          </w:p>
        </w:tc>
      </w:tr>
      <w:tr w:rsidR="00126539" w:rsidRPr="00126539" w:rsidTr="009B5BD2">
        <w:trPr>
          <w:trHeight w:val="170"/>
          <w:jc w:val="center"/>
        </w:trPr>
        <w:tc>
          <w:tcPr>
            <w:tcW w:w="129" w:type="pct"/>
            <w:shd w:val="clear" w:color="auto" w:fill="DDDDDD"/>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lastRenderedPageBreak/>
              <w:t>a)</w:t>
            </w:r>
          </w:p>
        </w:tc>
        <w:tc>
          <w:tcPr>
            <w:tcW w:w="4871" w:type="pct"/>
            <w:gridSpan w:val="2"/>
            <w:shd w:val="clear" w:color="auto" w:fill="DDDDDD"/>
            <w:vAlign w:val="center"/>
          </w:tcPr>
          <w:p w:rsidR="00126539" w:rsidRPr="00126539" w:rsidRDefault="00126539" w:rsidP="009B5BD2">
            <w:pPr>
              <w:spacing w:after="0" w:line="240" w:lineRule="auto"/>
              <w:jc w:val="center"/>
              <w:rPr>
                <w:rFonts w:ascii="Times New Roman" w:hAnsi="Times New Roman" w:cs="Times New Roman"/>
                <w:b/>
                <w:color w:val="0070C0"/>
                <w:sz w:val="20"/>
                <w:szCs w:val="20"/>
                <w:lang w:eastAsia="sk-SK"/>
              </w:rPr>
            </w:pPr>
            <w:r w:rsidRPr="00126539">
              <w:rPr>
                <w:rFonts w:ascii="Times New Roman" w:hAnsi="Times New Roman" w:cs="Times New Roman"/>
                <w:b/>
                <w:i/>
                <w:sz w:val="20"/>
                <w:szCs w:val="20"/>
                <w:lang w:eastAsia="sk-SK"/>
              </w:rPr>
              <w:t>4.1.2 Negatívny vplyv</w:t>
            </w:r>
          </w:p>
        </w:tc>
      </w:tr>
      <w:tr w:rsidR="00126539" w:rsidRPr="00126539" w:rsidTr="009B5BD2">
        <w:trPr>
          <w:trHeight w:val="759"/>
          <w:jc w:val="center"/>
        </w:trPr>
        <w:tc>
          <w:tcPr>
            <w:tcW w:w="129" w:type="pct"/>
            <w:vAlign w:val="center"/>
          </w:tcPr>
          <w:p w:rsidR="00126539" w:rsidRPr="00126539" w:rsidRDefault="00126539" w:rsidP="009B5BD2">
            <w:pPr>
              <w:spacing w:after="0" w:line="240" w:lineRule="auto"/>
              <w:contextualSpacing/>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b)</w:t>
            </w:r>
          </w:p>
          <w:p w:rsidR="00126539" w:rsidRPr="00126539" w:rsidRDefault="00126539" w:rsidP="009B5BD2">
            <w:pPr>
              <w:spacing w:after="0" w:line="240" w:lineRule="auto"/>
              <w:ind w:left="360"/>
              <w:contextualSpacing/>
              <w:jc w:val="center"/>
              <w:rPr>
                <w:rFonts w:ascii="Times New Roman" w:hAnsi="Times New Roman" w:cs="Times New Roman"/>
                <w:i/>
                <w:sz w:val="18"/>
                <w:szCs w:val="18"/>
                <w:lang w:eastAsia="sk-SK"/>
              </w:rPr>
            </w:pPr>
          </w:p>
        </w:tc>
        <w:tc>
          <w:tcPr>
            <w:tcW w:w="1642" w:type="pct"/>
            <w:vAlign w:val="center"/>
          </w:tcPr>
          <w:p w:rsidR="00126539" w:rsidRPr="00126539" w:rsidRDefault="00126539" w:rsidP="009B5BD2">
            <w:pPr>
              <w:spacing w:after="0" w:line="240" w:lineRule="auto"/>
              <w:jc w:val="both"/>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 xml:space="preserve">Popíšte </w:t>
            </w:r>
            <w:r w:rsidRPr="00126539">
              <w:rPr>
                <w:rFonts w:ascii="Times New Roman" w:hAnsi="Times New Roman" w:cs="Times New Roman"/>
                <w:i/>
                <w:sz w:val="20"/>
                <w:szCs w:val="20"/>
                <w:lang w:eastAsia="sk-SK"/>
              </w:rPr>
              <w:t>opatrenie a jeho vplyv na hospodárenie domácností s uvedením, či ide o zníženie príjmov alebo zvýšenie výdavkov:</w:t>
            </w:r>
          </w:p>
        </w:tc>
        <w:tc>
          <w:tcPr>
            <w:tcW w:w="3229" w:type="pct"/>
          </w:tcPr>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 xml:space="preserve">Predkladaný návrh zákona nezakladá negatívny vplyv a nepredpokladá sa zvýšenie výdavkov členov domácnosti. </w:t>
            </w:r>
          </w:p>
        </w:tc>
      </w:tr>
      <w:tr w:rsidR="00126539" w:rsidRPr="00126539" w:rsidTr="009B5BD2">
        <w:trPr>
          <w:trHeight w:val="397"/>
          <w:jc w:val="center"/>
        </w:trPr>
        <w:tc>
          <w:tcPr>
            <w:tcW w:w="129" w:type="pct"/>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c)</w:t>
            </w:r>
          </w:p>
        </w:tc>
        <w:tc>
          <w:tcPr>
            <w:tcW w:w="1642" w:type="pct"/>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Špecifikujte</w:t>
            </w:r>
            <w:r w:rsidRPr="00126539">
              <w:rPr>
                <w:rFonts w:ascii="Times New Roman" w:hAnsi="Times New Roman" w:cs="Times New Roman"/>
                <w:i/>
                <w:sz w:val="20"/>
                <w:szCs w:val="20"/>
                <w:lang w:eastAsia="sk-SK"/>
              </w:rPr>
              <w:t xml:space="preserve"> ovplyvnené skupiny:</w:t>
            </w:r>
          </w:p>
        </w:tc>
        <w:tc>
          <w:tcPr>
            <w:tcW w:w="3229" w:type="pct"/>
          </w:tcPr>
          <w:p w:rsidR="00126539" w:rsidRPr="00126539" w:rsidRDefault="00126539" w:rsidP="009B5BD2">
            <w:pPr>
              <w:spacing w:after="0" w:line="240" w:lineRule="auto"/>
              <w:rPr>
                <w:rFonts w:ascii="Times New Roman" w:hAnsi="Times New Roman" w:cs="Times New Roman"/>
              </w:rPr>
            </w:pPr>
            <w:r w:rsidRPr="00126539">
              <w:rPr>
                <w:rFonts w:ascii="Times New Roman" w:hAnsi="Times New Roman" w:cs="Times New Roman"/>
                <w:i/>
                <w:sz w:val="18"/>
                <w:szCs w:val="20"/>
                <w:lang w:eastAsia="sk-SK"/>
              </w:rPr>
              <w:t>Ovplyvnená skupina č. 1</w:t>
            </w:r>
            <w:r w:rsidRPr="00126539">
              <w:rPr>
                <w:rFonts w:ascii="Times New Roman" w:hAnsi="Times New Roman" w:cs="Times New Roman"/>
              </w:rPr>
              <w:t xml:space="preserve"> </w:t>
            </w:r>
          </w:p>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 xml:space="preserve"> Návrh zákona nepredpokladá vplyv v tejto oblasti.</w:t>
            </w:r>
          </w:p>
        </w:tc>
      </w:tr>
      <w:tr w:rsidR="00126539" w:rsidRPr="00126539" w:rsidTr="009B5BD2">
        <w:trPr>
          <w:trHeight w:val="397"/>
          <w:jc w:val="center"/>
        </w:trPr>
        <w:tc>
          <w:tcPr>
            <w:tcW w:w="129" w:type="pct"/>
            <w:shd w:val="clear" w:color="auto" w:fill="F2F2F2"/>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d)</w:t>
            </w:r>
          </w:p>
        </w:tc>
        <w:tc>
          <w:tcPr>
            <w:tcW w:w="4871" w:type="pct"/>
            <w:gridSpan w:val="2"/>
            <w:shd w:val="clear" w:color="auto" w:fill="F2F2F2"/>
            <w:vAlign w:val="center"/>
          </w:tcPr>
          <w:p w:rsidR="00126539" w:rsidRPr="00126539" w:rsidRDefault="00126539" w:rsidP="009B5BD2">
            <w:pPr>
              <w:spacing w:after="0" w:line="240" w:lineRule="auto"/>
              <w:rPr>
                <w:rFonts w:ascii="Times New Roman" w:hAnsi="Times New Roman" w:cs="Times New Roman"/>
                <w:sz w:val="20"/>
                <w:szCs w:val="20"/>
                <w:lang w:eastAsia="sk-SK"/>
              </w:rPr>
            </w:pPr>
            <w:r w:rsidRPr="00126539">
              <w:rPr>
                <w:rFonts w:ascii="Times New Roman" w:hAnsi="Times New Roman" w:cs="Times New Roman"/>
                <w:b/>
                <w:i/>
                <w:sz w:val="20"/>
                <w:szCs w:val="20"/>
                <w:lang w:eastAsia="sk-SK"/>
              </w:rPr>
              <w:t>Kvantifikujte</w:t>
            </w:r>
            <w:r w:rsidRPr="00126539">
              <w:rPr>
                <w:rFonts w:ascii="Times New Roman" w:hAnsi="Times New Roman" w:cs="Times New Roman"/>
                <w:i/>
                <w:sz w:val="20"/>
                <w:szCs w:val="20"/>
                <w:lang w:eastAsia="sk-SK"/>
              </w:rPr>
              <w:t xml:space="preserve"> pokles príjmov alebo rast výdavkov </w:t>
            </w:r>
            <w:r w:rsidRPr="00126539">
              <w:rPr>
                <w:rFonts w:ascii="Times New Roman" w:hAnsi="Times New Roman" w:cs="Times New Roman"/>
                <w:b/>
                <w:i/>
                <w:sz w:val="20"/>
                <w:szCs w:val="20"/>
                <w:lang w:eastAsia="sk-SK"/>
              </w:rPr>
              <w:t>za jednotlivé</w:t>
            </w:r>
            <w:r w:rsidRPr="00126539">
              <w:rPr>
                <w:rFonts w:ascii="Times New Roman" w:hAnsi="Times New Roman" w:cs="Times New Roman"/>
                <w:i/>
                <w:sz w:val="20"/>
                <w:szCs w:val="20"/>
                <w:lang w:eastAsia="sk-SK"/>
              </w:rPr>
              <w:t xml:space="preserve"> </w:t>
            </w:r>
            <w:r w:rsidRPr="00126539">
              <w:rPr>
                <w:rFonts w:ascii="Times New Roman" w:hAnsi="Times New Roman" w:cs="Times New Roman"/>
                <w:b/>
                <w:i/>
                <w:sz w:val="20"/>
                <w:szCs w:val="20"/>
                <w:lang w:eastAsia="sk-SK"/>
              </w:rPr>
              <w:t>ovplyvnené</w:t>
            </w:r>
            <w:r w:rsidRPr="00126539">
              <w:rPr>
                <w:rFonts w:ascii="Times New Roman" w:hAnsi="Times New Roman" w:cs="Times New Roman"/>
                <w:i/>
                <w:sz w:val="20"/>
                <w:szCs w:val="20"/>
                <w:lang w:eastAsia="sk-SK"/>
              </w:rPr>
              <w:t xml:space="preserve"> </w:t>
            </w:r>
            <w:r w:rsidRPr="00126539">
              <w:rPr>
                <w:rFonts w:ascii="Times New Roman" w:hAnsi="Times New Roman" w:cs="Times New Roman"/>
                <w:b/>
                <w:i/>
                <w:sz w:val="20"/>
                <w:szCs w:val="20"/>
                <w:lang w:eastAsia="sk-SK"/>
              </w:rPr>
              <w:t>skupiny</w:t>
            </w:r>
            <w:r w:rsidRPr="00126539">
              <w:rPr>
                <w:rFonts w:ascii="Times New Roman" w:hAnsi="Times New Roman" w:cs="Times New Roman"/>
                <w:i/>
                <w:sz w:val="20"/>
                <w:szCs w:val="20"/>
                <w:lang w:eastAsia="sk-SK"/>
              </w:rPr>
              <w:t xml:space="preserve"> domácností / skupiny jednotlivcov a počet obyvateľstva/domácností ovplyvnených predkladaným návrhom.</w:t>
            </w:r>
          </w:p>
        </w:tc>
      </w:tr>
      <w:tr w:rsidR="00126539" w:rsidRPr="00126539" w:rsidTr="009B5BD2">
        <w:trPr>
          <w:trHeight w:val="680"/>
          <w:jc w:val="center"/>
        </w:trPr>
        <w:tc>
          <w:tcPr>
            <w:tcW w:w="129" w:type="pct"/>
            <w:tcBorders>
              <w:top w:val="dotted" w:sz="4" w:space="0" w:color="auto"/>
            </w:tcBorders>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e)</w:t>
            </w:r>
          </w:p>
        </w:tc>
        <w:tc>
          <w:tcPr>
            <w:tcW w:w="1642" w:type="pct"/>
            <w:tcBorders>
              <w:top w:val="dotted" w:sz="4" w:space="0" w:color="auto"/>
            </w:tcBorders>
          </w:tcPr>
          <w:p w:rsidR="00126539" w:rsidRPr="00126539" w:rsidRDefault="00126539" w:rsidP="00126539">
            <w:pPr>
              <w:numPr>
                <w:ilvl w:val="0"/>
                <w:numId w:val="12"/>
              </w:numPr>
              <w:spacing w:after="0" w:line="240" w:lineRule="auto"/>
              <w:contextualSpacing/>
              <w:jc w:val="both"/>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priemerný pokles príjmov/ rast výdavkov v skupine v eurách a/alebo v % / obdobie:</w:t>
            </w:r>
          </w:p>
          <w:p w:rsidR="00126539" w:rsidRPr="00126539" w:rsidRDefault="00126539" w:rsidP="00126539">
            <w:pPr>
              <w:numPr>
                <w:ilvl w:val="0"/>
                <w:numId w:val="12"/>
              </w:numPr>
              <w:spacing w:after="0" w:line="240" w:lineRule="auto"/>
              <w:contextualSpacing/>
              <w:jc w:val="both"/>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veľkosť skupiny (počet obyvateľov):</w:t>
            </w:r>
          </w:p>
        </w:tc>
        <w:tc>
          <w:tcPr>
            <w:tcW w:w="3229" w:type="pct"/>
            <w:tcBorders>
              <w:top w:val="dotted" w:sz="4" w:space="0" w:color="auto"/>
            </w:tcBorders>
          </w:tcPr>
          <w:p w:rsidR="00126539" w:rsidRPr="00126539" w:rsidRDefault="00126539" w:rsidP="009B5BD2">
            <w:pPr>
              <w:spacing w:after="0" w:line="240" w:lineRule="auto"/>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Ovplyvnená skupina č. 1</w:t>
            </w:r>
          </w:p>
          <w:p w:rsidR="00126539" w:rsidRPr="00126539" w:rsidRDefault="00126539" w:rsidP="009B5BD2">
            <w:pPr>
              <w:spacing w:after="0" w:line="240" w:lineRule="auto"/>
              <w:rPr>
                <w:rFonts w:ascii="Times New Roman" w:hAnsi="Times New Roman" w:cs="Times New Roman"/>
                <w:i/>
                <w:sz w:val="18"/>
                <w:szCs w:val="20"/>
                <w:lang w:eastAsia="sk-SK"/>
              </w:rPr>
            </w:pPr>
            <w:r w:rsidRPr="00126539">
              <w:rPr>
                <w:rFonts w:ascii="Times New Roman" w:hAnsi="Times New Roman" w:cs="Times New Roman"/>
                <w:sz w:val="20"/>
                <w:szCs w:val="20"/>
                <w:lang w:eastAsia="sk-SK"/>
              </w:rPr>
              <w:t>Návrh zákona nepredpokladá vplyv v tejto oblasti.</w:t>
            </w:r>
          </w:p>
          <w:p w:rsidR="00126539" w:rsidRPr="00126539" w:rsidRDefault="00126539" w:rsidP="009B5BD2">
            <w:pPr>
              <w:spacing w:after="0" w:line="240" w:lineRule="auto"/>
              <w:rPr>
                <w:rFonts w:ascii="Times New Roman" w:hAnsi="Times New Roman" w:cs="Times New Roman"/>
                <w:sz w:val="20"/>
                <w:szCs w:val="20"/>
                <w:lang w:eastAsia="sk-SK"/>
              </w:rPr>
            </w:pPr>
          </w:p>
        </w:tc>
      </w:tr>
      <w:tr w:rsidR="00126539" w:rsidRPr="00126539" w:rsidTr="009B5BD2">
        <w:trPr>
          <w:trHeight w:val="397"/>
          <w:jc w:val="center"/>
        </w:trPr>
        <w:tc>
          <w:tcPr>
            <w:tcW w:w="129" w:type="pct"/>
            <w:tcBorders>
              <w:top w:val="dotted" w:sz="4" w:space="0" w:color="auto"/>
            </w:tcBorders>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f)</w:t>
            </w:r>
          </w:p>
        </w:tc>
        <w:tc>
          <w:tcPr>
            <w:tcW w:w="1642" w:type="pct"/>
            <w:tcBorders>
              <w:top w:val="dotted" w:sz="4" w:space="0" w:color="auto"/>
            </w:tcBorders>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i/>
                <w:sz w:val="20"/>
                <w:szCs w:val="20"/>
                <w:lang w:eastAsia="sk-SK"/>
              </w:rPr>
              <w:t>Dôvod chýbajúcej kvantifikácie:</w:t>
            </w:r>
          </w:p>
        </w:tc>
        <w:tc>
          <w:tcPr>
            <w:tcW w:w="3229" w:type="pct"/>
            <w:tcBorders>
              <w:top w:val="dotted" w:sz="4" w:space="0" w:color="auto"/>
            </w:tcBorders>
          </w:tcPr>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Vzhľadom na to, že predkladaný návrh zákona nezakladá negatívny vplyv a nepredpokladá sa zvýšenie výdavkov členov domácnosti, nie je možné kvantifikovať pokles príjmov alebo rast výdavkov za jednotlivé ovplyvnené skupiny domácností alebo skupiny jednotlivcov.</w:t>
            </w:r>
          </w:p>
        </w:tc>
      </w:tr>
      <w:tr w:rsidR="00126539" w:rsidRPr="00126539" w:rsidTr="009B5BD2">
        <w:trPr>
          <w:trHeight w:val="227"/>
          <w:jc w:val="center"/>
        </w:trPr>
        <w:tc>
          <w:tcPr>
            <w:tcW w:w="129" w:type="pct"/>
            <w:tcBorders>
              <w:top w:val="nil"/>
            </w:tcBorders>
            <w:shd w:val="clear" w:color="auto" w:fill="F2F2F2"/>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g)</w:t>
            </w:r>
          </w:p>
        </w:tc>
        <w:tc>
          <w:tcPr>
            <w:tcW w:w="4871" w:type="pct"/>
            <w:gridSpan w:val="2"/>
            <w:tcBorders>
              <w:top w:val="nil"/>
            </w:tcBorders>
            <w:shd w:val="clear" w:color="auto" w:fill="F2F2F2"/>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4.1.2.1</w:t>
            </w:r>
            <w:r w:rsidRPr="00126539">
              <w:rPr>
                <w:rFonts w:ascii="Times New Roman" w:hAnsi="Times New Roman" w:cs="Times New Roman"/>
                <w:i/>
                <w:sz w:val="20"/>
                <w:szCs w:val="20"/>
                <w:lang w:eastAsia="sk-SK"/>
              </w:rPr>
              <w:t xml:space="preserve"> </w:t>
            </w:r>
            <w:r w:rsidRPr="00126539">
              <w:rPr>
                <w:rFonts w:ascii="Times New Roman" w:hAnsi="Times New Roman" w:cs="Times New Roman"/>
                <w:b/>
                <w:i/>
                <w:sz w:val="20"/>
                <w:szCs w:val="20"/>
                <w:lang w:eastAsia="sk-SK"/>
              </w:rPr>
              <w:t>Z toho negatívny vplyv na skupiny v riziku chudoby alebo sociálneho vylúčenia</w:t>
            </w:r>
          </w:p>
          <w:p w:rsidR="00126539" w:rsidRPr="00126539" w:rsidRDefault="00126539" w:rsidP="009B5BD2">
            <w:pPr>
              <w:spacing w:after="0" w:line="240" w:lineRule="auto"/>
              <w:rPr>
                <w:rFonts w:ascii="Times New Roman" w:hAnsi="Times New Roman" w:cs="Times New Roman"/>
                <w:b/>
                <w:sz w:val="20"/>
                <w:szCs w:val="20"/>
                <w:lang w:eastAsia="sk-SK"/>
              </w:rPr>
            </w:pPr>
            <w:r w:rsidRPr="00126539">
              <w:rPr>
                <w:rFonts w:ascii="Times New Roman" w:hAnsi="Times New Roman" w:cs="Times New Roman"/>
                <w:i/>
                <w:sz w:val="20"/>
                <w:szCs w:val="20"/>
                <w:lang w:eastAsia="sk-SK"/>
              </w:rPr>
              <w:t>(</w:t>
            </w:r>
            <w:r w:rsidRPr="00126539">
              <w:rPr>
                <w:rFonts w:ascii="Times New Roman"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126539">
              <w:rPr>
                <w:rFonts w:ascii="Times New Roman" w:hAnsi="Times New Roman" w:cs="Times New Roman"/>
                <w:i/>
                <w:sz w:val="20"/>
                <w:szCs w:val="20"/>
                <w:lang w:eastAsia="sk-SK"/>
              </w:rPr>
              <w:t>)</w:t>
            </w:r>
          </w:p>
        </w:tc>
      </w:tr>
      <w:tr w:rsidR="00126539" w:rsidRPr="00126539" w:rsidTr="009B5BD2">
        <w:trPr>
          <w:trHeight w:val="759"/>
          <w:jc w:val="center"/>
        </w:trPr>
        <w:tc>
          <w:tcPr>
            <w:tcW w:w="129" w:type="pct"/>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h)</w:t>
            </w:r>
          </w:p>
        </w:tc>
        <w:tc>
          <w:tcPr>
            <w:tcW w:w="1642" w:type="pct"/>
          </w:tcPr>
          <w:p w:rsidR="00126539" w:rsidRPr="00126539" w:rsidRDefault="00126539" w:rsidP="009B5BD2">
            <w:pPr>
              <w:spacing w:after="0" w:line="240" w:lineRule="auto"/>
              <w:jc w:val="both"/>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Popíšte</w:t>
            </w:r>
            <w:r w:rsidRPr="00126539">
              <w:rPr>
                <w:rFonts w:ascii="Times New Roman"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Pr>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Predkladaný návrh zákona nezakladá negatívny vplyv a nepredpokladá sa zvýšenie výdavkov členov domácnosti.</w:t>
            </w:r>
          </w:p>
        </w:tc>
      </w:tr>
      <w:tr w:rsidR="00126539" w:rsidRPr="00126539" w:rsidTr="009B5BD2">
        <w:trPr>
          <w:trHeight w:val="397"/>
          <w:jc w:val="center"/>
        </w:trPr>
        <w:tc>
          <w:tcPr>
            <w:tcW w:w="129" w:type="pct"/>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i)</w:t>
            </w:r>
          </w:p>
        </w:tc>
        <w:tc>
          <w:tcPr>
            <w:tcW w:w="1642" w:type="pct"/>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 xml:space="preserve">Špecifikujte </w:t>
            </w:r>
            <w:r w:rsidRPr="00126539">
              <w:rPr>
                <w:rFonts w:ascii="Times New Roman" w:hAnsi="Times New Roman" w:cs="Times New Roman"/>
                <w:i/>
                <w:sz w:val="20"/>
                <w:szCs w:val="20"/>
                <w:lang w:eastAsia="sk-SK"/>
              </w:rPr>
              <w:t>ovplyvnené skupiny:</w:t>
            </w:r>
          </w:p>
        </w:tc>
        <w:tc>
          <w:tcPr>
            <w:tcW w:w="3229" w:type="pct"/>
          </w:tcPr>
          <w:p w:rsidR="00126539" w:rsidRPr="00126539" w:rsidRDefault="00126539" w:rsidP="009B5BD2">
            <w:pPr>
              <w:spacing w:after="0" w:line="240" w:lineRule="auto"/>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Ovplyvnená skupina č. 1</w:t>
            </w:r>
          </w:p>
          <w:p w:rsidR="00126539" w:rsidRPr="00126539" w:rsidRDefault="00126539" w:rsidP="009B5BD2">
            <w:pPr>
              <w:spacing w:after="0" w:line="240" w:lineRule="auto"/>
              <w:rPr>
                <w:rFonts w:ascii="Times New Roman" w:hAnsi="Times New Roman" w:cs="Times New Roman"/>
                <w:i/>
                <w:sz w:val="18"/>
                <w:szCs w:val="20"/>
                <w:lang w:eastAsia="sk-SK"/>
              </w:rPr>
            </w:pPr>
            <w:r w:rsidRPr="00126539">
              <w:rPr>
                <w:rFonts w:ascii="Times New Roman" w:hAnsi="Times New Roman" w:cs="Times New Roman"/>
                <w:sz w:val="20"/>
                <w:szCs w:val="20"/>
                <w:lang w:eastAsia="sk-SK"/>
              </w:rPr>
              <w:t xml:space="preserve">Návrh zákona nepredpokladá vplyv v tejto oblasti. </w:t>
            </w:r>
          </w:p>
        </w:tc>
      </w:tr>
      <w:tr w:rsidR="00126539" w:rsidRPr="00126539" w:rsidTr="009B5BD2">
        <w:trPr>
          <w:trHeight w:val="454"/>
          <w:jc w:val="center"/>
        </w:trPr>
        <w:tc>
          <w:tcPr>
            <w:tcW w:w="129" w:type="pct"/>
            <w:tcBorders>
              <w:top w:val="dotted" w:sz="4" w:space="0" w:color="auto"/>
            </w:tcBorders>
            <w:shd w:val="clear" w:color="auto" w:fill="F2F2F2"/>
            <w:vAlign w:val="center"/>
          </w:tcPr>
          <w:p w:rsidR="00126539" w:rsidRPr="00126539" w:rsidRDefault="00126539" w:rsidP="009B5BD2">
            <w:pPr>
              <w:spacing w:after="0" w:line="240" w:lineRule="auto"/>
              <w:jc w:val="center"/>
              <w:rPr>
                <w:rFonts w:ascii="Times New Roman" w:hAnsi="Times New Roman" w:cs="Times New Roman"/>
                <w:sz w:val="18"/>
                <w:szCs w:val="18"/>
                <w:lang w:eastAsia="sk-SK"/>
              </w:rPr>
            </w:pPr>
            <w:r w:rsidRPr="00126539">
              <w:rPr>
                <w:rFonts w:ascii="Times New Roman" w:hAnsi="Times New Roman" w:cs="Times New Roman"/>
                <w:i/>
                <w:sz w:val="18"/>
                <w:szCs w:val="18"/>
                <w:lang w:eastAsia="sk-SK"/>
              </w:rPr>
              <w:t>j</w:t>
            </w:r>
            <w:r w:rsidRPr="00126539">
              <w:rPr>
                <w:rFonts w:ascii="Times New Roman"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b/>
                <w:i/>
                <w:sz w:val="20"/>
                <w:szCs w:val="20"/>
                <w:lang w:eastAsia="sk-SK"/>
              </w:rPr>
              <w:t>Kvantifikujte</w:t>
            </w:r>
            <w:r w:rsidRPr="00126539">
              <w:rPr>
                <w:rFonts w:ascii="Times New Roman" w:hAnsi="Times New Roman" w:cs="Times New Roman"/>
                <w:i/>
                <w:sz w:val="20"/>
                <w:szCs w:val="20"/>
                <w:lang w:eastAsia="sk-SK"/>
              </w:rPr>
              <w:t xml:space="preserve"> pokles príjmov alebo rast výdavkov </w:t>
            </w:r>
            <w:r w:rsidRPr="00126539">
              <w:rPr>
                <w:rFonts w:ascii="Times New Roman" w:hAnsi="Times New Roman" w:cs="Times New Roman"/>
                <w:b/>
                <w:i/>
                <w:sz w:val="20"/>
                <w:szCs w:val="20"/>
                <w:lang w:eastAsia="sk-SK"/>
              </w:rPr>
              <w:t>za jednotlivé ovplyvnené skupiny</w:t>
            </w:r>
            <w:r w:rsidRPr="00126539">
              <w:rPr>
                <w:rFonts w:ascii="Times New Roman" w:hAnsi="Times New Roman" w:cs="Times New Roman"/>
                <w:i/>
                <w:sz w:val="20"/>
                <w:szCs w:val="20"/>
                <w:lang w:eastAsia="sk-SK"/>
              </w:rPr>
              <w:t xml:space="preserve"> domácností / skupiny jednotlivcov a počet obyvateľstva/domácností ovplyvnených predkladaným návrhom.</w:t>
            </w:r>
          </w:p>
        </w:tc>
      </w:tr>
      <w:tr w:rsidR="00126539" w:rsidRPr="00126539" w:rsidTr="009B5BD2">
        <w:trPr>
          <w:trHeight w:val="680"/>
          <w:jc w:val="center"/>
        </w:trPr>
        <w:tc>
          <w:tcPr>
            <w:tcW w:w="129" w:type="pct"/>
            <w:vMerge w:val="restart"/>
            <w:tcBorders>
              <w:top w:val="dotted" w:sz="4" w:space="0" w:color="auto"/>
            </w:tcBorders>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k)</w:t>
            </w:r>
          </w:p>
        </w:tc>
        <w:tc>
          <w:tcPr>
            <w:tcW w:w="1642" w:type="pct"/>
            <w:tcBorders>
              <w:top w:val="dotted" w:sz="4" w:space="0" w:color="auto"/>
            </w:tcBorders>
          </w:tcPr>
          <w:p w:rsidR="00126539" w:rsidRPr="00126539" w:rsidRDefault="00126539" w:rsidP="00126539">
            <w:pPr>
              <w:numPr>
                <w:ilvl w:val="0"/>
                <w:numId w:val="12"/>
              </w:numPr>
              <w:spacing w:after="0" w:line="240" w:lineRule="auto"/>
              <w:contextualSpacing/>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priemerný pokles príjmov/ rast výdavkov v skupine v eurách a/alebo v % / obdobie:</w:t>
            </w:r>
          </w:p>
          <w:p w:rsidR="00126539" w:rsidRPr="00126539" w:rsidRDefault="00126539" w:rsidP="00126539">
            <w:pPr>
              <w:numPr>
                <w:ilvl w:val="0"/>
                <w:numId w:val="12"/>
              </w:numPr>
              <w:spacing w:after="0" w:line="240" w:lineRule="auto"/>
              <w:contextualSpacing/>
              <w:rPr>
                <w:rFonts w:ascii="Times New Roman" w:hAnsi="Times New Roman" w:cs="Times New Roman"/>
                <w:i/>
                <w:sz w:val="20"/>
                <w:szCs w:val="20"/>
                <w:lang w:eastAsia="sk-SK"/>
              </w:rPr>
            </w:pPr>
            <w:r w:rsidRPr="00126539">
              <w:rPr>
                <w:rFonts w:ascii="Times New Roman" w:hAnsi="Times New Roman" w:cs="Times New Roman"/>
                <w:i/>
                <w:sz w:val="18"/>
                <w:szCs w:val="20"/>
                <w:lang w:eastAsia="sk-SK"/>
              </w:rPr>
              <w:t>veľkosť skupiny (počet obyvateľov):</w:t>
            </w:r>
          </w:p>
        </w:tc>
        <w:tc>
          <w:tcPr>
            <w:tcW w:w="3229" w:type="pct"/>
            <w:tcBorders>
              <w:top w:val="dotted" w:sz="4" w:space="0" w:color="auto"/>
            </w:tcBorders>
          </w:tcPr>
          <w:p w:rsidR="00126539" w:rsidRPr="00126539" w:rsidRDefault="00126539" w:rsidP="009B5BD2">
            <w:pPr>
              <w:spacing w:after="0" w:line="240" w:lineRule="auto"/>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Ovplyvnená skupina č. 1</w:t>
            </w:r>
          </w:p>
          <w:p w:rsidR="00126539" w:rsidRPr="00126539" w:rsidRDefault="00126539" w:rsidP="009B5BD2">
            <w:pPr>
              <w:spacing w:after="0" w:line="240" w:lineRule="auto"/>
              <w:rPr>
                <w:rFonts w:ascii="Times New Roman" w:hAnsi="Times New Roman" w:cs="Times New Roman"/>
                <w:i/>
                <w:sz w:val="18"/>
                <w:szCs w:val="20"/>
                <w:lang w:eastAsia="sk-SK"/>
              </w:rPr>
            </w:pPr>
          </w:p>
          <w:p w:rsidR="00126539" w:rsidRPr="00126539" w:rsidRDefault="00126539" w:rsidP="009B5BD2">
            <w:pPr>
              <w:spacing w:after="0" w:line="240" w:lineRule="auto"/>
              <w:rPr>
                <w:rFonts w:ascii="Times New Roman" w:hAnsi="Times New Roman" w:cs="Times New Roman"/>
                <w:sz w:val="20"/>
                <w:szCs w:val="20"/>
                <w:lang w:eastAsia="sk-SK"/>
              </w:rPr>
            </w:pPr>
            <w:r w:rsidRPr="00126539">
              <w:rPr>
                <w:rFonts w:ascii="Times New Roman" w:hAnsi="Times New Roman" w:cs="Times New Roman"/>
                <w:sz w:val="20"/>
                <w:szCs w:val="20"/>
                <w:lang w:eastAsia="sk-SK"/>
              </w:rPr>
              <w:t>Nemožno kvantifikovať.</w:t>
            </w:r>
          </w:p>
        </w:tc>
      </w:tr>
      <w:tr w:rsidR="00126539" w:rsidRPr="00126539" w:rsidTr="009B5BD2">
        <w:trPr>
          <w:trHeight w:val="680"/>
          <w:jc w:val="center"/>
        </w:trPr>
        <w:tc>
          <w:tcPr>
            <w:tcW w:w="129" w:type="pct"/>
            <w:vMerge/>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p>
        </w:tc>
        <w:tc>
          <w:tcPr>
            <w:tcW w:w="1642" w:type="pct"/>
          </w:tcPr>
          <w:p w:rsidR="00126539" w:rsidRPr="00126539" w:rsidRDefault="00126539" w:rsidP="009B5BD2">
            <w:pPr>
              <w:spacing w:after="0" w:line="240" w:lineRule="auto"/>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Ovplyvnená skupina č. 3</w:t>
            </w:r>
          </w:p>
          <w:p w:rsidR="00126539" w:rsidRPr="00126539" w:rsidRDefault="00126539" w:rsidP="009B5BD2">
            <w:pPr>
              <w:spacing w:after="0" w:line="240" w:lineRule="auto"/>
              <w:rPr>
                <w:rFonts w:ascii="Times New Roman" w:hAnsi="Times New Roman" w:cs="Times New Roman"/>
                <w:i/>
                <w:sz w:val="18"/>
                <w:szCs w:val="20"/>
                <w:lang w:eastAsia="sk-SK"/>
              </w:rPr>
            </w:pPr>
          </w:p>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sz w:val="20"/>
                <w:szCs w:val="20"/>
                <w:lang w:eastAsia="sk-SK"/>
              </w:rPr>
              <w:t>Nemožno kvantifikovať.</w:t>
            </w:r>
          </w:p>
        </w:tc>
        <w:tc>
          <w:tcPr>
            <w:tcW w:w="3229" w:type="pct"/>
            <w:tcBorders>
              <w:top w:val="dotted" w:sz="4" w:space="0" w:color="auto"/>
            </w:tcBorders>
          </w:tcPr>
          <w:p w:rsidR="00126539" w:rsidRPr="00126539" w:rsidRDefault="00126539" w:rsidP="009B5BD2">
            <w:pPr>
              <w:spacing w:after="0" w:line="240" w:lineRule="auto"/>
              <w:rPr>
                <w:rFonts w:ascii="Times New Roman" w:hAnsi="Times New Roman" w:cs="Times New Roman"/>
                <w:i/>
                <w:sz w:val="18"/>
                <w:szCs w:val="20"/>
                <w:lang w:eastAsia="sk-SK"/>
              </w:rPr>
            </w:pPr>
            <w:r w:rsidRPr="00126539">
              <w:rPr>
                <w:rFonts w:ascii="Times New Roman" w:hAnsi="Times New Roman" w:cs="Times New Roman"/>
                <w:i/>
                <w:sz w:val="18"/>
                <w:szCs w:val="20"/>
                <w:lang w:eastAsia="sk-SK"/>
              </w:rPr>
              <w:t>Ovplyvnená skupina č. 2</w:t>
            </w:r>
          </w:p>
          <w:p w:rsidR="00126539" w:rsidRPr="00126539" w:rsidRDefault="00126539" w:rsidP="009B5BD2">
            <w:pPr>
              <w:spacing w:after="0" w:line="240" w:lineRule="auto"/>
              <w:rPr>
                <w:rFonts w:ascii="Times New Roman" w:hAnsi="Times New Roman" w:cs="Times New Roman"/>
                <w:i/>
                <w:sz w:val="18"/>
                <w:szCs w:val="20"/>
                <w:lang w:eastAsia="sk-SK"/>
              </w:rPr>
            </w:pPr>
          </w:p>
          <w:p w:rsidR="00126539" w:rsidRPr="00126539" w:rsidRDefault="00126539" w:rsidP="009B5BD2">
            <w:pPr>
              <w:spacing w:after="0" w:line="240" w:lineRule="auto"/>
              <w:rPr>
                <w:rFonts w:ascii="Times New Roman" w:hAnsi="Times New Roman" w:cs="Times New Roman"/>
                <w:sz w:val="20"/>
                <w:szCs w:val="20"/>
                <w:lang w:eastAsia="sk-SK"/>
              </w:rPr>
            </w:pPr>
            <w:r w:rsidRPr="00126539">
              <w:rPr>
                <w:rFonts w:ascii="Times New Roman" w:hAnsi="Times New Roman" w:cs="Times New Roman"/>
                <w:sz w:val="20"/>
                <w:szCs w:val="20"/>
                <w:lang w:eastAsia="sk-SK"/>
              </w:rPr>
              <w:t>Nemožno kvantifikovať.</w:t>
            </w:r>
          </w:p>
        </w:tc>
      </w:tr>
      <w:tr w:rsidR="00126539" w:rsidRPr="00126539" w:rsidTr="009B5BD2">
        <w:trPr>
          <w:trHeight w:val="454"/>
          <w:jc w:val="center"/>
        </w:trPr>
        <w:tc>
          <w:tcPr>
            <w:tcW w:w="129" w:type="pct"/>
            <w:tcBorders>
              <w:top w:val="dotted" w:sz="4" w:space="0" w:color="auto"/>
            </w:tcBorders>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l)</w:t>
            </w:r>
          </w:p>
        </w:tc>
        <w:tc>
          <w:tcPr>
            <w:tcW w:w="1642" w:type="pct"/>
            <w:tcBorders>
              <w:top w:val="dotted" w:sz="4" w:space="0" w:color="auto"/>
            </w:tcBorders>
          </w:tcPr>
          <w:p w:rsidR="00126539" w:rsidRPr="00126539" w:rsidRDefault="00126539" w:rsidP="009B5BD2">
            <w:pPr>
              <w:spacing w:after="0" w:line="240" w:lineRule="auto"/>
              <w:rPr>
                <w:rFonts w:ascii="Times New Roman" w:hAnsi="Times New Roman" w:cs="Times New Roman"/>
                <w:i/>
                <w:sz w:val="20"/>
                <w:szCs w:val="20"/>
                <w:lang w:eastAsia="sk-SK"/>
              </w:rPr>
            </w:pPr>
            <w:r w:rsidRPr="00126539">
              <w:rPr>
                <w:rFonts w:ascii="Times New Roman" w:hAnsi="Times New Roman" w:cs="Times New Roman"/>
                <w:i/>
                <w:sz w:val="20"/>
                <w:szCs w:val="20"/>
                <w:lang w:eastAsia="sk-SK"/>
              </w:rPr>
              <w:t>Dôvod chýbajúcej kvantifikácie:</w:t>
            </w:r>
          </w:p>
        </w:tc>
        <w:tc>
          <w:tcPr>
            <w:tcW w:w="3229" w:type="pct"/>
            <w:tcBorders>
              <w:top w:val="dotted" w:sz="4" w:space="0" w:color="auto"/>
            </w:tcBorders>
          </w:tcPr>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Vzhľadom na to, že predkladaný návrh zákona nezakladá negatívny vplyv na skupiny v riziku chudoby alebo sociálneho vylúčenia a nepredpokladá sa negatívny vplyv na hospodárenie domácností, nie je možné kvantifikovať pokles príjmov alebo rast výdavkov za jednotlivé ovplyvnené skupiny domácností alebo skupiny jednotlivcov.</w:t>
            </w:r>
          </w:p>
        </w:tc>
      </w:tr>
    </w:tbl>
    <w:p w:rsidR="00126539" w:rsidRPr="00126539" w:rsidRDefault="00126539" w:rsidP="00126539">
      <w:pPr>
        <w:rPr>
          <w:rFonts w:ascii="Times New Roman" w:hAnsi="Times New Roman" w:cs="Times New Roman"/>
        </w:rPr>
      </w:pPr>
      <w:r w:rsidRPr="00126539">
        <w:rPr>
          <w:rFonts w:ascii="Times New Roman" w:hAnsi="Times New Roman" w:cs="Times New Roman"/>
        </w:rPr>
        <w:br w:type="page"/>
      </w:r>
    </w:p>
    <w:p w:rsidR="00126539" w:rsidRPr="00126539" w:rsidRDefault="00126539" w:rsidP="00126539">
      <w:pPr>
        <w:rPr>
          <w:rFonts w:ascii="Times New Roman" w:hAnsi="Times New Roman" w:cs="Times New Roman"/>
        </w:rPr>
        <w:sectPr w:rsidR="00126539" w:rsidRPr="00126539" w:rsidSect="00EA4C15">
          <w:headerReference w:type="default" r:id="rId14"/>
          <w:footerReference w:type="default" r:id="rId15"/>
          <w:footnotePr>
            <w:numFmt w:val="chicago"/>
          </w:footnotePr>
          <w:pgSz w:w="11906" w:h="16838"/>
          <w:pgMar w:top="1134" w:right="1418" w:bottom="1134" w:left="1418" w:header="510" w:footer="567" w:gutter="0"/>
          <w:pgNumType w:start="1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126539" w:rsidRPr="00126539" w:rsidTr="009B5BD2">
        <w:trPr>
          <w:trHeight w:val="339"/>
          <w:jc w:val="center"/>
        </w:trPr>
        <w:tc>
          <w:tcPr>
            <w:tcW w:w="5000" w:type="pct"/>
            <w:gridSpan w:val="4"/>
            <w:shd w:val="clear" w:color="auto" w:fill="D9D9D9"/>
          </w:tcPr>
          <w:p w:rsidR="00126539" w:rsidRPr="00126539" w:rsidRDefault="00126539" w:rsidP="009B5BD2">
            <w:pPr>
              <w:spacing w:after="0" w:line="240" w:lineRule="auto"/>
              <w:rPr>
                <w:rFonts w:ascii="Times New Roman" w:hAnsi="Times New Roman" w:cs="Times New Roman"/>
                <w:b/>
                <w:sz w:val="24"/>
                <w:szCs w:val="24"/>
                <w:lang w:eastAsia="sk-SK"/>
              </w:rPr>
            </w:pPr>
            <w:r w:rsidRPr="00126539">
              <w:rPr>
                <w:rFonts w:ascii="Times New Roman"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126539" w:rsidRPr="00126539" w:rsidTr="009B5BD2">
        <w:trPr>
          <w:trHeight w:val="290"/>
          <w:jc w:val="center"/>
        </w:trPr>
        <w:tc>
          <w:tcPr>
            <w:tcW w:w="5000" w:type="pct"/>
            <w:gridSpan w:val="4"/>
            <w:shd w:val="clear" w:color="auto" w:fill="F2F2F2"/>
            <w:vAlign w:val="center"/>
          </w:tcPr>
          <w:p w:rsidR="00126539" w:rsidRPr="00126539" w:rsidRDefault="00126539" w:rsidP="009B5BD2">
            <w:pPr>
              <w:spacing w:after="0" w:line="240" w:lineRule="auto"/>
              <w:jc w:val="both"/>
              <w:rPr>
                <w:rFonts w:ascii="Times New Roman" w:hAnsi="Times New Roman" w:cs="Times New Roman"/>
                <w:i/>
                <w:sz w:val="20"/>
                <w:szCs w:val="24"/>
                <w:lang w:eastAsia="sk-SK"/>
              </w:rPr>
            </w:pPr>
            <w:r w:rsidRPr="00126539">
              <w:rPr>
                <w:rFonts w:ascii="Times New Roman" w:hAnsi="Times New Roman" w:cs="Times New Roman"/>
                <w:i/>
                <w:sz w:val="20"/>
                <w:szCs w:val="24"/>
                <w:lang w:eastAsia="sk-SK"/>
              </w:rPr>
              <w:t xml:space="preserve">Má návrh vplyv na prístup k zdrojom, právam, tovarom a službám? </w:t>
            </w:r>
          </w:p>
          <w:p w:rsidR="00126539" w:rsidRPr="00126539" w:rsidRDefault="00126539" w:rsidP="009B5BD2">
            <w:pPr>
              <w:spacing w:after="0" w:line="240" w:lineRule="auto"/>
              <w:jc w:val="both"/>
              <w:rPr>
                <w:rFonts w:ascii="Times New Roman" w:hAnsi="Times New Roman" w:cs="Times New Roman"/>
                <w:i/>
                <w:sz w:val="24"/>
                <w:szCs w:val="24"/>
                <w:lang w:eastAsia="sk-SK"/>
              </w:rPr>
            </w:pPr>
            <w:r w:rsidRPr="00126539">
              <w:rPr>
                <w:rFonts w:ascii="Times New Roman"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126539" w:rsidRPr="00126539" w:rsidTr="009B5BD2">
        <w:tblPrEx>
          <w:tblBorders>
            <w:top w:val="none" w:sz="0" w:space="0" w:color="auto"/>
            <w:bottom w:val="none" w:sz="0" w:space="0" w:color="auto"/>
          </w:tblBorders>
        </w:tblPrEx>
        <w:trPr>
          <w:trHeight w:val="557"/>
          <w:jc w:val="center"/>
        </w:trPr>
        <w:tc>
          <w:tcPr>
            <w:tcW w:w="180" w:type="pct"/>
            <w:vAlign w:val="center"/>
          </w:tcPr>
          <w:p w:rsidR="00126539" w:rsidRPr="00126539" w:rsidRDefault="00126539" w:rsidP="009B5BD2">
            <w:pPr>
              <w:spacing w:after="0" w:line="240" w:lineRule="auto"/>
              <w:jc w:val="center"/>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a)</w:t>
            </w:r>
          </w:p>
        </w:tc>
        <w:tc>
          <w:tcPr>
            <w:tcW w:w="1893" w:type="pct"/>
            <w:gridSpan w:val="2"/>
          </w:tcPr>
          <w:p w:rsidR="00126539" w:rsidRPr="00126539" w:rsidRDefault="00126539" w:rsidP="009B5BD2">
            <w:pPr>
              <w:spacing w:after="0" w:line="240" w:lineRule="auto"/>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Rozumie sa najmä na prístup k:</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kvalitnej práci, ochrane zdravia, dôstojnosti a bezpečnosti pri práci pre zamestnancov a existujúcim zamestnaneckým právam,</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 xml:space="preserve">pomoci pri úhrade výdavkov súvisiacich so zdravotným postihnutím, </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 xml:space="preserve">zdravotnej starostlivosti vrátane cenovo dostupných pomôcok pre občanov so zdravotným postihnutím, </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k formálnemu i neformálnemu vzdelávaniu a celo</w:t>
            </w:r>
            <w:r w:rsidRPr="00126539">
              <w:rPr>
                <w:rFonts w:ascii="Times New Roman" w:hAnsi="Times New Roman" w:cs="Times New Roman"/>
                <w:i/>
                <w:sz w:val="18"/>
                <w:szCs w:val="18"/>
                <w:lang w:eastAsia="sk-SK"/>
              </w:rPr>
              <w:softHyphen/>
              <w:t xml:space="preserve">životnému vzdelávaniu, </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bývaniu a súvisiacim základným komunálnym službám,</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doprave,</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ďalším službám najmä službám všeobecného záujmu a tovarom,</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spravodlivosti, právnej ochrane, právnym službám,</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informáciám,</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20"/>
                <w:szCs w:val="20"/>
                <w:lang w:eastAsia="sk-SK"/>
              </w:rPr>
            </w:pPr>
            <w:r w:rsidRPr="00126539">
              <w:rPr>
                <w:rFonts w:ascii="Times New Roman" w:hAnsi="Times New Roman" w:cs="Times New Roman"/>
                <w:i/>
                <w:sz w:val="18"/>
                <w:szCs w:val="18"/>
                <w:lang w:eastAsia="sk-SK"/>
              </w:rPr>
              <w:t>k iným právam (napr. politickým).</w:t>
            </w:r>
          </w:p>
        </w:tc>
        <w:tc>
          <w:tcPr>
            <w:tcW w:w="2927" w:type="pct"/>
          </w:tcPr>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Predkladaný návrh zákona zakladá pozitívny vplyv na prístup k právam aj službám.</w:t>
            </w:r>
          </w:p>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Spotrebiteľ sa pri ochrane svojich práv bude môcť spojiť s ďalšími spotrebiteľmi prostredníctvom právnickej osoby, ktorej účelom je neziskový charakter svojej činnosti a ktorá má v tejto oblasti skúsenosti, pričom štát bude kontrolovať tieto subjekty, či spĺňajú kritériá na ochranu kolektívnych práv spotrebiteľov. Prístup uľahčuje minimalizácia poplatkov, jednoznačné založenie príslušnosti na rozhodovanie o spore na konkrétnom súde v SR, informovanosť verejnosti prostredníctvom webovej stránky o zámere podať žalobu, o stave súdneho sporu a pod. Ustanovuje sa, aby súd mal možnosť vykonať aj iné dôkazy, než tie ktoré boli navrhnuté. Zjednodušenie dokazovania pri kolektívnych žalobách spočíva aj v tom, že konečné rozhodnutie súdu alebo správneho orgánu vydané v konaní o žalobe na ochranu kolektívnych záujmov spotrebiteľov v inom členskom štáte Európskej únie proti tomu istému obchodníkovi pre to isté konanie alebo opomenutie konania sa považuje za dôkaz o porušení kolektívnych záujmov spotrebiteľov. Pre dokazovanie je dôležitý aj sankčný mechanizmus ktorý sa uplatní v situáciách, kedy strana sporu odmietne sprístupniť dôkazy alebo ich zničí, alebo nesplní povinnosti uložené súdom.</w:t>
            </w:r>
          </w:p>
          <w:p w:rsidR="00126539" w:rsidRPr="00126539" w:rsidRDefault="00126539" w:rsidP="009B5BD2">
            <w:pPr>
              <w:spacing w:after="0" w:line="240" w:lineRule="auto"/>
              <w:jc w:val="both"/>
              <w:rPr>
                <w:rFonts w:ascii="Times New Roman" w:hAnsi="Times New Roman" w:cs="Times New Roman"/>
                <w:sz w:val="20"/>
                <w:szCs w:val="20"/>
                <w:lang w:eastAsia="sk-SK"/>
              </w:rPr>
            </w:pPr>
            <w:r w:rsidRPr="00126539">
              <w:rPr>
                <w:rFonts w:ascii="Times New Roman" w:hAnsi="Times New Roman" w:cs="Times New Roman"/>
                <w:sz w:val="20"/>
                <w:szCs w:val="20"/>
                <w:lang w:eastAsia="sk-SK"/>
              </w:rPr>
              <w:t>Oprávnená osoba bude zastrešovať aj exekúciu, ktorou sa uspokojí peňažný nárok spotrebiteľa, ak by obchodník dobrovoľne neplnil.</w:t>
            </w:r>
          </w:p>
        </w:tc>
      </w:tr>
      <w:tr w:rsidR="00126539" w:rsidRPr="00126539" w:rsidTr="009B5BD2">
        <w:trPr>
          <w:jc w:val="center"/>
        </w:trPr>
        <w:tc>
          <w:tcPr>
            <w:tcW w:w="180" w:type="pct"/>
            <w:shd w:val="clear" w:color="auto" w:fill="F2F2F2"/>
            <w:vAlign w:val="center"/>
          </w:tcPr>
          <w:p w:rsidR="00126539" w:rsidRPr="00126539" w:rsidRDefault="00126539" w:rsidP="009B5BD2">
            <w:pPr>
              <w:spacing w:after="0" w:line="240" w:lineRule="auto"/>
              <w:rPr>
                <w:rFonts w:ascii="Times New Roman" w:hAnsi="Times New Roman" w:cs="Times New Roman"/>
                <w:i/>
                <w:sz w:val="18"/>
                <w:lang w:eastAsia="sk-SK"/>
              </w:rPr>
            </w:pPr>
            <w:r w:rsidRPr="00126539">
              <w:rPr>
                <w:rFonts w:ascii="Times New Roman" w:hAnsi="Times New Roman" w:cs="Times New Roman"/>
                <w:i/>
                <w:sz w:val="18"/>
                <w:lang w:eastAsia="sk-SK"/>
              </w:rPr>
              <w:t>b)</w:t>
            </w:r>
          </w:p>
        </w:tc>
        <w:tc>
          <w:tcPr>
            <w:tcW w:w="4820" w:type="pct"/>
            <w:gridSpan w:val="3"/>
            <w:shd w:val="clear" w:color="auto" w:fill="F2F2F2"/>
          </w:tcPr>
          <w:p w:rsidR="00126539" w:rsidRPr="00126539" w:rsidRDefault="00126539" w:rsidP="009B5BD2">
            <w:pPr>
              <w:spacing w:after="0" w:line="240" w:lineRule="auto"/>
              <w:jc w:val="both"/>
              <w:rPr>
                <w:rFonts w:ascii="Times New Roman" w:hAnsi="Times New Roman" w:cs="Times New Roman"/>
                <w:i/>
                <w:sz w:val="20"/>
                <w:szCs w:val="20"/>
                <w:lang w:eastAsia="sk-SK"/>
              </w:rPr>
            </w:pPr>
            <w:r w:rsidRPr="00126539">
              <w:rPr>
                <w:rFonts w:ascii="Times New Roman" w:hAnsi="Times New Roman" w:cs="Times New Roman"/>
                <w:i/>
                <w:sz w:val="20"/>
                <w:szCs w:val="20"/>
                <w:lang w:eastAsia="sk-SK"/>
              </w:rPr>
              <w:t xml:space="preserve">Má návrh významný vplyv na niektorú zo zraniteľných skupín obyvateľstva alebo skupín v riziku chudoby alebo sociálneho vylúčenia? </w:t>
            </w:r>
          </w:p>
          <w:p w:rsidR="00126539" w:rsidRPr="00126539" w:rsidRDefault="00126539" w:rsidP="009B5BD2">
            <w:pPr>
              <w:spacing w:after="0" w:line="240" w:lineRule="auto"/>
              <w:jc w:val="both"/>
              <w:rPr>
                <w:rFonts w:ascii="Times New Roman" w:hAnsi="Times New Roman" w:cs="Times New Roman"/>
                <w:i/>
                <w:lang w:eastAsia="sk-SK"/>
              </w:rPr>
            </w:pPr>
            <w:r w:rsidRPr="00126539">
              <w:rPr>
                <w:rFonts w:ascii="Times New Roman" w:hAnsi="Times New Roman" w:cs="Times New Roman"/>
                <w:i/>
                <w:sz w:val="20"/>
                <w:szCs w:val="20"/>
                <w:lang w:eastAsia="sk-SK"/>
              </w:rPr>
              <w:t xml:space="preserve">Špecifikujte ovplyvnené skupiny v riziku chudoby a sociálneho vylúčenia a popíšte vplyv na </w:t>
            </w:r>
            <w:proofErr w:type="spellStart"/>
            <w:r w:rsidRPr="00126539">
              <w:rPr>
                <w:rFonts w:ascii="Times New Roman" w:hAnsi="Times New Roman" w:cs="Times New Roman"/>
                <w:i/>
                <w:sz w:val="20"/>
                <w:szCs w:val="20"/>
                <w:lang w:eastAsia="sk-SK"/>
              </w:rPr>
              <w:t>ne</w:t>
            </w:r>
            <w:proofErr w:type="spellEnd"/>
            <w:r w:rsidRPr="00126539">
              <w:rPr>
                <w:rFonts w:ascii="Times New Roman" w:hAnsi="Times New Roman" w:cs="Times New Roman"/>
                <w:i/>
                <w:sz w:val="20"/>
                <w:szCs w:val="20"/>
                <w:lang w:eastAsia="sk-SK"/>
              </w:rPr>
              <w:t>. Je tento vplyv väčší ako vplyv na iné skupiny či subjekty? Uveďte veľkosť jednotlivých ovplyvnených skupín.</w:t>
            </w:r>
          </w:p>
        </w:tc>
      </w:tr>
      <w:tr w:rsidR="00126539" w:rsidRPr="00126539" w:rsidTr="009B5BD2">
        <w:tblPrEx>
          <w:tblBorders>
            <w:top w:val="none" w:sz="0" w:space="0" w:color="auto"/>
          </w:tblBorders>
        </w:tblPrEx>
        <w:trPr>
          <w:trHeight w:val="677"/>
          <w:jc w:val="center"/>
        </w:trPr>
        <w:tc>
          <w:tcPr>
            <w:tcW w:w="180" w:type="pct"/>
            <w:vAlign w:val="center"/>
          </w:tcPr>
          <w:p w:rsidR="00126539" w:rsidRPr="00126539" w:rsidRDefault="00126539" w:rsidP="009B5BD2">
            <w:pPr>
              <w:spacing w:after="0" w:line="240" w:lineRule="auto"/>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c)</w:t>
            </w:r>
          </w:p>
        </w:tc>
        <w:tc>
          <w:tcPr>
            <w:tcW w:w="1849" w:type="pct"/>
          </w:tcPr>
          <w:p w:rsidR="00126539" w:rsidRPr="00126539" w:rsidRDefault="00126539" w:rsidP="009B5BD2">
            <w:pPr>
              <w:spacing w:after="0" w:line="240" w:lineRule="auto"/>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Zraniteľné skupiny alebo skupiny v riziku chudoby alebo sociálneho vylúčenia sú napr.:</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nezamestnaní, najmä dlhodobo nezamestnaní, mladí nezamestnaní a nezamestnaní nad 50 rokov,</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deti (0 – 17),</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mladí ľudia (18 – 25 rokov),</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starší ľudia, napr. ľudia vo veku nad 65 rokov alebo dôchodcovia,</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ľudia so zdravotným postihnutím,</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 xml:space="preserve">marginalizované rómske komunity </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domácnosti s 3 a viac deťmi,</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jednorodičovské domácnosti s deťmi (neúplné rodiny, ktoré tvoria najmä osamelé matky s deťmi),</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príslušníci tretích krajín, azylanti, žiadatelia o azyl,</w:t>
            </w:r>
          </w:p>
          <w:p w:rsidR="00126539" w:rsidRPr="00126539" w:rsidRDefault="00126539" w:rsidP="00126539">
            <w:pPr>
              <w:numPr>
                <w:ilvl w:val="0"/>
                <w:numId w:val="10"/>
              </w:numPr>
              <w:spacing w:after="0" w:line="240" w:lineRule="auto"/>
              <w:ind w:left="170" w:hanging="170"/>
              <w:jc w:val="both"/>
              <w:rPr>
                <w:rFonts w:ascii="Times New Roman" w:hAnsi="Times New Roman" w:cs="Times New Roman"/>
                <w:sz w:val="20"/>
                <w:lang w:eastAsia="sk-SK"/>
              </w:rPr>
            </w:pPr>
            <w:r w:rsidRPr="00126539">
              <w:rPr>
                <w:rFonts w:ascii="Times New Roman"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tcPr>
          <w:p w:rsidR="00126539" w:rsidRPr="00126539" w:rsidRDefault="00126539" w:rsidP="009B5BD2">
            <w:pPr>
              <w:jc w:val="both"/>
              <w:rPr>
                <w:rFonts w:ascii="Times New Roman" w:hAnsi="Times New Roman" w:cs="Times New Roman"/>
                <w:sz w:val="20"/>
                <w:lang w:eastAsia="sk-SK"/>
              </w:rPr>
            </w:pPr>
            <w:r w:rsidRPr="00126539">
              <w:rPr>
                <w:rFonts w:ascii="Times New Roman" w:hAnsi="Times New Roman" w:cs="Times New Roman"/>
                <w:sz w:val="20"/>
                <w:szCs w:val="20"/>
                <w:lang w:eastAsia="sk-SK"/>
              </w:rPr>
              <w:t>Návrh zákona predpokladá pozitívne vplyvy aj v prípade zraniteľných skupín obyvateľstva alebo skupín v riziku chudoby alebo sociálneho vylúčenia rovnako, ako je opísané v písmene a), ak poškodeným spotrebiteľom bude osoba patriaca to tejto skupiny obyvateľov.</w:t>
            </w:r>
          </w:p>
          <w:p w:rsidR="00126539" w:rsidRPr="00126539" w:rsidRDefault="00126539" w:rsidP="009B5BD2">
            <w:pPr>
              <w:rPr>
                <w:rFonts w:ascii="Times New Roman" w:hAnsi="Times New Roman" w:cs="Times New Roman"/>
                <w:sz w:val="20"/>
                <w:lang w:eastAsia="sk-SK"/>
              </w:rPr>
            </w:pPr>
          </w:p>
          <w:p w:rsidR="00126539" w:rsidRPr="00126539" w:rsidRDefault="00126539" w:rsidP="009B5BD2">
            <w:pPr>
              <w:rPr>
                <w:rFonts w:ascii="Times New Roman" w:hAnsi="Times New Roman" w:cs="Times New Roman"/>
                <w:sz w:val="20"/>
                <w:lang w:eastAsia="sk-SK"/>
              </w:rPr>
            </w:pPr>
          </w:p>
        </w:tc>
      </w:tr>
    </w:tbl>
    <w:p w:rsidR="00126539" w:rsidRDefault="00126539" w:rsidP="00126539">
      <w:pPr>
        <w:tabs>
          <w:tab w:val="left" w:pos="3330"/>
        </w:tabs>
        <w:rPr>
          <w:rFonts w:ascii="Times New Roman" w:hAnsi="Times New Roman" w:cs="Times New Roman"/>
        </w:rPr>
      </w:pPr>
      <w:r>
        <w:rPr>
          <w:rFonts w:ascii="Times New Roman" w:hAnsi="Times New Roman" w:cs="Times New Roman"/>
        </w:rPr>
        <w:tab/>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7"/>
        <w:gridCol w:w="5514"/>
      </w:tblGrid>
      <w:tr w:rsidR="00126539" w:rsidRPr="00126539" w:rsidTr="009B5BD2">
        <w:trPr>
          <w:jc w:val="center"/>
        </w:trPr>
        <w:tc>
          <w:tcPr>
            <w:tcW w:w="5000" w:type="pct"/>
            <w:gridSpan w:val="3"/>
            <w:shd w:val="clear" w:color="auto" w:fill="D9D9D9"/>
          </w:tcPr>
          <w:p w:rsidR="00126539" w:rsidRPr="00126539" w:rsidRDefault="00126539" w:rsidP="009B5BD2">
            <w:pPr>
              <w:spacing w:after="0" w:line="240" w:lineRule="auto"/>
              <w:rPr>
                <w:rFonts w:ascii="Times New Roman" w:hAnsi="Times New Roman" w:cs="Times New Roman"/>
                <w:b/>
                <w:sz w:val="24"/>
                <w:szCs w:val="24"/>
              </w:rPr>
            </w:pPr>
            <w:r>
              <w:rPr>
                <w:rFonts w:ascii="Times New Roman" w:hAnsi="Times New Roman" w:cs="Times New Roman"/>
              </w:rPr>
              <w:lastRenderedPageBreak/>
              <w:tab/>
            </w:r>
            <w:r w:rsidRPr="00126539">
              <w:rPr>
                <w:rFonts w:ascii="Times New Roman" w:hAnsi="Times New Roman" w:cs="Times New Roman"/>
                <w:b/>
                <w:sz w:val="24"/>
                <w:szCs w:val="24"/>
              </w:rPr>
              <w:t>4.3 Identifikujte a popíšte vplyv na rovnosť príležitostí.</w:t>
            </w:r>
          </w:p>
          <w:p w:rsidR="00126539" w:rsidRPr="00126539" w:rsidRDefault="00126539" w:rsidP="009B5BD2">
            <w:pPr>
              <w:spacing w:after="0" w:line="240" w:lineRule="auto"/>
              <w:ind w:left="340"/>
              <w:jc w:val="both"/>
              <w:rPr>
                <w:rFonts w:ascii="Times New Roman" w:hAnsi="Times New Roman" w:cs="Times New Roman"/>
                <w:sz w:val="24"/>
                <w:szCs w:val="24"/>
              </w:rPr>
            </w:pPr>
            <w:r w:rsidRPr="00126539">
              <w:rPr>
                <w:rFonts w:ascii="Times New Roman" w:hAnsi="Times New Roman" w:cs="Times New Roman"/>
                <w:b/>
                <w:sz w:val="24"/>
                <w:szCs w:val="24"/>
              </w:rPr>
              <w:t>Identifikujte, popíšte a kvantifikujte vplyv na rovnosť žien a mužov.</w:t>
            </w:r>
          </w:p>
        </w:tc>
      </w:tr>
      <w:tr w:rsidR="00126539" w:rsidRPr="00126539" w:rsidTr="00126539">
        <w:trPr>
          <w:jc w:val="center"/>
        </w:trPr>
        <w:tc>
          <w:tcPr>
            <w:tcW w:w="143" w:type="pct"/>
            <w:shd w:val="clear" w:color="auto" w:fill="F2F2F2"/>
            <w:vAlign w:val="center"/>
          </w:tcPr>
          <w:p w:rsidR="00126539" w:rsidRPr="00126539" w:rsidRDefault="00126539" w:rsidP="009B5BD2">
            <w:pPr>
              <w:spacing w:after="0" w:line="240" w:lineRule="auto"/>
              <w:rPr>
                <w:rFonts w:ascii="Times New Roman" w:hAnsi="Times New Roman" w:cs="Times New Roman"/>
                <w:i/>
                <w:sz w:val="24"/>
                <w:szCs w:val="24"/>
              </w:rPr>
            </w:pPr>
            <w:r w:rsidRPr="00126539">
              <w:rPr>
                <w:rFonts w:ascii="Times New Roman" w:hAnsi="Times New Roman" w:cs="Times New Roman"/>
                <w:i/>
                <w:sz w:val="18"/>
                <w:szCs w:val="24"/>
              </w:rPr>
              <w:t>a)</w:t>
            </w:r>
          </w:p>
        </w:tc>
        <w:tc>
          <w:tcPr>
            <w:tcW w:w="4857" w:type="pct"/>
            <w:gridSpan w:val="2"/>
            <w:shd w:val="clear" w:color="auto" w:fill="F2F2F2"/>
          </w:tcPr>
          <w:p w:rsidR="00126539" w:rsidRPr="00126539" w:rsidRDefault="00126539" w:rsidP="009B5BD2">
            <w:pPr>
              <w:spacing w:after="0" w:line="240" w:lineRule="auto"/>
              <w:jc w:val="both"/>
              <w:rPr>
                <w:rFonts w:ascii="Times New Roman" w:hAnsi="Times New Roman" w:cs="Times New Roman"/>
                <w:i/>
                <w:sz w:val="24"/>
                <w:szCs w:val="24"/>
              </w:rPr>
            </w:pPr>
            <w:r w:rsidRPr="00126539">
              <w:rPr>
                <w:rFonts w:ascii="Times New Roman"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126539" w:rsidRPr="00126539" w:rsidTr="00126539">
        <w:trPr>
          <w:trHeight w:val="928"/>
          <w:jc w:val="center"/>
        </w:trPr>
        <w:tc>
          <w:tcPr>
            <w:tcW w:w="143" w:type="pct"/>
            <w:tcBorders>
              <w:top w:val="nil"/>
              <w:bottom w:val="nil"/>
            </w:tcBorders>
          </w:tcPr>
          <w:p w:rsidR="00126539" w:rsidRPr="00126539" w:rsidRDefault="00126539" w:rsidP="009B5BD2">
            <w:pPr>
              <w:spacing w:after="0" w:line="240" w:lineRule="auto"/>
              <w:rPr>
                <w:rFonts w:ascii="Times New Roman" w:hAnsi="Times New Roman" w:cs="Times New Roman"/>
                <w:sz w:val="20"/>
              </w:rPr>
            </w:pPr>
          </w:p>
          <w:p w:rsidR="00126539" w:rsidRPr="00126539" w:rsidRDefault="00126539" w:rsidP="009B5BD2">
            <w:pPr>
              <w:spacing w:after="0" w:line="240" w:lineRule="auto"/>
              <w:rPr>
                <w:rFonts w:ascii="Times New Roman" w:hAnsi="Times New Roman" w:cs="Times New Roman"/>
                <w:i/>
                <w:sz w:val="20"/>
              </w:rPr>
            </w:pPr>
          </w:p>
          <w:p w:rsidR="00126539" w:rsidRPr="00126539" w:rsidRDefault="00126539" w:rsidP="009B5BD2">
            <w:pPr>
              <w:spacing w:after="0" w:line="240" w:lineRule="auto"/>
              <w:rPr>
                <w:rFonts w:ascii="Times New Roman" w:hAnsi="Times New Roman" w:cs="Times New Roman"/>
                <w:i/>
                <w:sz w:val="20"/>
              </w:rPr>
            </w:pPr>
          </w:p>
          <w:p w:rsidR="00126539" w:rsidRPr="00126539" w:rsidRDefault="00126539" w:rsidP="009B5BD2">
            <w:pPr>
              <w:spacing w:after="0" w:line="240" w:lineRule="auto"/>
              <w:rPr>
                <w:rFonts w:ascii="Times New Roman" w:hAnsi="Times New Roman" w:cs="Times New Roman"/>
                <w:i/>
                <w:sz w:val="18"/>
              </w:rPr>
            </w:pPr>
            <w:r w:rsidRPr="00126539">
              <w:rPr>
                <w:rFonts w:ascii="Times New Roman" w:hAnsi="Times New Roman" w:cs="Times New Roman"/>
                <w:i/>
                <w:sz w:val="18"/>
              </w:rPr>
              <w:t>b)</w:t>
            </w:r>
          </w:p>
          <w:p w:rsidR="00126539" w:rsidRPr="00126539" w:rsidRDefault="00126539" w:rsidP="009B5BD2">
            <w:pPr>
              <w:spacing w:after="0" w:line="240" w:lineRule="auto"/>
              <w:rPr>
                <w:rFonts w:ascii="Times New Roman" w:hAnsi="Times New Roman" w:cs="Times New Roman"/>
                <w:i/>
                <w:sz w:val="20"/>
              </w:rPr>
            </w:pPr>
          </w:p>
          <w:p w:rsidR="00126539" w:rsidRPr="00126539" w:rsidRDefault="00126539" w:rsidP="009B5BD2">
            <w:pPr>
              <w:spacing w:after="0" w:line="240" w:lineRule="auto"/>
              <w:rPr>
                <w:rFonts w:ascii="Times New Roman" w:hAnsi="Times New Roman" w:cs="Times New Roman"/>
                <w:i/>
                <w:sz w:val="20"/>
              </w:rPr>
            </w:pPr>
          </w:p>
          <w:p w:rsidR="00126539" w:rsidRPr="00126539" w:rsidRDefault="00126539" w:rsidP="009B5BD2">
            <w:pPr>
              <w:spacing w:after="0" w:line="240" w:lineRule="auto"/>
              <w:rPr>
                <w:rFonts w:ascii="Times New Roman" w:hAnsi="Times New Roman" w:cs="Times New Roman"/>
                <w:i/>
                <w:sz w:val="20"/>
              </w:rPr>
            </w:pPr>
          </w:p>
        </w:tc>
        <w:tc>
          <w:tcPr>
            <w:tcW w:w="4857" w:type="pct"/>
            <w:gridSpan w:val="2"/>
            <w:tcBorders>
              <w:top w:val="nil"/>
              <w:bottom w:val="nil"/>
            </w:tcBorders>
          </w:tcPr>
          <w:p w:rsidR="00126539" w:rsidRPr="00126539" w:rsidRDefault="00126539" w:rsidP="009B5BD2">
            <w:pPr>
              <w:spacing w:after="0" w:line="240" w:lineRule="auto"/>
              <w:jc w:val="both"/>
              <w:rPr>
                <w:rFonts w:ascii="Times New Roman" w:hAnsi="Times New Roman" w:cs="Times New Roman"/>
                <w:i/>
                <w:sz w:val="20"/>
              </w:rPr>
            </w:pPr>
            <w:r w:rsidRPr="00126539">
              <w:rPr>
                <w:rFonts w:ascii="Times New Roman" w:hAnsi="Times New Roman" w:cs="Times New Roman"/>
                <w:sz w:val="20"/>
              </w:rPr>
              <w:t>Predkladaný návrh zákona dôsledne rešpektuje rovnosť príležitostí, povinnosť rovnakého zaobchádzania so skupinami alebo jednotlivcami na základe pohlavia, rasy, etnicity, náboženstva alebo viery, zdravotného postihnutia, veku a sexuálnej orientácie alebo iného statusu a zákaz diskriminácie.</w:t>
            </w:r>
            <w:r w:rsidRPr="00126539">
              <w:rPr>
                <w:rFonts w:ascii="Times New Roman" w:hAnsi="Times New Roman" w:cs="Times New Roman"/>
                <w:i/>
                <w:sz w:val="20"/>
              </w:rPr>
              <w:t xml:space="preserve">  </w:t>
            </w:r>
          </w:p>
        </w:tc>
      </w:tr>
      <w:tr w:rsidR="00126539" w:rsidRPr="00126539" w:rsidTr="00126539">
        <w:trPr>
          <w:trHeight w:val="345"/>
          <w:jc w:val="center"/>
        </w:trPr>
        <w:tc>
          <w:tcPr>
            <w:tcW w:w="143" w:type="pct"/>
            <w:shd w:val="clear" w:color="auto" w:fill="F2F2F2"/>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c)</w:t>
            </w:r>
          </w:p>
        </w:tc>
        <w:tc>
          <w:tcPr>
            <w:tcW w:w="4857" w:type="pct"/>
            <w:gridSpan w:val="2"/>
            <w:shd w:val="clear" w:color="auto" w:fill="F2F2F2"/>
            <w:vAlign w:val="center"/>
          </w:tcPr>
          <w:p w:rsidR="00126539" w:rsidRPr="00126539" w:rsidRDefault="00126539" w:rsidP="009B5BD2">
            <w:pPr>
              <w:spacing w:after="0" w:line="240" w:lineRule="auto"/>
              <w:rPr>
                <w:rFonts w:ascii="Times New Roman" w:hAnsi="Times New Roman" w:cs="Times New Roman"/>
                <w:i/>
                <w:sz w:val="20"/>
                <w:szCs w:val="20"/>
              </w:rPr>
            </w:pPr>
            <w:r w:rsidRPr="00126539">
              <w:rPr>
                <w:rFonts w:ascii="Times New Roman" w:hAnsi="Times New Roman" w:cs="Times New Roman"/>
                <w:i/>
                <w:sz w:val="20"/>
                <w:szCs w:val="20"/>
              </w:rPr>
              <w:t xml:space="preserve">4.3.2 Môže návrh viesť k zväčšovaniu nerovností medzi ženami a mužmi? </w:t>
            </w:r>
            <w:r w:rsidRPr="00126539">
              <w:rPr>
                <w:rFonts w:ascii="Times New Roman" w:hAnsi="Times New Roman" w:cs="Times New Roman"/>
                <w:i/>
                <w:sz w:val="20"/>
                <w:szCs w:val="24"/>
              </w:rPr>
              <w:t xml:space="preserve">Podporuje návrh rovnosť príležitostí? </w:t>
            </w:r>
            <w:r w:rsidRPr="00126539">
              <w:rPr>
                <w:rFonts w:ascii="Times New Roman" w:hAnsi="Times New Roman" w:cs="Times New Roman"/>
                <w:i/>
                <w:sz w:val="20"/>
                <w:szCs w:val="20"/>
              </w:rPr>
              <w:t>Má návrh odlišný vplyv na ženy a mužov? Popíšte vplyvy.</w:t>
            </w:r>
          </w:p>
        </w:tc>
      </w:tr>
      <w:tr w:rsidR="00126539" w:rsidRPr="00126539" w:rsidTr="00126539">
        <w:tblPrEx>
          <w:tblBorders>
            <w:top w:val="none" w:sz="0" w:space="0" w:color="auto"/>
            <w:bottom w:val="none" w:sz="0" w:space="0" w:color="auto"/>
          </w:tblBorders>
        </w:tblPrEx>
        <w:trPr>
          <w:trHeight w:val="372"/>
          <w:jc w:val="center"/>
        </w:trPr>
        <w:tc>
          <w:tcPr>
            <w:tcW w:w="143" w:type="pct"/>
            <w:vAlign w:val="center"/>
          </w:tcPr>
          <w:p w:rsidR="00126539" w:rsidRPr="00126539" w:rsidRDefault="00126539" w:rsidP="009B5BD2">
            <w:pPr>
              <w:spacing w:after="0" w:line="240" w:lineRule="auto"/>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d)</w:t>
            </w:r>
          </w:p>
        </w:tc>
        <w:tc>
          <w:tcPr>
            <w:tcW w:w="1875" w:type="pct"/>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i/>
                <w:sz w:val="18"/>
                <w:szCs w:val="18"/>
              </w:rPr>
              <w:t>Popíšte riziká návrhu, ktoré môžu viesť k zväčšovaniu nerovností:</w:t>
            </w:r>
          </w:p>
        </w:tc>
        <w:tc>
          <w:tcPr>
            <w:tcW w:w="2983" w:type="pct"/>
          </w:tcPr>
          <w:p w:rsidR="00126539" w:rsidRPr="00126539" w:rsidRDefault="00126539" w:rsidP="009B5BD2">
            <w:pPr>
              <w:spacing w:after="0" w:line="240" w:lineRule="auto"/>
              <w:jc w:val="both"/>
              <w:rPr>
                <w:rFonts w:ascii="Times New Roman" w:hAnsi="Times New Roman" w:cs="Times New Roman"/>
                <w:sz w:val="20"/>
              </w:rPr>
            </w:pPr>
            <w:r w:rsidRPr="00126539">
              <w:rPr>
                <w:rFonts w:ascii="Times New Roman" w:hAnsi="Times New Roman" w:cs="Times New Roman"/>
                <w:sz w:val="20"/>
                <w:szCs w:val="20"/>
                <w:lang w:eastAsia="sk-SK"/>
              </w:rPr>
              <w:t>Návrh zákona nepredpokladá vplyv v tejto oblasti.</w:t>
            </w:r>
          </w:p>
        </w:tc>
      </w:tr>
      <w:tr w:rsidR="00126539" w:rsidRPr="00126539" w:rsidTr="00126539">
        <w:tblPrEx>
          <w:tblBorders>
            <w:top w:val="none" w:sz="0" w:space="0" w:color="auto"/>
            <w:bottom w:val="none" w:sz="0" w:space="0" w:color="auto"/>
          </w:tblBorders>
        </w:tblPrEx>
        <w:trPr>
          <w:trHeight w:val="371"/>
          <w:jc w:val="center"/>
        </w:trPr>
        <w:tc>
          <w:tcPr>
            <w:tcW w:w="143" w:type="pct"/>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e)</w:t>
            </w:r>
          </w:p>
        </w:tc>
        <w:tc>
          <w:tcPr>
            <w:tcW w:w="1875" w:type="pct"/>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i/>
                <w:sz w:val="18"/>
                <w:szCs w:val="18"/>
              </w:rPr>
              <w:t>Popíšte pozitívne vplyvy návrhu na dosahovanie rovnosti žien a mužov, rovnosti príležitostí žien a mužov, prípadne vplyvy na ženy a mužov, ak sú odlišné:</w:t>
            </w:r>
          </w:p>
        </w:tc>
        <w:tc>
          <w:tcPr>
            <w:tcW w:w="2983" w:type="pct"/>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sz w:val="20"/>
                <w:szCs w:val="20"/>
                <w:lang w:eastAsia="sk-SK"/>
              </w:rPr>
              <w:t>Návrh zákona nepredpokladá vplyv v tejto oblasti.</w:t>
            </w:r>
          </w:p>
        </w:tc>
      </w:tr>
      <w:tr w:rsidR="00126539" w:rsidRPr="00126539" w:rsidTr="00126539">
        <w:tblPrEx>
          <w:tblBorders>
            <w:top w:val="none" w:sz="0" w:space="0" w:color="auto"/>
            <w:bottom w:val="none" w:sz="0" w:space="0" w:color="auto"/>
          </w:tblBorders>
        </w:tblPrEx>
        <w:trPr>
          <w:trHeight w:val="371"/>
          <w:jc w:val="center"/>
        </w:trPr>
        <w:tc>
          <w:tcPr>
            <w:tcW w:w="143" w:type="pct"/>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f)</w:t>
            </w:r>
          </w:p>
        </w:tc>
        <w:tc>
          <w:tcPr>
            <w:tcW w:w="1875" w:type="pct"/>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3" w:type="pct"/>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sz w:val="20"/>
                <w:szCs w:val="20"/>
                <w:lang w:eastAsia="sk-SK"/>
              </w:rPr>
              <w:t>Návrh zákona nepredpokladá vplyv v tejto oblasti.</w:t>
            </w:r>
          </w:p>
        </w:tc>
      </w:tr>
      <w:tr w:rsidR="00126539" w:rsidRPr="00126539" w:rsidTr="00126539">
        <w:tblPrEx>
          <w:tblBorders>
            <w:top w:val="none" w:sz="0" w:space="0" w:color="auto"/>
            <w:bottom w:val="none" w:sz="0" w:space="0" w:color="auto"/>
          </w:tblBorders>
        </w:tblPrEx>
        <w:trPr>
          <w:trHeight w:val="1235"/>
          <w:jc w:val="center"/>
        </w:trPr>
        <w:tc>
          <w:tcPr>
            <w:tcW w:w="143" w:type="pct"/>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g)</w:t>
            </w:r>
          </w:p>
        </w:tc>
        <w:tc>
          <w:tcPr>
            <w:tcW w:w="1875" w:type="pct"/>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126539" w:rsidRPr="00126539" w:rsidRDefault="00126539" w:rsidP="009B5BD2">
            <w:pPr>
              <w:spacing w:after="0" w:line="240" w:lineRule="auto"/>
              <w:jc w:val="both"/>
              <w:rPr>
                <w:rFonts w:ascii="Times New Roman" w:hAnsi="Times New Roman" w:cs="Times New Roman"/>
                <w:color w:val="000000"/>
                <w:sz w:val="27"/>
                <w:szCs w:val="27"/>
              </w:rPr>
            </w:pPr>
            <w:r w:rsidRPr="00126539">
              <w:rPr>
                <w:rFonts w:ascii="Times New Roman" w:hAnsi="Times New Roman" w:cs="Times New Roman"/>
                <w:i/>
                <w:sz w:val="18"/>
                <w:szCs w:val="18"/>
              </w:rPr>
              <w:t xml:space="preserve">V ktorých oblastiach podpory rovnosti žien a mužov návrh odstraňuje prekážky a/alebo podporuje rovnosť žien a mužov? </w:t>
            </w:r>
            <w:r w:rsidRPr="00126539">
              <w:rPr>
                <w:rFonts w:ascii="Times New Roman" w:hAnsi="Times New Roman" w:cs="Times New Roman"/>
                <w:i/>
                <w:iCs/>
                <w:color w:val="000000"/>
                <w:sz w:val="18"/>
                <w:szCs w:val="18"/>
              </w:rPr>
              <w:t>Medzi oblasti podpory rovnosti žien a mužov okrem iného patria:</w:t>
            </w:r>
          </w:p>
          <w:p w:rsidR="00126539" w:rsidRPr="00126539" w:rsidRDefault="00126539" w:rsidP="00126539">
            <w:pPr>
              <w:numPr>
                <w:ilvl w:val="0"/>
                <w:numId w:val="11"/>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podpora slobodného výberu povolania a ekonomickej činnosti</w:t>
            </w:r>
          </w:p>
          <w:p w:rsidR="00126539" w:rsidRPr="00126539" w:rsidRDefault="00126539" w:rsidP="00126539">
            <w:pPr>
              <w:numPr>
                <w:ilvl w:val="0"/>
                <w:numId w:val="11"/>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 xml:space="preserve">podpora vyrovnávania ekonomickej nezávislosti, </w:t>
            </w:r>
          </w:p>
          <w:p w:rsidR="00126539" w:rsidRPr="00126539" w:rsidRDefault="00126539" w:rsidP="00126539">
            <w:pPr>
              <w:numPr>
                <w:ilvl w:val="0"/>
                <w:numId w:val="11"/>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 xml:space="preserve">zosúladenie pracovného, súkromného a rodinného života, </w:t>
            </w:r>
          </w:p>
          <w:p w:rsidR="00126539" w:rsidRPr="00126539" w:rsidRDefault="00126539" w:rsidP="00126539">
            <w:pPr>
              <w:numPr>
                <w:ilvl w:val="0"/>
                <w:numId w:val="11"/>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 xml:space="preserve">podpora rovnosti príležitostí pri participácii na rozhodovaní, </w:t>
            </w:r>
          </w:p>
          <w:p w:rsidR="00126539" w:rsidRPr="00126539" w:rsidRDefault="00126539" w:rsidP="00126539">
            <w:pPr>
              <w:numPr>
                <w:ilvl w:val="0"/>
                <w:numId w:val="11"/>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 xml:space="preserve">boj proti domácemu násiliu,  násiliu na ženách  a obchodovaniu s ľuďmi, </w:t>
            </w:r>
          </w:p>
          <w:p w:rsidR="00126539" w:rsidRPr="00126539" w:rsidRDefault="00126539" w:rsidP="00126539">
            <w:pPr>
              <w:numPr>
                <w:ilvl w:val="0"/>
                <w:numId w:val="11"/>
              </w:numPr>
              <w:spacing w:after="0" w:line="240" w:lineRule="auto"/>
              <w:ind w:left="170" w:hanging="170"/>
              <w:jc w:val="both"/>
              <w:rPr>
                <w:rFonts w:ascii="Times New Roman" w:hAnsi="Times New Roman" w:cs="Times New Roman"/>
                <w:i/>
                <w:sz w:val="18"/>
                <w:szCs w:val="18"/>
                <w:lang w:eastAsia="sk-SK"/>
              </w:rPr>
            </w:pPr>
            <w:r w:rsidRPr="00126539">
              <w:rPr>
                <w:rFonts w:ascii="Times New Roman" w:hAnsi="Times New Roman" w:cs="Times New Roman"/>
                <w:i/>
                <w:sz w:val="18"/>
                <w:szCs w:val="18"/>
                <w:lang w:eastAsia="sk-SK"/>
              </w:rPr>
              <w:t>podpora vnímania osobnej starostlivosti o dieťa za rovnocennú s ekonomickou činnosťou a podpora neviditeľnej práce v domácnosti ako takej,</w:t>
            </w:r>
          </w:p>
          <w:p w:rsidR="00126539" w:rsidRPr="00126539" w:rsidRDefault="00126539" w:rsidP="00126539">
            <w:pPr>
              <w:numPr>
                <w:ilvl w:val="0"/>
                <w:numId w:val="11"/>
              </w:numPr>
              <w:spacing w:after="0" w:line="240" w:lineRule="auto"/>
              <w:ind w:left="170" w:hanging="170"/>
              <w:jc w:val="both"/>
              <w:rPr>
                <w:rFonts w:ascii="Times New Roman" w:hAnsi="Times New Roman" w:cs="Times New Roman"/>
                <w:i/>
                <w:sz w:val="18"/>
                <w:szCs w:val="18"/>
              </w:rPr>
            </w:pPr>
            <w:r w:rsidRPr="00126539">
              <w:rPr>
                <w:rFonts w:ascii="Times New Roman" w:hAnsi="Times New Roman" w:cs="Times New Roman"/>
                <w:i/>
                <w:sz w:val="18"/>
                <w:szCs w:val="18"/>
                <w:lang w:eastAsia="sk-SK"/>
              </w:rPr>
              <w:t>rešpektovanie osobných preferencií pri výbere povolania a zosúlaďovania pracovného a rodinného života.</w:t>
            </w:r>
          </w:p>
        </w:tc>
        <w:tc>
          <w:tcPr>
            <w:tcW w:w="2983" w:type="pct"/>
          </w:tcPr>
          <w:p w:rsidR="00126539" w:rsidRPr="00126539" w:rsidRDefault="00126539" w:rsidP="009B5BD2">
            <w:pPr>
              <w:spacing w:after="0" w:line="240" w:lineRule="auto"/>
              <w:rPr>
                <w:rFonts w:ascii="Times New Roman" w:hAnsi="Times New Roman" w:cs="Times New Roman"/>
                <w:sz w:val="20"/>
              </w:rPr>
            </w:pPr>
            <w:r w:rsidRPr="00126539">
              <w:rPr>
                <w:rFonts w:ascii="Times New Roman" w:hAnsi="Times New Roman" w:cs="Times New Roman"/>
                <w:sz w:val="20"/>
                <w:szCs w:val="20"/>
                <w:lang w:eastAsia="sk-SK"/>
              </w:rPr>
              <w:t>Návrh zákona nepredpokladá vplyv v tejto oblasti.</w:t>
            </w:r>
          </w:p>
        </w:tc>
      </w:tr>
    </w:tbl>
    <w:p w:rsidR="00126539" w:rsidRPr="00126539" w:rsidRDefault="00126539" w:rsidP="00126539">
      <w:pPr>
        <w:spacing w:after="0" w:line="240" w:lineRule="auto"/>
        <w:rPr>
          <w:rFonts w:ascii="Times New Roman" w:hAnsi="Times New Roman" w:cs="Times New Roman"/>
          <w:b/>
          <w:sz w:val="24"/>
          <w:lang w:eastAsia="sk-SK"/>
        </w:rPr>
        <w:sectPr w:rsidR="00126539" w:rsidRPr="00126539" w:rsidSect="00FE3377">
          <w:headerReference w:type="default" r:id="rId16"/>
          <w:footerReference w:type="default" r:id="rId17"/>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126539" w:rsidRPr="00126539" w:rsidTr="009B5BD2">
        <w:trPr>
          <w:jc w:val="center"/>
        </w:trPr>
        <w:tc>
          <w:tcPr>
            <w:tcW w:w="5000" w:type="pct"/>
            <w:gridSpan w:val="3"/>
            <w:shd w:val="clear" w:color="auto" w:fill="D9D9D9"/>
          </w:tcPr>
          <w:p w:rsidR="00126539" w:rsidRPr="00126539" w:rsidRDefault="00126539" w:rsidP="009B5BD2">
            <w:pPr>
              <w:spacing w:after="0" w:line="240" w:lineRule="auto"/>
              <w:rPr>
                <w:rFonts w:ascii="Times New Roman" w:hAnsi="Times New Roman" w:cs="Times New Roman"/>
                <w:b/>
                <w:sz w:val="24"/>
                <w:lang w:eastAsia="sk-SK"/>
              </w:rPr>
            </w:pPr>
            <w:r w:rsidRPr="00126539">
              <w:rPr>
                <w:rFonts w:ascii="Times New Roman" w:hAnsi="Times New Roman" w:cs="Times New Roman"/>
                <w:b/>
                <w:sz w:val="24"/>
                <w:lang w:eastAsia="sk-SK"/>
              </w:rPr>
              <w:lastRenderedPageBreak/>
              <w:t>4.4 Identifikujte, popíšte a kvantifikujte vplyvy na zamestnanosť a na trh práce.</w:t>
            </w:r>
          </w:p>
          <w:p w:rsidR="00126539" w:rsidRPr="00126539" w:rsidRDefault="00126539" w:rsidP="009B5BD2">
            <w:pPr>
              <w:spacing w:after="0" w:line="240" w:lineRule="auto"/>
              <w:jc w:val="both"/>
              <w:rPr>
                <w:rFonts w:ascii="Times New Roman" w:hAnsi="Times New Roman" w:cs="Times New Roman"/>
                <w:i/>
                <w:lang w:eastAsia="sk-SK"/>
              </w:rPr>
            </w:pPr>
            <w:r w:rsidRPr="00126539">
              <w:rPr>
                <w:rFonts w:ascii="Times New Roman" w:hAnsi="Times New Roman" w:cs="Times New Roman"/>
                <w:i/>
                <w:lang w:eastAsia="sk-SK"/>
              </w:rPr>
              <w:t xml:space="preserve">V prípade kladnej odpovede pripojte </w:t>
            </w:r>
            <w:r w:rsidRPr="00126539">
              <w:rPr>
                <w:rFonts w:ascii="Times New Roman" w:hAnsi="Times New Roman" w:cs="Times New Roman"/>
                <w:b/>
                <w:i/>
                <w:lang w:eastAsia="sk-SK"/>
              </w:rPr>
              <w:t>odôvodnenie</w:t>
            </w:r>
            <w:r w:rsidRPr="00126539">
              <w:rPr>
                <w:rFonts w:ascii="Times New Roman" w:hAnsi="Times New Roman" w:cs="Times New Roman"/>
                <w:i/>
                <w:lang w:eastAsia="sk-SK"/>
              </w:rPr>
              <w:t xml:space="preserve"> v súlade s Metodickým postupom pre analýzu sociálnych vplyvov.</w:t>
            </w:r>
          </w:p>
        </w:tc>
      </w:tr>
      <w:tr w:rsidR="00126539" w:rsidRPr="00126539" w:rsidTr="009B5BD2">
        <w:trPr>
          <w:trHeight w:val="287"/>
          <w:jc w:val="center"/>
        </w:trPr>
        <w:tc>
          <w:tcPr>
            <w:tcW w:w="129" w:type="pct"/>
            <w:tcBorders>
              <w:top w:val="nil"/>
            </w:tcBorders>
            <w:shd w:val="clear" w:color="auto" w:fill="F2F2F2"/>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a)</w:t>
            </w:r>
          </w:p>
        </w:tc>
        <w:tc>
          <w:tcPr>
            <w:tcW w:w="4871" w:type="pct"/>
            <w:gridSpan w:val="2"/>
            <w:tcBorders>
              <w:top w:val="nil"/>
            </w:tcBorders>
            <w:shd w:val="clear" w:color="auto" w:fill="F2F2F2"/>
            <w:vAlign w:val="center"/>
          </w:tcPr>
          <w:p w:rsidR="00126539" w:rsidRPr="00126539" w:rsidRDefault="00126539" w:rsidP="009B5BD2">
            <w:pPr>
              <w:spacing w:after="0" w:line="240" w:lineRule="auto"/>
              <w:rPr>
                <w:rFonts w:ascii="Times New Roman" w:hAnsi="Times New Roman" w:cs="Times New Roman"/>
                <w:i/>
                <w:sz w:val="20"/>
                <w:szCs w:val="20"/>
              </w:rPr>
            </w:pPr>
            <w:r w:rsidRPr="00126539">
              <w:rPr>
                <w:rFonts w:ascii="Times New Roman" w:hAnsi="Times New Roman" w:cs="Times New Roman"/>
                <w:i/>
                <w:sz w:val="20"/>
                <w:szCs w:val="20"/>
              </w:rPr>
              <w:t>Uľahčuje návrh vznik nových pracovných miest? Ak áno, ako? Ak je to možné, doplňte kvantifikáciu.</w:t>
            </w:r>
          </w:p>
        </w:tc>
      </w:tr>
      <w:tr w:rsidR="00126539" w:rsidRPr="00126539" w:rsidTr="009B5BD2">
        <w:trPr>
          <w:trHeight w:val="567"/>
          <w:jc w:val="center"/>
        </w:trPr>
        <w:tc>
          <w:tcPr>
            <w:tcW w:w="129" w:type="pct"/>
            <w:tcBorders>
              <w:top w:val="nil"/>
            </w:tcBorders>
            <w:shd w:val="clear" w:color="auto" w:fill="FFFFFF"/>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b)</w:t>
            </w:r>
          </w:p>
        </w:tc>
        <w:tc>
          <w:tcPr>
            <w:tcW w:w="1838" w:type="pct"/>
            <w:tcBorders>
              <w:top w:val="nil"/>
            </w:tcBorders>
            <w:shd w:val="clear" w:color="auto" w:fill="FFFFFF"/>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tcBorders>
            <w:shd w:val="clear" w:color="auto" w:fill="FFFFFF"/>
          </w:tcPr>
          <w:p w:rsidR="00126539" w:rsidRPr="00126539" w:rsidRDefault="00126539" w:rsidP="009B5BD2">
            <w:pPr>
              <w:spacing w:after="0" w:line="240" w:lineRule="auto"/>
              <w:rPr>
                <w:rFonts w:ascii="Times New Roman" w:hAnsi="Times New Roman" w:cs="Times New Roman"/>
                <w:sz w:val="20"/>
                <w:szCs w:val="18"/>
              </w:rPr>
            </w:pPr>
            <w:r w:rsidRPr="00126539">
              <w:rPr>
                <w:rFonts w:ascii="Times New Roman" w:hAnsi="Times New Roman" w:cs="Times New Roman"/>
                <w:sz w:val="20"/>
                <w:szCs w:val="20"/>
                <w:lang w:eastAsia="sk-SK"/>
              </w:rPr>
              <w:t>Návrh zákona nepredpokladá vplyv v tejto oblasti.</w:t>
            </w:r>
          </w:p>
        </w:tc>
      </w:tr>
      <w:tr w:rsidR="00126539" w:rsidRPr="00126539" w:rsidTr="009B5BD2">
        <w:trPr>
          <w:trHeight w:val="270"/>
          <w:jc w:val="center"/>
        </w:trPr>
        <w:tc>
          <w:tcPr>
            <w:tcW w:w="129" w:type="pct"/>
            <w:shd w:val="clear" w:color="auto" w:fill="F2F2F2"/>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c)</w:t>
            </w:r>
          </w:p>
        </w:tc>
        <w:tc>
          <w:tcPr>
            <w:tcW w:w="4871" w:type="pct"/>
            <w:gridSpan w:val="2"/>
            <w:shd w:val="clear" w:color="auto" w:fill="F2F2F2"/>
            <w:vAlign w:val="center"/>
          </w:tcPr>
          <w:p w:rsidR="00126539" w:rsidRPr="00126539" w:rsidRDefault="00126539" w:rsidP="009B5BD2">
            <w:pPr>
              <w:spacing w:after="0" w:line="240" w:lineRule="auto"/>
              <w:rPr>
                <w:rFonts w:ascii="Times New Roman" w:hAnsi="Times New Roman" w:cs="Times New Roman"/>
                <w:i/>
                <w:sz w:val="20"/>
                <w:szCs w:val="20"/>
              </w:rPr>
            </w:pPr>
            <w:r w:rsidRPr="00126539">
              <w:rPr>
                <w:rFonts w:ascii="Times New Roman" w:hAnsi="Times New Roman" w:cs="Times New Roman"/>
                <w:i/>
                <w:sz w:val="20"/>
                <w:szCs w:val="20"/>
              </w:rPr>
              <w:t>Vedie návrh k zániku pracovných miest?</w:t>
            </w:r>
            <w:r w:rsidRPr="00126539">
              <w:rPr>
                <w:rFonts w:ascii="Times New Roman" w:hAnsi="Times New Roman" w:cs="Times New Roman"/>
                <w:sz w:val="20"/>
                <w:szCs w:val="20"/>
              </w:rPr>
              <w:t xml:space="preserve"> </w:t>
            </w:r>
            <w:r w:rsidRPr="00126539">
              <w:rPr>
                <w:rFonts w:ascii="Times New Roman" w:hAnsi="Times New Roman" w:cs="Times New Roman"/>
                <w:i/>
                <w:sz w:val="20"/>
                <w:szCs w:val="20"/>
              </w:rPr>
              <w:t>Ak áno, ako a akých? Ak je to možné, doplňte kvantifikáciu</w:t>
            </w:r>
          </w:p>
        </w:tc>
      </w:tr>
      <w:tr w:rsidR="00126539" w:rsidRPr="00126539" w:rsidTr="009B5BD2">
        <w:trPr>
          <w:trHeight w:val="454"/>
          <w:jc w:val="center"/>
        </w:trPr>
        <w:tc>
          <w:tcPr>
            <w:tcW w:w="129" w:type="pct"/>
            <w:shd w:val="clear" w:color="auto" w:fill="FFFFFF"/>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d)</w:t>
            </w:r>
          </w:p>
        </w:tc>
        <w:tc>
          <w:tcPr>
            <w:tcW w:w="1838" w:type="pct"/>
            <w:shd w:val="clear" w:color="auto" w:fill="FFFFFF"/>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shd w:val="clear" w:color="auto" w:fill="FFFFFF"/>
          </w:tcPr>
          <w:p w:rsidR="00126539" w:rsidRPr="00126539" w:rsidRDefault="00126539" w:rsidP="009B5BD2">
            <w:pPr>
              <w:spacing w:after="0" w:line="240" w:lineRule="auto"/>
              <w:rPr>
                <w:rFonts w:ascii="Times New Roman" w:hAnsi="Times New Roman" w:cs="Times New Roman"/>
                <w:sz w:val="20"/>
                <w:szCs w:val="18"/>
              </w:rPr>
            </w:pPr>
            <w:r w:rsidRPr="00126539">
              <w:rPr>
                <w:rFonts w:ascii="Times New Roman" w:hAnsi="Times New Roman" w:cs="Times New Roman"/>
                <w:sz w:val="20"/>
                <w:szCs w:val="20"/>
                <w:lang w:eastAsia="sk-SK"/>
              </w:rPr>
              <w:t>Návrh zákona nepredpokladá vplyv v tejto oblasti.</w:t>
            </w:r>
          </w:p>
        </w:tc>
      </w:tr>
      <w:tr w:rsidR="00126539" w:rsidRPr="00126539" w:rsidTr="009B5BD2">
        <w:trPr>
          <w:trHeight w:val="248"/>
          <w:jc w:val="center"/>
        </w:trPr>
        <w:tc>
          <w:tcPr>
            <w:tcW w:w="129" w:type="pct"/>
            <w:shd w:val="clear" w:color="auto" w:fill="F2F2F2"/>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e)</w:t>
            </w:r>
          </w:p>
        </w:tc>
        <w:tc>
          <w:tcPr>
            <w:tcW w:w="4871" w:type="pct"/>
            <w:gridSpan w:val="2"/>
            <w:shd w:val="clear" w:color="auto" w:fill="F2F2F2"/>
            <w:vAlign w:val="center"/>
          </w:tcPr>
          <w:p w:rsidR="00126539" w:rsidRPr="00126539" w:rsidRDefault="00126539" w:rsidP="009B5BD2">
            <w:pPr>
              <w:spacing w:after="0" w:line="240" w:lineRule="auto"/>
              <w:rPr>
                <w:rFonts w:ascii="Times New Roman" w:hAnsi="Times New Roman" w:cs="Times New Roman"/>
                <w:sz w:val="20"/>
                <w:szCs w:val="20"/>
              </w:rPr>
            </w:pPr>
            <w:r w:rsidRPr="00126539">
              <w:rPr>
                <w:rFonts w:ascii="Times New Roman" w:hAnsi="Times New Roman" w:cs="Times New Roman"/>
                <w:i/>
                <w:sz w:val="20"/>
                <w:szCs w:val="20"/>
              </w:rPr>
              <w:t>Ovplyvňuje návrh dopyt po práci? Ak áno, ako?</w:t>
            </w:r>
          </w:p>
        </w:tc>
      </w:tr>
      <w:tr w:rsidR="00126539" w:rsidRPr="00126539" w:rsidTr="009B5BD2">
        <w:trPr>
          <w:trHeight w:val="209"/>
          <w:jc w:val="center"/>
        </w:trPr>
        <w:tc>
          <w:tcPr>
            <w:tcW w:w="129" w:type="pct"/>
            <w:shd w:val="clear" w:color="auto" w:fill="FFFFFF"/>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f)</w:t>
            </w:r>
          </w:p>
        </w:tc>
        <w:tc>
          <w:tcPr>
            <w:tcW w:w="1838" w:type="pct"/>
            <w:shd w:val="clear" w:color="auto" w:fill="FFFFFF"/>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i/>
                <w:sz w:val="18"/>
                <w:szCs w:val="18"/>
              </w:rPr>
              <w:t>Dopyt po práci závisí na jednej strane na produkcii tovarov a služieb v ekonomike a na druhej strane na cene práce.</w:t>
            </w:r>
          </w:p>
        </w:tc>
        <w:tc>
          <w:tcPr>
            <w:tcW w:w="3032" w:type="pct"/>
            <w:shd w:val="clear" w:color="auto" w:fill="FFFFFF"/>
          </w:tcPr>
          <w:p w:rsidR="00126539" w:rsidRPr="00126539" w:rsidRDefault="00126539" w:rsidP="009B5BD2">
            <w:pPr>
              <w:spacing w:after="0" w:line="240" w:lineRule="auto"/>
              <w:rPr>
                <w:rFonts w:ascii="Times New Roman" w:hAnsi="Times New Roman" w:cs="Times New Roman"/>
                <w:sz w:val="20"/>
                <w:szCs w:val="18"/>
              </w:rPr>
            </w:pPr>
            <w:r w:rsidRPr="00126539">
              <w:rPr>
                <w:rFonts w:ascii="Times New Roman" w:hAnsi="Times New Roman" w:cs="Times New Roman"/>
                <w:sz w:val="20"/>
                <w:szCs w:val="20"/>
                <w:lang w:eastAsia="sk-SK"/>
              </w:rPr>
              <w:t>Návrh zákona nepredpokladá vplyv v tejto oblasti.</w:t>
            </w:r>
          </w:p>
        </w:tc>
      </w:tr>
      <w:tr w:rsidR="00126539" w:rsidRPr="00126539" w:rsidTr="009B5BD2">
        <w:trPr>
          <w:trHeight w:val="208"/>
          <w:jc w:val="center"/>
        </w:trPr>
        <w:tc>
          <w:tcPr>
            <w:tcW w:w="129" w:type="pct"/>
            <w:shd w:val="clear" w:color="auto" w:fill="F2F2F2"/>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g)</w:t>
            </w:r>
          </w:p>
        </w:tc>
        <w:tc>
          <w:tcPr>
            <w:tcW w:w="4871" w:type="pct"/>
            <w:gridSpan w:val="2"/>
            <w:shd w:val="clear" w:color="auto" w:fill="F2F2F2"/>
            <w:vAlign w:val="center"/>
          </w:tcPr>
          <w:p w:rsidR="00126539" w:rsidRPr="00126539" w:rsidRDefault="00126539" w:rsidP="009B5BD2">
            <w:pPr>
              <w:spacing w:after="0" w:line="240" w:lineRule="auto"/>
              <w:rPr>
                <w:rFonts w:ascii="Times New Roman" w:hAnsi="Times New Roman" w:cs="Times New Roman"/>
                <w:sz w:val="20"/>
                <w:szCs w:val="20"/>
              </w:rPr>
            </w:pPr>
            <w:r w:rsidRPr="00126539">
              <w:rPr>
                <w:rFonts w:ascii="Times New Roman" w:hAnsi="Times New Roman" w:cs="Times New Roman"/>
                <w:i/>
                <w:sz w:val="20"/>
                <w:szCs w:val="20"/>
              </w:rPr>
              <w:t>Má návrh dosah na fungovanie trhu práce?</w:t>
            </w:r>
            <w:r w:rsidRPr="00126539">
              <w:rPr>
                <w:rFonts w:ascii="Times New Roman" w:hAnsi="Times New Roman" w:cs="Times New Roman"/>
                <w:sz w:val="20"/>
                <w:szCs w:val="20"/>
              </w:rPr>
              <w:t xml:space="preserve"> </w:t>
            </w:r>
            <w:r w:rsidRPr="00126539">
              <w:rPr>
                <w:rFonts w:ascii="Times New Roman" w:hAnsi="Times New Roman" w:cs="Times New Roman"/>
                <w:i/>
                <w:sz w:val="20"/>
                <w:szCs w:val="20"/>
              </w:rPr>
              <w:t>Ak áno, aký?</w:t>
            </w:r>
          </w:p>
        </w:tc>
      </w:tr>
      <w:tr w:rsidR="00126539" w:rsidRPr="00126539" w:rsidTr="009B5BD2">
        <w:trPr>
          <w:trHeight w:val="794"/>
          <w:jc w:val="center"/>
        </w:trPr>
        <w:tc>
          <w:tcPr>
            <w:tcW w:w="129" w:type="pct"/>
            <w:shd w:val="clear" w:color="auto" w:fill="FFFFFF"/>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h)</w:t>
            </w:r>
          </w:p>
        </w:tc>
        <w:tc>
          <w:tcPr>
            <w:tcW w:w="1838" w:type="pct"/>
            <w:shd w:val="clear" w:color="auto" w:fill="FFFFFF"/>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i/>
                <w:sz w:val="18"/>
                <w:szCs w:val="18"/>
              </w:rPr>
              <w:t>Týka sa makroekonomických dosahov ako je napr. participácia na trhu práce, dlhodobá nezamestnanosť, regionálne rozdiely v mierach zamestnanosti.</w:t>
            </w:r>
            <w:r w:rsidRPr="00126539">
              <w:rPr>
                <w:rFonts w:ascii="Times New Roman" w:hAnsi="Times New Roman" w:cs="Times New Roman"/>
                <w:sz w:val="18"/>
                <w:szCs w:val="18"/>
              </w:rPr>
              <w:t xml:space="preserve"> </w:t>
            </w:r>
            <w:r w:rsidRPr="00126539">
              <w:rPr>
                <w:rFonts w:ascii="Times New Roman"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shd w:val="clear" w:color="auto" w:fill="FFFFFF"/>
          </w:tcPr>
          <w:p w:rsidR="00126539" w:rsidRPr="00126539" w:rsidRDefault="00126539" w:rsidP="009B5BD2">
            <w:pPr>
              <w:spacing w:after="0" w:line="240" w:lineRule="auto"/>
              <w:rPr>
                <w:rFonts w:ascii="Times New Roman" w:hAnsi="Times New Roman" w:cs="Times New Roman"/>
                <w:sz w:val="20"/>
                <w:szCs w:val="18"/>
              </w:rPr>
            </w:pPr>
            <w:r w:rsidRPr="00126539">
              <w:rPr>
                <w:rFonts w:ascii="Times New Roman" w:hAnsi="Times New Roman" w:cs="Times New Roman"/>
                <w:sz w:val="20"/>
                <w:szCs w:val="20"/>
                <w:lang w:eastAsia="sk-SK"/>
              </w:rPr>
              <w:t>Návrh zákona nepredpokladá vplyv v tejto oblasti.</w:t>
            </w:r>
          </w:p>
        </w:tc>
      </w:tr>
      <w:tr w:rsidR="00126539" w:rsidRPr="00126539" w:rsidTr="009B5BD2">
        <w:trPr>
          <w:trHeight w:val="324"/>
          <w:jc w:val="center"/>
        </w:trPr>
        <w:tc>
          <w:tcPr>
            <w:tcW w:w="129" w:type="pct"/>
            <w:shd w:val="clear" w:color="auto" w:fill="F2F2F2"/>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i)</w:t>
            </w:r>
          </w:p>
        </w:tc>
        <w:tc>
          <w:tcPr>
            <w:tcW w:w="4871" w:type="pct"/>
            <w:gridSpan w:val="2"/>
            <w:shd w:val="clear" w:color="auto" w:fill="F2F2F2"/>
            <w:vAlign w:val="center"/>
          </w:tcPr>
          <w:p w:rsidR="00126539" w:rsidRPr="00126539" w:rsidRDefault="00126539" w:rsidP="009B5BD2">
            <w:pPr>
              <w:spacing w:after="0" w:line="240" w:lineRule="auto"/>
              <w:rPr>
                <w:rFonts w:ascii="Times New Roman" w:hAnsi="Times New Roman" w:cs="Times New Roman"/>
                <w:sz w:val="20"/>
                <w:szCs w:val="20"/>
              </w:rPr>
            </w:pPr>
            <w:r w:rsidRPr="00126539">
              <w:rPr>
                <w:rFonts w:ascii="Times New Roman" w:hAnsi="Times New Roman" w:cs="Times New Roman"/>
                <w:i/>
                <w:sz w:val="20"/>
                <w:szCs w:val="20"/>
              </w:rPr>
              <w:t>Má návrh špecifické negatívne dôsledky pre isté skupiny profesií, skupín zamestnancov či živnostníkov?</w:t>
            </w:r>
            <w:r w:rsidRPr="00126539">
              <w:rPr>
                <w:rFonts w:ascii="Times New Roman" w:hAnsi="Times New Roman" w:cs="Times New Roman"/>
                <w:sz w:val="20"/>
                <w:szCs w:val="20"/>
              </w:rPr>
              <w:t xml:space="preserve"> </w:t>
            </w:r>
            <w:r w:rsidRPr="00126539">
              <w:rPr>
                <w:rFonts w:ascii="Times New Roman" w:hAnsi="Times New Roman" w:cs="Times New Roman"/>
                <w:i/>
                <w:sz w:val="20"/>
                <w:szCs w:val="20"/>
              </w:rPr>
              <w:t>Ak áno, aké a pre ktoré skupiny?</w:t>
            </w:r>
          </w:p>
        </w:tc>
      </w:tr>
      <w:tr w:rsidR="00126539" w:rsidRPr="00126539" w:rsidTr="009B5BD2">
        <w:trPr>
          <w:trHeight w:val="216"/>
          <w:jc w:val="center"/>
        </w:trPr>
        <w:tc>
          <w:tcPr>
            <w:tcW w:w="129" w:type="pct"/>
            <w:shd w:val="clear" w:color="auto" w:fill="FFFFFF"/>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j)</w:t>
            </w:r>
          </w:p>
        </w:tc>
        <w:tc>
          <w:tcPr>
            <w:tcW w:w="1838" w:type="pct"/>
            <w:shd w:val="clear" w:color="auto" w:fill="FFFFFF"/>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Návrh môže ohrozovať napr. pracovníkov istých profesií favorizovaním špecifických aktivít či technológií.</w:t>
            </w:r>
          </w:p>
        </w:tc>
        <w:tc>
          <w:tcPr>
            <w:tcW w:w="3032" w:type="pct"/>
            <w:shd w:val="clear" w:color="auto" w:fill="FFFFFF"/>
          </w:tcPr>
          <w:p w:rsidR="00126539" w:rsidRPr="00126539" w:rsidRDefault="00126539" w:rsidP="009B5BD2">
            <w:pPr>
              <w:spacing w:after="0" w:line="240" w:lineRule="auto"/>
              <w:rPr>
                <w:rFonts w:ascii="Times New Roman" w:hAnsi="Times New Roman" w:cs="Times New Roman"/>
                <w:sz w:val="20"/>
                <w:szCs w:val="18"/>
              </w:rPr>
            </w:pPr>
            <w:r w:rsidRPr="00126539">
              <w:rPr>
                <w:rFonts w:ascii="Times New Roman" w:hAnsi="Times New Roman" w:cs="Times New Roman"/>
                <w:sz w:val="20"/>
                <w:szCs w:val="20"/>
                <w:lang w:eastAsia="sk-SK"/>
              </w:rPr>
              <w:t>Návrh zákona nepredpokladá vplyv v tejto oblasti.</w:t>
            </w:r>
          </w:p>
        </w:tc>
      </w:tr>
      <w:tr w:rsidR="00126539" w:rsidRPr="00126539" w:rsidTr="009B5BD2">
        <w:trPr>
          <w:trHeight w:val="219"/>
          <w:jc w:val="center"/>
        </w:trPr>
        <w:tc>
          <w:tcPr>
            <w:tcW w:w="129" w:type="pct"/>
            <w:shd w:val="clear" w:color="auto" w:fill="F2F2F2"/>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k)</w:t>
            </w:r>
          </w:p>
        </w:tc>
        <w:tc>
          <w:tcPr>
            <w:tcW w:w="4871" w:type="pct"/>
            <w:gridSpan w:val="2"/>
            <w:shd w:val="clear" w:color="auto" w:fill="F2F2F2"/>
            <w:vAlign w:val="center"/>
          </w:tcPr>
          <w:p w:rsidR="00126539" w:rsidRPr="00126539" w:rsidRDefault="00126539" w:rsidP="009B5BD2">
            <w:pPr>
              <w:spacing w:after="0" w:line="240" w:lineRule="auto"/>
              <w:rPr>
                <w:rFonts w:ascii="Times New Roman" w:hAnsi="Times New Roman" w:cs="Times New Roman"/>
                <w:sz w:val="20"/>
                <w:szCs w:val="20"/>
              </w:rPr>
            </w:pPr>
            <w:r w:rsidRPr="00126539">
              <w:rPr>
                <w:rFonts w:ascii="Times New Roman" w:hAnsi="Times New Roman" w:cs="Times New Roman"/>
                <w:i/>
                <w:sz w:val="20"/>
                <w:szCs w:val="20"/>
              </w:rPr>
              <w:t>Ovplyvňuje návrh špecifické vekové skupiny zamestnancov? Ak áno, aké? Akým spôsobom?</w:t>
            </w:r>
          </w:p>
        </w:tc>
      </w:tr>
      <w:tr w:rsidR="00126539" w:rsidRPr="00126539" w:rsidTr="009B5BD2">
        <w:trPr>
          <w:trHeight w:val="497"/>
          <w:jc w:val="center"/>
        </w:trPr>
        <w:tc>
          <w:tcPr>
            <w:tcW w:w="129" w:type="pct"/>
            <w:shd w:val="clear" w:color="auto" w:fill="FFFFFF"/>
            <w:vAlign w:val="center"/>
          </w:tcPr>
          <w:p w:rsidR="00126539" w:rsidRPr="00126539" w:rsidRDefault="00126539" w:rsidP="009B5BD2">
            <w:pPr>
              <w:spacing w:after="0" w:line="240" w:lineRule="auto"/>
              <w:rPr>
                <w:rFonts w:ascii="Times New Roman" w:hAnsi="Times New Roman" w:cs="Times New Roman"/>
                <w:i/>
                <w:sz w:val="18"/>
                <w:szCs w:val="18"/>
              </w:rPr>
            </w:pPr>
            <w:r w:rsidRPr="00126539">
              <w:rPr>
                <w:rFonts w:ascii="Times New Roman" w:hAnsi="Times New Roman" w:cs="Times New Roman"/>
                <w:i/>
                <w:sz w:val="18"/>
                <w:szCs w:val="18"/>
              </w:rPr>
              <w:t>l)</w:t>
            </w:r>
          </w:p>
        </w:tc>
        <w:tc>
          <w:tcPr>
            <w:tcW w:w="1838" w:type="pct"/>
            <w:shd w:val="clear" w:color="auto" w:fill="FFFFFF"/>
          </w:tcPr>
          <w:p w:rsidR="00126539" w:rsidRPr="00126539" w:rsidRDefault="00126539" w:rsidP="009B5BD2">
            <w:pPr>
              <w:spacing w:after="0" w:line="240" w:lineRule="auto"/>
              <w:jc w:val="both"/>
              <w:rPr>
                <w:rFonts w:ascii="Times New Roman" w:hAnsi="Times New Roman" w:cs="Times New Roman"/>
                <w:i/>
                <w:sz w:val="18"/>
                <w:szCs w:val="18"/>
              </w:rPr>
            </w:pPr>
            <w:r w:rsidRPr="00126539">
              <w:rPr>
                <w:rFonts w:ascii="Times New Roman"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shd w:val="clear" w:color="auto" w:fill="FFFFFF"/>
          </w:tcPr>
          <w:p w:rsidR="00126539" w:rsidRPr="00126539" w:rsidRDefault="00126539" w:rsidP="009B5BD2">
            <w:pPr>
              <w:spacing w:after="0" w:line="240" w:lineRule="auto"/>
              <w:rPr>
                <w:rFonts w:ascii="Times New Roman" w:hAnsi="Times New Roman" w:cs="Times New Roman"/>
                <w:sz w:val="20"/>
                <w:szCs w:val="18"/>
              </w:rPr>
            </w:pPr>
            <w:r w:rsidRPr="00126539">
              <w:rPr>
                <w:rFonts w:ascii="Times New Roman" w:hAnsi="Times New Roman" w:cs="Times New Roman"/>
                <w:sz w:val="20"/>
                <w:szCs w:val="20"/>
                <w:lang w:eastAsia="sk-SK"/>
              </w:rPr>
              <w:t>Návrh zákona nepredpokladá vplyv v tejto oblasti.</w:t>
            </w:r>
          </w:p>
        </w:tc>
      </w:tr>
    </w:tbl>
    <w:p w:rsidR="00126539" w:rsidRPr="00126539" w:rsidRDefault="00126539" w:rsidP="00126539">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126539">
      <w:pPr>
        <w:widowControl w:val="0"/>
        <w:autoSpaceDE w:val="0"/>
        <w:autoSpaceDN w:val="0"/>
        <w:adjustRightInd w:val="0"/>
        <w:spacing w:after="0" w:line="240" w:lineRule="auto"/>
        <w:jc w:val="center"/>
        <w:rPr>
          <w:rFonts w:ascii="Times New Roman" w:hAnsi="Times New Roman" w:cs="Times New Roman"/>
          <w:b/>
          <w:caps/>
          <w:spacing w:val="30"/>
          <w:sz w:val="25"/>
          <w:szCs w:val="25"/>
          <w:lang w:eastAsia="sk-SK"/>
        </w:rPr>
      </w:pPr>
      <w:r w:rsidRPr="00126539">
        <w:rPr>
          <w:rFonts w:ascii="Times New Roman" w:hAnsi="Times New Roman" w:cs="Times New Roman"/>
          <w:b/>
          <w:caps/>
          <w:spacing w:val="30"/>
          <w:sz w:val="25"/>
          <w:szCs w:val="25"/>
          <w:lang w:eastAsia="sk-SK"/>
        </w:rPr>
        <w:lastRenderedPageBreak/>
        <w:t>Doložka zlučiteľnosti</w:t>
      </w:r>
    </w:p>
    <w:p w:rsidR="00126539" w:rsidRPr="00126539" w:rsidRDefault="00126539" w:rsidP="00126539">
      <w:pPr>
        <w:widowControl w:val="0"/>
        <w:autoSpaceDE w:val="0"/>
        <w:autoSpaceDN w:val="0"/>
        <w:adjustRightInd w:val="0"/>
        <w:spacing w:after="0" w:line="240" w:lineRule="auto"/>
        <w:jc w:val="center"/>
        <w:rPr>
          <w:rFonts w:ascii="Times New Roman" w:hAnsi="Times New Roman" w:cs="Times New Roman"/>
          <w:b/>
          <w:sz w:val="25"/>
          <w:szCs w:val="25"/>
          <w:lang w:eastAsia="sk-SK"/>
        </w:rPr>
      </w:pPr>
      <w:r w:rsidRPr="00126539">
        <w:rPr>
          <w:rFonts w:ascii="Times New Roman" w:hAnsi="Times New Roman" w:cs="Times New Roman"/>
          <w:b/>
          <w:sz w:val="25"/>
          <w:szCs w:val="25"/>
          <w:lang w:eastAsia="sk-SK"/>
        </w:rPr>
        <w:t>návrhu zákona s právom Európskej únie</w:t>
      </w:r>
    </w:p>
    <w:p w:rsidR="00126539" w:rsidRPr="00126539" w:rsidRDefault="00126539" w:rsidP="00126539">
      <w:pPr>
        <w:widowControl w:val="0"/>
        <w:autoSpaceDE w:val="0"/>
        <w:autoSpaceDN w:val="0"/>
        <w:adjustRightInd w:val="0"/>
        <w:spacing w:after="0" w:line="240" w:lineRule="auto"/>
        <w:rPr>
          <w:rFonts w:ascii="Times New Roman" w:hAnsi="Times New Roman" w:cs="Times New Roman"/>
          <w:b/>
          <w:sz w:val="24"/>
          <w:szCs w:val="24"/>
          <w:lang w:eastAsia="sk-SK"/>
        </w:rPr>
      </w:pPr>
    </w:p>
    <w:tbl>
      <w:tblPr>
        <w:tblStyle w:val="Mriekatabuky"/>
        <w:tblW w:w="9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940"/>
      </w:tblGrid>
      <w:tr w:rsidR="00126539" w:rsidRPr="00126539" w:rsidTr="009B5BD2">
        <w:trPr>
          <w:trHeight w:val="39"/>
        </w:trPr>
        <w:tc>
          <w:tcPr>
            <w:tcW w:w="396" w:type="dxa"/>
          </w:tcPr>
          <w:p w:rsidR="00126539" w:rsidRPr="00126539" w:rsidRDefault="00126539" w:rsidP="009B5BD2">
            <w:pPr>
              <w:widowControl w:val="0"/>
              <w:tabs>
                <w:tab w:val="left" w:pos="360"/>
              </w:tabs>
              <w:autoSpaceDE w:val="0"/>
              <w:autoSpaceDN w:val="0"/>
              <w:adjustRightInd w:val="0"/>
              <w:rPr>
                <w:rFonts w:ascii="Times New Roman" w:hAnsi="Times New Roman" w:cs="Times New Roman"/>
                <w:b/>
                <w:sz w:val="23"/>
                <w:szCs w:val="23"/>
              </w:rPr>
            </w:pPr>
            <w:r w:rsidRPr="00126539">
              <w:rPr>
                <w:rFonts w:ascii="Times New Roman" w:hAnsi="Times New Roman" w:cs="Times New Roman"/>
                <w:b/>
                <w:sz w:val="23"/>
                <w:szCs w:val="23"/>
              </w:rPr>
              <w:t>1.</w:t>
            </w:r>
          </w:p>
        </w:tc>
        <w:tc>
          <w:tcPr>
            <w:tcW w:w="8940" w:type="dxa"/>
          </w:tcPr>
          <w:p w:rsidR="00126539" w:rsidRPr="00126539" w:rsidRDefault="00126539" w:rsidP="009B5BD2">
            <w:pPr>
              <w:widowControl w:val="0"/>
              <w:tabs>
                <w:tab w:val="left" w:pos="360"/>
              </w:tabs>
              <w:autoSpaceDE w:val="0"/>
              <w:autoSpaceDN w:val="0"/>
              <w:adjustRightInd w:val="0"/>
              <w:jc w:val="both"/>
              <w:rPr>
                <w:rFonts w:ascii="Times New Roman" w:hAnsi="Times New Roman" w:cs="Times New Roman"/>
                <w:sz w:val="23"/>
                <w:szCs w:val="23"/>
              </w:rPr>
            </w:pPr>
            <w:r w:rsidRPr="00126539">
              <w:rPr>
                <w:rFonts w:ascii="Times New Roman" w:hAnsi="Times New Roman" w:cs="Times New Roman"/>
                <w:b/>
                <w:sz w:val="23"/>
                <w:szCs w:val="23"/>
              </w:rPr>
              <w:t>Navrhovateľ zákona:</w:t>
            </w:r>
            <w:r w:rsidRPr="00126539">
              <w:rPr>
                <w:rFonts w:ascii="Times New Roman" w:hAnsi="Times New Roman" w:cs="Times New Roman"/>
                <w:sz w:val="23"/>
                <w:szCs w:val="23"/>
              </w:rPr>
              <w:t xml:space="preserve"> </w:t>
            </w:r>
            <w:r w:rsidRPr="00126539">
              <w:rPr>
                <w:rFonts w:ascii="Times New Roman" w:hAnsi="Times New Roman" w:cs="Times New Roman"/>
                <w:sz w:val="23"/>
                <w:szCs w:val="23"/>
              </w:rPr>
              <w:fldChar w:fldCharType="begin"/>
            </w:r>
            <w:r w:rsidRPr="00126539">
              <w:rPr>
                <w:rFonts w:ascii="Times New Roman" w:hAnsi="Times New Roman" w:cs="Times New Roman"/>
                <w:sz w:val="23"/>
                <w:szCs w:val="23"/>
              </w:rPr>
              <w:instrText xml:space="preserve"> DOCPROPERTY  FSC#SKEDITIONSLOVLEX@103.510:zodpinstitucia  \* MERGEFORMAT </w:instrText>
            </w:r>
            <w:r w:rsidRPr="00126539">
              <w:rPr>
                <w:rFonts w:ascii="Times New Roman" w:hAnsi="Times New Roman" w:cs="Times New Roman"/>
                <w:sz w:val="23"/>
                <w:szCs w:val="23"/>
              </w:rPr>
              <w:fldChar w:fldCharType="separate"/>
            </w:r>
            <w:r w:rsidRPr="00126539">
              <w:rPr>
                <w:rFonts w:ascii="Times New Roman" w:hAnsi="Times New Roman" w:cs="Times New Roman"/>
                <w:sz w:val="23"/>
                <w:szCs w:val="23"/>
              </w:rPr>
              <w:t>Ministerstvo spravodlivosti Slovenskej republiky</w:t>
            </w:r>
            <w:r w:rsidRPr="00126539">
              <w:rPr>
                <w:rFonts w:ascii="Times New Roman" w:hAnsi="Times New Roman" w:cs="Times New Roman"/>
                <w:sz w:val="23"/>
                <w:szCs w:val="23"/>
              </w:rPr>
              <w:fldChar w:fldCharType="end"/>
            </w:r>
          </w:p>
        </w:tc>
      </w:tr>
      <w:tr w:rsidR="00126539" w:rsidRPr="00126539" w:rsidTr="009B5BD2">
        <w:trPr>
          <w:trHeight w:val="39"/>
        </w:trPr>
        <w:tc>
          <w:tcPr>
            <w:tcW w:w="396" w:type="dxa"/>
          </w:tcPr>
          <w:p w:rsidR="00126539" w:rsidRPr="00126539" w:rsidRDefault="00126539" w:rsidP="009B5BD2">
            <w:pPr>
              <w:widowControl w:val="0"/>
              <w:tabs>
                <w:tab w:val="left" w:pos="360"/>
              </w:tabs>
              <w:autoSpaceDE w:val="0"/>
              <w:autoSpaceDN w:val="0"/>
              <w:adjustRightInd w:val="0"/>
              <w:rPr>
                <w:rFonts w:ascii="Times New Roman" w:hAnsi="Times New Roman" w:cs="Times New Roman"/>
                <w:sz w:val="23"/>
                <w:szCs w:val="23"/>
              </w:rPr>
            </w:pPr>
          </w:p>
        </w:tc>
        <w:tc>
          <w:tcPr>
            <w:tcW w:w="8940" w:type="dxa"/>
          </w:tcPr>
          <w:p w:rsidR="00126539" w:rsidRPr="00126539" w:rsidRDefault="00126539" w:rsidP="009B5BD2">
            <w:pPr>
              <w:widowControl w:val="0"/>
              <w:tabs>
                <w:tab w:val="left" w:pos="360"/>
              </w:tabs>
              <w:autoSpaceDE w:val="0"/>
              <w:autoSpaceDN w:val="0"/>
              <w:adjustRightInd w:val="0"/>
              <w:rPr>
                <w:rFonts w:ascii="Times New Roman" w:hAnsi="Times New Roman" w:cs="Times New Roman"/>
                <w:sz w:val="23"/>
                <w:szCs w:val="23"/>
              </w:rPr>
            </w:pPr>
          </w:p>
        </w:tc>
      </w:tr>
      <w:tr w:rsidR="00126539" w:rsidRPr="00126539" w:rsidTr="009B5BD2">
        <w:trPr>
          <w:trHeight w:val="610"/>
        </w:trPr>
        <w:tc>
          <w:tcPr>
            <w:tcW w:w="396" w:type="dxa"/>
          </w:tcPr>
          <w:p w:rsidR="00126539" w:rsidRPr="00126539" w:rsidRDefault="00126539" w:rsidP="009B5BD2">
            <w:pPr>
              <w:widowControl w:val="0"/>
              <w:tabs>
                <w:tab w:val="left" w:pos="360"/>
              </w:tabs>
              <w:autoSpaceDE w:val="0"/>
              <w:autoSpaceDN w:val="0"/>
              <w:adjustRightInd w:val="0"/>
              <w:rPr>
                <w:rFonts w:ascii="Times New Roman" w:hAnsi="Times New Roman" w:cs="Times New Roman"/>
                <w:b/>
                <w:sz w:val="23"/>
                <w:szCs w:val="23"/>
              </w:rPr>
            </w:pPr>
            <w:r w:rsidRPr="00126539">
              <w:rPr>
                <w:rFonts w:ascii="Times New Roman" w:hAnsi="Times New Roman" w:cs="Times New Roman"/>
                <w:b/>
                <w:sz w:val="23"/>
                <w:szCs w:val="23"/>
              </w:rPr>
              <w:t>2.</w:t>
            </w:r>
          </w:p>
        </w:tc>
        <w:tc>
          <w:tcPr>
            <w:tcW w:w="8940" w:type="dxa"/>
          </w:tcPr>
          <w:p w:rsidR="00126539" w:rsidRPr="00126539" w:rsidRDefault="00126539" w:rsidP="009B5BD2">
            <w:pPr>
              <w:widowControl w:val="0"/>
              <w:tabs>
                <w:tab w:val="left" w:pos="360"/>
              </w:tabs>
              <w:autoSpaceDE w:val="0"/>
              <w:autoSpaceDN w:val="0"/>
              <w:adjustRightInd w:val="0"/>
              <w:jc w:val="both"/>
              <w:rPr>
                <w:rFonts w:ascii="Times New Roman" w:hAnsi="Times New Roman" w:cs="Times New Roman"/>
                <w:sz w:val="23"/>
                <w:szCs w:val="23"/>
              </w:rPr>
            </w:pPr>
            <w:r w:rsidRPr="00126539">
              <w:rPr>
                <w:rFonts w:ascii="Times New Roman" w:hAnsi="Times New Roman" w:cs="Times New Roman"/>
                <w:b/>
                <w:sz w:val="23"/>
                <w:szCs w:val="23"/>
              </w:rPr>
              <w:t xml:space="preserve">Názov návrhu </w:t>
            </w:r>
            <w:r w:rsidRPr="00126539">
              <w:rPr>
                <w:rFonts w:ascii="Times New Roman" w:hAnsi="Times New Roman" w:cs="Times New Roman"/>
                <w:sz w:val="23"/>
                <w:szCs w:val="23"/>
              </w:rPr>
              <w:t xml:space="preserve">zákona: Návrh zákona o žalobách na ochranu kolektívnych záujmov spotrebiteľov a o zmene a doplnení niektorých zákonov </w:t>
            </w:r>
            <w:r w:rsidRPr="00126539">
              <w:rPr>
                <w:rFonts w:ascii="Times New Roman" w:hAnsi="Times New Roman" w:cs="Times New Roman"/>
                <w:sz w:val="23"/>
                <w:szCs w:val="23"/>
              </w:rPr>
              <w:fldChar w:fldCharType="begin"/>
            </w:r>
            <w:r w:rsidRPr="00126539">
              <w:rPr>
                <w:rFonts w:ascii="Times New Roman" w:hAnsi="Times New Roman" w:cs="Times New Roman"/>
                <w:sz w:val="23"/>
                <w:szCs w:val="23"/>
              </w:rPr>
              <w:instrText xml:space="preserve"> DOCPROPERTY  FSC#SKEDITIONSLOVLEX@103.510:plnynazovpredpis1  \* MERGEFORMAT </w:instrText>
            </w:r>
            <w:r w:rsidRPr="00126539">
              <w:rPr>
                <w:rFonts w:ascii="Times New Roman" w:hAnsi="Times New Roman" w:cs="Times New Roman"/>
                <w:sz w:val="23"/>
                <w:szCs w:val="23"/>
              </w:rPr>
              <w:fldChar w:fldCharType="end"/>
            </w:r>
            <w:r w:rsidRPr="00126539">
              <w:rPr>
                <w:rFonts w:ascii="Times New Roman" w:hAnsi="Times New Roman" w:cs="Times New Roman"/>
                <w:sz w:val="23"/>
                <w:szCs w:val="23"/>
              </w:rPr>
              <w:fldChar w:fldCharType="begin"/>
            </w:r>
            <w:r w:rsidRPr="00126539">
              <w:rPr>
                <w:rFonts w:ascii="Times New Roman" w:hAnsi="Times New Roman" w:cs="Times New Roman"/>
                <w:sz w:val="23"/>
                <w:szCs w:val="23"/>
              </w:rPr>
              <w:instrText xml:space="preserve"> DOCPROPERTY  FSC#SKEDITIONSLOVLEX@103.510:plnynazovpredpis2  \* MERGEFORMAT </w:instrText>
            </w:r>
            <w:r w:rsidRPr="00126539">
              <w:rPr>
                <w:rFonts w:ascii="Times New Roman" w:hAnsi="Times New Roman" w:cs="Times New Roman"/>
                <w:sz w:val="23"/>
                <w:szCs w:val="23"/>
              </w:rPr>
              <w:fldChar w:fldCharType="end"/>
            </w:r>
            <w:r w:rsidRPr="00126539">
              <w:rPr>
                <w:rFonts w:ascii="Times New Roman" w:hAnsi="Times New Roman" w:cs="Times New Roman"/>
                <w:sz w:val="23"/>
                <w:szCs w:val="23"/>
              </w:rPr>
              <w:fldChar w:fldCharType="begin"/>
            </w:r>
            <w:r w:rsidRPr="00126539">
              <w:rPr>
                <w:rFonts w:ascii="Times New Roman" w:hAnsi="Times New Roman" w:cs="Times New Roman"/>
                <w:sz w:val="23"/>
                <w:szCs w:val="23"/>
              </w:rPr>
              <w:instrText xml:space="preserve"> DOCPROPERTY  FSC#SKEDITIONSLOVLEX@103.510:plnynazovpredpis3  \* MERGEFORMAT </w:instrText>
            </w:r>
            <w:r w:rsidRPr="00126539">
              <w:rPr>
                <w:rFonts w:ascii="Times New Roman" w:hAnsi="Times New Roman" w:cs="Times New Roman"/>
                <w:sz w:val="23"/>
                <w:szCs w:val="23"/>
              </w:rPr>
              <w:fldChar w:fldCharType="end"/>
            </w:r>
          </w:p>
        </w:tc>
      </w:tr>
      <w:tr w:rsidR="00126539" w:rsidRPr="00126539" w:rsidTr="009B5BD2">
        <w:trPr>
          <w:trHeight w:val="39"/>
        </w:trPr>
        <w:tc>
          <w:tcPr>
            <w:tcW w:w="396" w:type="dxa"/>
          </w:tcPr>
          <w:p w:rsidR="00126539" w:rsidRPr="00126539" w:rsidRDefault="00126539" w:rsidP="009B5BD2">
            <w:pPr>
              <w:widowControl w:val="0"/>
              <w:tabs>
                <w:tab w:val="left" w:pos="360"/>
              </w:tabs>
              <w:autoSpaceDE w:val="0"/>
              <w:autoSpaceDN w:val="0"/>
              <w:adjustRightInd w:val="0"/>
              <w:rPr>
                <w:rFonts w:ascii="Times New Roman" w:hAnsi="Times New Roman" w:cs="Times New Roman"/>
                <w:sz w:val="23"/>
                <w:szCs w:val="23"/>
              </w:rPr>
            </w:pPr>
          </w:p>
        </w:tc>
        <w:tc>
          <w:tcPr>
            <w:tcW w:w="8940" w:type="dxa"/>
          </w:tcPr>
          <w:p w:rsidR="00126539" w:rsidRPr="00126539" w:rsidRDefault="00126539" w:rsidP="009B5BD2">
            <w:pPr>
              <w:widowControl w:val="0"/>
              <w:tabs>
                <w:tab w:val="left" w:pos="360"/>
              </w:tabs>
              <w:autoSpaceDE w:val="0"/>
              <w:autoSpaceDN w:val="0"/>
              <w:adjustRightInd w:val="0"/>
              <w:rPr>
                <w:rFonts w:ascii="Times New Roman" w:hAnsi="Times New Roman" w:cs="Times New Roman"/>
                <w:sz w:val="23"/>
                <w:szCs w:val="23"/>
              </w:rPr>
            </w:pPr>
          </w:p>
        </w:tc>
      </w:tr>
      <w:tr w:rsidR="00126539" w:rsidRPr="00126539" w:rsidTr="009B5BD2">
        <w:trPr>
          <w:trHeight w:val="79"/>
        </w:trPr>
        <w:tc>
          <w:tcPr>
            <w:tcW w:w="396" w:type="dxa"/>
          </w:tcPr>
          <w:p w:rsidR="00126539" w:rsidRPr="00126539" w:rsidRDefault="00126539" w:rsidP="009B5BD2">
            <w:pPr>
              <w:widowControl w:val="0"/>
              <w:tabs>
                <w:tab w:val="left" w:pos="360"/>
              </w:tabs>
              <w:autoSpaceDE w:val="0"/>
              <w:autoSpaceDN w:val="0"/>
              <w:adjustRightInd w:val="0"/>
              <w:rPr>
                <w:rFonts w:ascii="Times New Roman" w:hAnsi="Times New Roman" w:cs="Times New Roman"/>
                <w:b/>
                <w:sz w:val="23"/>
                <w:szCs w:val="23"/>
              </w:rPr>
            </w:pPr>
            <w:r w:rsidRPr="00126539">
              <w:rPr>
                <w:rFonts w:ascii="Times New Roman" w:hAnsi="Times New Roman" w:cs="Times New Roman"/>
                <w:b/>
                <w:sz w:val="23"/>
                <w:szCs w:val="23"/>
              </w:rPr>
              <w:t>3.</w:t>
            </w:r>
          </w:p>
        </w:tc>
        <w:tc>
          <w:tcPr>
            <w:tcW w:w="8940" w:type="dxa"/>
          </w:tcPr>
          <w:p w:rsidR="00126539" w:rsidRPr="00126539" w:rsidRDefault="00126539" w:rsidP="009B5BD2">
            <w:pPr>
              <w:widowControl w:val="0"/>
              <w:tabs>
                <w:tab w:val="left" w:pos="360"/>
              </w:tabs>
              <w:autoSpaceDE w:val="0"/>
              <w:autoSpaceDN w:val="0"/>
              <w:adjustRightInd w:val="0"/>
              <w:rPr>
                <w:rFonts w:ascii="Times New Roman" w:hAnsi="Times New Roman" w:cs="Times New Roman"/>
                <w:b/>
                <w:sz w:val="23"/>
                <w:szCs w:val="23"/>
              </w:rPr>
            </w:pPr>
            <w:r w:rsidRPr="00126539">
              <w:rPr>
                <w:rFonts w:ascii="Times New Roman" w:hAnsi="Times New Roman" w:cs="Times New Roman"/>
                <w:b/>
                <w:sz w:val="23"/>
                <w:szCs w:val="23"/>
              </w:rPr>
              <w:t>Predmet návrhu zákona je upravený v práve Európskej únie:</w:t>
            </w:r>
          </w:p>
          <w:p w:rsidR="00126539" w:rsidRPr="00126539" w:rsidRDefault="00126539" w:rsidP="009B5BD2">
            <w:pPr>
              <w:widowControl w:val="0"/>
              <w:tabs>
                <w:tab w:val="left" w:pos="360"/>
              </w:tabs>
              <w:autoSpaceDE w:val="0"/>
              <w:autoSpaceDN w:val="0"/>
              <w:adjustRightInd w:val="0"/>
              <w:rPr>
                <w:rFonts w:ascii="Times New Roman" w:hAnsi="Times New Roman" w:cs="Times New Roman"/>
                <w:sz w:val="23"/>
                <w:szCs w:val="23"/>
              </w:rPr>
            </w:pPr>
          </w:p>
        </w:tc>
      </w:tr>
      <w:tr w:rsidR="00126539" w:rsidRPr="00126539" w:rsidTr="009B5BD2">
        <w:trPr>
          <w:trHeight w:val="440"/>
        </w:trPr>
        <w:tc>
          <w:tcPr>
            <w:tcW w:w="396" w:type="dxa"/>
          </w:tcPr>
          <w:p w:rsidR="00126539" w:rsidRPr="00126539" w:rsidRDefault="00126539" w:rsidP="009B5BD2">
            <w:pPr>
              <w:widowControl w:val="0"/>
              <w:tabs>
                <w:tab w:val="left" w:pos="360"/>
              </w:tabs>
              <w:autoSpaceDE w:val="0"/>
              <w:autoSpaceDN w:val="0"/>
              <w:adjustRightInd w:val="0"/>
              <w:rPr>
                <w:rFonts w:ascii="Times New Roman" w:hAnsi="Times New Roman" w:cs="Times New Roman"/>
                <w:sz w:val="23"/>
                <w:szCs w:val="23"/>
              </w:rPr>
            </w:pPr>
          </w:p>
        </w:tc>
        <w:tc>
          <w:tcPr>
            <w:tcW w:w="8940" w:type="dxa"/>
          </w:tcPr>
          <w:p w:rsidR="00126539" w:rsidRPr="00126539" w:rsidRDefault="00126539" w:rsidP="00126539">
            <w:pPr>
              <w:widowControl w:val="0"/>
              <w:numPr>
                <w:ilvl w:val="0"/>
                <w:numId w:val="13"/>
              </w:numPr>
              <w:autoSpaceDE w:val="0"/>
              <w:autoSpaceDN w:val="0"/>
              <w:adjustRightInd w:val="0"/>
              <w:contextualSpacing/>
              <w:rPr>
                <w:rFonts w:ascii="Times New Roman" w:hAnsi="Times New Roman" w:cs="Times New Roman"/>
                <w:sz w:val="23"/>
                <w:szCs w:val="23"/>
              </w:rPr>
            </w:pPr>
            <w:r w:rsidRPr="00126539">
              <w:rPr>
                <w:rFonts w:ascii="Times New Roman" w:hAnsi="Times New Roman" w:cs="Times New Roman"/>
                <w:sz w:val="23"/>
                <w:szCs w:val="23"/>
              </w:rPr>
              <w:t>v primárnom práve</w:t>
            </w:r>
            <w:r w:rsidRPr="00126539">
              <w:rPr>
                <w:rFonts w:ascii="Times New Roman" w:hAnsi="Times New Roman" w:cs="Times New Roman"/>
                <w:sz w:val="23"/>
                <w:szCs w:val="23"/>
              </w:rPr>
              <w:br/>
            </w:r>
            <w:r w:rsidRPr="00126539">
              <w:rPr>
                <w:rFonts w:ascii="Times New Roman" w:hAnsi="Times New Roman" w:cs="Times New Roman"/>
                <w:i/>
                <w:sz w:val="23"/>
                <w:szCs w:val="23"/>
              </w:rPr>
              <w:br/>
            </w:r>
            <w:r w:rsidRPr="00126539">
              <w:rPr>
                <w:rFonts w:ascii="Times New Roman" w:hAnsi="Times New Roman" w:cs="Times New Roman"/>
                <w:sz w:val="23"/>
                <w:szCs w:val="23"/>
              </w:rPr>
              <w:t>-</w:t>
            </w:r>
            <w:r w:rsidRPr="00126539">
              <w:rPr>
                <w:rFonts w:ascii="Times New Roman" w:hAnsi="Times New Roman" w:cs="Times New Roman"/>
                <w:i/>
                <w:sz w:val="23"/>
                <w:szCs w:val="23"/>
              </w:rPr>
              <w:t xml:space="preserve">    </w:t>
            </w:r>
            <w:r w:rsidRPr="00126539">
              <w:rPr>
                <w:rFonts w:ascii="Times New Roman" w:hAnsi="Times New Roman" w:cs="Times New Roman"/>
                <w:sz w:val="23"/>
                <w:szCs w:val="23"/>
              </w:rPr>
              <w:t>článok 169 Zmluvy o fungovaní Európskej únie</w:t>
            </w:r>
          </w:p>
          <w:p w:rsidR="00126539" w:rsidRPr="00126539" w:rsidRDefault="00126539" w:rsidP="009B5BD2">
            <w:pPr>
              <w:widowControl w:val="0"/>
              <w:autoSpaceDE w:val="0"/>
              <w:autoSpaceDN w:val="0"/>
              <w:adjustRightInd w:val="0"/>
              <w:ind w:left="360"/>
              <w:contextualSpacing/>
              <w:rPr>
                <w:rFonts w:ascii="Times New Roman" w:hAnsi="Times New Roman" w:cs="Times New Roman"/>
                <w:sz w:val="23"/>
                <w:szCs w:val="23"/>
              </w:rPr>
            </w:pPr>
          </w:p>
          <w:p w:rsidR="00126539" w:rsidRPr="00126539" w:rsidRDefault="00126539" w:rsidP="00126539">
            <w:pPr>
              <w:widowControl w:val="0"/>
              <w:numPr>
                <w:ilvl w:val="0"/>
                <w:numId w:val="13"/>
              </w:numPr>
              <w:autoSpaceDE w:val="0"/>
              <w:autoSpaceDN w:val="0"/>
              <w:adjustRightInd w:val="0"/>
              <w:contextualSpacing/>
              <w:rPr>
                <w:rFonts w:ascii="Times New Roman" w:hAnsi="Times New Roman" w:cs="Times New Roman"/>
                <w:sz w:val="23"/>
                <w:szCs w:val="23"/>
              </w:rPr>
            </w:pPr>
            <w:r w:rsidRPr="00126539">
              <w:rPr>
                <w:rFonts w:ascii="Times New Roman" w:hAnsi="Times New Roman" w:cs="Times New Roman"/>
                <w:iCs/>
                <w:sz w:val="23"/>
                <w:szCs w:val="23"/>
              </w:rPr>
              <w:t>v sekundárnom práve</w:t>
            </w:r>
            <w:r w:rsidRPr="00126539">
              <w:rPr>
                <w:rFonts w:ascii="Times New Roman" w:hAnsi="Times New Roman" w:cs="Times New Roman"/>
                <w:sz w:val="23"/>
                <w:szCs w:val="23"/>
              </w:rPr>
              <w:br/>
            </w:r>
          </w:p>
          <w:p w:rsidR="00126539" w:rsidRPr="00126539" w:rsidRDefault="00126539" w:rsidP="00126539">
            <w:pPr>
              <w:pStyle w:val="Odsekzoznamu"/>
              <w:widowControl w:val="0"/>
              <w:numPr>
                <w:ilvl w:val="0"/>
                <w:numId w:val="16"/>
              </w:numPr>
              <w:autoSpaceDE w:val="0"/>
              <w:autoSpaceDN w:val="0"/>
              <w:adjustRightInd w:val="0"/>
              <w:jc w:val="both"/>
              <w:rPr>
                <w:rFonts w:ascii="Times New Roman" w:hAnsi="Times New Roman" w:cs="Times New Roman"/>
                <w:sz w:val="23"/>
                <w:szCs w:val="23"/>
              </w:rPr>
            </w:pPr>
            <w:r w:rsidRPr="00126539">
              <w:rPr>
                <w:rFonts w:ascii="Times New Roman" w:hAnsi="Times New Roman" w:cs="Times New Roman"/>
                <w:sz w:val="23"/>
                <w:szCs w:val="23"/>
              </w:rPr>
              <w:t>Smernica Európskeho parlamentu a Rady (EÚ) 2020/1828 z 25. novembra 2020 o žalobách v zastúpení na ochranu kolektívnych záujmov spotrebiteľov a o zrušení smernice 2009/22/ES (Ú. v. EÚ L 409, 4.12.2020), gestor: MS SR,</w:t>
            </w:r>
          </w:p>
          <w:p w:rsidR="00126539" w:rsidRPr="00126539" w:rsidRDefault="00126539" w:rsidP="009B5BD2">
            <w:pPr>
              <w:pStyle w:val="Odsekzoznamu"/>
              <w:widowControl w:val="0"/>
              <w:autoSpaceDE w:val="0"/>
              <w:autoSpaceDN w:val="0"/>
              <w:adjustRightInd w:val="0"/>
              <w:jc w:val="both"/>
              <w:rPr>
                <w:rFonts w:ascii="Times New Roman" w:hAnsi="Times New Roman" w:cs="Times New Roman"/>
                <w:sz w:val="23"/>
                <w:szCs w:val="23"/>
              </w:rPr>
            </w:pPr>
          </w:p>
          <w:p w:rsidR="00126539" w:rsidRPr="00126539" w:rsidRDefault="00126539" w:rsidP="00126539">
            <w:pPr>
              <w:pStyle w:val="Odsekzoznamu"/>
              <w:widowControl w:val="0"/>
              <w:numPr>
                <w:ilvl w:val="0"/>
                <w:numId w:val="16"/>
              </w:numPr>
              <w:autoSpaceDE w:val="0"/>
              <w:autoSpaceDN w:val="0"/>
              <w:adjustRightInd w:val="0"/>
              <w:jc w:val="both"/>
              <w:rPr>
                <w:rFonts w:ascii="Times New Roman" w:hAnsi="Times New Roman" w:cs="Times New Roman"/>
                <w:sz w:val="23"/>
                <w:szCs w:val="23"/>
              </w:rPr>
            </w:pPr>
            <w:r w:rsidRPr="00126539">
              <w:rPr>
                <w:rFonts w:ascii="Times New Roman" w:hAnsi="Times New Roman" w:cs="Times New Roman"/>
                <w:sz w:val="23"/>
                <w:szCs w:val="23"/>
              </w:rPr>
              <w:t>Smernica Európskeho parlamentu a Rady 2009/22/ES z 23. apríla 2009 o súdnych príkazoch na ochranu spotrebiteľských záujmov (kodifikované znenie) (Ú. v. EÚ L 110, 1.5.2009) v platnom znení, gestor: MS SR.</w:t>
            </w:r>
          </w:p>
          <w:p w:rsidR="00126539" w:rsidRPr="00126539" w:rsidRDefault="00126539" w:rsidP="009B5BD2">
            <w:pPr>
              <w:widowControl w:val="0"/>
              <w:autoSpaceDE w:val="0"/>
              <w:autoSpaceDN w:val="0"/>
              <w:adjustRightInd w:val="0"/>
              <w:ind w:left="360"/>
              <w:contextualSpacing/>
              <w:rPr>
                <w:rFonts w:ascii="Times New Roman" w:hAnsi="Times New Roman" w:cs="Times New Roman"/>
                <w:sz w:val="23"/>
                <w:szCs w:val="23"/>
              </w:rPr>
            </w:pPr>
          </w:p>
          <w:p w:rsidR="00126539" w:rsidRPr="00126539" w:rsidRDefault="00126539" w:rsidP="00126539">
            <w:pPr>
              <w:widowControl w:val="0"/>
              <w:numPr>
                <w:ilvl w:val="0"/>
                <w:numId w:val="13"/>
              </w:numPr>
              <w:autoSpaceDE w:val="0"/>
              <w:autoSpaceDN w:val="0"/>
              <w:adjustRightInd w:val="0"/>
              <w:spacing w:after="200"/>
              <w:contextualSpacing/>
              <w:rPr>
                <w:rFonts w:ascii="Times New Roman" w:hAnsi="Times New Roman" w:cs="Times New Roman"/>
                <w:sz w:val="23"/>
                <w:szCs w:val="23"/>
              </w:rPr>
            </w:pPr>
            <w:r w:rsidRPr="00126539">
              <w:rPr>
                <w:rFonts w:ascii="Times New Roman" w:hAnsi="Times New Roman" w:cs="Times New Roman"/>
                <w:iCs/>
                <w:sz w:val="23"/>
                <w:szCs w:val="23"/>
              </w:rPr>
              <w:t xml:space="preserve">v judikatúre Súdneho dvora Európskej únie (k smernici </w:t>
            </w:r>
            <w:r w:rsidRPr="00126539">
              <w:rPr>
                <w:rFonts w:ascii="Times New Roman" w:hAnsi="Times New Roman" w:cs="Times New Roman"/>
                <w:sz w:val="23"/>
                <w:szCs w:val="23"/>
              </w:rPr>
              <w:t>2009/22/ES)</w:t>
            </w:r>
          </w:p>
          <w:p w:rsidR="00126539" w:rsidRPr="00126539" w:rsidRDefault="00126539" w:rsidP="00126539">
            <w:pPr>
              <w:pStyle w:val="Odsekzoznamu"/>
              <w:widowControl w:val="0"/>
              <w:numPr>
                <w:ilvl w:val="0"/>
                <w:numId w:val="15"/>
              </w:numPr>
              <w:tabs>
                <w:tab w:val="left" w:pos="360"/>
              </w:tabs>
              <w:autoSpaceDE w:val="0"/>
              <w:autoSpaceDN w:val="0"/>
              <w:adjustRightInd w:val="0"/>
              <w:jc w:val="both"/>
              <w:rPr>
                <w:rFonts w:ascii="Times New Roman" w:hAnsi="Times New Roman" w:cs="Times New Roman"/>
                <w:sz w:val="23"/>
                <w:szCs w:val="23"/>
              </w:rPr>
            </w:pPr>
            <w:r w:rsidRPr="00126539">
              <w:rPr>
                <w:rFonts w:ascii="Times New Roman" w:hAnsi="Times New Roman" w:cs="Times New Roman"/>
                <w:sz w:val="23"/>
                <w:szCs w:val="23"/>
              </w:rPr>
              <w:t xml:space="preserve">Rozsudok Súdneho dvora z 5. decembra 2013 vo veci C-413/12, </w:t>
            </w:r>
            <w:proofErr w:type="spellStart"/>
            <w:r w:rsidRPr="00126539">
              <w:rPr>
                <w:rFonts w:ascii="Times New Roman" w:hAnsi="Times New Roman" w:cs="Times New Roman"/>
                <w:sz w:val="23"/>
                <w:szCs w:val="23"/>
              </w:rPr>
              <w:t>Asociación</w:t>
            </w:r>
            <w:proofErr w:type="spellEnd"/>
            <w:r w:rsidRPr="00126539">
              <w:rPr>
                <w:rFonts w:ascii="Times New Roman" w:hAnsi="Times New Roman" w:cs="Times New Roman"/>
                <w:sz w:val="23"/>
                <w:szCs w:val="23"/>
              </w:rPr>
              <w:t xml:space="preserve"> de </w:t>
            </w:r>
            <w:proofErr w:type="spellStart"/>
            <w:r w:rsidRPr="00126539">
              <w:rPr>
                <w:rFonts w:ascii="Times New Roman" w:hAnsi="Times New Roman" w:cs="Times New Roman"/>
                <w:sz w:val="23"/>
                <w:szCs w:val="23"/>
              </w:rPr>
              <w:t>Consumidores</w:t>
            </w:r>
            <w:proofErr w:type="spellEnd"/>
            <w:r w:rsidRPr="00126539">
              <w:rPr>
                <w:rFonts w:ascii="Times New Roman" w:hAnsi="Times New Roman" w:cs="Times New Roman"/>
                <w:sz w:val="23"/>
                <w:szCs w:val="23"/>
              </w:rPr>
              <w:t xml:space="preserve"> </w:t>
            </w:r>
            <w:proofErr w:type="spellStart"/>
            <w:r w:rsidRPr="00126539">
              <w:rPr>
                <w:rFonts w:ascii="Times New Roman" w:hAnsi="Times New Roman" w:cs="Times New Roman"/>
                <w:sz w:val="23"/>
                <w:szCs w:val="23"/>
              </w:rPr>
              <w:t>Independientes</w:t>
            </w:r>
            <w:proofErr w:type="spellEnd"/>
            <w:r w:rsidRPr="00126539">
              <w:rPr>
                <w:rFonts w:ascii="Times New Roman" w:hAnsi="Times New Roman" w:cs="Times New Roman"/>
                <w:sz w:val="23"/>
                <w:szCs w:val="23"/>
              </w:rPr>
              <w:t xml:space="preserve"> de </w:t>
            </w:r>
            <w:proofErr w:type="spellStart"/>
            <w:r w:rsidRPr="00126539">
              <w:rPr>
                <w:rFonts w:ascii="Times New Roman" w:hAnsi="Times New Roman" w:cs="Times New Roman"/>
                <w:sz w:val="23"/>
                <w:szCs w:val="23"/>
              </w:rPr>
              <w:t>Castilla</w:t>
            </w:r>
            <w:proofErr w:type="spellEnd"/>
            <w:r w:rsidRPr="00126539">
              <w:rPr>
                <w:rFonts w:ascii="Times New Roman" w:hAnsi="Times New Roman" w:cs="Times New Roman"/>
                <w:sz w:val="23"/>
                <w:szCs w:val="23"/>
              </w:rPr>
              <w:t xml:space="preserve"> y León v. </w:t>
            </w:r>
            <w:proofErr w:type="spellStart"/>
            <w:r w:rsidRPr="00126539">
              <w:rPr>
                <w:rFonts w:ascii="Times New Roman" w:hAnsi="Times New Roman" w:cs="Times New Roman"/>
                <w:sz w:val="23"/>
                <w:szCs w:val="23"/>
              </w:rPr>
              <w:t>Anuntis</w:t>
            </w:r>
            <w:proofErr w:type="spellEnd"/>
            <w:r w:rsidRPr="00126539">
              <w:rPr>
                <w:rFonts w:ascii="Times New Roman" w:hAnsi="Times New Roman" w:cs="Times New Roman"/>
                <w:sz w:val="23"/>
                <w:szCs w:val="23"/>
              </w:rPr>
              <w:t xml:space="preserve"> </w:t>
            </w:r>
            <w:proofErr w:type="spellStart"/>
            <w:r w:rsidRPr="00126539">
              <w:rPr>
                <w:rFonts w:ascii="Times New Roman" w:hAnsi="Times New Roman" w:cs="Times New Roman"/>
                <w:sz w:val="23"/>
                <w:szCs w:val="23"/>
              </w:rPr>
              <w:t>Segundamano</w:t>
            </w:r>
            <w:proofErr w:type="spellEnd"/>
            <w:r w:rsidRPr="00126539">
              <w:rPr>
                <w:rFonts w:ascii="Times New Roman" w:hAnsi="Times New Roman" w:cs="Times New Roman"/>
                <w:sz w:val="23"/>
                <w:szCs w:val="23"/>
              </w:rPr>
              <w:t xml:space="preserve"> </w:t>
            </w:r>
            <w:proofErr w:type="spellStart"/>
            <w:r w:rsidRPr="00126539">
              <w:rPr>
                <w:rFonts w:ascii="Times New Roman" w:hAnsi="Times New Roman" w:cs="Times New Roman"/>
                <w:sz w:val="23"/>
                <w:szCs w:val="23"/>
              </w:rPr>
              <w:t>España</w:t>
            </w:r>
            <w:proofErr w:type="spellEnd"/>
            <w:r w:rsidRPr="00126539">
              <w:rPr>
                <w:rFonts w:ascii="Times New Roman" w:hAnsi="Times New Roman" w:cs="Times New Roman"/>
                <w:sz w:val="23"/>
                <w:szCs w:val="23"/>
              </w:rPr>
              <w:t xml:space="preserve"> SL,</w:t>
            </w:r>
          </w:p>
          <w:p w:rsidR="00126539" w:rsidRPr="00126539" w:rsidRDefault="00126539" w:rsidP="009B5BD2">
            <w:pPr>
              <w:pStyle w:val="Odsekzoznamu"/>
              <w:widowControl w:val="0"/>
              <w:tabs>
                <w:tab w:val="left" w:pos="360"/>
              </w:tabs>
              <w:autoSpaceDE w:val="0"/>
              <w:autoSpaceDN w:val="0"/>
              <w:adjustRightInd w:val="0"/>
              <w:jc w:val="both"/>
              <w:rPr>
                <w:rFonts w:ascii="Times New Roman" w:hAnsi="Times New Roman" w:cs="Times New Roman"/>
                <w:sz w:val="23"/>
                <w:szCs w:val="23"/>
              </w:rPr>
            </w:pPr>
          </w:p>
          <w:p w:rsidR="00126539" w:rsidRPr="00126539" w:rsidRDefault="00126539" w:rsidP="00126539">
            <w:pPr>
              <w:pStyle w:val="Odsekzoznamu"/>
              <w:widowControl w:val="0"/>
              <w:numPr>
                <w:ilvl w:val="0"/>
                <w:numId w:val="15"/>
              </w:numPr>
              <w:tabs>
                <w:tab w:val="left" w:pos="360"/>
              </w:tabs>
              <w:autoSpaceDE w:val="0"/>
              <w:autoSpaceDN w:val="0"/>
              <w:adjustRightInd w:val="0"/>
              <w:jc w:val="both"/>
              <w:rPr>
                <w:rFonts w:ascii="Times New Roman" w:hAnsi="Times New Roman" w:cs="Times New Roman"/>
                <w:sz w:val="23"/>
                <w:szCs w:val="23"/>
              </w:rPr>
            </w:pPr>
            <w:r w:rsidRPr="00126539">
              <w:rPr>
                <w:rFonts w:ascii="Times New Roman" w:hAnsi="Times New Roman" w:cs="Times New Roman"/>
                <w:sz w:val="23"/>
                <w:szCs w:val="23"/>
              </w:rPr>
              <w:t xml:space="preserve">Rozsudok Súdneho dvora z 21. decembra 2016 vo veci C-119/15, </w:t>
            </w:r>
            <w:proofErr w:type="spellStart"/>
            <w:r w:rsidRPr="00126539">
              <w:rPr>
                <w:rFonts w:ascii="Times New Roman" w:hAnsi="Times New Roman" w:cs="Times New Roman"/>
                <w:sz w:val="23"/>
                <w:szCs w:val="23"/>
              </w:rPr>
              <w:t>Biuro</w:t>
            </w:r>
            <w:proofErr w:type="spellEnd"/>
            <w:r w:rsidRPr="00126539">
              <w:rPr>
                <w:rFonts w:ascii="Times New Roman" w:hAnsi="Times New Roman" w:cs="Times New Roman"/>
                <w:sz w:val="23"/>
                <w:szCs w:val="23"/>
              </w:rPr>
              <w:t xml:space="preserve"> </w:t>
            </w:r>
            <w:proofErr w:type="spellStart"/>
            <w:r w:rsidRPr="00126539">
              <w:rPr>
                <w:rFonts w:ascii="Times New Roman" w:hAnsi="Times New Roman" w:cs="Times New Roman"/>
                <w:sz w:val="23"/>
                <w:szCs w:val="23"/>
              </w:rPr>
              <w:t>podróży</w:t>
            </w:r>
            <w:proofErr w:type="spellEnd"/>
            <w:r w:rsidRPr="00126539">
              <w:rPr>
                <w:rFonts w:ascii="Times New Roman" w:hAnsi="Times New Roman" w:cs="Times New Roman"/>
                <w:sz w:val="23"/>
                <w:szCs w:val="23"/>
              </w:rPr>
              <w:t xml:space="preserve"> Partner </w:t>
            </w:r>
            <w:proofErr w:type="spellStart"/>
            <w:r w:rsidRPr="00126539">
              <w:rPr>
                <w:rFonts w:ascii="Times New Roman" w:hAnsi="Times New Roman" w:cs="Times New Roman"/>
                <w:sz w:val="23"/>
                <w:szCs w:val="23"/>
              </w:rPr>
              <w:t>Sp</w:t>
            </w:r>
            <w:proofErr w:type="spellEnd"/>
            <w:r w:rsidRPr="00126539">
              <w:rPr>
                <w:rFonts w:ascii="Times New Roman" w:hAnsi="Times New Roman" w:cs="Times New Roman"/>
                <w:sz w:val="23"/>
                <w:szCs w:val="23"/>
              </w:rPr>
              <w:t xml:space="preserve">. z </w:t>
            </w:r>
            <w:proofErr w:type="spellStart"/>
            <w:r w:rsidRPr="00126539">
              <w:rPr>
                <w:rFonts w:ascii="Times New Roman" w:hAnsi="Times New Roman" w:cs="Times New Roman"/>
                <w:sz w:val="23"/>
                <w:szCs w:val="23"/>
              </w:rPr>
              <w:t>o.o</w:t>
            </w:r>
            <w:proofErr w:type="spellEnd"/>
            <w:r w:rsidRPr="00126539">
              <w:rPr>
                <w:rFonts w:ascii="Times New Roman" w:hAnsi="Times New Roman" w:cs="Times New Roman"/>
                <w:sz w:val="23"/>
                <w:szCs w:val="23"/>
              </w:rPr>
              <w:t xml:space="preserve">, </w:t>
            </w:r>
            <w:proofErr w:type="spellStart"/>
            <w:r w:rsidRPr="00126539">
              <w:rPr>
                <w:rFonts w:ascii="Times New Roman" w:hAnsi="Times New Roman" w:cs="Times New Roman"/>
                <w:sz w:val="23"/>
                <w:szCs w:val="23"/>
              </w:rPr>
              <w:t>Sp</w:t>
            </w:r>
            <w:proofErr w:type="spellEnd"/>
            <w:r w:rsidRPr="00126539">
              <w:rPr>
                <w:rFonts w:ascii="Times New Roman" w:hAnsi="Times New Roman" w:cs="Times New Roman"/>
                <w:sz w:val="23"/>
                <w:szCs w:val="23"/>
              </w:rPr>
              <w:t xml:space="preserve">. </w:t>
            </w:r>
            <w:proofErr w:type="spellStart"/>
            <w:r w:rsidRPr="00126539">
              <w:rPr>
                <w:rFonts w:ascii="Times New Roman" w:hAnsi="Times New Roman" w:cs="Times New Roman"/>
                <w:sz w:val="23"/>
                <w:szCs w:val="23"/>
              </w:rPr>
              <w:t>komandytowa</w:t>
            </w:r>
            <w:proofErr w:type="spellEnd"/>
            <w:r w:rsidRPr="00126539">
              <w:rPr>
                <w:rFonts w:ascii="Times New Roman" w:hAnsi="Times New Roman" w:cs="Times New Roman"/>
                <w:sz w:val="23"/>
                <w:szCs w:val="23"/>
              </w:rPr>
              <w:t xml:space="preserve"> w </w:t>
            </w:r>
            <w:proofErr w:type="spellStart"/>
            <w:r w:rsidRPr="00126539">
              <w:rPr>
                <w:rFonts w:ascii="Times New Roman" w:hAnsi="Times New Roman" w:cs="Times New Roman"/>
                <w:sz w:val="23"/>
                <w:szCs w:val="23"/>
              </w:rPr>
              <w:t>Dąbrowie</w:t>
            </w:r>
            <w:proofErr w:type="spellEnd"/>
            <w:r w:rsidRPr="00126539">
              <w:rPr>
                <w:rFonts w:ascii="Times New Roman" w:hAnsi="Times New Roman" w:cs="Times New Roman"/>
                <w:sz w:val="23"/>
                <w:szCs w:val="23"/>
              </w:rPr>
              <w:t xml:space="preserve"> </w:t>
            </w:r>
            <w:proofErr w:type="spellStart"/>
            <w:r w:rsidRPr="00126539">
              <w:rPr>
                <w:rFonts w:ascii="Times New Roman" w:hAnsi="Times New Roman" w:cs="Times New Roman"/>
                <w:sz w:val="23"/>
                <w:szCs w:val="23"/>
              </w:rPr>
              <w:t>Górniczej</w:t>
            </w:r>
            <w:proofErr w:type="spellEnd"/>
            <w:r w:rsidRPr="00126539">
              <w:rPr>
                <w:rFonts w:ascii="Times New Roman" w:hAnsi="Times New Roman" w:cs="Times New Roman"/>
                <w:sz w:val="23"/>
                <w:szCs w:val="23"/>
              </w:rPr>
              <w:t>/</w:t>
            </w:r>
            <w:proofErr w:type="spellStart"/>
            <w:r w:rsidRPr="00126539">
              <w:rPr>
                <w:rFonts w:ascii="Times New Roman" w:hAnsi="Times New Roman" w:cs="Times New Roman"/>
                <w:sz w:val="23"/>
                <w:szCs w:val="23"/>
              </w:rPr>
              <w:t>Prezes</w:t>
            </w:r>
            <w:proofErr w:type="spellEnd"/>
            <w:r w:rsidRPr="00126539">
              <w:rPr>
                <w:rFonts w:ascii="Times New Roman" w:hAnsi="Times New Roman" w:cs="Times New Roman"/>
                <w:sz w:val="23"/>
                <w:szCs w:val="23"/>
              </w:rPr>
              <w:t xml:space="preserve"> </w:t>
            </w:r>
            <w:proofErr w:type="spellStart"/>
            <w:r w:rsidRPr="00126539">
              <w:rPr>
                <w:rFonts w:ascii="Times New Roman" w:hAnsi="Times New Roman" w:cs="Times New Roman"/>
                <w:sz w:val="23"/>
                <w:szCs w:val="23"/>
              </w:rPr>
              <w:t>Urzędu</w:t>
            </w:r>
            <w:proofErr w:type="spellEnd"/>
            <w:r w:rsidRPr="00126539">
              <w:rPr>
                <w:rFonts w:ascii="Times New Roman" w:hAnsi="Times New Roman" w:cs="Times New Roman"/>
                <w:sz w:val="23"/>
                <w:szCs w:val="23"/>
              </w:rPr>
              <w:t xml:space="preserve"> </w:t>
            </w:r>
            <w:proofErr w:type="spellStart"/>
            <w:r w:rsidRPr="00126539">
              <w:rPr>
                <w:rFonts w:ascii="Times New Roman" w:hAnsi="Times New Roman" w:cs="Times New Roman"/>
                <w:sz w:val="23"/>
                <w:szCs w:val="23"/>
              </w:rPr>
              <w:t>Ochrony</w:t>
            </w:r>
            <w:proofErr w:type="spellEnd"/>
            <w:r w:rsidRPr="00126539">
              <w:rPr>
                <w:rFonts w:ascii="Times New Roman" w:hAnsi="Times New Roman" w:cs="Times New Roman"/>
                <w:sz w:val="23"/>
                <w:szCs w:val="23"/>
              </w:rPr>
              <w:t xml:space="preserve"> </w:t>
            </w:r>
            <w:proofErr w:type="spellStart"/>
            <w:r w:rsidRPr="00126539">
              <w:rPr>
                <w:rFonts w:ascii="Times New Roman" w:hAnsi="Times New Roman" w:cs="Times New Roman"/>
                <w:sz w:val="23"/>
                <w:szCs w:val="23"/>
              </w:rPr>
              <w:t>Konkurencji</w:t>
            </w:r>
            <w:proofErr w:type="spellEnd"/>
            <w:r w:rsidRPr="00126539">
              <w:rPr>
                <w:rFonts w:ascii="Times New Roman" w:hAnsi="Times New Roman" w:cs="Times New Roman"/>
                <w:sz w:val="23"/>
                <w:szCs w:val="23"/>
              </w:rPr>
              <w:t xml:space="preserve"> i </w:t>
            </w:r>
            <w:proofErr w:type="spellStart"/>
            <w:r w:rsidRPr="00126539">
              <w:rPr>
                <w:rFonts w:ascii="Times New Roman" w:hAnsi="Times New Roman" w:cs="Times New Roman"/>
                <w:sz w:val="23"/>
                <w:szCs w:val="23"/>
              </w:rPr>
              <w:t>Konsumentów</w:t>
            </w:r>
            <w:proofErr w:type="spellEnd"/>
            <w:r w:rsidRPr="00126539">
              <w:rPr>
                <w:rFonts w:ascii="Times New Roman" w:hAnsi="Times New Roman" w:cs="Times New Roman"/>
              </w:rPr>
              <w:t>.</w:t>
            </w:r>
          </w:p>
          <w:p w:rsidR="00126539" w:rsidRPr="00126539" w:rsidRDefault="00126539" w:rsidP="009B5BD2">
            <w:pPr>
              <w:pStyle w:val="Odsekzoznamu"/>
              <w:widowControl w:val="0"/>
              <w:tabs>
                <w:tab w:val="left" w:pos="360"/>
              </w:tabs>
              <w:autoSpaceDE w:val="0"/>
              <w:autoSpaceDN w:val="0"/>
              <w:adjustRightInd w:val="0"/>
              <w:jc w:val="both"/>
              <w:rPr>
                <w:rFonts w:ascii="Times New Roman" w:hAnsi="Times New Roman" w:cs="Times New Roman"/>
                <w:sz w:val="23"/>
                <w:szCs w:val="23"/>
              </w:rPr>
            </w:pPr>
          </w:p>
        </w:tc>
      </w:tr>
    </w:tbl>
    <w:p w:rsidR="00126539" w:rsidRPr="00126539" w:rsidRDefault="00126539" w:rsidP="00126539">
      <w:pPr>
        <w:widowControl w:val="0"/>
        <w:tabs>
          <w:tab w:val="left" w:pos="360"/>
        </w:tabs>
        <w:autoSpaceDE w:val="0"/>
        <w:autoSpaceDN w:val="0"/>
        <w:adjustRightInd w:val="0"/>
        <w:spacing w:after="0" w:line="240" w:lineRule="auto"/>
        <w:jc w:val="both"/>
        <w:rPr>
          <w:rFonts w:ascii="Times New Roman" w:hAnsi="Times New Roman" w:cs="Times New Roman"/>
          <w:sz w:val="23"/>
          <w:szCs w:val="23"/>
          <w:lang w:eastAsia="sk-SK"/>
        </w:rPr>
      </w:pPr>
    </w:p>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126539" w:rsidRPr="00126539" w:rsidTr="009B5BD2">
        <w:trPr>
          <w:jc w:val="center"/>
        </w:trPr>
        <w:tc>
          <w:tcPr>
            <w:tcW w:w="250" w:type="pct"/>
            <w:tcBorders>
              <w:top w:val="nil"/>
              <w:left w:val="nil"/>
              <w:bottom w:val="nil"/>
              <w:right w:val="nil"/>
            </w:tcBorders>
            <w:hideMark/>
          </w:tcPr>
          <w:p w:rsidR="00126539" w:rsidRPr="00126539" w:rsidRDefault="00126539" w:rsidP="009B5BD2">
            <w:pPr>
              <w:widowControl w:val="0"/>
              <w:autoSpaceDE w:val="0"/>
              <w:autoSpaceDN w:val="0"/>
              <w:adjustRightInd w:val="0"/>
              <w:spacing w:after="0" w:line="240" w:lineRule="auto"/>
              <w:rPr>
                <w:rFonts w:ascii="Times New Roman" w:hAnsi="Times New Roman" w:cs="Times New Roman"/>
                <w:b/>
                <w:bCs/>
                <w:sz w:val="23"/>
                <w:szCs w:val="23"/>
                <w:lang w:eastAsia="sk-SK"/>
              </w:rPr>
            </w:pPr>
            <w:r w:rsidRPr="00126539">
              <w:rPr>
                <w:rFonts w:ascii="Times New Roman" w:hAnsi="Times New Roman" w:cs="Times New Roman"/>
                <w:b/>
                <w:bCs/>
                <w:sz w:val="23"/>
                <w:szCs w:val="23"/>
                <w:lang w:eastAsia="sk-SK"/>
              </w:rPr>
              <w:t>4.</w:t>
            </w:r>
          </w:p>
        </w:tc>
        <w:tc>
          <w:tcPr>
            <w:tcW w:w="4750" w:type="pct"/>
            <w:gridSpan w:val="2"/>
            <w:tcBorders>
              <w:top w:val="nil"/>
              <w:left w:val="nil"/>
              <w:bottom w:val="nil"/>
              <w:right w:val="nil"/>
            </w:tcBorders>
            <w:vAlign w:val="center"/>
            <w:hideMark/>
          </w:tcPr>
          <w:p w:rsidR="00126539" w:rsidRPr="00126539" w:rsidRDefault="00126539" w:rsidP="009B5BD2">
            <w:pPr>
              <w:widowControl w:val="0"/>
              <w:autoSpaceDE w:val="0"/>
              <w:autoSpaceDN w:val="0"/>
              <w:adjustRightInd w:val="0"/>
              <w:spacing w:after="250" w:line="240" w:lineRule="auto"/>
              <w:rPr>
                <w:rFonts w:ascii="Times New Roman" w:hAnsi="Times New Roman" w:cs="Times New Roman"/>
                <w:b/>
                <w:bCs/>
                <w:sz w:val="23"/>
                <w:szCs w:val="23"/>
                <w:lang w:eastAsia="sk-SK"/>
              </w:rPr>
            </w:pPr>
            <w:r w:rsidRPr="00126539">
              <w:rPr>
                <w:rFonts w:ascii="Times New Roman" w:hAnsi="Times New Roman" w:cs="Times New Roman"/>
                <w:b/>
                <w:bCs/>
                <w:sz w:val="23"/>
                <w:szCs w:val="23"/>
                <w:lang w:eastAsia="sk-SK"/>
              </w:rPr>
              <w:t>Záväzky Slovenskej republiky vo vzťahu k Európskej únii:</w:t>
            </w:r>
          </w:p>
        </w:tc>
      </w:tr>
      <w:tr w:rsidR="00126539" w:rsidRPr="00126539" w:rsidTr="009B5BD2">
        <w:trPr>
          <w:jc w:val="center"/>
        </w:trPr>
        <w:tc>
          <w:tcPr>
            <w:tcW w:w="0" w:type="auto"/>
            <w:tcBorders>
              <w:top w:val="nil"/>
              <w:left w:val="nil"/>
              <w:bottom w:val="nil"/>
              <w:right w:val="nil"/>
            </w:tcBorders>
            <w:hideMark/>
          </w:tcPr>
          <w:p w:rsidR="00126539" w:rsidRPr="00126539" w:rsidRDefault="00126539" w:rsidP="009B5BD2">
            <w:pPr>
              <w:widowControl w:val="0"/>
              <w:autoSpaceDE w:val="0"/>
              <w:autoSpaceDN w:val="0"/>
              <w:adjustRightInd w:val="0"/>
              <w:spacing w:after="250" w:line="240" w:lineRule="auto"/>
              <w:rPr>
                <w:rFonts w:ascii="Times New Roman" w:hAnsi="Times New Roman" w:cs="Times New Roman"/>
                <w:b/>
                <w:bCs/>
                <w:sz w:val="23"/>
                <w:szCs w:val="23"/>
                <w:lang w:eastAsia="sk-SK"/>
              </w:rPr>
            </w:pPr>
          </w:p>
        </w:tc>
        <w:tc>
          <w:tcPr>
            <w:tcW w:w="150" w:type="pct"/>
            <w:tcBorders>
              <w:top w:val="nil"/>
              <w:left w:val="nil"/>
              <w:bottom w:val="nil"/>
              <w:right w:val="nil"/>
            </w:tcBorders>
            <w:hideMark/>
          </w:tcPr>
          <w:p w:rsidR="00126539" w:rsidRPr="00126539" w:rsidRDefault="00126539" w:rsidP="009B5BD2">
            <w:pPr>
              <w:widowControl w:val="0"/>
              <w:autoSpaceDE w:val="0"/>
              <w:autoSpaceDN w:val="0"/>
              <w:adjustRightInd w:val="0"/>
              <w:spacing w:after="0" w:line="240" w:lineRule="auto"/>
              <w:rPr>
                <w:rFonts w:ascii="Times New Roman" w:hAnsi="Times New Roman" w:cs="Times New Roman"/>
                <w:sz w:val="23"/>
                <w:szCs w:val="23"/>
                <w:lang w:eastAsia="sk-SK"/>
              </w:rPr>
            </w:pPr>
            <w:r w:rsidRPr="00126539">
              <w:rPr>
                <w:rFonts w:ascii="Times New Roman" w:hAnsi="Times New Roman" w:cs="Times New Roman"/>
                <w:sz w:val="23"/>
                <w:szCs w:val="23"/>
                <w:lang w:eastAsia="sk-SK"/>
              </w:rPr>
              <w:t>a)</w:t>
            </w:r>
          </w:p>
        </w:tc>
        <w:tc>
          <w:tcPr>
            <w:tcW w:w="0" w:type="auto"/>
            <w:tcBorders>
              <w:top w:val="nil"/>
              <w:left w:val="nil"/>
              <w:bottom w:val="nil"/>
              <w:right w:val="nil"/>
            </w:tcBorders>
            <w:vAlign w:val="center"/>
            <w:hideMark/>
          </w:tcPr>
          <w:p w:rsidR="00126539" w:rsidRPr="00126539" w:rsidRDefault="00126539" w:rsidP="009B5BD2">
            <w:pPr>
              <w:widowControl w:val="0"/>
              <w:autoSpaceDE w:val="0"/>
              <w:autoSpaceDN w:val="0"/>
              <w:adjustRightInd w:val="0"/>
              <w:spacing w:after="0" w:line="240" w:lineRule="auto"/>
              <w:jc w:val="both"/>
              <w:rPr>
                <w:rFonts w:ascii="Times New Roman" w:hAnsi="Times New Roman" w:cs="Times New Roman"/>
                <w:sz w:val="23"/>
                <w:szCs w:val="23"/>
                <w:lang w:eastAsia="sk-SK"/>
              </w:rPr>
            </w:pPr>
            <w:r w:rsidRPr="00126539">
              <w:rPr>
                <w:rFonts w:ascii="Times New Roman" w:hAnsi="Times New Roman" w:cs="Times New Roman"/>
                <w:sz w:val="23"/>
                <w:szCs w:val="23"/>
                <w:lang w:eastAsia="sk-SK"/>
              </w:rPr>
              <w:t>lehota na prebranie príslušného právneho aktu Európskej únie, príp. aj osobitná lehota účinnosti jeho ustanovení</w:t>
            </w:r>
          </w:p>
        </w:tc>
      </w:tr>
      <w:tr w:rsidR="00126539" w:rsidRPr="00126539" w:rsidTr="009B5BD2">
        <w:trPr>
          <w:jc w:val="center"/>
        </w:trPr>
        <w:tc>
          <w:tcPr>
            <w:tcW w:w="0" w:type="auto"/>
            <w:tcBorders>
              <w:top w:val="nil"/>
              <w:left w:val="nil"/>
              <w:bottom w:val="nil"/>
              <w:right w:val="nil"/>
            </w:tcBorders>
            <w:hideMark/>
          </w:tcPr>
          <w:p w:rsidR="00126539" w:rsidRPr="00126539" w:rsidRDefault="00126539" w:rsidP="009B5BD2">
            <w:pPr>
              <w:widowControl w:val="0"/>
              <w:autoSpaceDE w:val="0"/>
              <w:autoSpaceDN w:val="0"/>
              <w:adjustRightInd w:val="0"/>
              <w:spacing w:after="250" w:line="240" w:lineRule="auto"/>
              <w:rPr>
                <w:rFonts w:ascii="Times New Roman" w:hAnsi="Times New Roman" w:cs="Times New Roman"/>
                <w:sz w:val="23"/>
                <w:szCs w:val="23"/>
                <w:lang w:eastAsia="sk-SK"/>
              </w:rPr>
            </w:pPr>
          </w:p>
        </w:tc>
        <w:tc>
          <w:tcPr>
            <w:tcW w:w="0" w:type="auto"/>
            <w:tcBorders>
              <w:top w:val="nil"/>
              <w:left w:val="nil"/>
              <w:bottom w:val="nil"/>
              <w:right w:val="nil"/>
            </w:tcBorders>
            <w:hideMark/>
          </w:tcPr>
          <w:p w:rsidR="00126539" w:rsidRPr="00126539" w:rsidRDefault="00126539" w:rsidP="009B5BD2">
            <w:pPr>
              <w:widowControl w:val="0"/>
              <w:autoSpaceDE w:val="0"/>
              <w:autoSpaceDN w:val="0"/>
              <w:adjustRightInd w:val="0"/>
              <w:spacing w:after="0" w:line="240" w:lineRule="auto"/>
              <w:rPr>
                <w:rFonts w:ascii="Times New Roman" w:hAnsi="Times New Roman" w:cs="Times New Roman"/>
                <w:sz w:val="23"/>
                <w:szCs w:val="23"/>
                <w:lang w:eastAsia="sk-SK"/>
              </w:rPr>
            </w:pPr>
          </w:p>
        </w:tc>
        <w:tc>
          <w:tcPr>
            <w:tcW w:w="0" w:type="auto"/>
            <w:tcBorders>
              <w:top w:val="nil"/>
              <w:left w:val="nil"/>
              <w:right w:val="nil"/>
            </w:tcBorders>
            <w:vAlign w:val="center"/>
            <w:hideMark/>
          </w:tcPr>
          <w:p w:rsidR="00126539" w:rsidRPr="00126539" w:rsidRDefault="00126539" w:rsidP="009B5BD2">
            <w:pPr>
              <w:widowControl w:val="0"/>
              <w:autoSpaceDE w:val="0"/>
              <w:autoSpaceDN w:val="0"/>
              <w:adjustRightInd w:val="0"/>
              <w:spacing w:after="0" w:line="240" w:lineRule="auto"/>
              <w:jc w:val="both"/>
              <w:rPr>
                <w:rFonts w:ascii="Times New Roman" w:hAnsi="Times New Roman" w:cs="Times New Roman"/>
                <w:i/>
                <w:sz w:val="23"/>
                <w:szCs w:val="23"/>
                <w:lang w:eastAsia="sk-SK"/>
              </w:rPr>
            </w:pPr>
          </w:p>
          <w:p w:rsidR="00126539" w:rsidRPr="00126539" w:rsidRDefault="00126539" w:rsidP="00126539">
            <w:pPr>
              <w:pStyle w:val="Odsekzoznamu"/>
              <w:widowControl w:val="0"/>
              <w:numPr>
                <w:ilvl w:val="0"/>
                <w:numId w:val="15"/>
              </w:numPr>
              <w:autoSpaceDE w:val="0"/>
              <w:autoSpaceDN w:val="0"/>
              <w:adjustRightInd w:val="0"/>
              <w:spacing w:after="250" w:line="240" w:lineRule="auto"/>
              <w:jc w:val="both"/>
              <w:rPr>
                <w:rFonts w:ascii="Times New Roman" w:hAnsi="Times New Roman" w:cs="Times New Roman"/>
                <w:sz w:val="23"/>
                <w:szCs w:val="23"/>
                <w:lang w:eastAsia="sk-SK"/>
              </w:rPr>
            </w:pPr>
            <w:r w:rsidRPr="00126539">
              <w:rPr>
                <w:rFonts w:ascii="Times New Roman" w:hAnsi="Times New Roman" w:cs="Times New Roman"/>
                <w:sz w:val="23"/>
                <w:szCs w:val="23"/>
                <w:lang w:eastAsia="sk-SK"/>
              </w:rPr>
              <w:t>lehota na prebratie S</w:t>
            </w:r>
            <w:r w:rsidRPr="00126539">
              <w:rPr>
                <w:rFonts w:ascii="Times New Roman" w:hAnsi="Times New Roman" w:cs="Times New Roman"/>
                <w:sz w:val="23"/>
                <w:szCs w:val="23"/>
              </w:rPr>
              <w:t xml:space="preserve">mernica Európskeho parlamentu a Rady (EÚ) 2020/1828 z 25. novembra 2020 o žalobách v zastúpení na ochranu kolektívnych záujmov spotrebiteľov a o zrušení smernice 2009/22/ES (Ú. v. EÚ L 409, 4.12.2020) je stanovená do </w:t>
            </w:r>
            <w:r w:rsidRPr="00126539">
              <w:rPr>
                <w:rFonts w:ascii="Times New Roman" w:hAnsi="Times New Roman" w:cs="Times New Roman"/>
                <w:sz w:val="23"/>
                <w:szCs w:val="23"/>
                <w:lang w:eastAsia="sk-SK"/>
              </w:rPr>
              <w:t>25. júna 2023,</w:t>
            </w:r>
          </w:p>
        </w:tc>
      </w:tr>
      <w:tr w:rsidR="00126539" w:rsidRPr="00126539" w:rsidTr="009B5BD2">
        <w:trPr>
          <w:jc w:val="center"/>
        </w:trPr>
        <w:tc>
          <w:tcPr>
            <w:tcW w:w="0" w:type="auto"/>
            <w:tcBorders>
              <w:top w:val="nil"/>
              <w:left w:val="nil"/>
              <w:right w:val="nil"/>
            </w:tcBorders>
            <w:hideMark/>
          </w:tcPr>
          <w:p w:rsidR="00126539" w:rsidRPr="00126539" w:rsidRDefault="00126539" w:rsidP="009B5BD2">
            <w:pPr>
              <w:widowControl w:val="0"/>
              <w:autoSpaceDE w:val="0"/>
              <w:autoSpaceDN w:val="0"/>
              <w:adjustRightInd w:val="0"/>
              <w:spacing w:after="250" w:line="240" w:lineRule="auto"/>
              <w:rPr>
                <w:rFonts w:ascii="Times New Roman" w:hAnsi="Times New Roman" w:cs="Times New Roman"/>
                <w:sz w:val="23"/>
                <w:szCs w:val="23"/>
                <w:lang w:eastAsia="sk-SK"/>
              </w:rPr>
            </w:pPr>
          </w:p>
        </w:tc>
        <w:tc>
          <w:tcPr>
            <w:tcW w:w="0" w:type="auto"/>
            <w:tcBorders>
              <w:top w:val="nil"/>
              <w:left w:val="nil"/>
              <w:right w:val="nil"/>
            </w:tcBorders>
            <w:hideMark/>
          </w:tcPr>
          <w:p w:rsidR="00126539" w:rsidRPr="00126539" w:rsidRDefault="00126539" w:rsidP="009B5BD2">
            <w:pPr>
              <w:widowControl w:val="0"/>
              <w:autoSpaceDE w:val="0"/>
              <w:autoSpaceDN w:val="0"/>
              <w:adjustRightInd w:val="0"/>
              <w:spacing w:after="0" w:line="240" w:lineRule="auto"/>
              <w:rPr>
                <w:rFonts w:ascii="Times New Roman" w:hAnsi="Times New Roman" w:cs="Times New Roman"/>
                <w:sz w:val="23"/>
                <w:szCs w:val="23"/>
                <w:lang w:eastAsia="sk-SK"/>
              </w:rPr>
            </w:pPr>
            <w:r w:rsidRPr="00126539">
              <w:rPr>
                <w:rFonts w:ascii="Times New Roman" w:hAnsi="Times New Roman" w:cs="Times New Roman"/>
                <w:sz w:val="23"/>
                <w:szCs w:val="23"/>
                <w:lang w:eastAsia="sk-SK"/>
              </w:rPr>
              <w:t>b)</w:t>
            </w:r>
          </w:p>
        </w:tc>
        <w:tc>
          <w:tcPr>
            <w:tcW w:w="0" w:type="auto"/>
            <w:tcBorders>
              <w:top w:val="nil"/>
              <w:left w:val="nil"/>
              <w:right w:val="nil"/>
            </w:tcBorders>
            <w:vAlign w:val="center"/>
            <w:hideMark/>
          </w:tcPr>
          <w:p w:rsidR="00126539" w:rsidRPr="00126539" w:rsidRDefault="00126539" w:rsidP="009B5BD2">
            <w:pPr>
              <w:widowControl w:val="0"/>
              <w:autoSpaceDE w:val="0"/>
              <w:autoSpaceDN w:val="0"/>
              <w:adjustRightInd w:val="0"/>
              <w:spacing w:after="0" w:line="240" w:lineRule="auto"/>
              <w:jc w:val="both"/>
              <w:rPr>
                <w:rFonts w:ascii="Times New Roman" w:hAnsi="Times New Roman" w:cs="Times New Roman"/>
                <w:sz w:val="23"/>
                <w:szCs w:val="23"/>
                <w:lang w:eastAsia="sk-SK"/>
              </w:rPr>
            </w:pPr>
            <w:r w:rsidRPr="00126539">
              <w:rPr>
                <w:rFonts w:ascii="Times New Roman" w:hAnsi="Times New Roman" w:cs="Times New Roman"/>
                <w:sz w:val="23"/>
                <w:szCs w:val="23"/>
                <w:lang w:eastAsia="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126539" w:rsidRPr="00126539" w:rsidRDefault="00126539" w:rsidP="009B5BD2">
            <w:pPr>
              <w:widowControl w:val="0"/>
              <w:autoSpaceDE w:val="0"/>
              <w:autoSpaceDN w:val="0"/>
              <w:adjustRightInd w:val="0"/>
              <w:spacing w:after="0" w:line="240" w:lineRule="auto"/>
              <w:jc w:val="both"/>
              <w:rPr>
                <w:rFonts w:ascii="Times New Roman" w:hAnsi="Times New Roman" w:cs="Times New Roman"/>
                <w:sz w:val="23"/>
                <w:szCs w:val="23"/>
                <w:lang w:eastAsia="sk-SK"/>
              </w:rPr>
            </w:pPr>
          </w:p>
          <w:p w:rsidR="00126539" w:rsidRPr="00126539" w:rsidRDefault="00126539" w:rsidP="00126539">
            <w:pPr>
              <w:pStyle w:val="Odsekzoznamu"/>
              <w:widowControl w:val="0"/>
              <w:numPr>
                <w:ilvl w:val="0"/>
                <w:numId w:val="15"/>
              </w:numPr>
              <w:autoSpaceDE w:val="0"/>
              <w:autoSpaceDN w:val="0"/>
              <w:adjustRightInd w:val="0"/>
              <w:spacing w:after="0" w:line="240" w:lineRule="auto"/>
              <w:jc w:val="both"/>
              <w:rPr>
                <w:rFonts w:ascii="Times New Roman" w:hAnsi="Times New Roman" w:cs="Times New Roman"/>
                <w:sz w:val="23"/>
                <w:szCs w:val="23"/>
                <w:lang w:eastAsia="sk-SK"/>
              </w:rPr>
            </w:pPr>
            <w:r w:rsidRPr="00126539">
              <w:rPr>
                <w:rFonts w:ascii="Times New Roman" w:hAnsi="Times New Roman" w:cs="Times New Roman"/>
                <w:sz w:val="23"/>
                <w:szCs w:val="23"/>
                <w:lang w:eastAsia="sk-SK"/>
              </w:rPr>
              <w:t xml:space="preserve">proti Slovenskej republike bolo dňa 26. januára 2023 doručením formálneho </w:t>
            </w:r>
            <w:r w:rsidRPr="00126539">
              <w:rPr>
                <w:rFonts w:ascii="Times New Roman" w:hAnsi="Times New Roman" w:cs="Times New Roman"/>
                <w:sz w:val="23"/>
                <w:szCs w:val="23"/>
                <w:lang w:eastAsia="sk-SK"/>
              </w:rPr>
              <w:lastRenderedPageBreak/>
              <w:t>oznámenia začaté konanie o porušení zmlúv č. INFR(2023)0039 z dôvodu neoznámenia transpozičných opatrení smernice (EÚ) 2020/1828.</w:t>
            </w:r>
          </w:p>
          <w:p w:rsidR="00126539" w:rsidRPr="00126539" w:rsidRDefault="00126539" w:rsidP="009B5BD2">
            <w:pPr>
              <w:pStyle w:val="Odsekzoznamu"/>
              <w:widowControl w:val="0"/>
              <w:autoSpaceDE w:val="0"/>
              <w:autoSpaceDN w:val="0"/>
              <w:adjustRightInd w:val="0"/>
              <w:spacing w:after="0" w:line="240" w:lineRule="auto"/>
              <w:jc w:val="both"/>
              <w:rPr>
                <w:rFonts w:ascii="Times New Roman" w:hAnsi="Times New Roman" w:cs="Times New Roman"/>
                <w:sz w:val="23"/>
                <w:szCs w:val="23"/>
                <w:lang w:eastAsia="sk-SK"/>
              </w:rPr>
            </w:pPr>
          </w:p>
        </w:tc>
      </w:tr>
      <w:tr w:rsidR="00126539" w:rsidRPr="00126539" w:rsidTr="009B5BD2">
        <w:trPr>
          <w:jc w:val="center"/>
        </w:trPr>
        <w:tc>
          <w:tcPr>
            <w:tcW w:w="0" w:type="auto"/>
            <w:tcBorders>
              <w:left w:val="nil"/>
              <w:bottom w:val="nil"/>
              <w:right w:val="nil"/>
            </w:tcBorders>
            <w:hideMark/>
          </w:tcPr>
          <w:p w:rsidR="00126539" w:rsidRPr="00126539" w:rsidRDefault="00126539" w:rsidP="009B5BD2">
            <w:pPr>
              <w:widowControl w:val="0"/>
              <w:autoSpaceDE w:val="0"/>
              <w:autoSpaceDN w:val="0"/>
              <w:adjustRightInd w:val="0"/>
              <w:spacing w:after="250" w:line="240" w:lineRule="auto"/>
              <w:rPr>
                <w:rFonts w:ascii="Times New Roman" w:hAnsi="Times New Roman" w:cs="Times New Roman"/>
                <w:sz w:val="23"/>
                <w:szCs w:val="23"/>
                <w:lang w:eastAsia="sk-SK"/>
              </w:rPr>
            </w:pPr>
          </w:p>
        </w:tc>
        <w:tc>
          <w:tcPr>
            <w:tcW w:w="0" w:type="auto"/>
            <w:tcBorders>
              <w:left w:val="nil"/>
              <w:bottom w:val="nil"/>
              <w:right w:val="nil"/>
            </w:tcBorders>
            <w:hideMark/>
          </w:tcPr>
          <w:p w:rsidR="00126539" w:rsidRPr="00126539" w:rsidRDefault="00126539" w:rsidP="009B5BD2">
            <w:pPr>
              <w:widowControl w:val="0"/>
              <w:autoSpaceDE w:val="0"/>
              <w:autoSpaceDN w:val="0"/>
              <w:adjustRightInd w:val="0"/>
              <w:spacing w:after="0" w:line="240" w:lineRule="auto"/>
              <w:rPr>
                <w:rFonts w:ascii="Times New Roman" w:hAnsi="Times New Roman" w:cs="Times New Roman"/>
                <w:sz w:val="23"/>
                <w:szCs w:val="23"/>
                <w:lang w:eastAsia="sk-SK"/>
              </w:rPr>
            </w:pPr>
            <w:r w:rsidRPr="00126539">
              <w:rPr>
                <w:rFonts w:ascii="Times New Roman" w:hAnsi="Times New Roman" w:cs="Times New Roman"/>
                <w:sz w:val="23"/>
                <w:szCs w:val="23"/>
                <w:lang w:eastAsia="sk-SK"/>
              </w:rPr>
              <w:t>c)</w:t>
            </w:r>
          </w:p>
        </w:tc>
        <w:tc>
          <w:tcPr>
            <w:tcW w:w="0" w:type="auto"/>
            <w:tcBorders>
              <w:left w:val="nil"/>
              <w:bottom w:val="nil"/>
              <w:right w:val="nil"/>
            </w:tcBorders>
            <w:vAlign w:val="center"/>
            <w:hideMark/>
          </w:tcPr>
          <w:p w:rsidR="00126539" w:rsidRPr="00126539" w:rsidRDefault="00126539" w:rsidP="009B5BD2">
            <w:pPr>
              <w:widowControl w:val="0"/>
              <w:autoSpaceDE w:val="0"/>
              <w:autoSpaceDN w:val="0"/>
              <w:adjustRightInd w:val="0"/>
              <w:spacing w:after="250" w:line="240" w:lineRule="auto"/>
              <w:jc w:val="both"/>
              <w:rPr>
                <w:rFonts w:ascii="Times New Roman" w:hAnsi="Times New Roman" w:cs="Times New Roman"/>
                <w:sz w:val="23"/>
                <w:szCs w:val="23"/>
                <w:lang w:eastAsia="sk-SK"/>
              </w:rPr>
            </w:pPr>
            <w:r w:rsidRPr="00126539">
              <w:rPr>
                <w:rFonts w:ascii="Times New Roman" w:hAnsi="Times New Roman" w:cs="Times New Roman"/>
                <w:sz w:val="23"/>
                <w:szCs w:val="23"/>
                <w:lang w:eastAsia="sk-SK"/>
              </w:rPr>
              <w:t>informácia o právnych predpisoch, v ktorých sú uvádzané právne akty Európskej únie už prebrané, spolu s uvedením rozsahu ich prebrania, príp. potreby prijatia ďalších úprav</w:t>
            </w:r>
          </w:p>
        </w:tc>
      </w:tr>
      <w:tr w:rsidR="00126539" w:rsidRPr="00126539" w:rsidTr="009B5BD2">
        <w:trPr>
          <w:jc w:val="center"/>
        </w:trPr>
        <w:tc>
          <w:tcPr>
            <w:tcW w:w="0" w:type="auto"/>
            <w:tcBorders>
              <w:top w:val="nil"/>
              <w:left w:val="nil"/>
              <w:bottom w:val="nil"/>
              <w:right w:val="nil"/>
            </w:tcBorders>
            <w:hideMark/>
          </w:tcPr>
          <w:p w:rsidR="00126539" w:rsidRPr="00126539" w:rsidRDefault="00126539" w:rsidP="009B5BD2">
            <w:pPr>
              <w:widowControl w:val="0"/>
              <w:autoSpaceDE w:val="0"/>
              <w:autoSpaceDN w:val="0"/>
              <w:adjustRightInd w:val="0"/>
              <w:spacing w:after="250" w:line="240" w:lineRule="auto"/>
              <w:jc w:val="both"/>
              <w:rPr>
                <w:rFonts w:ascii="Times New Roman" w:hAnsi="Times New Roman" w:cs="Times New Roman"/>
                <w:sz w:val="23"/>
                <w:szCs w:val="23"/>
                <w:lang w:eastAsia="sk-SK"/>
              </w:rPr>
            </w:pPr>
          </w:p>
        </w:tc>
        <w:tc>
          <w:tcPr>
            <w:tcW w:w="0" w:type="auto"/>
            <w:tcBorders>
              <w:top w:val="nil"/>
              <w:left w:val="nil"/>
              <w:bottom w:val="nil"/>
              <w:right w:val="nil"/>
            </w:tcBorders>
            <w:hideMark/>
          </w:tcPr>
          <w:p w:rsidR="00126539" w:rsidRPr="00126539" w:rsidRDefault="00126539" w:rsidP="009B5BD2">
            <w:pPr>
              <w:widowControl w:val="0"/>
              <w:autoSpaceDE w:val="0"/>
              <w:autoSpaceDN w:val="0"/>
              <w:adjustRightInd w:val="0"/>
              <w:spacing w:after="0" w:line="240" w:lineRule="auto"/>
              <w:jc w:val="both"/>
              <w:rPr>
                <w:rFonts w:ascii="Times New Roman" w:hAnsi="Times New Roman" w:cs="Times New Roman"/>
                <w:sz w:val="23"/>
                <w:szCs w:val="23"/>
                <w:lang w:eastAsia="sk-SK"/>
              </w:rPr>
            </w:pPr>
          </w:p>
        </w:tc>
        <w:tc>
          <w:tcPr>
            <w:tcW w:w="0" w:type="auto"/>
            <w:tcBorders>
              <w:top w:val="nil"/>
              <w:left w:val="nil"/>
              <w:bottom w:val="nil"/>
              <w:right w:val="nil"/>
            </w:tcBorders>
            <w:vAlign w:val="center"/>
            <w:hideMark/>
          </w:tcPr>
          <w:p w:rsidR="00126539" w:rsidRPr="00126539" w:rsidRDefault="00126539" w:rsidP="00126539">
            <w:pPr>
              <w:pStyle w:val="Odsekzoznamu"/>
              <w:widowControl w:val="0"/>
              <w:numPr>
                <w:ilvl w:val="0"/>
                <w:numId w:val="14"/>
              </w:numPr>
              <w:autoSpaceDE w:val="0"/>
              <w:autoSpaceDN w:val="0"/>
              <w:adjustRightInd w:val="0"/>
              <w:spacing w:after="250" w:line="240" w:lineRule="auto"/>
              <w:jc w:val="both"/>
              <w:rPr>
                <w:rFonts w:ascii="Times New Roman" w:hAnsi="Times New Roman" w:cs="Times New Roman"/>
                <w:sz w:val="23"/>
                <w:szCs w:val="23"/>
              </w:rPr>
            </w:pPr>
            <w:r w:rsidRPr="00126539">
              <w:rPr>
                <w:rFonts w:ascii="Times New Roman" w:hAnsi="Times New Roman" w:cs="Times New Roman"/>
                <w:sz w:val="23"/>
                <w:szCs w:val="23"/>
              </w:rPr>
              <w:t xml:space="preserve">Smernica Európskeho parlamentu a Rady (EÚ) 2020/1828 z 25. novembra 2020           o žalobách v zastúpení na ochranu kolektívnych záujmov spotrebiteľov a o zrušení smernice 2009/22/ES </w:t>
            </w:r>
          </w:p>
          <w:p w:rsidR="00126539" w:rsidRPr="00126539" w:rsidRDefault="00126539" w:rsidP="009B5BD2">
            <w:pPr>
              <w:pStyle w:val="Odsekzoznamu"/>
              <w:widowControl w:val="0"/>
              <w:autoSpaceDE w:val="0"/>
              <w:autoSpaceDN w:val="0"/>
              <w:adjustRightInd w:val="0"/>
              <w:spacing w:after="250" w:line="240" w:lineRule="auto"/>
              <w:jc w:val="both"/>
              <w:rPr>
                <w:rFonts w:ascii="Times New Roman" w:hAnsi="Times New Roman" w:cs="Times New Roman"/>
                <w:sz w:val="23"/>
                <w:szCs w:val="23"/>
              </w:rPr>
            </w:pPr>
            <w:r w:rsidRPr="00126539">
              <w:rPr>
                <w:rFonts w:ascii="Times New Roman" w:hAnsi="Times New Roman" w:cs="Times New Roman"/>
                <w:sz w:val="23"/>
                <w:szCs w:val="23"/>
              </w:rPr>
              <w:t>– bude prevzatá do zákona č. .../2023 Z. z. o žalobách na ochranu kolektívnych záujmov spotrebiteľov</w:t>
            </w:r>
            <w:r w:rsidRPr="00126539">
              <w:rPr>
                <w:rFonts w:ascii="Times New Roman" w:hAnsi="Times New Roman" w:cs="Times New Roman"/>
              </w:rPr>
              <w:t xml:space="preserve"> </w:t>
            </w:r>
            <w:r w:rsidRPr="00126539">
              <w:rPr>
                <w:rFonts w:ascii="Times New Roman" w:hAnsi="Times New Roman" w:cs="Times New Roman"/>
                <w:sz w:val="23"/>
                <w:szCs w:val="23"/>
              </w:rPr>
              <w:t>a o zmene a doplnení niektorých zákonov.</w:t>
            </w:r>
          </w:p>
          <w:p w:rsidR="00126539" w:rsidRPr="00126539" w:rsidRDefault="00126539" w:rsidP="009B5BD2">
            <w:pPr>
              <w:pStyle w:val="Odsekzoznamu"/>
              <w:rPr>
                <w:rFonts w:ascii="Times New Roman" w:hAnsi="Times New Roman" w:cs="Times New Roman"/>
                <w:sz w:val="23"/>
                <w:szCs w:val="23"/>
              </w:rPr>
            </w:pPr>
          </w:p>
          <w:p w:rsidR="00126539" w:rsidRPr="00126539" w:rsidRDefault="00126539" w:rsidP="00126539">
            <w:pPr>
              <w:pStyle w:val="Odsekzoznamu"/>
              <w:widowControl w:val="0"/>
              <w:numPr>
                <w:ilvl w:val="0"/>
                <w:numId w:val="14"/>
              </w:numPr>
              <w:autoSpaceDE w:val="0"/>
              <w:autoSpaceDN w:val="0"/>
              <w:adjustRightInd w:val="0"/>
              <w:spacing w:after="250" w:line="240" w:lineRule="auto"/>
              <w:jc w:val="both"/>
              <w:rPr>
                <w:rFonts w:ascii="Times New Roman" w:hAnsi="Times New Roman" w:cs="Times New Roman"/>
                <w:sz w:val="23"/>
                <w:szCs w:val="23"/>
              </w:rPr>
            </w:pPr>
            <w:r w:rsidRPr="00126539">
              <w:rPr>
                <w:rFonts w:ascii="Times New Roman" w:hAnsi="Times New Roman" w:cs="Times New Roman"/>
                <w:sz w:val="23"/>
                <w:szCs w:val="23"/>
              </w:rPr>
              <w:t>Smernica Európskeho parlamentu a Rady 2009/22/ES z 23. apríla 2009 o súdnych príkazoch na ochranu spotrebiteľských záujmov (kodifikované znenie) v platnom znení bola prevzatá do:</w:t>
            </w:r>
          </w:p>
          <w:p w:rsidR="00126539" w:rsidRPr="00126539" w:rsidRDefault="00126539" w:rsidP="009B5BD2">
            <w:pPr>
              <w:pStyle w:val="Odsekzoznamu"/>
              <w:widowControl w:val="0"/>
              <w:autoSpaceDE w:val="0"/>
              <w:autoSpaceDN w:val="0"/>
              <w:adjustRightInd w:val="0"/>
              <w:spacing w:after="250" w:line="240" w:lineRule="auto"/>
              <w:jc w:val="both"/>
              <w:rPr>
                <w:rFonts w:ascii="Times New Roman" w:hAnsi="Times New Roman" w:cs="Times New Roman"/>
                <w:sz w:val="23"/>
                <w:szCs w:val="23"/>
              </w:rPr>
            </w:pPr>
            <w:r w:rsidRPr="00126539">
              <w:rPr>
                <w:rFonts w:ascii="Times New Roman" w:hAnsi="Times New Roman" w:cs="Times New Roman"/>
                <w:sz w:val="23"/>
                <w:szCs w:val="23"/>
              </w:rPr>
              <w:t>- zákona č. 160/2015 Z. z. Civilný sporový poriadok v znení neskorších predpisov,</w:t>
            </w:r>
          </w:p>
          <w:p w:rsidR="00126539" w:rsidRPr="00126539" w:rsidRDefault="00126539" w:rsidP="009B5BD2">
            <w:pPr>
              <w:pStyle w:val="Odsekzoznamu"/>
              <w:widowControl w:val="0"/>
              <w:autoSpaceDE w:val="0"/>
              <w:autoSpaceDN w:val="0"/>
              <w:adjustRightInd w:val="0"/>
              <w:spacing w:after="250" w:line="240" w:lineRule="auto"/>
              <w:jc w:val="both"/>
              <w:rPr>
                <w:rFonts w:ascii="Times New Roman" w:hAnsi="Times New Roman" w:cs="Times New Roman"/>
                <w:sz w:val="23"/>
                <w:szCs w:val="23"/>
              </w:rPr>
            </w:pPr>
            <w:r w:rsidRPr="00126539">
              <w:rPr>
                <w:rFonts w:ascii="Times New Roman" w:hAnsi="Times New Roman" w:cs="Times New Roman"/>
                <w:sz w:val="23"/>
                <w:szCs w:val="23"/>
              </w:rPr>
              <w:t>- zákona č. 250/2007 Z. z. o ochrane spotrebiteľa a o zmene zákona Slovenskej</w:t>
            </w:r>
            <w:r w:rsidRPr="00126539">
              <w:rPr>
                <w:rFonts w:ascii="Times New Roman" w:hAnsi="Times New Roman" w:cs="Times New Roman"/>
              </w:rPr>
              <w:t xml:space="preserve"> </w:t>
            </w:r>
            <w:r w:rsidRPr="00126539">
              <w:rPr>
                <w:rFonts w:ascii="Times New Roman" w:hAnsi="Times New Roman" w:cs="Times New Roman"/>
                <w:sz w:val="23"/>
                <w:szCs w:val="23"/>
              </w:rPr>
              <w:t xml:space="preserve">národnej rady č. 372/1990 Zb. o priestupkoch v znení neskorších predpisov, </w:t>
            </w:r>
          </w:p>
          <w:p w:rsidR="00126539" w:rsidRPr="00126539" w:rsidRDefault="00126539" w:rsidP="009B5BD2">
            <w:pPr>
              <w:pStyle w:val="Odsekzoznamu"/>
              <w:widowControl w:val="0"/>
              <w:autoSpaceDE w:val="0"/>
              <w:autoSpaceDN w:val="0"/>
              <w:adjustRightInd w:val="0"/>
              <w:spacing w:after="250" w:line="240" w:lineRule="auto"/>
              <w:jc w:val="both"/>
              <w:rPr>
                <w:rFonts w:ascii="Times New Roman" w:hAnsi="Times New Roman" w:cs="Times New Roman"/>
                <w:sz w:val="23"/>
                <w:szCs w:val="23"/>
              </w:rPr>
            </w:pPr>
            <w:r w:rsidRPr="00126539">
              <w:rPr>
                <w:rFonts w:ascii="Times New Roman" w:hAnsi="Times New Roman" w:cs="Times New Roman"/>
                <w:sz w:val="23"/>
                <w:szCs w:val="23"/>
              </w:rPr>
              <w:t>- zákona č. 136/2010 Z. z. o službách na vnútornom trhu a o zmene a doplnení niektorých zákonov v znení neskorších predpisov,</w:t>
            </w:r>
          </w:p>
          <w:p w:rsidR="00126539" w:rsidRPr="00126539" w:rsidRDefault="00126539" w:rsidP="009B5BD2">
            <w:pPr>
              <w:pStyle w:val="Odsekzoznamu"/>
              <w:widowControl w:val="0"/>
              <w:autoSpaceDE w:val="0"/>
              <w:autoSpaceDN w:val="0"/>
              <w:adjustRightInd w:val="0"/>
              <w:spacing w:after="250" w:line="240" w:lineRule="auto"/>
              <w:jc w:val="both"/>
              <w:rPr>
                <w:rFonts w:ascii="Times New Roman" w:hAnsi="Times New Roman" w:cs="Times New Roman"/>
                <w:sz w:val="23"/>
                <w:szCs w:val="23"/>
              </w:rPr>
            </w:pPr>
            <w:r w:rsidRPr="00126539">
              <w:rPr>
                <w:rFonts w:ascii="Times New Roman" w:hAnsi="Times New Roman" w:cs="Times New Roman"/>
                <w:sz w:val="23"/>
                <w:szCs w:val="23"/>
              </w:rPr>
              <w:t>- zákona č. 161/2011 Z. z. o ochrane spotrebiteľa pri poskytovaní niektorých služieb cestovného ruchu a o zmene a doplnení niektorých zákonov v znení neskorších predpisov.</w:t>
            </w:r>
          </w:p>
          <w:p w:rsidR="00126539" w:rsidRPr="00126539" w:rsidRDefault="00126539" w:rsidP="009B5BD2">
            <w:pPr>
              <w:pStyle w:val="Odsekzoznamu"/>
              <w:widowControl w:val="0"/>
              <w:autoSpaceDE w:val="0"/>
              <w:autoSpaceDN w:val="0"/>
              <w:adjustRightInd w:val="0"/>
              <w:spacing w:after="250" w:line="240" w:lineRule="auto"/>
              <w:jc w:val="both"/>
              <w:rPr>
                <w:rFonts w:ascii="Times New Roman" w:hAnsi="Times New Roman" w:cs="Times New Roman"/>
                <w:sz w:val="23"/>
                <w:szCs w:val="23"/>
              </w:rPr>
            </w:pPr>
            <w:r w:rsidRPr="00126539">
              <w:rPr>
                <w:rFonts w:ascii="Times New Roman" w:hAnsi="Times New Roman" w:cs="Times New Roman"/>
                <w:sz w:val="23"/>
                <w:szCs w:val="23"/>
              </w:rPr>
              <w:t>Uvedenú smernicu ruší a nahrádza smernica (EÚ) 2020/1828.</w:t>
            </w:r>
          </w:p>
          <w:p w:rsidR="00126539" w:rsidRPr="00126539" w:rsidRDefault="00126539" w:rsidP="009B5BD2">
            <w:pPr>
              <w:pStyle w:val="Odsekzoznamu"/>
              <w:widowControl w:val="0"/>
              <w:autoSpaceDE w:val="0"/>
              <w:autoSpaceDN w:val="0"/>
              <w:adjustRightInd w:val="0"/>
              <w:spacing w:after="250" w:line="240" w:lineRule="auto"/>
              <w:jc w:val="both"/>
              <w:rPr>
                <w:rFonts w:ascii="Times New Roman" w:hAnsi="Times New Roman" w:cs="Times New Roman"/>
                <w:sz w:val="23"/>
                <w:szCs w:val="23"/>
              </w:rPr>
            </w:pPr>
          </w:p>
          <w:p w:rsidR="00126539" w:rsidRPr="00126539" w:rsidRDefault="00126539" w:rsidP="009B5BD2">
            <w:pPr>
              <w:pStyle w:val="Odsekzoznamu"/>
              <w:widowControl w:val="0"/>
              <w:autoSpaceDE w:val="0"/>
              <w:autoSpaceDN w:val="0"/>
              <w:adjustRightInd w:val="0"/>
              <w:spacing w:after="250" w:line="240" w:lineRule="auto"/>
              <w:jc w:val="both"/>
              <w:rPr>
                <w:rFonts w:ascii="Times New Roman" w:hAnsi="Times New Roman" w:cs="Times New Roman"/>
                <w:sz w:val="23"/>
                <w:szCs w:val="23"/>
              </w:rPr>
            </w:pPr>
          </w:p>
        </w:tc>
      </w:tr>
      <w:tr w:rsidR="00126539" w:rsidRPr="00126539" w:rsidTr="009B5BD2">
        <w:trPr>
          <w:jc w:val="center"/>
        </w:trPr>
        <w:tc>
          <w:tcPr>
            <w:tcW w:w="0" w:type="auto"/>
            <w:tcBorders>
              <w:top w:val="nil"/>
              <w:left w:val="nil"/>
              <w:bottom w:val="nil"/>
              <w:right w:val="nil"/>
            </w:tcBorders>
            <w:hideMark/>
          </w:tcPr>
          <w:p w:rsidR="00126539" w:rsidRPr="00126539" w:rsidRDefault="00126539" w:rsidP="009B5BD2">
            <w:pPr>
              <w:widowControl w:val="0"/>
              <w:autoSpaceDE w:val="0"/>
              <w:autoSpaceDN w:val="0"/>
              <w:adjustRightInd w:val="0"/>
              <w:spacing w:after="0" w:line="240" w:lineRule="auto"/>
              <w:rPr>
                <w:rFonts w:ascii="Times New Roman" w:hAnsi="Times New Roman" w:cs="Times New Roman"/>
                <w:b/>
                <w:bCs/>
                <w:sz w:val="23"/>
                <w:szCs w:val="23"/>
                <w:lang w:eastAsia="sk-SK"/>
              </w:rPr>
            </w:pPr>
            <w:r w:rsidRPr="00126539">
              <w:rPr>
                <w:rFonts w:ascii="Times New Roman" w:hAnsi="Times New Roman" w:cs="Times New Roman"/>
                <w:b/>
                <w:bCs/>
                <w:sz w:val="23"/>
                <w:szCs w:val="23"/>
                <w:lang w:eastAsia="sk-SK"/>
              </w:rPr>
              <w:t>5.</w:t>
            </w:r>
          </w:p>
        </w:tc>
        <w:tc>
          <w:tcPr>
            <w:tcW w:w="0" w:type="auto"/>
            <w:gridSpan w:val="2"/>
            <w:tcBorders>
              <w:top w:val="nil"/>
              <w:left w:val="nil"/>
              <w:bottom w:val="nil"/>
              <w:right w:val="nil"/>
            </w:tcBorders>
            <w:hideMark/>
          </w:tcPr>
          <w:p w:rsidR="00126539" w:rsidRPr="00126539" w:rsidRDefault="00126539" w:rsidP="009B5BD2">
            <w:pPr>
              <w:widowControl w:val="0"/>
              <w:autoSpaceDE w:val="0"/>
              <w:autoSpaceDN w:val="0"/>
              <w:adjustRightInd w:val="0"/>
              <w:spacing w:line="240" w:lineRule="auto"/>
              <w:rPr>
                <w:rFonts w:ascii="Times New Roman" w:hAnsi="Times New Roman" w:cs="Times New Roman"/>
                <w:b/>
                <w:bCs/>
                <w:sz w:val="23"/>
                <w:szCs w:val="23"/>
                <w:lang w:eastAsia="sk-SK"/>
              </w:rPr>
            </w:pPr>
            <w:r w:rsidRPr="00126539">
              <w:rPr>
                <w:rFonts w:ascii="Times New Roman" w:hAnsi="Times New Roman" w:cs="Times New Roman"/>
                <w:b/>
                <w:bCs/>
                <w:sz w:val="23"/>
                <w:szCs w:val="23"/>
                <w:lang w:eastAsia="sk-SK"/>
              </w:rPr>
              <w:t>Návrh zákona je zlučiteľný s právom Európskej únie</w:t>
            </w:r>
          </w:p>
        </w:tc>
      </w:tr>
    </w:tbl>
    <w:p w:rsidR="00126539" w:rsidRPr="00126539" w:rsidRDefault="00126539" w:rsidP="00126539">
      <w:pPr>
        <w:pStyle w:val="Odsekzoznamu"/>
        <w:widowControl w:val="0"/>
        <w:numPr>
          <w:ilvl w:val="0"/>
          <w:numId w:val="14"/>
        </w:numPr>
        <w:tabs>
          <w:tab w:val="left" w:pos="360"/>
        </w:tabs>
        <w:autoSpaceDE w:val="0"/>
        <w:autoSpaceDN w:val="0"/>
        <w:adjustRightInd w:val="0"/>
        <w:spacing w:after="0" w:line="240" w:lineRule="auto"/>
        <w:jc w:val="both"/>
        <w:rPr>
          <w:rFonts w:ascii="Times New Roman" w:hAnsi="Times New Roman" w:cs="Times New Roman"/>
          <w:i/>
          <w:sz w:val="23"/>
          <w:szCs w:val="23"/>
          <w:lang w:eastAsia="sk-SK"/>
        </w:rPr>
      </w:pPr>
      <w:r w:rsidRPr="00126539">
        <w:rPr>
          <w:rFonts w:ascii="Times New Roman" w:hAnsi="Times New Roman" w:cs="Times New Roman"/>
          <w:sz w:val="23"/>
          <w:szCs w:val="23"/>
          <w:lang w:eastAsia="sk-SK"/>
        </w:rPr>
        <w:t>úplne</w:t>
      </w:r>
    </w:p>
    <w:p w:rsidR="00126539" w:rsidRPr="00126539" w:rsidRDefault="00126539" w:rsidP="00126539">
      <w:pPr>
        <w:rPr>
          <w:rFonts w:ascii="Times New Roman" w:hAnsi="Times New Roman" w:cs="Times New Roman"/>
          <w:sz w:val="24"/>
          <w:szCs w:val="24"/>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Default="00126539" w:rsidP="00FA2FA0">
      <w:pPr>
        <w:rPr>
          <w:rFonts w:ascii="Times New Roman" w:hAnsi="Times New Roman" w:cs="Times New Roman"/>
        </w:rPr>
      </w:pPr>
    </w:p>
    <w:p w:rsidR="00126539" w:rsidRDefault="00126539" w:rsidP="00FA2FA0">
      <w:pPr>
        <w:rPr>
          <w:rFonts w:ascii="Times New Roman" w:hAnsi="Times New Roman" w:cs="Times New Roman"/>
        </w:rPr>
      </w:pPr>
    </w:p>
    <w:p w:rsid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FA2FA0">
      <w:pPr>
        <w:rPr>
          <w:rFonts w:ascii="Times New Roman" w:hAnsi="Times New Roman" w:cs="Times New Roman"/>
        </w:rPr>
      </w:pPr>
    </w:p>
    <w:p w:rsidR="00126539" w:rsidRPr="00126539" w:rsidRDefault="00126539" w:rsidP="00126539">
      <w:pPr>
        <w:pStyle w:val="Odsekzoznamu"/>
        <w:spacing w:after="0" w:line="240" w:lineRule="auto"/>
        <w:ind w:left="0"/>
        <w:jc w:val="center"/>
        <w:rPr>
          <w:rFonts w:ascii="Times New Roman" w:hAnsi="Times New Roman" w:cs="Times New Roman"/>
          <w:b/>
          <w:sz w:val="24"/>
          <w:szCs w:val="24"/>
        </w:rPr>
      </w:pPr>
      <w:r w:rsidRPr="00126539">
        <w:rPr>
          <w:rFonts w:ascii="Times New Roman" w:hAnsi="Times New Roman" w:cs="Times New Roman"/>
          <w:b/>
          <w:sz w:val="24"/>
          <w:szCs w:val="24"/>
        </w:rPr>
        <w:lastRenderedPageBreak/>
        <w:t>SPRÁVA O ÚČASTI VEREJNOSTI NA TVORBE PRÁVNEHO PREDPISU</w:t>
      </w:r>
    </w:p>
    <w:p w:rsidR="00126539" w:rsidRPr="00126539" w:rsidRDefault="00126539" w:rsidP="00126539">
      <w:pPr>
        <w:pStyle w:val="Odsekzoznamu"/>
        <w:spacing w:after="0" w:line="240" w:lineRule="auto"/>
        <w:rPr>
          <w:rFonts w:ascii="Times New Roman" w:hAnsi="Times New Roman" w:cs="Times New Roman"/>
          <w:b/>
          <w:sz w:val="16"/>
          <w:szCs w:val="16"/>
        </w:rPr>
      </w:pPr>
    </w:p>
    <w:p w:rsidR="00126539" w:rsidRPr="00126539" w:rsidRDefault="00126539" w:rsidP="00126539">
      <w:pPr>
        <w:tabs>
          <w:tab w:val="left" w:pos="426"/>
        </w:tabs>
        <w:spacing w:after="0" w:line="240" w:lineRule="auto"/>
        <w:rPr>
          <w:rFonts w:ascii="Times New Roman" w:hAnsi="Times New Roman" w:cs="Times New Roman"/>
          <w:b/>
          <w:sz w:val="24"/>
          <w:szCs w:val="24"/>
        </w:rPr>
      </w:pPr>
      <w:r w:rsidRPr="00126539">
        <w:rPr>
          <w:rFonts w:ascii="Times New Roman" w:hAnsi="Times New Roman" w:cs="Times New Roman"/>
          <w:b/>
          <w:sz w:val="24"/>
          <w:szCs w:val="24"/>
        </w:rPr>
        <w:t xml:space="preserve">1. </w:t>
      </w:r>
      <w:r w:rsidRPr="00126539">
        <w:rPr>
          <w:rFonts w:ascii="Times New Roman" w:hAnsi="Times New Roman" w:cs="Times New Roman"/>
          <w:b/>
          <w:sz w:val="24"/>
          <w:szCs w:val="24"/>
        </w:rPr>
        <w:tab/>
        <w:t>Spôsob zapojenia verejnosti do tvorby právneho predpisu</w:t>
      </w:r>
    </w:p>
    <w:tbl>
      <w:tblPr>
        <w:tblStyle w:val="Mriekatabuky"/>
        <w:tblpPr w:leftFromText="141" w:rightFromText="141" w:vertAnchor="text" w:tblpY="1"/>
        <w:tblW w:w="4992" w:type="pct"/>
        <w:tblLayout w:type="fixed"/>
        <w:tblLook w:val="0400" w:firstRow="0" w:lastRow="0" w:firstColumn="0" w:lastColumn="0" w:noHBand="0" w:noVBand="1"/>
      </w:tblPr>
      <w:tblGrid>
        <w:gridCol w:w="8178"/>
        <w:gridCol w:w="870"/>
      </w:tblGrid>
      <w:tr w:rsidR="00126539" w:rsidRPr="00126539" w:rsidTr="009B5BD2">
        <w:trPr>
          <w:trHeight w:val="45"/>
        </w:trPr>
        <w:tc>
          <w:tcPr>
            <w:tcW w:w="4519"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Informovanie – vyplnia sa body 2 a 3</w:t>
            </w:r>
          </w:p>
        </w:tc>
        <w:sdt>
          <w:sdtPr>
            <w:rPr>
              <w:rFonts w:ascii="Times New Roman" w:hAnsi="Times New Roman" w:cs="Times New Roman"/>
              <w:sz w:val="24"/>
              <w:szCs w:val="24"/>
            </w:rPr>
            <w:id w:val="779461042"/>
            <w14:checkbox>
              <w14:checked w14:val="0"/>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89"/>
        </w:trPr>
        <w:tc>
          <w:tcPr>
            <w:tcW w:w="4519"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Prerokovanie – vyplnia sa body 2 až 11</w:t>
            </w:r>
          </w:p>
        </w:tc>
        <w:sdt>
          <w:sdtPr>
            <w:rPr>
              <w:rFonts w:ascii="Times New Roman" w:hAnsi="Times New Roman" w:cs="Times New Roman"/>
              <w:sz w:val="24"/>
              <w:szCs w:val="24"/>
            </w:rPr>
            <w:id w:val="575172530"/>
            <w14:checkbox>
              <w14:checked w14:val="0"/>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bl>
    <w:p w:rsidR="00126539" w:rsidRPr="00126539" w:rsidRDefault="00126539" w:rsidP="00126539">
      <w:pPr>
        <w:pStyle w:val="Odsekzoznamu"/>
        <w:spacing w:after="0" w:line="240" w:lineRule="auto"/>
        <w:ind w:left="0"/>
        <w:rPr>
          <w:rFonts w:ascii="Times New Roman" w:hAnsi="Times New Roman" w:cs="Times New Roman"/>
          <w:sz w:val="24"/>
          <w:szCs w:val="24"/>
        </w:rPr>
      </w:pPr>
      <w:r w:rsidRPr="00126539">
        <w:rPr>
          <w:rFonts w:ascii="Times New Roman" w:hAnsi="Times New Roman" w:cs="Times New Roman"/>
          <w:b/>
          <w:sz w:val="24"/>
          <w:szCs w:val="24"/>
        </w:rPr>
        <w:t>Odôvodnenie:</w:t>
      </w:r>
      <w:r w:rsidRPr="00126539">
        <w:rPr>
          <w:rFonts w:ascii="Times New Roman" w:hAnsi="Times New Roman" w:cs="Times New Roman"/>
          <w:sz w:val="24"/>
          <w:szCs w:val="24"/>
          <w:vertAlign w:val="superscript"/>
        </w:rPr>
        <w:t>1</w:t>
      </w:r>
    </w:p>
    <w:p w:rsidR="00126539" w:rsidRPr="00126539" w:rsidRDefault="00126539" w:rsidP="00126539">
      <w:pPr>
        <w:pStyle w:val="Odsekzoznamu"/>
        <w:spacing w:after="0" w:line="240" w:lineRule="auto"/>
        <w:ind w:left="0"/>
        <w:rPr>
          <w:rFonts w:ascii="Times New Roman" w:hAnsi="Times New Roman" w:cs="Times New Roman"/>
          <w:b/>
          <w:sz w:val="16"/>
          <w:szCs w:val="16"/>
        </w:rPr>
      </w:pPr>
    </w:p>
    <w:p w:rsidR="00126539" w:rsidRPr="00126539" w:rsidRDefault="00126539" w:rsidP="00126539">
      <w:pPr>
        <w:pStyle w:val="Odsekzoznamu"/>
        <w:tabs>
          <w:tab w:val="left" w:pos="426"/>
        </w:tabs>
        <w:spacing w:after="0" w:line="240" w:lineRule="auto"/>
        <w:ind w:left="0"/>
        <w:rPr>
          <w:rFonts w:ascii="Times New Roman" w:hAnsi="Times New Roman" w:cs="Times New Roman"/>
          <w:b/>
          <w:sz w:val="24"/>
          <w:szCs w:val="24"/>
        </w:rPr>
      </w:pPr>
      <w:r w:rsidRPr="00126539">
        <w:rPr>
          <w:rFonts w:ascii="Times New Roman" w:hAnsi="Times New Roman" w:cs="Times New Roman"/>
          <w:b/>
          <w:sz w:val="24"/>
          <w:szCs w:val="24"/>
        </w:rPr>
        <w:t xml:space="preserve">2. </w:t>
      </w:r>
      <w:r w:rsidRPr="00126539">
        <w:rPr>
          <w:rFonts w:ascii="Times New Roman" w:hAnsi="Times New Roman" w:cs="Times New Roman"/>
          <w:b/>
          <w:sz w:val="24"/>
          <w:szCs w:val="24"/>
        </w:rPr>
        <w:tab/>
        <w:t>Spôsob informovania verejnosti o začatí tvorby právneho predpisu</w:t>
      </w:r>
    </w:p>
    <w:tbl>
      <w:tblPr>
        <w:tblStyle w:val="Mriekatabuky"/>
        <w:tblpPr w:leftFromText="141" w:rightFromText="141" w:vertAnchor="text" w:tblpY="1"/>
        <w:tblW w:w="4992" w:type="pct"/>
        <w:tblLayout w:type="fixed"/>
        <w:tblLook w:val="0400" w:firstRow="0" w:lastRow="0" w:firstColumn="0" w:lastColumn="0" w:noHBand="0" w:noVBand="1"/>
      </w:tblPr>
      <w:tblGrid>
        <w:gridCol w:w="8178"/>
        <w:gridCol w:w="870"/>
      </w:tblGrid>
      <w:tr w:rsidR="00126539" w:rsidRPr="00126539" w:rsidTr="009B5BD2">
        <w:trPr>
          <w:trHeight w:val="271"/>
        </w:trPr>
        <w:tc>
          <w:tcPr>
            <w:tcW w:w="4519"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Predbežná informácia</w:t>
            </w:r>
          </w:p>
        </w:tc>
        <w:sdt>
          <w:sdtPr>
            <w:rPr>
              <w:rFonts w:ascii="Times New Roman" w:hAnsi="Times New Roman" w:cs="Times New Roman"/>
              <w:sz w:val="24"/>
              <w:szCs w:val="24"/>
            </w:rPr>
            <w:id w:val="572478820"/>
            <w14:checkbox>
              <w14:checked w14:val="1"/>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134"/>
        </w:trPr>
        <w:tc>
          <w:tcPr>
            <w:tcW w:w="4519"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Legislatívny zámer</w:t>
            </w:r>
          </w:p>
        </w:tc>
        <w:sdt>
          <w:sdtPr>
            <w:rPr>
              <w:rFonts w:ascii="Times New Roman" w:hAnsi="Times New Roman" w:cs="Times New Roman"/>
              <w:sz w:val="24"/>
              <w:szCs w:val="24"/>
            </w:rPr>
            <w:id w:val="927852592"/>
            <w14:checkbox>
              <w14:checked w14:val="0"/>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323"/>
        </w:trPr>
        <w:tc>
          <w:tcPr>
            <w:tcW w:w="4519"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Iné:</w:t>
            </w:r>
            <w:r w:rsidRPr="00126539">
              <w:rPr>
                <w:rFonts w:ascii="Times New Roman" w:hAnsi="Times New Roman" w:cs="Times New Roman"/>
                <w:sz w:val="24"/>
                <w:szCs w:val="24"/>
                <w:vertAlign w:val="superscript"/>
              </w:rPr>
              <w:t>1</w:t>
            </w:r>
          </w:p>
        </w:tc>
        <w:sdt>
          <w:sdtPr>
            <w:rPr>
              <w:rFonts w:ascii="Times New Roman" w:hAnsi="Times New Roman" w:cs="Times New Roman"/>
              <w:sz w:val="24"/>
              <w:szCs w:val="24"/>
            </w:rPr>
            <w:id w:val="-300310388"/>
            <w14:checkbox>
              <w14:checked w14:val="0"/>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bl>
    <w:p w:rsidR="00126539" w:rsidRPr="00126539" w:rsidRDefault="00126539" w:rsidP="00126539">
      <w:pPr>
        <w:pStyle w:val="Odsekzoznamu"/>
        <w:spacing w:after="0" w:line="240" w:lineRule="auto"/>
        <w:ind w:left="0"/>
        <w:rPr>
          <w:rFonts w:ascii="Times New Roman" w:hAnsi="Times New Roman" w:cs="Times New Roman"/>
          <w:b/>
          <w:sz w:val="16"/>
          <w:szCs w:val="16"/>
        </w:rPr>
      </w:pPr>
    </w:p>
    <w:p w:rsidR="00126539" w:rsidRPr="00126539" w:rsidRDefault="00126539" w:rsidP="00126539">
      <w:pPr>
        <w:pStyle w:val="Odsekzoznamu"/>
        <w:tabs>
          <w:tab w:val="left" w:pos="426"/>
        </w:tabs>
        <w:spacing w:after="0" w:line="240" w:lineRule="auto"/>
        <w:ind w:left="0"/>
        <w:rPr>
          <w:rFonts w:ascii="Times New Roman" w:hAnsi="Times New Roman" w:cs="Times New Roman"/>
          <w:b/>
          <w:sz w:val="24"/>
          <w:szCs w:val="24"/>
        </w:rPr>
      </w:pPr>
      <w:r w:rsidRPr="00126539">
        <w:rPr>
          <w:rFonts w:ascii="Times New Roman" w:hAnsi="Times New Roman" w:cs="Times New Roman"/>
          <w:b/>
          <w:sz w:val="24"/>
          <w:szCs w:val="24"/>
        </w:rPr>
        <w:t xml:space="preserve">3. </w:t>
      </w:r>
      <w:r w:rsidRPr="00126539">
        <w:rPr>
          <w:rFonts w:ascii="Times New Roman" w:hAnsi="Times New Roman" w:cs="Times New Roman"/>
          <w:b/>
          <w:sz w:val="24"/>
          <w:szCs w:val="24"/>
        </w:rPr>
        <w:tab/>
        <w:t>Informácie poskytnuté verejnosti</w:t>
      </w:r>
    </w:p>
    <w:tbl>
      <w:tblPr>
        <w:tblStyle w:val="Mriekatabuky"/>
        <w:tblpPr w:leftFromText="141" w:rightFromText="141" w:vertAnchor="text" w:tblpY="1"/>
        <w:tblW w:w="4992" w:type="pct"/>
        <w:tblLayout w:type="fixed"/>
        <w:tblLook w:val="0400" w:firstRow="0" w:lastRow="0" w:firstColumn="0" w:lastColumn="0" w:noHBand="0" w:noVBand="1"/>
      </w:tblPr>
      <w:tblGrid>
        <w:gridCol w:w="8178"/>
        <w:gridCol w:w="870"/>
      </w:tblGrid>
      <w:tr w:rsidR="00126539" w:rsidRPr="00126539" w:rsidTr="009B5BD2">
        <w:trPr>
          <w:trHeight w:val="126"/>
        </w:trPr>
        <w:tc>
          <w:tcPr>
            <w:tcW w:w="4519"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O probléme, ktorý má právny predpis riešiť</w:t>
            </w:r>
          </w:p>
        </w:tc>
        <w:sdt>
          <w:sdtPr>
            <w:rPr>
              <w:rFonts w:ascii="Times New Roman" w:hAnsi="Times New Roman" w:cs="Times New Roman"/>
              <w:sz w:val="24"/>
              <w:szCs w:val="24"/>
            </w:rPr>
            <w:id w:val="1847288278"/>
            <w14:checkbox>
              <w14:checked w14:val="1"/>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231"/>
        </w:trPr>
        <w:tc>
          <w:tcPr>
            <w:tcW w:w="4519"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O spôsobe zapojenia verejnosti do tvorby právneho predpisu</w:t>
            </w:r>
          </w:p>
        </w:tc>
        <w:sdt>
          <w:sdtPr>
            <w:rPr>
              <w:rFonts w:ascii="Times New Roman" w:hAnsi="Times New Roman" w:cs="Times New Roman"/>
              <w:sz w:val="24"/>
              <w:szCs w:val="24"/>
            </w:rPr>
            <w:id w:val="-1623222463"/>
            <w14:checkbox>
              <w14:checked w14:val="1"/>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178"/>
        </w:trPr>
        <w:tc>
          <w:tcPr>
            <w:tcW w:w="4519"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O časovom rámci tvorby právneho predpisu</w:t>
            </w:r>
          </w:p>
        </w:tc>
        <w:sdt>
          <w:sdtPr>
            <w:rPr>
              <w:rFonts w:ascii="Times New Roman" w:hAnsi="Times New Roman" w:cs="Times New Roman"/>
              <w:sz w:val="24"/>
              <w:szCs w:val="24"/>
            </w:rPr>
            <w:id w:val="-384876736"/>
            <w14:checkbox>
              <w14:checked w14:val="1"/>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141"/>
        </w:trPr>
        <w:tc>
          <w:tcPr>
            <w:tcW w:w="4519"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O procese tvorby právneho predpisu</w:t>
            </w:r>
          </w:p>
        </w:tc>
        <w:sdt>
          <w:sdtPr>
            <w:rPr>
              <w:rFonts w:ascii="Times New Roman" w:hAnsi="Times New Roman" w:cs="Times New Roman"/>
              <w:sz w:val="24"/>
              <w:szCs w:val="24"/>
            </w:rPr>
            <w:id w:val="-1038822417"/>
            <w14:checkbox>
              <w14:checked w14:val="1"/>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202"/>
        </w:trPr>
        <w:tc>
          <w:tcPr>
            <w:tcW w:w="4519"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O spôsobe naloženia s vyjadreniami a návrhmi verejnosti</w:t>
            </w:r>
          </w:p>
        </w:tc>
        <w:sdt>
          <w:sdtPr>
            <w:rPr>
              <w:rFonts w:ascii="Times New Roman" w:hAnsi="Times New Roman" w:cs="Times New Roman"/>
              <w:sz w:val="24"/>
              <w:szCs w:val="24"/>
            </w:rPr>
            <w:id w:val="-724598810"/>
            <w14:checkbox>
              <w14:checked w14:val="1"/>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50"/>
        </w:trPr>
        <w:tc>
          <w:tcPr>
            <w:tcW w:w="4519"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Iné:</w:t>
            </w:r>
            <w:r w:rsidRPr="00126539">
              <w:rPr>
                <w:rFonts w:ascii="Times New Roman" w:hAnsi="Times New Roman" w:cs="Times New Roman"/>
                <w:sz w:val="24"/>
                <w:szCs w:val="24"/>
                <w:vertAlign w:val="superscript"/>
              </w:rPr>
              <w:t>1</w:t>
            </w:r>
          </w:p>
        </w:tc>
        <w:sdt>
          <w:sdtPr>
            <w:rPr>
              <w:rFonts w:ascii="Times New Roman" w:hAnsi="Times New Roman" w:cs="Times New Roman"/>
              <w:sz w:val="24"/>
              <w:szCs w:val="24"/>
            </w:rPr>
            <w:id w:val="17899464"/>
            <w14:checkbox>
              <w14:checked w14:val="0"/>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bl>
    <w:p w:rsidR="00126539" w:rsidRPr="00126539" w:rsidRDefault="00126539" w:rsidP="00126539">
      <w:pPr>
        <w:pStyle w:val="Odsekzoznamu"/>
        <w:spacing w:after="0" w:line="240" w:lineRule="auto"/>
        <w:ind w:left="0"/>
        <w:rPr>
          <w:rFonts w:ascii="Times New Roman" w:hAnsi="Times New Roman" w:cs="Times New Roman"/>
          <w:b/>
          <w:sz w:val="16"/>
          <w:szCs w:val="16"/>
        </w:rPr>
      </w:pPr>
    </w:p>
    <w:p w:rsidR="00126539" w:rsidRPr="00126539" w:rsidRDefault="00126539" w:rsidP="00126539">
      <w:pPr>
        <w:pStyle w:val="Odsekzoznamu"/>
        <w:tabs>
          <w:tab w:val="left" w:pos="426"/>
        </w:tabs>
        <w:spacing w:after="0" w:line="240" w:lineRule="auto"/>
        <w:ind w:left="0"/>
        <w:rPr>
          <w:rFonts w:ascii="Times New Roman" w:hAnsi="Times New Roman" w:cs="Times New Roman"/>
          <w:b/>
          <w:sz w:val="24"/>
          <w:szCs w:val="24"/>
        </w:rPr>
      </w:pPr>
      <w:r w:rsidRPr="00126539">
        <w:rPr>
          <w:rFonts w:ascii="Times New Roman" w:hAnsi="Times New Roman" w:cs="Times New Roman"/>
          <w:b/>
          <w:sz w:val="24"/>
          <w:szCs w:val="24"/>
        </w:rPr>
        <w:t xml:space="preserve">4. </w:t>
      </w:r>
      <w:r w:rsidRPr="00126539">
        <w:rPr>
          <w:rFonts w:ascii="Times New Roman" w:hAnsi="Times New Roman" w:cs="Times New Roman"/>
          <w:b/>
          <w:sz w:val="24"/>
          <w:szCs w:val="24"/>
        </w:rPr>
        <w:tab/>
        <w:t>Forma prerokovania s verejnosťou</w:t>
      </w:r>
    </w:p>
    <w:tbl>
      <w:tblPr>
        <w:tblStyle w:val="Mriekatabuky"/>
        <w:tblpPr w:leftFromText="141" w:rightFromText="141" w:vertAnchor="text" w:tblpY="1"/>
        <w:tblW w:w="4992" w:type="pct"/>
        <w:tblLayout w:type="fixed"/>
        <w:tblLook w:val="0400" w:firstRow="0" w:lastRow="0" w:firstColumn="0" w:lastColumn="0" w:noHBand="0" w:noVBand="1"/>
      </w:tblPr>
      <w:tblGrid>
        <w:gridCol w:w="8178"/>
        <w:gridCol w:w="870"/>
      </w:tblGrid>
      <w:tr w:rsidR="00126539" w:rsidRPr="00126539" w:rsidTr="009B5BD2">
        <w:trPr>
          <w:trHeight w:val="280"/>
        </w:trPr>
        <w:tc>
          <w:tcPr>
            <w:tcW w:w="4519"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 xml:space="preserve">Osobne </w:t>
            </w:r>
          </w:p>
        </w:tc>
        <w:sdt>
          <w:sdtPr>
            <w:rPr>
              <w:rFonts w:ascii="Times New Roman" w:hAnsi="Times New Roman" w:cs="Times New Roman"/>
              <w:sz w:val="24"/>
              <w:szCs w:val="24"/>
            </w:rPr>
            <w:id w:val="-1779552411"/>
            <w14:checkbox>
              <w14:checked w14:val="1"/>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87"/>
        </w:trPr>
        <w:tc>
          <w:tcPr>
            <w:tcW w:w="4519"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Ústne</w:t>
            </w:r>
          </w:p>
        </w:tc>
        <w:sdt>
          <w:sdtPr>
            <w:rPr>
              <w:rFonts w:ascii="Times New Roman" w:hAnsi="Times New Roman" w:cs="Times New Roman"/>
              <w:sz w:val="24"/>
              <w:szCs w:val="24"/>
            </w:rPr>
            <w:id w:val="-1819184402"/>
            <w14:checkbox>
              <w14:checked w14:val="1"/>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45"/>
        </w:trPr>
        <w:tc>
          <w:tcPr>
            <w:tcW w:w="4519"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Písomne</w:t>
            </w:r>
          </w:p>
        </w:tc>
        <w:sdt>
          <w:sdtPr>
            <w:rPr>
              <w:rFonts w:ascii="Times New Roman" w:hAnsi="Times New Roman" w:cs="Times New Roman"/>
              <w:sz w:val="24"/>
              <w:szCs w:val="24"/>
            </w:rPr>
            <w:id w:val="2003705715"/>
            <w14:checkbox>
              <w14:checked w14:val="1"/>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139"/>
        </w:trPr>
        <w:tc>
          <w:tcPr>
            <w:tcW w:w="4519"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Inou formou:</w:t>
            </w:r>
            <w:r w:rsidRPr="00126539">
              <w:rPr>
                <w:rFonts w:ascii="Times New Roman" w:hAnsi="Times New Roman" w:cs="Times New Roman"/>
                <w:sz w:val="24"/>
                <w:szCs w:val="24"/>
                <w:vertAlign w:val="superscript"/>
              </w:rPr>
              <w:t>1</w:t>
            </w:r>
            <w:r w:rsidRPr="00126539">
              <w:rPr>
                <w:rFonts w:ascii="Times New Roman" w:hAnsi="Times New Roman" w:cs="Times New Roman"/>
                <w:sz w:val="24"/>
                <w:szCs w:val="24"/>
              </w:rPr>
              <w:t xml:space="preserve"> </w:t>
            </w:r>
          </w:p>
        </w:tc>
        <w:sdt>
          <w:sdtPr>
            <w:rPr>
              <w:rFonts w:ascii="Times New Roman" w:hAnsi="Times New Roman" w:cs="Times New Roman"/>
              <w:sz w:val="24"/>
              <w:szCs w:val="24"/>
            </w:rPr>
            <w:id w:val="-664019499"/>
            <w14:checkbox>
              <w14:checked w14:val="0"/>
              <w14:checkedState w14:val="2612" w14:font="MS Gothic"/>
              <w14:uncheckedState w14:val="2610" w14:font="MS Gothic"/>
            </w14:checkbox>
          </w:sdtPr>
          <w:sdtEndPr/>
          <w:sdtContent>
            <w:tc>
              <w:tcPr>
                <w:tcW w:w="481"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bl>
    <w:p w:rsidR="00126539" w:rsidRPr="00126539" w:rsidRDefault="00126539" w:rsidP="00126539">
      <w:pPr>
        <w:pStyle w:val="Odsekzoznamu"/>
        <w:spacing w:after="0" w:line="240" w:lineRule="auto"/>
        <w:ind w:left="0"/>
        <w:rPr>
          <w:rFonts w:ascii="Times New Roman" w:hAnsi="Times New Roman" w:cs="Times New Roman"/>
          <w:sz w:val="24"/>
          <w:szCs w:val="24"/>
        </w:rPr>
      </w:pPr>
      <w:r w:rsidRPr="00126539">
        <w:rPr>
          <w:rFonts w:ascii="Times New Roman" w:hAnsi="Times New Roman" w:cs="Times New Roman"/>
          <w:b/>
          <w:sz w:val="24"/>
          <w:szCs w:val="24"/>
        </w:rPr>
        <w:t>Odôvodnenie:</w:t>
      </w:r>
      <w:r w:rsidRPr="00126539">
        <w:rPr>
          <w:rFonts w:ascii="Times New Roman" w:hAnsi="Times New Roman" w:cs="Times New Roman"/>
          <w:sz w:val="24"/>
          <w:szCs w:val="24"/>
          <w:vertAlign w:val="superscript"/>
        </w:rPr>
        <w:t>1</w:t>
      </w:r>
      <w:r w:rsidRPr="00126539">
        <w:rPr>
          <w:rFonts w:ascii="Times New Roman" w:hAnsi="Times New Roman" w:cs="Times New Roman"/>
          <w:sz w:val="24"/>
          <w:szCs w:val="24"/>
        </w:rPr>
        <w:t xml:space="preserve"> </w:t>
      </w:r>
    </w:p>
    <w:p w:rsidR="00126539" w:rsidRPr="00126539" w:rsidRDefault="00126539" w:rsidP="00126539">
      <w:pPr>
        <w:pStyle w:val="Odsekzoznamu"/>
        <w:spacing w:after="0" w:line="240" w:lineRule="auto"/>
        <w:ind w:left="0"/>
        <w:rPr>
          <w:rFonts w:ascii="Times New Roman" w:hAnsi="Times New Roman" w:cs="Times New Roman"/>
          <w:sz w:val="16"/>
          <w:szCs w:val="16"/>
        </w:rPr>
      </w:pPr>
    </w:p>
    <w:p w:rsidR="00126539" w:rsidRPr="00126539" w:rsidRDefault="00126539" w:rsidP="00126539">
      <w:pPr>
        <w:pStyle w:val="Odsekzoznamu"/>
        <w:tabs>
          <w:tab w:val="left" w:pos="426"/>
        </w:tabs>
        <w:spacing w:after="0" w:line="240" w:lineRule="auto"/>
        <w:ind w:left="0"/>
        <w:rPr>
          <w:rFonts w:ascii="Times New Roman" w:hAnsi="Times New Roman" w:cs="Times New Roman"/>
          <w:b/>
          <w:sz w:val="24"/>
          <w:szCs w:val="24"/>
        </w:rPr>
      </w:pPr>
      <w:r w:rsidRPr="00126539">
        <w:rPr>
          <w:rFonts w:ascii="Times New Roman" w:hAnsi="Times New Roman" w:cs="Times New Roman"/>
          <w:b/>
          <w:sz w:val="24"/>
          <w:szCs w:val="24"/>
        </w:rPr>
        <w:t>5.</w:t>
      </w:r>
      <w:r w:rsidRPr="00126539">
        <w:rPr>
          <w:rFonts w:ascii="Times New Roman" w:hAnsi="Times New Roman" w:cs="Times New Roman"/>
          <w:b/>
          <w:sz w:val="24"/>
          <w:szCs w:val="24"/>
        </w:rPr>
        <w:tab/>
        <w:t xml:space="preserve">Spôsoby prerokovania s verejnosťou </w:t>
      </w:r>
    </w:p>
    <w:tbl>
      <w:tblPr>
        <w:tblStyle w:val="Mriekatabuky"/>
        <w:tblpPr w:leftFromText="141" w:rightFromText="141" w:vertAnchor="text" w:tblpY="1"/>
        <w:tblW w:w="4992" w:type="pct"/>
        <w:tblLayout w:type="fixed"/>
        <w:tblLook w:val="0400" w:firstRow="0" w:lastRow="0" w:firstColumn="0" w:lastColumn="0" w:noHBand="0" w:noVBand="1"/>
      </w:tblPr>
      <w:tblGrid>
        <w:gridCol w:w="8217"/>
        <w:gridCol w:w="831"/>
      </w:tblGrid>
      <w:tr w:rsidR="00126539" w:rsidRPr="00126539" w:rsidTr="009B5BD2">
        <w:trPr>
          <w:trHeight w:val="128"/>
        </w:trPr>
        <w:tc>
          <w:tcPr>
            <w:tcW w:w="4541"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Pracovná skupina</w:t>
            </w:r>
          </w:p>
        </w:tc>
        <w:sdt>
          <w:sdtPr>
            <w:rPr>
              <w:rFonts w:ascii="Times New Roman" w:hAnsi="Times New Roman" w:cs="Times New Roman"/>
              <w:sz w:val="24"/>
              <w:szCs w:val="24"/>
            </w:rPr>
            <w:id w:val="-1464727909"/>
            <w14:checkbox>
              <w14:checked w14:val="0"/>
              <w14:checkedState w14:val="2612" w14:font="MS Gothic"/>
              <w14:uncheckedState w14:val="2610" w14:font="MS Gothic"/>
            </w14:checkbox>
          </w:sdtPr>
          <w:sdtEndPr/>
          <w:sdtContent>
            <w:tc>
              <w:tcPr>
                <w:tcW w:w="459"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90"/>
        </w:trPr>
        <w:tc>
          <w:tcPr>
            <w:tcW w:w="4541"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Konferencia</w:t>
            </w:r>
          </w:p>
        </w:tc>
        <w:sdt>
          <w:sdtPr>
            <w:rPr>
              <w:rFonts w:ascii="Times New Roman" w:hAnsi="Times New Roman" w:cs="Times New Roman"/>
              <w:sz w:val="24"/>
              <w:szCs w:val="24"/>
            </w:rPr>
            <w:id w:val="-1285723441"/>
            <w14:checkbox>
              <w14:checked w14:val="0"/>
              <w14:checkedState w14:val="2612" w14:font="MS Gothic"/>
              <w14:uncheckedState w14:val="2610" w14:font="MS Gothic"/>
            </w14:checkbox>
          </w:sdtPr>
          <w:sdtEndPr/>
          <w:sdtContent>
            <w:tc>
              <w:tcPr>
                <w:tcW w:w="459"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45"/>
        </w:trPr>
        <w:tc>
          <w:tcPr>
            <w:tcW w:w="4541"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Diskusia k legislatívnemu procesu</w:t>
            </w:r>
            <w:r w:rsidRPr="00126539">
              <w:rPr>
                <w:rFonts w:ascii="Times New Roman" w:hAnsi="Times New Roman" w:cs="Times New Roman"/>
                <w:sz w:val="24"/>
                <w:szCs w:val="24"/>
                <w:vertAlign w:val="superscript"/>
              </w:rPr>
              <w:t>2</w:t>
            </w:r>
          </w:p>
        </w:tc>
        <w:sdt>
          <w:sdtPr>
            <w:rPr>
              <w:rFonts w:ascii="Times New Roman" w:hAnsi="Times New Roman" w:cs="Times New Roman"/>
              <w:sz w:val="24"/>
              <w:szCs w:val="24"/>
            </w:rPr>
            <w:id w:val="-507064221"/>
            <w14:checkbox>
              <w14:checked w14:val="1"/>
              <w14:checkedState w14:val="2612" w14:font="MS Gothic"/>
              <w14:uncheckedState w14:val="2610" w14:font="MS Gothic"/>
            </w14:checkbox>
          </w:sdtPr>
          <w:sdtEndPr/>
          <w:sdtContent>
            <w:tc>
              <w:tcPr>
                <w:tcW w:w="459"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90"/>
        </w:trPr>
        <w:tc>
          <w:tcPr>
            <w:tcW w:w="4541"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Konzultácia</w:t>
            </w:r>
            <w:r w:rsidRPr="00126539">
              <w:rPr>
                <w:rFonts w:ascii="Times New Roman" w:hAnsi="Times New Roman" w:cs="Times New Roman"/>
                <w:sz w:val="24"/>
                <w:szCs w:val="24"/>
                <w:vertAlign w:val="superscript"/>
              </w:rPr>
              <w:t>3</w:t>
            </w:r>
          </w:p>
        </w:tc>
        <w:sdt>
          <w:sdtPr>
            <w:rPr>
              <w:rFonts w:ascii="Times New Roman" w:hAnsi="Times New Roman" w:cs="Times New Roman"/>
              <w:sz w:val="24"/>
              <w:szCs w:val="24"/>
            </w:rPr>
            <w:id w:val="1306122138"/>
            <w14:checkbox>
              <w14:checked w14:val="1"/>
              <w14:checkedState w14:val="2612" w14:font="MS Gothic"/>
              <w14:uncheckedState w14:val="2610" w14:font="MS Gothic"/>
            </w14:checkbox>
          </w:sdtPr>
          <w:sdtEndPr/>
          <w:sdtContent>
            <w:tc>
              <w:tcPr>
                <w:tcW w:w="459" w:type="pct"/>
                <w:vAlign w:val="center"/>
              </w:tcPr>
              <w:p w:rsidR="00126539" w:rsidRPr="00126539" w:rsidRDefault="00126539" w:rsidP="009B5BD2">
                <w:pPr>
                  <w:jc w:val="center"/>
                  <w:rPr>
                    <w:rFonts w:ascii="Times New Roman" w:hAnsi="Times New Roman" w:cs="Times New Roman"/>
                    <w:sz w:val="24"/>
                    <w:szCs w:val="24"/>
                    <w:lang w:bidi="en-US"/>
                  </w:rPr>
                </w:pPr>
                <w:r w:rsidRPr="00126539">
                  <w:rPr>
                    <w:rFonts w:ascii="Segoe UI Symbol" w:eastAsia="MS Gothic" w:hAnsi="Segoe UI Symbol" w:cs="Segoe UI Symbol"/>
                    <w:sz w:val="24"/>
                    <w:szCs w:val="24"/>
                  </w:rPr>
                  <w:t>☒</w:t>
                </w:r>
              </w:p>
            </w:tc>
          </w:sdtContent>
        </w:sdt>
      </w:tr>
      <w:tr w:rsidR="00126539" w:rsidRPr="00126539" w:rsidTr="009B5BD2">
        <w:trPr>
          <w:trHeight w:val="193"/>
        </w:trPr>
        <w:tc>
          <w:tcPr>
            <w:tcW w:w="4541"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Pripomienkovanie</w:t>
            </w:r>
          </w:p>
        </w:tc>
        <w:sdt>
          <w:sdtPr>
            <w:rPr>
              <w:rFonts w:ascii="Times New Roman" w:hAnsi="Times New Roman" w:cs="Times New Roman"/>
              <w:sz w:val="24"/>
              <w:szCs w:val="24"/>
            </w:rPr>
            <w:id w:val="-1441991006"/>
            <w14:checkbox>
              <w14:checked w14:val="1"/>
              <w14:checkedState w14:val="2612" w14:font="MS Gothic"/>
              <w14:uncheckedState w14:val="2610" w14:font="MS Gothic"/>
            </w14:checkbox>
          </w:sdtPr>
          <w:sdtEndPr/>
          <w:sdtContent>
            <w:tc>
              <w:tcPr>
                <w:tcW w:w="459"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r w:rsidR="00126539" w:rsidRPr="00126539" w:rsidTr="009B5BD2">
        <w:trPr>
          <w:trHeight w:val="45"/>
        </w:trPr>
        <w:tc>
          <w:tcPr>
            <w:tcW w:w="4541"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Iné:</w:t>
            </w:r>
            <w:r w:rsidRPr="00126539">
              <w:rPr>
                <w:rFonts w:ascii="Times New Roman" w:hAnsi="Times New Roman" w:cs="Times New Roman"/>
                <w:sz w:val="24"/>
                <w:szCs w:val="24"/>
                <w:vertAlign w:val="superscript"/>
              </w:rPr>
              <w:t>1</w:t>
            </w:r>
          </w:p>
        </w:tc>
        <w:sdt>
          <w:sdtPr>
            <w:rPr>
              <w:rFonts w:ascii="Times New Roman" w:hAnsi="Times New Roman" w:cs="Times New Roman"/>
              <w:sz w:val="24"/>
              <w:szCs w:val="24"/>
            </w:rPr>
            <w:id w:val="335891485"/>
            <w14:checkbox>
              <w14:checked w14:val="0"/>
              <w14:checkedState w14:val="2612" w14:font="MS Gothic"/>
              <w14:uncheckedState w14:val="2610" w14:font="MS Gothic"/>
            </w14:checkbox>
          </w:sdtPr>
          <w:sdtEndPr/>
          <w:sdtContent>
            <w:tc>
              <w:tcPr>
                <w:tcW w:w="459" w:type="pct"/>
                <w:vAlign w:val="center"/>
              </w:tcPr>
              <w:p w:rsidR="00126539" w:rsidRPr="00126539" w:rsidRDefault="00126539" w:rsidP="009B5BD2">
                <w:pPr>
                  <w:jc w:val="center"/>
                  <w:rPr>
                    <w:rFonts w:ascii="Times New Roman" w:hAnsi="Times New Roman" w:cs="Times New Roman"/>
                    <w:sz w:val="24"/>
                    <w:szCs w:val="24"/>
                  </w:rPr>
                </w:pPr>
                <w:r w:rsidRPr="00126539">
                  <w:rPr>
                    <w:rFonts w:ascii="Segoe UI Symbol" w:eastAsia="MS Gothic" w:hAnsi="Segoe UI Symbol" w:cs="Segoe UI Symbol"/>
                    <w:sz w:val="24"/>
                    <w:szCs w:val="24"/>
                  </w:rPr>
                  <w:t>☐</w:t>
                </w:r>
              </w:p>
            </w:tc>
          </w:sdtContent>
        </w:sdt>
      </w:tr>
    </w:tbl>
    <w:p w:rsidR="00126539" w:rsidRPr="00126539" w:rsidRDefault="00126539" w:rsidP="00126539">
      <w:pPr>
        <w:pStyle w:val="Odsekzoznamu"/>
        <w:spacing w:after="0" w:line="240" w:lineRule="auto"/>
        <w:ind w:left="0"/>
        <w:jc w:val="both"/>
        <w:rPr>
          <w:rFonts w:ascii="Times New Roman" w:hAnsi="Times New Roman" w:cs="Times New Roman"/>
          <w:b/>
          <w:sz w:val="16"/>
          <w:szCs w:val="16"/>
        </w:rPr>
      </w:pPr>
    </w:p>
    <w:p w:rsidR="00126539" w:rsidRPr="00126539" w:rsidRDefault="00126539" w:rsidP="00126539">
      <w:pPr>
        <w:pStyle w:val="Odsekzoznamu"/>
        <w:spacing w:after="0" w:line="240" w:lineRule="auto"/>
        <w:ind w:left="426" w:hanging="426"/>
        <w:jc w:val="both"/>
        <w:rPr>
          <w:rFonts w:ascii="Times New Roman" w:hAnsi="Times New Roman" w:cs="Times New Roman"/>
          <w:b/>
          <w:sz w:val="24"/>
          <w:szCs w:val="24"/>
        </w:rPr>
      </w:pPr>
      <w:r w:rsidRPr="00126539">
        <w:rPr>
          <w:rFonts w:ascii="Times New Roman" w:hAnsi="Times New Roman" w:cs="Times New Roman"/>
          <w:b/>
          <w:sz w:val="24"/>
          <w:szCs w:val="24"/>
        </w:rPr>
        <w:t>6.</w:t>
      </w:r>
      <w:r w:rsidRPr="00126539">
        <w:rPr>
          <w:rFonts w:ascii="Times New Roman" w:hAnsi="Times New Roman" w:cs="Times New Roman"/>
          <w:b/>
          <w:sz w:val="24"/>
          <w:szCs w:val="24"/>
        </w:rPr>
        <w:tab/>
        <w:t>Okruhy subjektov predkladateľom adresne vyzvané na účasť na tvorbe právneho predpisu</w:t>
      </w:r>
    </w:p>
    <w:tbl>
      <w:tblPr>
        <w:tblStyle w:val="Mriekatabuky"/>
        <w:tblpPr w:leftFromText="141" w:rightFromText="141" w:vertAnchor="text" w:tblpY="1"/>
        <w:tblW w:w="4992" w:type="pct"/>
        <w:tblLayout w:type="fixed"/>
        <w:tblLook w:val="0400" w:firstRow="0" w:lastRow="0" w:firstColumn="0" w:lastColumn="0" w:noHBand="0" w:noVBand="1"/>
      </w:tblPr>
      <w:tblGrid>
        <w:gridCol w:w="7226"/>
        <w:gridCol w:w="1822"/>
      </w:tblGrid>
      <w:tr w:rsidR="00126539" w:rsidRPr="00126539" w:rsidTr="009B5BD2">
        <w:trPr>
          <w:trHeight w:val="275"/>
        </w:trPr>
        <w:tc>
          <w:tcPr>
            <w:tcW w:w="3993"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Okruh subjektov</w:t>
            </w:r>
          </w:p>
        </w:tc>
        <w:tc>
          <w:tcPr>
            <w:tcW w:w="1007"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Počet subjektov</w:t>
            </w:r>
          </w:p>
        </w:tc>
      </w:tr>
      <w:tr w:rsidR="00126539" w:rsidRPr="00126539" w:rsidTr="009B5BD2">
        <w:trPr>
          <w:trHeight w:val="273"/>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Záujmové združenia subjektov územnej samosprávy</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r w:rsidR="00126539" w:rsidRPr="00126539" w:rsidTr="009B5BD2">
        <w:trPr>
          <w:trHeight w:val="194"/>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Podnikatelia a záujmové združenia podnikateľov</w:t>
            </w:r>
          </w:p>
        </w:tc>
        <w:tc>
          <w:tcPr>
            <w:tcW w:w="1007"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1</w:t>
            </w:r>
          </w:p>
        </w:tc>
      </w:tr>
      <w:tr w:rsidR="00126539" w:rsidRPr="00126539" w:rsidTr="009B5BD2">
        <w:trPr>
          <w:trHeight w:val="127"/>
        </w:trPr>
        <w:tc>
          <w:tcPr>
            <w:tcW w:w="3993"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Mimovládne neziskové organizácie</w:t>
            </w:r>
            <w:r w:rsidRPr="00126539">
              <w:rPr>
                <w:rFonts w:ascii="Times New Roman" w:hAnsi="Times New Roman" w:cs="Times New Roman"/>
                <w:sz w:val="24"/>
                <w:szCs w:val="24"/>
                <w:vertAlign w:val="superscript"/>
              </w:rPr>
              <w:t>4</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r w:rsidR="00126539" w:rsidRPr="00126539" w:rsidTr="009B5BD2">
        <w:trPr>
          <w:trHeight w:val="133"/>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Akademická a vedecká obec</w:t>
            </w:r>
          </w:p>
        </w:tc>
        <w:tc>
          <w:tcPr>
            <w:tcW w:w="1007" w:type="pct"/>
            <w:vAlign w:val="center"/>
          </w:tcPr>
          <w:p w:rsidR="00126539" w:rsidRPr="00126539" w:rsidRDefault="00126539" w:rsidP="009B5BD2">
            <w:pPr>
              <w:jc w:val="center"/>
              <w:rPr>
                <w:rFonts w:ascii="Times New Roman" w:hAnsi="Times New Roman" w:cs="Times New Roman"/>
                <w:sz w:val="24"/>
                <w:szCs w:val="24"/>
                <w:lang w:bidi="en-US"/>
              </w:rPr>
            </w:pPr>
            <w:r w:rsidRPr="00126539">
              <w:rPr>
                <w:rFonts w:ascii="Times New Roman" w:hAnsi="Times New Roman" w:cs="Times New Roman"/>
                <w:sz w:val="24"/>
                <w:szCs w:val="24"/>
                <w:lang w:bidi="en-US"/>
              </w:rPr>
              <w:t>1</w:t>
            </w:r>
          </w:p>
        </w:tc>
      </w:tr>
      <w:tr w:rsidR="00126539" w:rsidRPr="00126539" w:rsidTr="009B5BD2">
        <w:trPr>
          <w:trHeight w:val="119"/>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Cirkvi a náboženské spoločnosti</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r w:rsidR="00126539" w:rsidRPr="00126539" w:rsidTr="009B5BD2">
        <w:trPr>
          <w:trHeight w:val="124"/>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Iné:</w:t>
            </w:r>
            <w:r w:rsidRPr="00126539">
              <w:rPr>
                <w:rFonts w:ascii="Times New Roman" w:hAnsi="Times New Roman" w:cs="Times New Roman"/>
                <w:sz w:val="24"/>
                <w:szCs w:val="24"/>
                <w:vertAlign w:val="superscript"/>
              </w:rPr>
              <w:t>1</w:t>
            </w:r>
            <w:r w:rsidRPr="00126539">
              <w:rPr>
                <w:rFonts w:ascii="Times New Roman" w:hAnsi="Times New Roman" w:cs="Times New Roman"/>
                <w:sz w:val="24"/>
                <w:szCs w:val="24"/>
              </w:rPr>
              <w:t xml:space="preserve"> </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bl>
    <w:p w:rsidR="00126539" w:rsidRPr="00126539" w:rsidRDefault="00126539" w:rsidP="00126539">
      <w:pPr>
        <w:pStyle w:val="Odsekzoznamu"/>
        <w:spacing w:after="0" w:line="240" w:lineRule="auto"/>
        <w:ind w:left="0"/>
        <w:rPr>
          <w:rFonts w:ascii="Times New Roman" w:hAnsi="Times New Roman" w:cs="Times New Roman"/>
          <w:sz w:val="24"/>
          <w:szCs w:val="24"/>
          <w:vertAlign w:val="superscript"/>
        </w:rPr>
      </w:pPr>
      <w:r w:rsidRPr="00126539">
        <w:rPr>
          <w:rFonts w:ascii="Times New Roman" w:hAnsi="Times New Roman" w:cs="Times New Roman"/>
          <w:b/>
          <w:sz w:val="24"/>
          <w:szCs w:val="24"/>
        </w:rPr>
        <w:t>Odôvodnenie:</w:t>
      </w:r>
      <w:r w:rsidRPr="00126539">
        <w:rPr>
          <w:rFonts w:ascii="Times New Roman" w:hAnsi="Times New Roman" w:cs="Times New Roman"/>
          <w:sz w:val="24"/>
          <w:szCs w:val="24"/>
          <w:vertAlign w:val="superscript"/>
        </w:rPr>
        <w:t>1</w:t>
      </w:r>
    </w:p>
    <w:p w:rsidR="00126539" w:rsidRPr="00126539" w:rsidRDefault="00126539" w:rsidP="00126539">
      <w:pPr>
        <w:pStyle w:val="Odsekzoznamu"/>
        <w:spacing w:after="0" w:line="240" w:lineRule="auto"/>
        <w:ind w:left="0"/>
        <w:rPr>
          <w:rFonts w:ascii="Times New Roman" w:hAnsi="Times New Roman" w:cs="Times New Roman"/>
          <w:sz w:val="24"/>
          <w:szCs w:val="24"/>
          <w:vertAlign w:val="superscript"/>
        </w:rPr>
      </w:pPr>
    </w:p>
    <w:p w:rsidR="00126539" w:rsidRPr="00126539" w:rsidRDefault="00126539" w:rsidP="00126539">
      <w:pPr>
        <w:pStyle w:val="Odsekzoznamu"/>
        <w:spacing w:after="0" w:line="240" w:lineRule="auto"/>
        <w:ind w:left="0"/>
        <w:rPr>
          <w:rFonts w:ascii="Times New Roman" w:hAnsi="Times New Roman" w:cs="Times New Roman"/>
          <w:sz w:val="24"/>
          <w:szCs w:val="24"/>
        </w:rPr>
      </w:pPr>
    </w:p>
    <w:p w:rsidR="00126539" w:rsidRPr="00126539" w:rsidRDefault="00126539" w:rsidP="00126539">
      <w:pPr>
        <w:pStyle w:val="Odsekzoznamu"/>
        <w:tabs>
          <w:tab w:val="left" w:pos="426"/>
        </w:tabs>
        <w:spacing w:after="0" w:line="240" w:lineRule="auto"/>
        <w:ind w:left="426" w:hanging="426"/>
        <w:jc w:val="both"/>
        <w:rPr>
          <w:rFonts w:ascii="Times New Roman" w:hAnsi="Times New Roman" w:cs="Times New Roman"/>
          <w:sz w:val="24"/>
          <w:szCs w:val="24"/>
        </w:rPr>
      </w:pPr>
      <w:r w:rsidRPr="00126539">
        <w:rPr>
          <w:rFonts w:ascii="Times New Roman" w:hAnsi="Times New Roman" w:cs="Times New Roman"/>
          <w:b/>
          <w:sz w:val="24"/>
          <w:szCs w:val="24"/>
        </w:rPr>
        <w:lastRenderedPageBreak/>
        <w:t xml:space="preserve">7. </w:t>
      </w:r>
      <w:r w:rsidRPr="00126539">
        <w:rPr>
          <w:rFonts w:ascii="Times New Roman" w:hAnsi="Times New Roman" w:cs="Times New Roman"/>
          <w:b/>
          <w:sz w:val="24"/>
          <w:szCs w:val="24"/>
        </w:rPr>
        <w:tab/>
        <w:t>Okruhy adresne vyzvaných subjektov aktívne zúčastnených na tvorbe právneho predpisu</w:t>
      </w:r>
    </w:p>
    <w:tbl>
      <w:tblPr>
        <w:tblStyle w:val="Mriekatabuky"/>
        <w:tblpPr w:leftFromText="141" w:rightFromText="141" w:vertAnchor="text" w:tblpY="1"/>
        <w:tblW w:w="4992" w:type="pct"/>
        <w:tblLayout w:type="fixed"/>
        <w:tblLook w:val="0400" w:firstRow="0" w:lastRow="0" w:firstColumn="0" w:lastColumn="0" w:noHBand="0" w:noVBand="1"/>
      </w:tblPr>
      <w:tblGrid>
        <w:gridCol w:w="7226"/>
        <w:gridCol w:w="1822"/>
      </w:tblGrid>
      <w:tr w:rsidR="00126539" w:rsidRPr="00126539" w:rsidTr="009B5BD2">
        <w:trPr>
          <w:trHeight w:val="269"/>
        </w:trPr>
        <w:tc>
          <w:tcPr>
            <w:tcW w:w="3993"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Okruh subjektov</w:t>
            </w:r>
          </w:p>
        </w:tc>
        <w:tc>
          <w:tcPr>
            <w:tcW w:w="1007"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Počet subjektov</w:t>
            </w:r>
          </w:p>
        </w:tc>
      </w:tr>
      <w:tr w:rsidR="00126539" w:rsidRPr="00126539" w:rsidTr="009B5BD2">
        <w:trPr>
          <w:trHeight w:val="136"/>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Záujmové združenia subjektov územnej samosprávy</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r w:rsidR="00126539" w:rsidRPr="00126539" w:rsidTr="009B5BD2">
        <w:trPr>
          <w:trHeight w:val="140"/>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Podnikatelia a záujmové združenia podnikateľov</w:t>
            </w:r>
          </w:p>
        </w:tc>
        <w:tc>
          <w:tcPr>
            <w:tcW w:w="1007"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1</w:t>
            </w:r>
          </w:p>
        </w:tc>
      </w:tr>
      <w:tr w:rsidR="00126539" w:rsidRPr="00126539" w:rsidTr="009B5BD2">
        <w:trPr>
          <w:trHeight w:val="130"/>
        </w:trPr>
        <w:tc>
          <w:tcPr>
            <w:tcW w:w="3993"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Mimovládne neziskové organizácie</w:t>
            </w:r>
            <w:r w:rsidRPr="00126539">
              <w:rPr>
                <w:rFonts w:ascii="Times New Roman" w:hAnsi="Times New Roman" w:cs="Times New Roman"/>
                <w:sz w:val="24"/>
                <w:szCs w:val="24"/>
                <w:vertAlign w:val="superscript"/>
              </w:rPr>
              <w:t>4</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r w:rsidR="00126539" w:rsidRPr="00126539" w:rsidTr="009B5BD2">
        <w:trPr>
          <w:trHeight w:val="134"/>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Akademická a vedecká obec</w:t>
            </w:r>
          </w:p>
        </w:tc>
        <w:tc>
          <w:tcPr>
            <w:tcW w:w="1007" w:type="pct"/>
            <w:vAlign w:val="center"/>
          </w:tcPr>
          <w:p w:rsidR="00126539" w:rsidRPr="00126539" w:rsidRDefault="00126539" w:rsidP="009B5BD2">
            <w:pPr>
              <w:jc w:val="center"/>
              <w:rPr>
                <w:rFonts w:ascii="Times New Roman" w:hAnsi="Times New Roman" w:cs="Times New Roman"/>
                <w:sz w:val="24"/>
                <w:szCs w:val="24"/>
                <w:lang w:bidi="en-US"/>
              </w:rPr>
            </w:pPr>
            <w:r w:rsidRPr="00126539">
              <w:rPr>
                <w:rFonts w:ascii="Times New Roman" w:hAnsi="Times New Roman" w:cs="Times New Roman"/>
                <w:sz w:val="24"/>
                <w:szCs w:val="24"/>
                <w:lang w:bidi="en-US"/>
              </w:rPr>
              <w:t>1</w:t>
            </w:r>
          </w:p>
        </w:tc>
      </w:tr>
      <w:tr w:rsidR="00126539" w:rsidRPr="00126539" w:rsidTr="009B5BD2">
        <w:trPr>
          <w:trHeight w:val="124"/>
        </w:trPr>
        <w:tc>
          <w:tcPr>
            <w:tcW w:w="3993" w:type="pct"/>
            <w:tcBorders>
              <w:bottom w:val="single" w:sz="4" w:space="0" w:color="auto"/>
            </w:tcBorders>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Cirkvi a náboženské spoločnosti</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r w:rsidR="00126539" w:rsidRPr="00126539" w:rsidTr="009B5BD2">
        <w:trPr>
          <w:trHeight w:val="128"/>
        </w:trPr>
        <w:tc>
          <w:tcPr>
            <w:tcW w:w="3993" w:type="pct"/>
            <w:tcBorders>
              <w:bottom w:val="single" w:sz="4" w:space="0" w:color="auto"/>
            </w:tcBorders>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Iné:</w:t>
            </w:r>
            <w:r w:rsidRPr="00126539">
              <w:rPr>
                <w:rFonts w:ascii="Times New Roman" w:hAnsi="Times New Roman" w:cs="Times New Roman"/>
                <w:sz w:val="24"/>
                <w:szCs w:val="24"/>
                <w:vertAlign w:val="superscript"/>
              </w:rPr>
              <w:t>1</w:t>
            </w:r>
            <w:r w:rsidRPr="00126539">
              <w:rPr>
                <w:rFonts w:ascii="Times New Roman" w:hAnsi="Times New Roman" w:cs="Times New Roman"/>
                <w:sz w:val="24"/>
                <w:szCs w:val="24"/>
              </w:rPr>
              <w:t xml:space="preserve"> </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bl>
    <w:p w:rsidR="00126539" w:rsidRPr="00126539" w:rsidRDefault="00126539" w:rsidP="00126539">
      <w:pPr>
        <w:pStyle w:val="Odsekzoznamu"/>
        <w:spacing w:after="0" w:line="240" w:lineRule="auto"/>
        <w:ind w:left="0"/>
        <w:jc w:val="both"/>
        <w:rPr>
          <w:rFonts w:ascii="Times New Roman" w:hAnsi="Times New Roman" w:cs="Times New Roman"/>
          <w:b/>
          <w:sz w:val="16"/>
          <w:szCs w:val="16"/>
        </w:rPr>
      </w:pPr>
    </w:p>
    <w:p w:rsidR="00126539" w:rsidRPr="00126539" w:rsidRDefault="00126539" w:rsidP="00126539">
      <w:pPr>
        <w:pStyle w:val="Odsekzoznamu"/>
        <w:tabs>
          <w:tab w:val="left" w:pos="426"/>
        </w:tabs>
        <w:spacing w:after="0" w:line="240" w:lineRule="auto"/>
        <w:ind w:left="426" w:hanging="426"/>
        <w:jc w:val="both"/>
        <w:rPr>
          <w:rFonts w:ascii="Times New Roman" w:hAnsi="Times New Roman" w:cs="Times New Roman"/>
          <w:b/>
          <w:sz w:val="24"/>
          <w:szCs w:val="24"/>
        </w:rPr>
      </w:pPr>
      <w:r w:rsidRPr="00126539">
        <w:rPr>
          <w:rFonts w:ascii="Times New Roman" w:hAnsi="Times New Roman" w:cs="Times New Roman"/>
          <w:b/>
          <w:sz w:val="24"/>
          <w:szCs w:val="24"/>
        </w:rPr>
        <w:t>8.</w:t>
      </w:r>
      <w:r w:rsidRPr="00126539">
        <w:rPr>
          <w:rFonts w:ascii="Times New Roman" w:hAnsi="Times New Roman" w:cs="Times New Roman"/>
          <w:b/>
          <w:sz w:val="24"/>
          <w:szCs w:val="24"/>
        </w:rPr>
        <w:tab/>
        <w:t>Okruhy subjektov, ktoré prejavili záujem zúčastniť sa na tvorbe právneho predpisu z vlastnej iniciatívy</w:t>
      </w:r>
    </w:p>
    <w:tbl>
      <w:tblPr>
        <w:tblStyle w:val="Mriekatabuky"/>
        <w:tblpPr w:leftFromText="141" w:rightFromText="141" w:vertAnchor="text" w:tblpY="1"/>
        <w:tblW w:w="4992" w:type="pct"/>
        <w:tblLayout w:type="fixed"/>
        <w:tblLook w:val="0400" w:firstRow="0" w:lastRow="0" w:firstColumn="0" w:lastColumn="0" w:noHBand="0" w:noVBand="1"/>
      </w:tblPr>
      <w:tblGrid>
        <w:gridCol w:w="7226"/>
        <w:gridCol w:w="1822"/>
      </w:tblGrid>
      <w:tr w:rsidR="00126539" w:rsidRPr="00126539" w:rsidTr="009B5BD2">
        <w:trPr>
          <w:trHeight w:val="276"/>
        </w:trPr>
        <w:tc>
          <w:tcPr>
            <w:tcW w:w="3993"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Okruh subjektov</w:t>
            </w:r>
          </w:p>
        </w:tc>
        <w:tc>
          <w:tcPr>
            <w:tcW w:w="1007"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Počet subjektov</w:t>
            </w:r>
          </w:p>
        </w:tc>
      </w:tr>
      <w:tr w:rsidR="00126539" w:rsidRPr="00126539" w:rsidTr="009B5BD2">
        <w:trPr>
          <w:trHeight w:val="141"/>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Záujmové združenia subjektov územnej samosprávy</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r w:rsidR="00126539" w:rsidRPr="00126539" w:rsidTr="009B5BD2">
        <w:trPr>
          <w:trHeight w:val="274"/>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Podnikatelia a záujmové združenia podnikateľov</w:t>
            </w:r>
          </w:p>
        </w:tc>
        <w:tc>
          <w:tcPr>
            <w:tcW w:w="1007"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1</w:t>
            </w:r>
          </w:p>
        </w:tc>
      </w:tr>
      <w:tr w:rsidR="00126539" w:rsidRPr="00126539" w:rsidTr="009B5BD2">
        <w:trPr>
          <w:trHeight w:val="277"/>
        </w:trPr>
        <w:tc>
          <w:tcPr>
            <w:tcW w:w="3993"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Mimovládne neziskové organizácie</w:t>
            </w:r>
            <w:r w:rsidRPr="00126539">
              <w:rPr>
                <w:rFonts w:ascii="Times New Roman" w:hAnsi="Times New Roman" w:cs="Times New Roman"/>
                <w:sz w:val="24"/>
                <w:szCs w:val="24"/>
                <w:vertAlign w:val="superscript"/>
              </w:rPr>
              <w:t>4</w:t>
            </w:r>
          </w:p>
        </w:tc>
        <w:tc>
          <w:tcPr>
            <w:tcW w:w="1007"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2</w:t>
            </w:r>
          </w:p>
        </w:tc>
      </w:tr>
      <w:tr w:rsidR="00126539" w:rsidRPr="00126539" w:rsidTr="009B5BD2">
        <w:trPr>
          <w:trHeight w:val="268"/>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Akademická a vedecká obec</w:t>
            </w:r>
          </w:p>
        </w:tc>
        <w:tc>
          <w:tcPr>
            <w:tcW w:w="1007" w:type="pct"/>
            <w:vAlign w:val="center"/>
          </w:tcPr>
          <w:p w:rsidR="00126539" w:rsidRPr="00126539" w:rsidRDefault="00126539" w:rsidP="009B5BD2">
            <w:pPr>
              <w:jc w:val="center"/>
              <w:rPr>
                <w:rFonts w:ascii="Times New Roman" w:hAnsi="Times New Roman" w:cs="Times New Roman"/>
                <w:sz w:val="24"/>
                <w:szCs w:val="24"/>
                <w:lang w:bidi="en-US"/>
              </w:rPr>
            </w:pPr>
          </w:p>
        </w:tc>
      </w:tr>
      <w:tr w:rsidR="00126539" w:rsidRPr="00126539" w:rsidTr="009B5BD2">
        <w:trPr>
          <w:trHeight w:val="271"/>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Cirkvi a náboženské spoločnosti</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r w:rsidR="00126539" w:rsidRPr="00126539" w:rsidTr="009B5BD2">
        <w:trPr>
          <w:trHeight w:val="119"/>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Iné:</w:t>
            </w:r>
            <w:r w:rsidRPr="00126539">
              <w:rPr>
                <w:rFonts w:ascii="Times New Roman" w:hAnsi="Times New Roman" w:cs="Times New Roman"/>
                <w:sz w:val="24"/>
                <w:szCs w:val="24"/>
                <w:vertAlign w:val="superscript"/>
              </w:rPr>
              <w:t>1</w:t>
            </w:r>
            <w:r w:rsidRPr="00126539">
              <w:rPr>
                <w:rFonts w:ascii="Times New Roman" w:hAnsi="Times New Roman" w:cs="Times New Roman"/>
                <w:sz w:val="24"/>
                <w:szCs w:val="24"/>
              </w:rPr>
              <w:t xml:space="preserve"> </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bl>
    <w:p w:rsidR="00126539" w:rsidRPr="00126539" w:rsidRDefault="00126539" w:rsidP="00126539">
      <w:pPr>
        <w:pStyle w:val="Odsekzoznamu"/>
        <w:spacing w:after="0" w:line="240" w:lineRule="auto"/>
        <w:ind w:left="0"/>
        <w:rPr>
          <w:rFonts w:ascii="Times New Roman" w:hAnsi="Times New Roman" w:cs="Times New Roman"/>
          <w:b/>
          <w:sz w:val="16"/>
          <w:szCs w:val="16"/>
        </w:rPr>
      </w:pPr>
    </w:p>
    <w:p w:rsidR="00126539" w:rsidRPr="00126539" w:rsidRDefault="00126539" w:rsidP="00126539">
      <w:pPr>
        <w:pStyle w:val="Odsekzoznamu"/>
        <w:tabs>
          <w:tab w:val="left" w:pos="284"/>
        </w:tabs>
        <w:spacing w:after="0" w:line="240" w:lineRule="auto"/>
        <w:ind w:left="284" w:hanging="284"/>
        <w:jc w:val="both"/>
        <w:rPr>
          <w:rFonts w:ascii="Times New Roman" w:hAnsi="Times New Roman" w:cs="Times New Roman"/>
          <w:b/>
          <w:sz w:val="24"/>
          <w:szCs w:val="24"/>
        </w:rPr>
      </w:pPr>
      <w:r w:rsidRPr="00126539">
        <w:rPr>
          <w:rFonts w:ascii="Times New Roman" w:hAnsi="Times New Roman" w:cs="Times New Roman"/>
          <w:b/>
          <w:sz w:val="24"/>
          <w:szCs w:val="24"/>
        </w:rPr>
        <w:t>9.</w:t>
      </w:r>
      <w:r w:rsidRPr="00126539">
        <w:rPr>
          <w:rFonts w:ascii="Times New Roman" w:hAnsi="Times New Roman" w:cs="Times New Roman"/>
          <w:b/>
          <w:sz w:val="24"/>
          <w:szCs w:val="24"/>
        </w:rPr>
        <w:tab/>
        <w:t>Okruhy iniciatívnych subjektov aktívne zúčastnených na tvorbe právneho predpisu</w:t>
      </w:r>
    </w:p>
    <w:tbl>
      <w:tblPr>
        <w:tblStyle w:val="Mriekatabuky"/>
        <w:tblpPr w:leftFromText="141" w:rightFromText="141" w:vertAnchor="text" w:tblpY="1"/>
        <w:tblW w:w="4992" w:type="pct"/>
        <w:tblLayout w:type="fixed"/>
        <w:tblLook w:val="0400" w:firstRow="0" w:lastRow="0" w:firstColumn="0" w:lastColumn="0" w:noHBand="0" w:noVBand="1"/>
      </w:tblPr>
      <w:tblGrid>
        <w:gridCol w:w="7226"/>
        <w:gridCol w:w="1822"/>
      </w:tblGrid>
      <w:tr w:rsidR="00126539" w:rsidRPr="00126539" w:rsidTr="009B5BD2">
        <w:trPr>
          <w:trHeight w:val="129"/>
        </w:trPr>
        <w:tc>
          <w:tcPr>
            <w:tcW w:w="3993"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Okruh subjektov</w:t>
            </w:r>
          </w:p>
        </w:tc>
        <w:tc>
          <w:tcPr>
            <w:tcW w:w="1007"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Počet subjektov</w:t>
            </w:r>
          </w:p>
        </w:tc>
      </w:tr>
      <w:tr w:rsidR="00126539" w:rsidRPr="00126539" w:rsidTr="009B5BD2">
        <w:trPr>
          <w:trHeight w:val="134"/>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Záujmové združenia subjektov územnej samosprávy</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r w:rsidR="00126539" w:rsidRPr="00126539" w:rsidTr="009B5BD2">
        <w:trPr>
          <w:trHeight w:val="211"/>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Podnikatelia a záujmové združenia podnikateľov</w:t>
            </w:r>
          </w:p>
        </w:tc>
        <w:tc>
          <w:tcPr>
            <w:tcW w:w="1007"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1</w:t>
            </w:r>
          </w:p>
        </w:tc>
      </w:tr>
      <w:tr w:rsidR="00126539" w:rsidRPr="00126539" w:rsidTr="009B5BD2">
        <w:trPr>
          <w:trHeight w:val="142"/>
        </w:trPr>
        <w:tc>
          <w:tcPr>
            <w:tcW w:w="3993"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Mimovládne neziskové organizácie</w:t>
            </w:r>
            <w:r w:rsidRPr="00126539">
              <w:rPr>
                <w:rFonts w:ascii="Times New Roman" w:hAnsi="Times New Roman" w:cs="Times New Roman"/>
                <w:sz w:val="24"/>
                <w:szCs w:val="24"/>
                <w:vertAlign w:val="superscript"/>
              </w:rPr>
              <w:t>4</w:t>
            </w:r>
          </w:p>
        </w:tc>
        <w:tc>
          <w:tcPr>
            <w:tcW w:w="1007"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2</w:t>
            </w:r>
          </w:p>
        </w:tc>
      </w:tr>
      <w:tr w:rsidR="00126539" w:rsidRPr="00126539" w:rsidTr="009B5BD2">
        <w:trPr>
          <w:trHeight w:val="133"/>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Akademická a vedecká obec</w:t>
            </w:r>
          </w:p>
        </w:tc>
        <w:tc>
          <w:tcPr>
            <w:tcW w:w="1007" w:type="pct"/>
            <w:vAlign w:val="center"/>
          </w:tcPr>
          <w:p w:rsidR="00126539" w:rsidRPr="00126539" w:rsidRDefault="00126539" w:rsidP="009B5BD2">
            <w:pPr>
              <w:jc w:val="center"/>
              <w:rPr>
                <w:rFonts w:ascii="Times New Roman" w:hAnsi="Times New Roman" w:cs="Times New Roman"/>
                <w:sz w:val="24"/>
                <w:szCs w:val="24"/>
                <w:lang w:bidi="en-US"/>
              </w:rPr>
            </w:pPr>
            <w:r w:rsidRPr="00126539">
              <w:rPr>
                <w:rFonts w:ascii="Times New Roman" w:hAnsi="Times New Roman" w:cs="Times New Roman"/>
                <w:sz w:val="24"/>
                <w:szCs w:val="24"/>
                <w:lang w:bidi="en-US"/>
              </w:rPr>
              <w:t>1</w:t>
            </w:r>
          </w:p>
        </w:tc>
      </w:tr>
      <w:tr w:rsidR="00126539" w:rsidRPr="00126539" w:rsidTr="009B5BD2">
        <w:trPr>
          <w:trHeight w:val="45"/>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Cirkvi a náboženské spoločnosti</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r w:rsidR="00126539" w:rsidRPr="00126539" w:rsidTr="009B5BD2">
        <w:trPr>
          <w:trHeight w:val="269"/>
        </w:trPr>
        <w:tc>
          <w:tcPr>
            <w:tcW w:w="3993"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Iné:</w:t>
            </w:r>
            <w:r w:rsidRPr="00126539">
              <w:rPr>
                <w:rFonts w:ascii="Times New Roman" w:hAnsi="Times New Roman" w:cs="Times New Roman"/>
                <w:sz w:val="24"/>
                <w:szCs w:val="24"/>
                <w:vertAlign w:val="superscript"/>
              </w:rPr>
              <w:t>1</w:t>
            </w:r>
            <w:r w:rsidRPr="00126539">
              <w:rPr>
                <w:rFonts w:ascii="Times New Roman" w:hAnsi="Times New Roman" w:cs="Times New Roman"/>
                <w:sz w:val="24"/>
                <w:szCs w:val="24"/>
              </w:rPr>
              <w:t xml:space="preserve"> </w:t>
            </w:r>
          </w:p>
        </w:tc>
        <w:tc>
          <w:tcPr>
            <w:tcW w:w="1007" w:type="pct"/>
            <w:vAlign w:val="center"/>
          </w:tcPr>
          <w:p w:rsidR="00126539" w:rsidRPr="00126539" w:rsidRDefault="00126539" w:rsidP="009B5BD2">
            <w:pPr>
              <w:jc w:val="center"/>
              <w:rPr>
                <w:rFonts w:ascii="Times New Roman" w:hAnsi="Times New Roman" w:cs="Times New Roman"/>
                <w:sz w:val="24"/>
                <w:szCs w:val="24"/>
              </w:rPr>
            </w:pPr>
          </w:p>
        </w:tc>
      </w:tr>
    </w:tbl>
    <w:p w:rsidR="00126539" w:rsidRPr="00126539" w:rsidRDefault="00126539" w:rsidP="00126539">
      <w:pPr>
        <w:pStyle w:val="Odsekzoznamu"/>
        <w:spacing w:after="0" w:line="240" w:lineRule="auto"/>
        <w:ind w:left="0"/>
        <w:jc w:val="both"/>
        <w:rPr>
          <w:rFonts w:ascii="Times New Roman" w:hAnsi="Times New Roman" w:cs="Times New Roman"/>
          <w:b/>
          <w:sz w:val="16"/>
          <w:szCs w:val="16"/>
        </w:rPr>
      </w:pPr>
    </w:p>
    <w:p w:rsidR="00126539" w:rsidRPr="00126539" w:rsidRDefault="00126539" w:rsidP="00126539">
      <w:pPr>
        <w:pStyle w:val="Odsekzoznamu"/>
        <w:tabs>
          <w:tab w:val="left" w:pos="426"/>
        </w:tabs>
        <w:spacing w:after="0" w:line="240" w:lineRule="auto"/>
        <w:ind w:left="426" w:hanging="426"/>
        <w:jc w:val="both"/>
        <w:rPr>
          <w:rFonts w:ascii="Times New Roman" w:hAnsi="Times New Roman" w:cs="Times New Roman"/>
          <w:b/>
          <w:sz w:val="24"/>
          <w:szCs w:val="24"/>
        </w:rPr>
      </w:pPr>
      <w:r w:rsidRPr="00126539">
        <w:rPr>
          <w:rFonts w:ascii="Times New Roman" w:hAnsi="Times New Roman" w:cs="Times New Roman"/>
          <w:b/>
          <w:sz w:val="24"/>
          <w:szCs w:val="24"/>
        </w:rPr>
        <w:t xml:space="preserve">10. </w:t>
      </w:r>
      <w:r w:rsidRPr="00126539">
        <w:rPr>
          <w:rFonts w:ascii="Times New Roman" w:hAnsi="Times New Roman" w:cs="Times New Roman"/>
          <w:b/>
          <w:sz w:val="24"/>
          <w:szCs w:val="24"/>
        </w:rPr>
        <w:tab/>
        <w:t>Spôsob naloženia s vyjadreniami a návrhmi zapojených subjektov</w:t>
      </w:r>
    </w:p>
    <w:tbl>
      <w:tblPr>
        <w:tblStyle w:val="Mriekatabuky"/>
        <w:tblpPr w:leftFromText="141" w:rightFromText="141" w:vertAnchor="text" w:tblpY="1"/>
        <w:tblW w:w="5000" w:type="pct"/>
        <w:tblLayout w:type="fixed"/>
        <w:tblLook w:val="0400" w:firstRow="0" w:lastRow="0" w:firstColumn="0" w:lastColumn="0" w:noHBand="0" w:noVBand="1"/>
      </w:tblPr>
      <w:tblGrid>
        <w:gridCol w:w="5948"/>
        <w:gridCol w:w="3114"/>
      </w:tblGrid>
      <w:tr w:rsidR="00126539" w:rsidRPr="00126539" w:rsidTr="009B5BD2">
        <w:trPr>
          <w:trHeight w:val="552"/>
        </w:trPr>
        <w:tc>
          <w:tcPr>
            <w:tcW w:w="3282" w:type="pct"/>
            <w:vAlign w:val="center"/>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Okruh subjektov</w:t>
            </w:r>
          </w:p>
        </w:tc>
        <w:tc>
          <w:tcPr>
            <w:tcW w:w="1718" w:type="pct"/>
          </w:tcPr>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 xml:space="preserve">Prevažne </w:t>
            </w:r>
          </w:p>
          <w:p w:rsidR="00126539" w:rsidRPr="00126539" w:rsidRDefault="00126539" w:rsidP="009B5BD2">
            <w:pPr>
              <w:jc w:val="center"/>
              <w:rPr>
                <w:rFonts w:ascii="Times New Roman" w:hAnsi="Times New Roman" w:cs="Times New Roman"/>
                <w:sz w:val="24"/>
                <w:szCs w:val="24"/>
              </w:rPr>
            </w:pPr>
            <w:r w:rsidRPr="00126539">
              <w:rPr>
                <w:rFonts w:ascii="Times New Roman" w:hAnsi="Times New Roman" w:cs="Times New Roman"/>
                <w:sz w:val="24"/>
                <w:szCs w:val="24"/>
              </w:rPr>
              <w:t>akceptované / neakceptované</w:t>
            </w:r>
          </w:p>
        </w:tc>
      </w:tr>
      <w:tr w:rsidR="00126539" w:rsidRPr="00126539" w:rsidTr="009B5BD2">
        <w:trPr>
          <w:trHeight w:val="279"/>
        </w:trPr>
        <w:tc>
          <w:tcPr>
            <w:tcW w:w="3282"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Orgány verejnej správy</w:t>
            </w:r>
          </w:p>
        </w:tc>
        <w:tc>
          <w:tcPr>
            <w:tcW w:w="1718" w:type="pct"/>
          </w:tcPr>
          <w:p w:rsidR="00126539" w:rsidRPr="00126539" w:rsidRDefault="00703F2C" w:rsidP="009B5BD2">
            <w:pPr>
              <w:jc w:val="center"/>
              <w:rPr>
                <w:rFonts w:ascii="Times New Roman" w:hAnsi="Times New Roman" w:cs="Times New Roman"/>
                <w:sz w:val="24"/>
                <w:szCs w:val="24"/>
              </w:rPr>
            </w:pPr>
            <w:sdt>
              <w:sdtPr>
                <w:rPr>
                  <w:rFonts w:ascii="Times New Roman" w:hAnsi="Times New Roman" w:cs="Times New Roman"/>
                  <w:sz w:val="24"/>
                  <w:szCs w:val="24"/>
                </w:rPr>
                <w:id w:val="1417750559"/>
                <w14:checkbox>
                  <w14:checked w14:val="1"/>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r w:rsidR="00126539" w:rsidRPr="00126539">
              <w:rPr>
                <w:rFonts w:ascii="Times New Roman" w:hAnsi="Times New Roman" w:cs="Times New Roman"/>
                <w:sz w:val="24"/>
                <w:szCs w:val="24"/>
              </w:rPr>
              <w:t xml:space="preserve"> / </w:t>
            </w:r>
            <w:sdt>
              <w:sdtPr>
                <w:rPr>
                  <w:rFonts w:ascii="Times New Roman" w:hAnsi="Times New Roman" w:cs="Times New Roman"/>
                  <w:sz w:val="24"/>
                  <w:szCs w:val="24"/>
                </w:rPr>
                <w:id w:val="1917971478"/>
                <w14:checkbox>
                  <w14:checked w14:val="0"/>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p>
        </w:tc>
      </w:tr>
      <w:tr w:rsidR="00126539" w:rsidRPr="00126539" w:rsidTr="009B5BD2">
        <w:trPr>
          <w:trHeight w:val="227"/>
        </w:trPr>
        <w:tc>
          <w:tcPr>
            <w:tcW w:w="3282"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Záujmové združenia subjektov územnej samosprávy</w:t>
            </w:r>
          </w:p>
        </w:tc>
        <w:tc>
          <w:tcPr>
            <w:tcW w:w="1718" w:type="pct"/>
          </w:tcPr>
          <w:p w:rsidR="00126539" w:rsidRPr="00126539" w:rsidRDefault="00703F2C" w:rsidP="009B5BD2">
            <w:pPr>
              <w:jc w:val="center"/>
              <w:rPr>
                <w:rFonts w:ascii="Times New Roman" w:hAnsi="Times New Roman" w:cs="Times New Roman"/>
                <w:sz w:val="24"/>
                <w:szCs w:val="24"/>
              </w:rPr>
            </w:pPr>
            <w:sdt>
              <w:sdtPr>
                <w:rPr>
                  <w:rFonts w:ascii="Times New Roman" w:hAnsi="Times New Roman" w:cs="Times New Roman"/>
                  <w:sz w:val="24"/>
                  <w:szCs w:val="24"/>
                </w:rPr>
                <w:id w:val="-2064170476"/>
                <w14:checkbox>
                  <w14:checked w14:val="0"/>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r w:rsidR="00126539" w:rsidRPr="00126539">
              <w:rPr>
                <w:rFonts w:ascii="Times New Roman" w:hAnsi="Times New Roman" w:cs="Times New Roman"/>
                <w:sz w:val="24"/>
                <w:szCs w:val="24"/>
              </w:rPr>
              <w:t xml:space="preserve"> / </w:t>
            </w:r>
            <w:sdt>
              <w:sdtPr>
                <w:rPr>
                  <w:rFonts w:ascii="Times New Roman" w:hAnsi="Times New Roman" w:cs="Times New Roman"/>
                  <w:sz w:val="24"/>
                  <w:szCs w:val="24"/>
                </w:rPr>
                <w:id w:val="2094581883"/>
                <w14:checkbox>
                  <w14:checked w14:val="1"/>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p>
        </w:tc>
      </w:tr>
      <w:tr w:rsidR="00126539" w:rsidRPr="00126539" w:rsidTr="009B5BD2">
        <w:trPr>
          <w:trHeight w:val="331"/>
        </w:trPr>
        <w:tc>
          <w:tcPr>
            <w:tcW w:w="3282"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Podnikatelia a záujmové združenia podnikateľov</w:t>
            </w:r>
          </w:p>
        </w:tc>
        <w:tc>
          <w:tcPr>
            <w:tcW w:w="1718" w:type="pct"/>
          </w:tcPr>
          <w:p w:rsidR="00126539" w:rsidRPr="00126539" w:rsidRDefault="00703F2C" w:rsidP="009B5BD2">
            <w:pPr>
              <w:jc w:val="center"/>
              <w:rPr>
                <w:rFonts w:ascii="Times New Roman" w:hAnsi="Times New Roman" w:cs="Times New Roman"/>
                <w:sz w:val="24"/>
                <w:szCs w:val="24"/>
              </w:rPr>
            </w:pPr>
            <w:sdt>
              <w:sdtPr>
                <w:rPr>
                  <w:rFonts w:ascii="Times New Roman" w:hAnsi="Times New Roman" w:cs="Times New Roman"/>
                  <w:sz w:val="24"/>
                  <w:szCs w:val="24"/>
                </w:rPr>
                <w:id w:val="1877355734"/>
                <w14:checkbox>
                  <w14:checked w14:val="0"/>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r w:rsidR="00126539" w:rsidRPr="00126539">
              <w:rPr>
                <w:rFonts w:ascii="Times New Roman" w:hAnsi="Times New Roman" w:cs="Times New Roman"/>
                <w:sz w:val="24"/>
                <w:szCs w:val="24"/>
              </w:rPr>
              <w:t xml:space="preserve"> / </w:t>
            </w:r>
            <w:sdt>
              <w:sdtPr>
                <w:rPr>
                  <w:rFonts w:ascii="Times New Roman" w:hAnsi="Times New Roman" w:cs="Times New Roman"/>
                  <w:sz w:val="24"/>
                  <w:szCs w:val="24"/>
                </w:rPr>
                <w:id w:val="552283259"/>
                <w14:checkbox>
                  <w14:checked w14:val="1"/>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p>
        </w:tc>
      </w:tr>
      <w:tr w:rsidR="00126539" w:rsidRPr="00126539" w:rsidTr="009B5BD2">
        <w:trPr>
          <w:trHeight w:val="251"/>
        </w:trPr>
        <w:tc>
          <w:tcPr>
            <w:tcW w:w="3282" w:type="pct"/>
            <w:vAlign w:val="center"/>
            <w:hideMark/>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Mimovládne neziskové organizácie</w:t>
            </w:r>
            <w:r w:rsidRPr="00126539">
              <w:rPr>
                <w:rFonts w:ascii="Times New Roman" w:hAnsi="Times New Roman" w:cs="Times New Roman"/>
                <w:sz w:val="24"/>
                <w:szCs w:val="24"/>
                <w:vertAlign w:val="superscript"/>
              </w:rPr>
              <w:t>4</w:t>
            </w:r>
          </w:p>
        </w:tc>
        <w:tc>
          <w:tcPr>
            <w:tcW w:w="1718" w:type="pct"/>
          </w:tcPr>
          <w:p w:rsidR="00126539" w:rsidRPr="00126539" w:rsidRDefault="00703F2C" w:rsidP="009B5BD2">
            <w:pPr>
              <w:jc w:val="center"/>
              <w:rPr>
                <w:rFonts w:ascii="Times New Roman" w:hAnsi="Times New Roman" w:cs="Times New Roman"/>
                <w:sz w:val="24"/>
                <w:szCs w:val="24"/>
              </w:rPr>
            </w:pPr>
            <w:sdt>
              <w:sdtPr>
                <w:rPr>
                  <w:rFonts w:ascii="Times New Roman" w:hAnsi="Times New Roman" w:cs="Times New Roman"/>
                  <w:sz w:val="24"/>
                  <w:szCs w:val="24"/>
                </w:rPr>
                <w:id w:val="-1081367820"/>
                <w14:checkbox>
                  <w14:checked w14:val="0"/>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r w:rsidR="00126539" w:rsidRPr="00126539">
              <w:rPr>
                <w:rFonts w:ascii="Times New Roman" w:hAnsi="Times New Roman" w:cs="Times New Roman"/>
                <w:sz w:val="24"/>
                <w:szCs w:val="24"/>
              </w:rPr>
              <w:t xml:space="preserve"> / </w:t>
            </w:r>
            <w:sdt>
              <w:sdtPr>
                <w:rPr>
                  <w:rFonts w:ascii="Times New Roman" w:hAnsi="Times New Roman" w:cs="Times New Roman"/>
                  <w:sz w:val="24"/>
                  <w:szCs w:val="24"/>
                </w:rPr>
                <w:id w:val="134695533"/>
                <w14:checkbox>
                  <w14:checked w14:val="1"/>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p>
        </w:tc>
      </w:tr>
      <w:tr w:rsidR="00126539" w:rsidRPr="00126539" w:rsidTr="009B5BD2">
        <w:trPr>
          <w:trHeight w:val="227"/>
        </w:trPr>
        <w:tc>
          <w:tcPr>
            <w:tcW w:w="3282"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Akademická a vedecká obec</w:t>
            </w:r>
          </w:p>
        </w:tc>
        <w:tc>
          <w:tcPr>
            <w:tcW w:w="1718" w:type="pct"/>
          </w:tcPr>
          <w:p w:rsidR="00126539" w:rsidRPr="00126539" w:rsidRDefault="00703F2C" w:rsidP="009B5BD2">
            <w:pPr>
              <w:jc w:val="center"/>
              <w:rPr>
                <w:rFonts w:ascii="Times New Roman" w:hAnsi="Times New Roman" w:cs="Times New Roman"/>
                <w:sz w:val="24"/>
                <w:szCs w:val="24"/>
              </w:rPr>
            </w:pPr>
            <w:sdt>
              <w:sdtPr>
                <w:rPr>
                  <w:rFonts w:ascii="Times New Roman" w:hAnsi="Times New Roman" w:cs="Times New Roman"/>
                  <w:sz w:val="24"/>
                  <w:szCs w:val="24"/>
                </w:rPr>
                <w:id w:val="-2042899791"/>
                <w14:checkbox>
                  <w14:checked w14:val="1"/>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r w:rsidR="00126539" w:rsidRPr="00126539">
              <w:rPr>
                <w:rFonts w:ascii="Times New Roman" w:hAnsi="Times New Roman" w:cs="Times New Roman"/>
                <w:sz w:val="24"/>
                <w:szCs w:val="24"/>
              </w:rPr>
              <w:t xml:space="preserve"> / </w:t>
            </w:r>
            <w:sdt>
              <w:sdtPr>
                <w:rPr>
                  <w:rFonts w:ascii="Times New Roman" w:hAnsi="Times New Roman" w:cs="Times New Roman"/>
                  <w:sz w:val="24"/>
                  <w:szCs w:val="24"/>
                </w:rPr>
                <w:id w:val="598914277"/>
                <w14:checkbox>
                  <w14:checked w14:val="0"/>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p>
        </w:tc>
      </w:tr>
      <w:tr w:rsidR="00126539" w:rsidRPr="00126539" w:rsidTr="009B5BD2">
        <w:trPr>
          <w:trHeight w:val="189"/>
        </w:trPr>
        <w:tc>
          <w:tcPr>
            <w:tcW w:w="3282"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Cirkvi a náboženské spoločnosti</w:t>
            </w:r>
          </w:p>
        </w:tc>
        <w:tc>
          <w:tcPr>
            <w:tcW w:w="1718" w:type="pct"/>
          </w:tcPr>
          <w:p w:rsidR="00126539" w:rsidRPr="00126539" w:rsidRDefault="00703F2C" w:rsidP="009B5BD2">
            <w:pPr>
              <w:jc w:val="center"/>
              <w:rPr>
                <w:rFonts w:ascii="Times New Roman" w:hAnsi="Times New Roman" w:cs="Times New Roman"/>
                <w:sz w:val="24"/>
                <w:szCs w:val="24"/>
              </w:rPr>
            </w:pPr>
            <w:sdt>
              <w:sdtPr>
                <w:rPr>
                  <w:rFonts w:ascii="Times New Roman" w:hAnsi="Times New Roman" w:cs="Times New Roman"/>
                  <w:sz w:val="24"/>
                  <w:szCs w:val="24"/>
                </w:rPr>
                <w:id w:val="225969063"/>
                <w14:checkbox>
                  <w14:checked w14:val="0"/>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r w:rsidR="00126539" w:rsidRPr="00126539">
              <w:rPr>
                <w:rFonts w:ascii="Times New Roman" w:hAnsi="Times New Roman" w:cs="Times New Roman"/>
                <w:sz w:val="24"/>
                <w:szCs w:val="24"/>
              </w:rPr>
              <w:t xml:space="preserve"> / </w:t>
            </w:r>
            <w:sdt>
              <w:sdtPr>
                <w:rPr>
                  <w:rFonts w:ascii="Times New Roman" w:hAnsi="Times New Roman" w:cs="Times New Roman"/>
                  <w:sz w:val="24"/>
                  <w:szCs w:val="24"/>
                </w:rPr>
                <w:id w:val="-1296285607"/>
                <w14:checkbox>
                  <w14:checked w14:val="0"/>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p>
        </w:tc>
      </w:tr>
      <w:tr w:rsidR="00126539" w:rsidRPr="00126539" w:rsidTr="009B5BD2">
        <w:trPr>
          <w:trHeight w:val="124"/>
        </w:trPr>
        <w:tc>
          <w:tcPr>
            <w:tcW w:w="3282" w:type="pct"/>
            <w:vAlign w:val="center"/>
          </w:tcPr>
          <w:p w:rsidR="00126539" w:rsidRPr="00126539" w:rsidRDefault="00126539" w:rsidP="009B5BD2">
            <w:pPr>
              <w:rPr>
                <w:rFonts w:ascii="Times New Roman" w:hAnsi="Times New Roman" w:cs="Times New Roman"/>
                <w:sz w:val="24"/>
                <w:szCs w:val="24"/>
              </w:rPr>
            </w:pPr>
            <w:r w:rsidRPr="00126539">
              <w:rPr>
                <w:rFonts w:ascii="Times New Roman" w:hAnsi="Times New Roman" w:cs="Times New Roman"/>
                <w:sz w:val="24"/>
                <w:szCs w:val="24"/>
              </w:rPr>
              <w:t>Iné:</w:t>
            </w:r>
            <w:r w:rsidRPr="00126539">
              <w:rPr>
                <w:rFonts w:ascii="Times New Roman" w:hAnsi="Times New Roman" w:cs="Times New Roman"/>
                <w:sz w:val="24"/>
                <w:szCs w:val="24"/>
                <w:vertAlign w:val="superscript"/>
              </w:rPr>
              <w:t>1</w:t>
            </w:r>
          </w:p>
        </w:tc>
        <w:tc>
          <w:tcPr>
            <w:tcW w:w="1718" w:type="pct"/>
          </w:tcPr>
          <w:p w:rsidR="00126539" w:rsidRPr="00126539" w:rsidRDefault="00703F2C" w:rsidP="009B5BD2">
            <w:pPr>
              <w:jc w:val="center"/>
              <w:rPr>
                <w:rFonts w:ascii="Times New Roman" w:hAnsi="Times New Roman" w:cs="Times New Roman"/>
                <w:sz w:val="24"/>
                <w:szCs w:val="24"/>
              </w:rPr>
            </w:pPr>
            <w:sdt>
              <w:sdtPr>
                <w:rPr>
                  <w:rFonts w:ascii="Times New Roman" w:hAnsi="Times New Roman" w:cs="Times New Roman"/>
                  <w:sz w:val="24"/>
                  <w:szCs w:val="24"/>
                </w:rPr>
                <w:id w:val="-354426810"/>
                <w14:checkbox>
                  <w14:checked w14:val="0"/>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r w:rsidR="00126539" w:rsidRPr="00126539">
              <w:rPr>
                <w:rFonts w:ascii="Times New Roman" w:hAnsi="Times New Roman" w:cs="Times New Roman"/>
                <w:sz w:val="24"/>
                <w:szCs w:val="24"/>
              </w:rPr>
              <w:t xml:space="preserve"> / </w:t>
            </w:r>
            <w:sdt>
              <w:sdtPr>
                <w:rPr>
                  <w:rFonts w:ascii="Times New Roman" w:hAnsi="Times New Roman" w:cs="Times New Roman"/>
                  <w:sz w:val="24"/>
                  <w:szCs w:val="24"/>
                </w:rPr>
                <w:id w:val="1359389133"/>
                <w14:checkbox>
                  <w14:checked w14:val="0"/>
                  <w14:checkedState w14:val="2612" w14:font="MS Gothic"/>
                  <w14:uncheckedState w14:val="2610" w14:font="MS Gothic"/>
                </w14:checkbox>
              </w:sdtPr>
              <w:sdtEndPr/>
              <w:sdtContent>
                <w:r w:rsidR="00126539" w:rsidRPr="00126539">
                  <w:rPr>
                    <w:rFonts w:ascii="Segoe UI Symbol" w:eastAsia="MS Gothic" w:hAnsi="Segoe UI Symbol" w:cs="Segoe UI Symbol"/>
                    <w:sz w:val="24"/>
                    <w:szCs w:val="24"/>
                  </w:rPr>
                  <w:t>☐</w:t>
                </w:r>
              </w:sdtContent>
            </w:sdt>
          </w:p>
        </w:tc>
      </w:tr>
    </w:tbl>
    <w:p w:rsidR="00126539" w:rsidRPr="00126539" w:rsidRDefault="00126539" w:rsidP="00126539">
      <w:pPr>
        <w:pStyle w:val="Odsekzoznamu"/>
        <w:spacing w:after="0" w:line="240" w:lineRule="auto"/>
        <w:ind w:left="0"/>
        <w:rPr>
          <w:rFonts w:ascii="Times New Roman" w:hAnsi="Times New Roman" w:cs="Times New Roman"/>
          <w:b/>
          <w:sz w:val="24"/>
          <w:szCs w:val="24"/>
        </w:rPr>
      </w:pPr>
      <w:r w:rsidRPr="00126539">
        <w:rPr>
          <w:rFonts w:ascii="Times New Roman" w:hAnsi="Times New Roman" w:cs="Times New Roman"/>
          <w:b/>
          <w:sz w:val="24"/>
          <w:szCs w:val="24"/>
        </w:rPr>
        <w:t>Odôvodnenie:</w:t>
      </w:r>
      <w:r w:rsidRPr="00126539">
        <w:rPr>
          <w:rFonts w:ascii="Times New Roman" w:hAnsi="Times New Roman" w:cs="Times New Roman"/>
          <w:sz w:val="24"/>
          <w:szCs w:val="24"/>
          <w:vertAlign w:val="superscript"/>
        </w:rPr>
        <w:t>1</w:t>
      </w:r>
      <w:r w:rsidRPr="00126539">
        <w:rPr>
          <w:rFonts w:ascii="Times New Roman" w:hAnsi="Times New Roman" w:cs="Times New Roman"/>
          <w:sz w:val="24"/>
          <w:szCs w:val="24"/>
        </w:rPr>
        <w:t xml:space="preserve"> </w:t>
      </w:r>
    </w:p>
    <w:p w:rsidR="00126539" w:rsidRPr="00126539" w:rsidRDefault="00126539" w:rsidP="00126539">
      <w:pPr>
        <w:pStyle w:val="Odsekzoznamu"/>
        <w:spacing w:after="0" w:line="240" w:lineRule="auto"/>
        <w:ind w:left="0"/>
        <w:rPr>
          <w:rFonts w:ascii="Times New Roman" w:hAnsi="Times New Roman" w:cs="Times New Roman"/>
          <w:b/>
          <w:sz w:val="16"/>
          <w:szCs w:val="16"/>
        </w:rPr>
      </w:pPr>
    </w:p>
    <w:p w:rsidR="00126539" w:rsidRPr="00126539" w:rsidRDefault="00126539" w:rsidP="00126539">
      <w:pPr>
        <w:pStyle w:val="Odsekzoznamu"/>
        <w:tabs>
          <w:tab w:val="left" w:pos="426"/>
        </w:tabs>
        <w:spacing w:after="0" w:line="240" w:lineRule="auto"/>
        <w:ind w:left="0"/>
        <w:rPr>
          <w:rFonts w:ascii="Times New Roman" w:hAnsi="Times New Roman" w:cs="Times New Roman"/>
          <w:b/>
          <w:sz w:val="24"/>
          <w:szCs w:val="24"/>
        </w:rPr>
      </w:pPr>
      <w:r w:rsidRPr="00126539">
        <w:rPr>
          <w:rFonts w:ascii="Times New Roman" w:hAnsi="Times New Roman" w:cs="Times New Roman"/>
          <w:b/>
          <w:sz w:val="24"/>
          <w:szCs w:val="24"/>
        </w:rPr>
        <w:t>11.</w:t>
      </w:r>
      <w:r w:rsidRPr="00126539">
        <w:rPr>
          <w:rFonts w:ascii="Times New Roman" w:hAnsi="Times New Roman" w:cs="Times New Roman"/>
          <w:b/>
          <w:sz w:val="24"/>
          <w:szCs w:val="24"/>
        </w:rPr>
        <w:tab/>
        <w:t>Vyhodnotenie účasti verejnosti na tvorbe právneho predpisu predkladateľom:</w:t>
      </w:r>
      <w:r w:rsidRPr="00126539">
        <w:rPr>
          <w:rFonts w:ascii="Times New Roman" w:hAnsi="Times New Roman" w:cs="Times New Roman"/>
          <w:sz w:val="24"/>
          <w:szCs w:val="24"/>
          <w:vertAlign w:val="superscript"/>
        </w:rPr>
        <w:t>1</w:t>
      </w:r>
    </w:p>
    <w:p w:rsidR="00126539" w:rsidRPr="00126539" w:rsidRDefault="00126539" w:rsidP="00126539">
      <w:pPr>
        <w:pStyle w:val="Odsekzoznamu"/>
        <w:spacing w:after="0" w:line="240" w:lineRule="auto"/>
        <w:ind w:left="0"/>
        <w:rPr>
          <w:rFonts w:ascii="Times New Roman" w:hAnsi="Times New Roman" w:cs="Times New Roman"/>
          <w:sz w:val="24"/>
          <w:szCs w:val="24"/>
        </w:rPr>
      </w:pPr>
    </w:p>
    <w:p w:rsidR="00126539" w:rsidRPr="00126539" w:rsidRDefault="00126539" w:rsidP="00126539">
      <w:pPr>
        <w:pStyle w:val="Odsekzoznamu"/>
        <w:spacing w:after="0" w:line="240" w:lineRule="auto"/>
        <w:ind w:left="0"/>
        <w:rPr>
          <w:rFonts w:ascii="Times New Roman" w:hAnsi="Times New Roman" w:cs="Times New Roman"/>
          <w:szCs w:val="20"/>
        </w:rPr>
      </w:pPr>
    </w:p>
    <w:p w:rsidR="00126539" w:rsidRPr="00126539" w:rsidRDefault="00126539" w:rsidP="00126539">
      <w:pPr>
        <w:pStyle w:val="Odsekzoznamu"/>
        <w:spacing w:after="0" w:line="240" w:lineRule="auto"/>
        <w:ind w:left="0"/>
        <w:rPr>
          <w:rFonts w:ascii="Times New Roman" w:hAnsi="Times New Roman" w:cs="Times New Roman"/>
          <w:szCs w:val="20"/>
        </w:rPr>
      </w:pPr>
    </w:p>
    <w:p w:rsidR="00126539" w:rsidRPr="00126539" w:rsidRDefault="00126539" w:rsidP="00126539">
      <w:pPr>
        <w:pStyle w:val="Odsekzoznamu"/>
        <w:spacing w:after="0" w:line="240" w:lineRule="auto"/>
        <w:ind w:left="0"/>
        <w:rPr>
          <w:rFonts w:ascii="Times New Roman" w:hAnsi="Times New Roman" w:cs="Times New Roman"/>
          <w:b/>
          <w:sz w:val="23"/>
          <w:szCs w:val="23"/>
        </w:rPr>
      </w:pPr>
      <w:r w:rsidRPr="00126539">
        <w:rPr>
          <w:rFonts w:ascii="Times New Roman" w:hAnsi="Times New Roman" w:cs="Times New Roman"/>
          <w:b/>
          <w:sz w:val="23"/>
          <w:szCs w:val="23"/>
        </w:rPr>
        <w:t>Vysvetlivky:</w:t>
      </w:r>
    </w:p>
    <w:p w:rsidR="00126539" w:rsidRPr="00126539" w:rsidRDefault="00126539" w:rsidP="00126539">
      <w:pPr>
        <w:pStyle w:val="Textpoznmkypodiarou"/>
        <w:tabs>
          <w:tab w:val="left" w:pos="284"/>
        </w:tabs>
        <w:jc w:val="both"/>
        <w:rPr>
          <w:sz w:val="23"/>
          <w:szCs w:val="23"/>
        </w:rPr>
      </w:pPr>
      <w:r w:rsidRPr="00126539">
        <w:rPr>
          <w:sz w:val="23"/>
          <w:szCs w:val="23"/>
        </w:rPr>
        <w:t>1</w:t>
      </w:r>
      <w:r w:rsidRPr="00126539">
        <w:rPr>
          <w:sz w:val="23"/>
          <w:szCs w:val="23"/>
        </w:rPr>
        <w:tab/>
        <w:t xml:space="preserve">Vypĺňa sa nepovinne, ak sa predkladateľ rozhodne nepovinné údaje vyplniť, uvedie ich slovne. </w:t>
      </w:r>
    </w:p>
    <w:p w:rsidR="00126539" w:rsidRPr="00126539" w:rsidRDefault="00126539" w:rsidP="00126539">
      <w:pPr>
        <w:pStyle w:val="Textpoznmkypodiarou"/>
        <w:tabs>
          <w:tab w:val="left" w:pos="284"/>
        </w:tabs>
        <w:jc w:val="both"/>
        <w:rPr>
          <w:sz w:val="23"/>
          <w:szCs w:val="23"/>
        </w:rPr>
      </w:pPr>
      <w:r w:rsidRPr="00126539">
        <w:rPr>
          <w:sz w:val="23"/>
          <w:szCs w:val="23"/>
        </w:rPr>
        <w:t>2</w:t>
      </w:r>
      <w:r w:rsidRPr="00126539">
        <w:rPr>
          <w:sz w:val="23"/>
          <w:szCs w:val="23"/>
        </w:rPr>
        <w:tab/>
        <w:t>Prostredníctvom právneho a informačného portálu Slov-Lex.</w:t>
      </w:r>
    </w:p>
    <w:p w:rsidR="00126539" w:rsidRPr="00126539" w:rsidRDefault="00126539" w:rsidP="00126539">
      <w:pPr>
        <w:pStyle w:val="Textpoznmkypodiarou"/>
        <w:tabs>
          <w:tab w:val="left" w:pos="284"/>
        </w:tabs>
        <w:jc w:val="both"/>
        <w:rPr>
          <w:sz w:val="23"/>
          <w:szCs w:val="23"/>
        </w:rPr>
      </w:pPr>
      <w:r w:rsidRPr="00126539">
        <w:rPr>
          <w:rStyle w:val="Odkaznapoznmkupodiarou"/>
          <w:sz w:val="23"/>
          <w:szCs w:val="23"/>
        </w:rPr>
        <w:t>3</w:t>
      </w:r>
      <w:r w:rsidRPr="00126539">
        <w:rPr>
          <w:rStyle w:val="Odkaznapoznmkupodiarou"/>
          <w:sz w:val="23"/>
          <w:szCs w:val="23"/>
        </w:rPr>
        <w:tab/>
      </w:r>
      <w:r w:rsidRPr="00126539">
        <w:rPr>
          <w:sz w:val="23"/>
          <w:szCs w:val="23"/>
        </w:rPr>
        <w:t>Podľa Jednotnej metodiky na posudzovanie vybraných vplyvov a podľa § 2 zákona o tripartite.</w:t>
      </w:r>
    </w:p>
    <w:p w:rsidR="00126539" w:rsidRPr="00126539" w:rsidRDefault="00126539" w:rsidP="00126539">
      <w:pPr>
        <w:pStyle w:val="Textpoznmkypodiarou"/>
        <w:tabs>
          <w:tab w:val="left" w:pos="284"/>
        </w:tabs>
        <w:jc w:val="both"/>
      </w:pPr>
      <w:r w:rsidRPr="00126539">
        <w:rPr>
          <w:sz w:val="23"/>
          <w:szCs w:val="23"/>
        </w:rPr>
        <w:t>4</w:t>
      </w:r>
      <w:r w:rsidRPr="00126539">
        <w:rPr>
          <w:sz w:val="23"/>
          <w:szCs w:val="23"/>
        </w:rPr>
        <w:tab/>
        <w:t>Vrátane odborových organizácií a ich združení.</w:t>
      </w:r>
    </w:p>
    <w:sectPr w:rsidR="00126539" w:rsidRPr="00126539" w:rsidSect="001E3562">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F2C" w:rsidRDefault="00703F2C" w:rsidP="001B23B7">
      <w:pPr>
        <w:spacing w:after="0" w:line="240" w:lineRule="auto"/>
      </w:pPr>
      <w:r>
        <w:separator/>
      </w:r>
    </w:p>
  </w:endnote>
  <w:endnote w:type="continuationSeparator" w:id="0">
    <w:p w:rsidR="00703F2C" w:rsidRDefault="00703F2C"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Math">
    <w:altName w:val="Palatino Linotype"/>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26152"/>
      <w:docPartObj>
        <w:docPartGallery w:val="Page Numbers (Bottom of Page)"/>
        <w:docPartUnique/>
      </w:docPartObj>
    </w:sdtPr>
    <w:sdtEndPr/>
    <w:sdtContent>
      <w:p w:rsidR="00EA4C15" w:rsidRDefault="00EA4C15">
        <w:pPr>
          <w:pStyle w:val="Pta"/>
          <w:jc w:val="center"/>
        </w:pPr>
        <w:r>
          <w:fldChar w:fldCharType="begin"/>
        </w:r>
        <w:r>
          <w:instrText>PAGE   \* MERGEFORMAT</w:instrText>
        </w:r>
        <w:r>
          <w:fldChar w:fldCharType="separate"/>
        </w:r>
        <w:r w:rsidR="0086317B">
          <w:rPr>
            <w:noProof/>
          </w:rPr>
          <w:t>10</w:t>
        </w:r>
        <w:r>
          <w:fldChar w:fldCharType="end"/>
        </w:r>
      </w:p>
    </w:sdtContent>
  </w:sdt>
  <w:p w:rsidR="00126539" w:rsidRDefault="0012653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501"/>
      <w:docPartObj>
        <w:docPartGallery w:val="Page Numbers (Bottom of Page)"/>
        <w:docPartUnique/>
      </w:docPartObj>
    </w:sdtPr>
    <w:sdtEndPr/>
    <w:sdtContent>
      <w:p w:rsidR="00EA4C15" w:rsidRDefault="00EA4C15">
        <w:pPr>
          <w:pStyle w:val="Pta"/>
          <w:jc w:val="center"/>
        </w:pPr>
        <w:r>
          <w:fldChar w:fldCharType="begin"/>
        </w:r>
        <w:r>
          <w:instrText>PAGE   \* MERGEFORMAT</w:instrText>
        </w:r>
        <w:r>
          <w:fldChar w:fldCharType="separate"/>
        </w:r>
        <w:r w:rsidR="0086317B">
          <w:rPr>
            <w:noProof/>
          </w:rPr>
          <w:t>11</w:t>
        </w:r>
        <w:r>
          <w:fldChar w:fldCharType="end"/>
        </w:r>
      </w:p>
    </w:sdtContent>
  </w:sdt>
  <w:p w:rsidR="00126539" w:rsidRPr="00126539" w:rsidRDefault="00126539" w:rsidP="00EA4C15">
    <w:pPr>
      <w:pStyle w:val="Pta"/>
      <w:tabs>
        <w:tab w:val="clear" w:pos="4536"/>
        <w:tab w:val="clear" w:pos="9072"/>
        <w:tab w:val="left" w:pos="274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20078"/>
      <w:docPartObj>
        <w:docPartGallery w:val="Page Numbers (Bottom of Page)"/>
        <w:docPartUnique/>
      </w:docPartObj>
    </w:sdtPr>
    <w:sdtEndPr/>
    <w:sdtContent>
      <w:p w:rsidR="00EA4C15" w:rsidRDefault="00EA4C15">
        <w:pPr>
          <w:pStyle w:val="Pta"/>
          <w:jc w:val="center"/>
        </w:pPr>
        <w:r>
          <w:fldChar w:fldCharType="begin"/>
        </w:r>
        <w:r>
          <w:instrText>PAGE   \* MERGEFORMAT</w:instrText>
        </w:r>
        <w:r>
          <w:fldChar w:fldCharType="separate"/>
        </w:r>
        <w:r w:rsidR="0086317B">
          <w:rPr>
            <w:noProof/>
          </w:rPr>
          <w:t>19</w:t>
        </w:r>
        <w:r>
          <w:fldChar w:fldCharType="end"/>
        </w:r>
      </w:p>
    </w:sdtContent>
  </w:sdt>
  <w:p w:rsidR="00126539" w:rsidRPr="00126539" w:rsidRDefault="00126539" w:rsidP="0012653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449888"/>
      <w:docPartObj>
        <w:docPartGallery w:val="Page Numbers (Bottom of Page)"/>
        <w:docPartUnique/>
      </w:docPartObj>
    </w:sdtPr>
    <w:sdtEndPr/>
    <w:sdtContent>
      <w:p w:rsidR="00EA4C15" w:rsidRDefault="00EA4C15">
        <w:pPr>
          <w:pStyle w:val="Pta"/>
          <w:jc w:val="center"/>
        </w:pPr>
        <w:r>
          <w:fldChar w:fldCharType="begin"/>
        </w:r>
        <w:r>
          <w:instrText>PAGE   \* MERGEFORMAT</w:instrText>
        </w:r>
        <w:r>
          <w:fldChar w:fldCharType="separate"/>
        </w:r>
        <w:r w:rsidR="0086317B">
          <w:rPr>
            <w:noProof/>
          </w:rPr>
          <w:t>24</w:t>
        </w:r>
        <w:r>
          <w:fldChar w:fldCharType="end"/>
        </w:r>
      </w:p>
    </w:sdtContent>
  </w:sdt>
  <w:p w:rsidR="008F4907" w:rsidRDefault="008F49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F2C" w:rsidRDefault="00703F2C" w:rsidP="001B23B7">
      <w:pPr>
        <w:spacing w:after="0" w:line="240" w:lineRule="auto"/>
      </w:pPr>
      <w:r>
        <w:separator/>
      </w:r>
    </w:p>
  </w:footnote>
  <w:footnote w:type="continuationSeparator" w:id="0">
    <w:p w:rsidR="00703F2C" w:rsidRDefault="00703F2C"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39" w:rsidRPr="00126539" w:rsidRDefault="00126539" w:rsidP="0012653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39" w:rsidRPr="00433C47" w:rsidRDefault="00126539"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8B10689"/>
    <w:multiLevelType w:val="hybridMultilevel"/>
    <w:tmpl w:val="4EB63668"/>
    <w:lvl w:ilvl="0" w:tplc="E4E257D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507688"/>
    <w:multiLevelType w:val="hybridMultilevel"/>
    <w:tmpl w:val="F1563A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637BB5"/>
    <w:multiLevelType w:val="hybridMultilevel"/>
    <w:tmpl w:val="B8484CDC"/>
    <w:lvl w:ilvl="0" w:tplc="40E61CE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C01F69"/>
    <w:multiLevelType w:val="hybridMultilevel"/>
    <w:tmpl w:val="25AA73C2"/>
    <w:lvl w:ilvl="0" w:tplc="E366538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6771FCB"/>
    <w:multiLevelType w:val="hybridMultilevel"/>
    <w:tmpl w:val="889A193C"/>
    <w:lvl w:ilvl="0" w:tplc="241A5E5C">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39DF5967"/>
    <w:multiLevelType w:val="hybridMultilevel"/>
    <w:tmpl w:val="6682E9B0"/>
    <w:lvl w:ilvl="0" w:tplc="8B4EB8B6">
      <w:start w:val="1"/>
      <w:numFmt w:val="lowerLetter"/>
      <w:lvlText w:val="%1)"/>
      <w:lvlJc w:val="left"/>
      <w:pPr>
        <w:ind w:left="360" w:hanging="360"/>
      </w:pPr>
      <w:rPr>
        <w:rFonts w:ascii="Times" w:hAnsi="Times" w:cs="Times" w:hint="default"/>
        <w:i/>
        <w:sz w:val="25"/>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D0352D4"/>
    <w:multiLevelType w:val="hybridMultilevel"/>
    <w:tmpl w:val="D5D2854E"/>
    <w:lvl w:ilvl="0" w:tplc="509A8C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51F6C06"/>
    <w:multiLevelType w:val="hybridMultilevel"/>
    <w:tmpl w:val="3230AAE6"/>
    <w:lvl w:ilvl="0" w:tplc="CCC099D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B1B73AF"/>
    <w:multiLevelType w:val="hybridMultilevel"/>
    <w:tmpl w:val="E4B468CC"/>
    <w:lvl w:ilvl="0" w:tplc="6E7AA46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FDF0B12"/>
    <w:multiLevelType w:val="hybridMultilevel"/>
    <w:tmpl w:val="B45824F4"/>
    <w:lvl w:ilvl="0" w:tplc="CCC099DA">
      <w:start w:val="4"/>
      <w:numFmt w:val="bullet"/>
      <w:lvlText w:val="-"/>
      <w:lvlJc w:val="left"/>
      <w:pPr>
        <w:ind w:left="170" w:hanging="17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732D64E0"/>
    <w:multiLevelType w:val="hybridMultilevel"/>
    <w:tmpl w:val="811A5C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7C059BE"/>
    <w:multiLevelType w:val="hybridMultilevel"/>
    <w:tmpl w:val="312EF82A"/>
    <w:lvl w:ilvl="0" w:tplc="36F0172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B7053EC"/>
    <w:multiLevelType w:val="hybridMultilevel"/>
    <w:tmpl w:val="35D82B8C"/>
    <w:lvl w:ilvl="0" w:tplc="71DC818C">
      <w:start w:val="3"/>
      <w:numFmt w:val="bullet"/>
      <w:lvlText w:val="-"/>
      <w:lvlJc w:val="left"/>
      <w:pPr>
        <w:ind w:left="720" w:hanging="360"/>
      </w:pPr>
      <w:rPr>
        <w:rFonts w:ascii="Times" w:eastAsia="Times New Roman" w:hAnsi="Time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5"/>
  </w:num>
  <w:num w:numId="2">
    <w:abstractNumId w:val="5"/>
  </w:num>
  <w:num w:numId="3">
    <w:abstractNumId w:val="10"/>
  </w:num>
  <w:num w:numId="4">
    <w:abstractNumId w:val="7"/>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2"/>
  </w:num>
  <w:num w:numId="10">
    <w:abstractNumId w:val="8"/>
  </w:num>
  <w:num w:numId="11">
    <w:abstractNumId w:val="0"/>
  </w:num>
  <w:num w:numId="12">
    <w:abstractNumId w:val="11"/>
  </w:num>
  <w:num w:numId="13">
    <w:abstractNumId w:val="6"/>
  </w:num>
  <w:num w:numId="14">
    <w:abstractNumId w:val="14"/>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14C3D"/>
    <w:rsid w:val="00043706"/>
    <w:rsid w:val="00065FB3"/>
    <w:rsid w:val="00077A78"/>
    <w:rsid w:val="00097069"/>
    <w:rsid w:val="000A615A"/>
    <w:rsid w:val="000D348F"/>
    <w:rsid w:val="000F1E93"/>
    <w:rsid w:val="000F2BE9"/>
    <w:rsid w:val="00113AE4"/>
    <w:rsid w:val="00126539"/>
    <w:rsid w:val="00150530"/>
    <w:rsid w:val="00150ED2"/>
    <w:rsid w:val="001674E3"/>
    <w:rsid w:val="00187182"/>
    <w:rsid w:val="001B23B7"/>
    <w:rsid w:val="001E0A8B"/>
    <w:rsid w:val="001E3562"/>
    <w:rsid w:val="00203EE3"/>
    <w:rsid w:val="002243BB"/>
    <w:rsid w:val="0023360B"/>
    <w:rsid w:val="00243652"/>
    <w:rsid w:val="002B48EC"/>
    <w:rsid w:val="002C3EC8"/>
    <w:rsid w:val="002C4B93"/>
    <w:rsid w:val="002F582D"/>
    <w:rsid w:val="003002F2"/>
    <w:rsid w:val="003145AE"/>
    <w:rsid w:val="00352FDB"/>
    <w:rsid w:val="003A057B"/>
    <w:rsid w:val="003B0DC0"/>
    <w:rsid w:val="003E5A30"/>
    <w:rsid w:val="00411898"/>
    <w:rsid w:val="00413726"/>
    <w:rsid w:val="00413A6A"/>
    <w:rsid w:val="004309A8"/>
    <w:rsid w:val="00434D67"/>
    <w:rsid w:val="004437EE"/>
    <w:rsid w:val="0049476D"/>
    <w:rsid w:val="004A4383"/>
    <w:rsid w:val="004C6831"/>
    <w:rsid w:val="004E7C1F"/>
    <w:rsid w:val="004F1105"/>
    <w:rsid w:val="0054764E"/>
    <w:rsid w:val="00562595"/>
    <w:rsid w:val="00591EC6"/>
    <w:rsid w:val="00591ED3"/>
    <w:rsid w:val="00601B10"/>
    <w:rsid w:val="0068584C"/>
    <w:rsid w:val="006F678E"/>
    <w:rsid w:val="006F6B62"/>
    <w:rsid w:val="00703F2C"/>
    <w:rsid w:val="00720322"/>
    <w:rsid w:val="0075197E"/>
    <w:rsid w:val="00761208"/>
    <w:rsid w:val="0077073C"/>
    <w:rsid w:val="007756BE"/>
    <w:rsid w:val="007B40C1"/>
    <w:rsid w:val="007E4136"/>
    <w:rsid w:val="008301B7"/>
    <w:rsid w:val="0086317B"/>
    <w:rsid w:val="00865E81"/>
    <w:rsid w:val="00871EF5"/>
    <w:rsid w:val="008801B5"/>
    <w:rsid w:val="00881E07"/>
    <w:rsid w:val="008A3993"/>
    <w:rsid w:val="008B222D"/>
    <w:rsid w:val="008C611D"/>
    <w:rsid w:val="008C79B7"/>
    <w:rsid w:val="008F1BF3"/>
    <w:rsid w:val="008F4907"/>
    <w:rsid w:val="00934FF9"/>
    <w:rsid w:val="009431E3"/>
    <w:rsid w:val="009475F5"/>
    <w:rsid w:val="00967ECB"/>
    <w:rsid w:val="009717F5"/>
    <w:rsid w:val="009C424C"/>
    <w:rsid w:val="009D2FF7"/>
    <w:rsid w:val="009E09F7"/>
    <w:rsid w:val="009F4832"/>
    <w:rsid w:val="00A117B8"/>
    <w:rsid w:val="00A340BB"/>
    <w:rsid w:val="00A35AAC"/>
    <w:rsid w:val="00A37292"/>
    <w:rsid w:val="00A7788F"/>
    <w:rsid w:val="00A83A51"/>
    <w:rsid w:val="00AC30D6"/>
    <w:rsid w:val="00AD13F3"/>
    <w:rsid w:val="00AE428C"/>
    <w:rsid w:val="00AE7FA7"/>
    <w:rsid w:val="00B17842"/>
    <w:rsid w:val="00B249B1"/>
    <w:rsid w:val="00B5265E"/>
    <w:rsid w:val="00B547F5"/>
    <w:rsid w:val="00B81403"/>
    <w:rsid w:val="00B82DFC"/>
    <w:rsid w:val="00B84F87"/>
    <w:rsid w:val="00BA2BF4"/>
    <w:rsid w:val="00BB4980"/>
    <w:rsid w:val="00BB5F26"/>
    <w:rsid w:val="00BF35F4"/>
    <w:rsid w:val="00BF7A60"/>
    <w:rsid w:val="00C1596C"/>
    <w:rsid w:val="00C44DEB"/>
    <w:rsid w:val="00C730FA"/>
    <w:rsid w:val="00CA134D"/>
    <w:rsid w:val="00CE6AAE"/>
    <w:rsid w:val="00CF1A25"/>
    <w:rsid w:val="00D2313B"/>
    <w:rsid w:val="00D35CD0"/>
    <w:rsid w:val="00D50F1E"/>
    <w:rsid w:val="00D53B91"/>
    <w:rsid w:val="00D56FFE"/>
    <w:rsid w:val="00D622C3"/>
    <w:rsid w:val="00D62F34"/>
    <w:rsid w:val="00D75435"/>
    <w:rsid w:val="00D768FB"/>
    <w:rsid w:val="00DB6C53"/>
    <w:rsid w:val="00DC36B2"/>
    <w:rsid w:val="00DD5A1A"/>
    <w:rsid w:val="00DE2B8F"/>
    <w:rsid w:val="00DF357C"/>
    <w:rsid w:val="00E12184"/>
    <w:rsid w:val="00E52C13"/>
    <w:rsid w:val="00E620BD"/>
    <w:rsid w:val="00E95927"/>
    <w:rsid w:val="00EA4C15"/>
    <w:rsid w:val="00ED0E8C"/>
    <w:rsid w:val="00ED1AC0"/>
    <w:rsid w:val="00ED3410"/>
    <w:rsid w:val="00ED3F91"/>
    <w:rsid w:val="00F33C27"/>
    <w:rsid w:val="00F37094"/>
    <w:rsid w:val="00F5708E"/>
    <w:rsid w:val="00F87681"/>
    <w:rsid w:val="00FA02DB"/>
    <w:rsid w:val="00FA2FA0"/>
    <w:rsid w:val="00FB54CA"/>
    <w:rsid w:val="00FD69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paragraph" w:styleId="Nadpis1">
    <w:name w:val="heading 1"/>
    <w:basedOn w:val="Normlny"/>
    <w:next w:val="Normlny"/>
    <w:link w:val="Nadpis1Char"/>
    <w:uiPriority w:val="99"/>
    <w:qFormat/>
    <w:rsid w:val="003002F2"/>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35CD0"/>
    <w:rPr>
      <w:rFonts w:cs="Times New Roman"/>
      <w:color w:val="0563C1" w:themeColor="hyperlink"/>
      <w:u w:val="single"/>
    </w:rPr>
  </w:style>
  <w:style w:type="paragraph" w:styleId="Odsekzoznamu">
    <w:name w:val="List Paragraph"/>
    <w:basedOn w:val="Normlny"/>
    <w:uiPriority w:val="34"/>
    <w:qFormat/>
    <w:rsid w:val="00AD13F3"/>
    <w:pPr>
      <w:ind w:left="720"/>
      <w:contextualSpacing/>
    </w:pPr>
  </w:style>
  <w:style w:type="character" w:styleId="Odkaznakomentr">
    <w:name w:val="annotation reference"/>
    <w:basedOn w:val="Predvolenpsmoodseku"/>
    <w:uiPriority w:val="99"/>
    <w:semiHidden/>
    <w:unhideWhenUsed/>
    <w:rsid w:val="00FD694D"/>
    <w:rPr>
      <w:sz w:val="16"/>
      <w:szCs w:val="16"/>
    </w:rPr>
  </w:style>
  <w:style w:type="paragraph" w:styleId="Textkomentra">
    <w:name w:val="annotation text"/>
    <w:basedOn w:val="Normlny"/>
    <w:link w:val="TextkomentraChar"/>
    <w:uiPriority w:val="99"/>
    <w:semiHidden/>
    <w:unhideWhenUsed/>
    <w:rsid w:val="00FD694D"/>
    <w:pPr>
      <w:spacing w:line="240" w:lineRule="auto"/>
    </w:pPr>
    <w:rPr>
      <w:sz w:val="20"/>
      <w:szCs w:val="20"/>
    </w:rPr>
  </w:style>
  <w:style w:type="character" w:customStyle="1" w:styleId="TextkomentraChar">
    <w:name w:val="Text komentára Char"/>
    <w:basedOn w:val="Predvolenpsmoodseku"/>
    <w:link w:val="Textkomentra"/>
    <w:uiPriority w:val="99"/>
    <w:semiHidden/>
    <w:rsid w:val="00FD694D"/>
    <w:rPr>
      <w:sz w:val="20"/>
      <w:szCs w:val="20"/>
    </w:rPr>
  </w:style>
  <w:style w:type="paragraph" w:styleId="Predmetkomentra">
    <w:name w:val="annotation subject"/>
    <w:basedOn w:val="Textkomentra"/>
    <w:next w:val="Textkomentra"/>
    <w:link w:val="PredmetkomentraChar"/>
    <w:uiPriority w:val="99"/>
    <w:semiHidden/>
    <w:unhideWhenUsed/>
    <w:rsid w:val="00FD694D"/>
    <w:rPr>
      <w:b/>
      <w:bCs/>
    </w:rPr>
  </w:style>
  <w:style w:type="character" w:customStyle="1" w:styleId="PredmetkomentraChar">
    <w:name w:val="Predmet komentára Char"/>
    <w:basedOn w:val="TextkomentraChar"/>
    <w:link w:val="Predmetkomentra"/>
    <w:uiPriority w:val="99"/>
    <w:semiHidden/>
    <w:rsid w:val="00FD694D"/>
    <w:rPr>
      <w:b/>
      <w:bCs/>
      <w:sz w:val="20"/>
      <w:szCs w:val="20"/>
    </w:rPr>
  </w:style>
  <w:style w:type="character" w:customStyle="1" w:styleId="Nadpis1Char">
    <w:name w:val="Nadpis 1 Char"/>
    <w:basedOn w:val="Predvolenpsmoodseku"/>
    <w:link w:val="Nadpis1"/>
    <w:uiPriority w:val="99"/>
    <w:rsid w:val="003002F2"/>
    <w:rPr>
      <w:rFonts w:ascii="Times New Roman" w:eastAsia="Times New Roman" w:hAnsi="Times New Roman" w:cs="Times New Roman"/>
      <w:b/>
      <w:bCs/>
      <w:sz w:val="24"/>
      <w:szCs w:val="24"/>
      <w:lang w:eastAsia="sk-SK"/>
    </w:rPr>
  </w:style>
  <w:style w:type="table" w:customStyle="1" w:styleId="Mriekatabuky2">
    <w:name w:val="Mriežka tabuľky2"/>
    <w:basedOn w:val="Normlnatabuka"/>
    <w:next w:val="Mriekatabuky"/>
    <w:uiPriority w:val="59"/>
    <w:rsid w:val="0012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26539"/>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126539"/>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126539"/>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47209">
      <w:bodyDiv w:val="1"/>
      <w:marLeft w:val="0"/>
      <w:marRight w:val="0"/>
      <w:marTop w:val="0"/>
      <w:marBottom w:val="0"/>
      <w:divBdr>
        <w:top w:val="none" w:sz="0" w:space="0" w:color="auto"/>
        <w:left w:val="none" w:sz="0" w:space="0" w:color="auto"/>
        <w:bottom w:val="none" w:sz="0" w:space="0" w:color="auto"/>
        <w:right w:val="none" w:sz="0" w:space="0" w:color="auto"/>
      </w:divBdr>
    </w:div>
    <w:div w:id="166207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legislativne-procesy/SK/PI/2021/248"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hsr.sk/podnikatelske-prostredie/lepsia-regulacia/regulacne-zatazenie/kalkulacka-nakladov-regulaci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hsr.sk/podnikatelske-prostredie/jednotna-metodika/dokument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ona.berakova@justice.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zka_vplyvov"/>
    <f:field ref="objsubject" par="" edit="true" text=""/>
    <f:field ref="objcreatedby" par="" text="Andrejsinova, Anna, JUDr."/>
    <f:field ref="objcreatedat" par="" text="13.1.2023 12:07:06"/>
    <f:field ref="objchangedby" par="" text="Administrator, System"/>
    <f:field ref="objmodifiedat" par="" text="13.1.2023 12:07:0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BF50F42-D87B-4285-93EA-29F243DA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11434</Words>
  <Characters>65180</Characters>
  <Application>Microsoft Office Word</Application>
  <DocSecurity>0</DocSecurity>
  <Lines>543</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2023-02-22T10:26:00Z</dcterms:created>
  <dcterms:modified xsi:type="dcterms:W3CDTF">2023-02-22T13:26:00Z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COO.2145.1000.3.5474509</vt:lpwstr>
  </property>
  <property fmtid="{D5CDD505-2E9C-101B-9397-08002B2CF9AE}" pid="152" name="FSC#FSCFOLIO@1.1001:docpropproject">
    <vt:lpwstr/>
  </property>
</Properties>
</file>