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6E" w:rsidRPr="00C84787" w:rsidRDefault="00CD0E6E" w:rsidP="00CD0E6E">
      <w:pPr>
        <w:spacing w:after="0" w:line="240" w:lineRule="auto"/>
        <w:jc w:val="center"/>
        <w:rPr>
          <w:rFonts w:ascii="Times New Roman" w:hAnsi="Times New Roman"/>
          <w:b/>
          <w:caps/>
          <w:spacing w:val="30"/>
          <w:sz w:val="24"/>
        </w:rPr>
      </w:pPr>
      <w:r>
        <w:rPr>
          <w:rFonts w:ascii="Times New Roman" w:hAnsi="Times New Roman"/>
          <w:b/>
          <w:caps/>
          <w:spacing w:val="30"/>
          <w:sz w:val="24"/>
        </w:rPr>
        <w:t>DÔ</w:t>
      </w:r>
      <w:r w:rsidRPr="00C84787">
        <w:rPr>
          <w:rFonts w:ascii="Times New Roman" w:hAnsi="Times New Roman"/>
          <w:b/>
          <w:caps/>
          <w:spacing w:val="30"/>
          <w:sz w:val="24"/>
        </w:rPr>
        <w:t>vodová správa</w:t>
      </w:r>
    </w:p>
    <w:p w:rsidR="00CD0E6E" w:rsidRPr="00C84787" w:rsidRDefault="00CD0E6E" w:rsidP="00CD0E6E">
      <w:pPr>
        <w:spacing w:after="0" w:line="240" w:lineRule="auto"/>
        <w:jc w:val="both"/>
        <w:rPr>
          <w:rFonts w:ascii="Times New Roman" w:hAnsi="Times New Roman"/>
          <w:sz w:val="24"/>
        </w:rPr>
      </w:pPr>
    </w:p>
    <w:p w:rsidR="00CD0E6E" w:rsidRPr="00C84787" w:rsidRDefault="00CD0E6E" w:rsidP="00CD0E6E">
      <w:pPr>
        <w:spacing w:after="0" w:line="240" w:lineRule="auto"/>
        <w:jc w:val="both"/>
        <w:rPr>
          <w:rFonts w:ascii="Times New Roman" w:hAnsi="Times New Roman"/>
          <w:sz w:val="24"/>
        </w:rPr>
      </w:pPr>
    </w:p>
    <w:p w:rsidR="00CD0E6E" w:rsidRPr="00C84787" w:rsidRDefault="00CD0E6E" w:rsidP="00CD0E6E">
      <w:pPr>
        <w:pStyle w:val="Odsekzoznamu"/>
        <w:numPr>
          <w:ilvl w:val="0"/>
          <w:numId w:val="1"/>
        </w:numPr>
        <w:spacing w:after="0" w:line="240" w:lineRule="auto"/>
        <w:jc w:val="both"/>
        <w:rPr>
          <w:rFonts w:ascii="Times New Roman" w:hAnsi="Times New Roman"/>
          <w:b/>
          <w:sz w:val="24"/>
        </w:rPr>
      </w:pPr>
      <w:r w:rsidRPr="00C84787">
        <w:rPr>
          <w:rFonts w:ascii="Times New Roman" w:hAnsi="Times New Roman"/>
          <w:b/>
          <w:sz w:val="24"/>
        </w:rPr>
        <w:t>Všeobecná časť</w:t>
      </w:r>
    </w:p>
    <w:p w:rsidR="00CD0E6E" w:rsidRPr="00C84787" w:rsidRDefault="00CD0E6E" w:rsidP="00CD0E6E">
      <w:pPr>
        <w:spacing w:after="0" w:line="240" w:lineRule="auto"/>
        <w:jc w:val="both"/>
        <w:rPr>
          <w:rFonts w:ascii="Times New Roman" w:hAnsi="Times New Roman"/>
          <w:sz w:val="24"/>
        </w:rPr>
      </w:pPr>
    </w:p>
    <w:p w:rsidR="0056107C" w:rsidRPr="00832C3E" w:rsidRDefault="00005264" w:rsidP="00832C3E">
      <w:pPr>
        <w:spacing w:line="240" w:lineRule="auto"/>
        <w:ind w:firstLine="708"/>
        <w:jc w:val="both"/>
        <w:rPr>
          <w:rFonts w:ascii="Times New Roman" w:hAnsi="Times New Roman"/>
          <w:b/>
          <w:sz w:val="24"/>
          <w:szCs w:val="24"/>
        </w:rPr>
      </w:pPr>
      <w:r>
        <w:rPr>
          <w:rFonts w:ascii="Times New Roman" w:hAnsi="Times New Roman"/>
          <w:sz w:val="24"/>
          <w:szCs w:val="24"/>
        </w:rPr>
        <w:t>Vláda</w:t>
      </w:r>
      <w:r w:rsidR="00CD0E6E" w:rsidRPr="006F1AE9">
        <w:rPr>
          <w:rFonts w:ascii="Times New Roman" w:hAnsi="Times New Roman"/>
          <w:sz w:val="24"/>
          <w:szCs w:val="24"/>
        </w:rPr>
        <w:t xml:space="preserve"> Slovenskej republiky predkladá </w:t>
      </w:r>
      <w:r w:rsidR="00C7369E" w:rsidRPr="00C7369E">
        <w:rPr>
          <w:rFonts w:ascii="Times New Roman" w:hAnsi="Times New Roman"/>
          <w:sz w:val="24"/>
          <w:szCs w:val="24"/>
        </w:rPr>
        <w:t xml:space="preserve">na rokovanie </w:t>
      </w:r>
      <w:r>
        <w:rPr>
          <w:rFonts w:ascii="Times New Roman" w:hAnsi="Times New Roman"/>
          <w:sz w:val="24"/>
          <w:szCs w:val="24"/>
        </w:rPr>
        <w:t>Národnej rady</w:t>
      </w:r>
      <w:r w:rsidR="00C7369E" w:rsidRPr="00C7369E">
        <w:rPr>
          <w:rFonts w:ascii="Times New Roman" w:hAnsi="Times New Roman"/>
          <w:sz w:val="24"/>
          <w:szCs w:val="24"/>
        </w:rPr>
        <w:t xml:space="preserve"> Slovenskej republiky </w:t>
      </w:r>
      <w:r w:rsidR="00CD0E6E" w:rsidRPr="006F1AE9">
        <w:rPr>
          <w:rFonts w:ascii="Times New Roman" w:hAnsi="Times New Roman"/>
          <w:sz w:val="24"/>
          <w:szCs w:val="24"/>
        </w:rPr>
        <w:t xml:space="preserve">návrh </w:t>
      </w:r>
      <w:r w:rsidR="00503438" w:rsidRPr="00503438">
        <w:rPr>
          <w:rFonts w:ascii="Times New Roman" w:hAnsi="Times New Roman"/>
          <w:sz w:val="24"/>
          <w:szCs w:val="24"/>
        </w:rPr>
        <w:t>zákona, ktorým sa mení a dopĺňa zákon č. 162/2015 Z. z. Správny súdny poriadok v znení neskorších predpisov a</w:t>
      </w:r>
      <w:r w:rsidR="00652157">
        <w:rPr>
          <w:rFonts w:ascii="Times New Roman" w:hAnsi="Times New Roman"/>
          <w:sz w:val="24"/>
          <w:szCs w:val="24"/>
        </w:rPr>
        <w:t> ktorým sa mení</w:t>
      </w:r>
      <w:r w:rsidR="00C13224">
        <w:rPr>
          <w:rFonts w:ascii="Times New Roman" w:hAnsi="Times New Roman"/>
          <w:sz w:val="24"/>
          <w:szCs w:val="24"/>
        </w:rPr>
        <w:t xml:space="preserve"> </w:t>
      </w:r>
      <w:r w:rsidR="00652157">
        <w:rPr>
          <w:rFonts w:ascii="Times New Roman" w:hAnsi="Times New Roman"/>
          <w:sz w:val="24"/>
          <w:szCs w:val="24"/>
        </w:rPr>
        <w:t>zákon</w:t>
      </w:r>
      <w:r w:rsidR="00503438" w:rsidRPr="00503438">
        <w:rPr>
          <w:rFonts w:ascii="Times New Roman" w:hAnsi="Times New Roman"/>
          <w:sz w:val="24"/>
          <w:szCs w:val="24"/>
        </w:rPr>
        <w:t xml:space="preserve"> č. 514/2003 Z. z. o zodpovednosti za škodu spôsobenú pri výkone verejnej moci a o zmene niektorých zákonov v znení neskorších predpisov </w:t>
      </w:r>
      <w:r w:rsidR="00CD0E6E" w:rsidRPr="00832C3E">
        <w:rPr>
          <w:rFonts w:ascii="Times New Roman" w:hAnsi="Times New Roman"/>
          <w:sz w:val="24"/>
          <w:szCs w:val="24"/>
        </w:rPr>
        <w:t>(ďa</w:t>
      </w:r>
      <w:r w:rsidR="007974BA" w:rsidRPr="00832C3E">
        <w:rPr>
          <w:rFonts w:ascii="Times New Roman" w:hAnsi="Times New Roman"/>
          <w:sz w:val="24"/>
          <w:szCs w:val="24"/>
        </w:rPr>
        <w:t>lej</w:t>
      </w:r>
      <w:r w:rsidR="007974BA" w:rsidRPr="006F1AE9">
        <w:rPr>
          <w:rFonts w:ascii="Times New Roman" w:hAnsi="Times New Roman"/>
          <w:sz w:val="24"/>
          <w:szCs w:val="24"/>
        </w:rPr>
        <w:t xml:space="preserve"> len „návrh zákona“).</w:t>
      </w:r>
    </w:p>
    <w:p w:rsidR="00503438" w:rsidRPr="00503438" w:rsidRDefault="000929B9" w:rsidP="00503438">
      <w:pPr>
        <w:spacing w:line="240" w:lineRule="auto"/>
        <w:ind w:firstLine="708"/>
        <w:jc w:val="both"/>
        <w:rPr>
          <w:rFonts w:ascii="Times New Roman" w:hAnsi="Times New Roman"/>
          <w:sz w:val="24"/>
          <w:szCs w:val="24"/>
        </w:rPr>
      </w:pPr>
      <w:r w:rsidRPr="006F1AE9">
        <w:rPr>
          <w:rFonts w:ascii="Times New Roman" w:hAnsi="Times New Roman"/>
          <w:sz w:val="24"/>
          <w:szCs w:val="24"/>
        </w:rPr>
        <w:t xml:space="preserve">Návrh zákona reaguje na </w:t>
      </w:r>
      <w:r w:rsidR="004F4C2F">
        <w:rPr>
          <w:rFonts w:ascii="Times New Roman" w:hAnsi="Times New Roman"/>
          <w:sz w:val="24"/>
          <w:szCs w:val="24"/>
        </w:rPr>
        <w:t>viaceré rozsudky Európskeho</w:t>
      </w:r>
      <w:r w:rsidR="00503438" w:rsidRPr="00503438">
        <w:rPr>
          <w:rFonts w:ascii="Times New Roman" w:hAnsi="Times New Roman"/>
          <w:sz w:val="24"/>
          <w:szCs w:val="24"/>
        </w:rPr>
        <w:t xml:space="preserve"> súd</w:t>
      </w:r>
      <w:r w:rsidR="004F4C2F">
        <w:rPr>
          <w:rFonts w:ascii="Times New Roman" w:hAnsi="Times New Roman"/>
          <w:sz w:val="24"/>
          <w:szCs w:val="24"/>
        </w:rPr>
        <w:t>u</w:t>
      </w:r>
      <w:r w:rsidR="00503438" w:rsidRPr="00503438">
        <w:rPr>
          <w:rFonts w:ascii="Times New Roman" w:hAnsi="Times New Roman"/>
          <w:sz w:val="24"/>
          <w:szCs w:val="24"/>
        </w:rPr>
        <w:t xml:space="preserve"> pre ľudské práva proti Slovenskej republike (rozsudok </w:t>
      </w:r>
      <w:r w:rsidR="00503438" w:rsidRPr="00503438">
        <w:rPr>
          <w:rFonts w:ascii="Times New Roman" w:hAnsi="Times New Roman"/>
          <w:i/>
          <w:iCs/>
          <w:sz w:val="24"/>
          <w:szCs w:val="24"/>
        </w:rPr>
        <w:t>Engelhardt proti Slovenskej republike</w:t>
      </w:r>
      <w:r w:rsidR="00503438" w:rsidRPr="00503438">
        <w:rPr>
          <w:rFonts w:ascii="Times New Roman" w:hAnsi="Times New Roman"/>
          <w:sz w:val="24"/>
          <w:szCs w:val="24"/>
        </w:rPr>
        <w:t xml:space="preserve"> z 31. augusta 2018, rozsudok </w:t>
      </w:r>
      <w:r w:rsidR="00503438" w:rsidRPr="00503438">
        <w:rPr>
          <w:rFonts w:ascii="Times New Roman" w:hAnsi="Times New Roman"/>
          <w:i/>
          <w:iCs/>
          <w:sz w:val="24"/>
          <w:szCs w:val="24"/>
        </w:rPr>
        <w:t>Balogh a ďalší proti Slovenskej republike</w:t>
      </w:r>
      <w:r w:rsidR="00503438" w:rsidRPr="00503438">
        <w:rPr>
          <w:rFonts w:ascii="Times New Roman" w:hAnsi="Times New Roman"/>
          <w:sz w:val="24"/>
          <w:szCs w:val="24"/>
        </w:rPr>
        <w:t xml:space="preserve"> z 31. augusta 2018, rozsudok </w:t>
      </w:r>
      <w:r w:rsidR="00503438" w:rsidRPr="00503438">
        <w:rPr>
          <w:rFonts w:ascii="Times New Roman" w:hAnsi="Times New Roman"/>
          <w:i/>
          <w:iCs/>
          <w:sz w:val="24"/>
          <w:szCs w:val="24"/>
        </w:rPr>
        <w:t>Oros proti Slovenskej republike</w:t>
      </w:r>
      <w:r w:rsidR="00503438" w:rsidRPr="00503438">
        <w:rPr>
          <w:rFonts w:ascii="Times New Roman" w:hAnsi="Times New Roman"/>
          <w:sz w:val="24"/>
          <w:szCs w:val="24"/>
        </w:rPr>
        <w:t xml:space="preserve"> z 18. novembra 2021, rozsudok </w:t>
      </w:r>
      <w:r w:rsidR="00503438" w:rsidRPr="00503438">
        <w:rPr>
          <w:rFonts w:ascii="Times New Roman" w:hAnsi="Times New Roman"/>
          <w:i/>
          <w:iCs/>
          <w:sz w:val="24"/>
          <w:szCs w:val="24"/>
        </w:rPr>
        <w:t>Balogh a ďalší proti Slovenskej republike</w:t>
      </w:r>
      <w:r w:rsidR="00503438" w:rsidRPr="00503438">
        <w:rPr>
          <w:rFonts w:ascii="Times New Roman" w:hAnsi="Times New Roman"/>
          <w:sz w:val="24"/>
          <w:szCs w:val="24"/>
        </w:rPr>
        <w:t xml:space="preserve"> zo 16. decembra 2021, rozsudok </w:t>
      </w:r>
      <w:r w:rsidR="00503438" w:rsidRPr="00503438">
        <w:rPr>
          <w:rFonts w:ascii="Times New Roman" w:hAnsi="Times New Roman"/>
          <w:i/>
          <w:iCs/>
          <w:sz w:val="24"/>
          <w:szCs w:val="24"/>
        </w:rPr>
        <w:t>Kľačanová proti Slovenskej republike</w:t>
      </w:r>
      <w:r w:rsidR="00503438" w:rsidRPr="00503438">
        <w:rPr>
          <w:rFonts w:ascii="Times New Roman" w:hAnsi="Times New Roman"/>
          <w:sz w:val="24"/>
          <w:szCs w:val="24"/>
        </w:rPr>
        <w:t xml:space="preserve"> z 31. marca 2022) </w:t>
      </w:r>
      <w:r w:rsidR="00A44BEF">
        <w:rPr>
          <w:rFonts w:ascii="Times New Roman" w:hAnsi="Times New Roman"/>
          <w:sz w:val="24"/>
          <w:szCs w:val="24"/>
        </w:rPr>
        <w:t xml:space="preserve">v ktorých tento medzinárodný súd </w:t>
      </w:r>
      <w:r w:rsidR="00503438" w:rsidRPr="00503438">
        <w:rPr>
          <w:rFonts w:ascii="Times New Roman" w:hAnsi="Times New Roman"/>
          <w:sz w:val="24"/>
          <w:szCs w:val="24"/>
        </w:rPr>
        <w:t xml:space="preserve">vyslovil závery, ktoré naznačujú neúčinnosť vnútroštátneho mechanizmu nápravy porušenia práva na prejednanie veci v primeranej lehote v konaniach prebiehajúcich pred správnymi orgánmi a následne pred súdmi. </w:t>
      </w:r>
    </w:p>
    <w:p w:rsidR="00503438" w:rsidRPr="00503438" w:rsidRDefault="00503438" w:rsidP="00503438">
      <w:pPr>
        <w:spacing w:line="240" w:lineRule="auto"/>
        <w:ind w:firstLine="708"/>
        <w:jc w:val="both"/>
        <w:rPr>
          <w:rFonts w:ascii="Times New Roman" w:hAnsi="Times New Roman"/>
          <w:sz w:val="24"/>
          <w:szCs w:val="24"/>
        </w:rPr>
      </w:pPr>
      <w:r w:rsidRPr="00503438">
        <w:rPr>
          <w:rFonts w:ascii="Times New Roman" w:hAnsi="Times New Roman"/>
          <w:sz w:val="24"/>
          <w:szCs w:val="24"/>
        </w:rPr>
        <w:t xml:space="preserve">Z aplikačnej praxe je zrejmé, že aj po tom, ako bol v novom Správnom súdnom poriadku posilnený preventívny účinok žaloby proti nečinnosti orgánu verejnej správy, kompenzačný účinok nápravy porušenia práva na prejednanie veci v primeranej lehote v správnom konaní, dosiahnuteľný iným prostriedkom nápravy (žalobou podľa zákona č. 514/2003 Z. z. o zodpovednosti štátu za škodu spôsobenú pri výkone verejnej moci), je </w:t>
      </w:r>
      <w:r w:rsidR="000124A8">
        <w:rPr>
          <w:rFonts w:ascii="Times New Roman" w:hAnsi="Times New Roman"/>
          <w:sz w:val="24"/>
          <w:szCs w:val="24"/>
        </w:rPr>
        <w:t xml:space="preserve">podľa Európskeho súdu pre ľudské práva </w:t>
      </w:r>
      <w:r w:rsidRPr="00503438">
        <w:rPr>
          <w:rFonts w:ascii="Times New Roman" w:hAnsi="Times New Roman"/>
          <w:sz w:val="24"/>
          <w:szCs w:val="24"/>
        </w:rPr>
        <w:t xml:space="preserve">neistý a v praxi v tejto súvislosti málo využívaný. </w:t>
      </w:r>
    </w:p>
    <w:p w:rsidR="00F57E2F" w:rsidRDefault="00503438" w:rsidP="00DF4FF8">
      <w:pPr>
        <w:spacing w:line="240" w:lineRule="auto"/>
        <w:ind w:firstLine="708"/>
        <w:jc w:val="both"/>
        <w:rPr>
          <w:rFonts w:ascii="Times New Roman" w:hAnsi="Times New Roman"/>
          <w:sz w:val="24"/>
          <w:szCs w:val="24"/>
        </w:rPr>
      </w:pPr>
      <w:r w:rsidRPr="00503438">
        <w:rPr>
          <w:rFonts w:ascii="Times New Roman" w:hAnsi="Times New Roman"/>
          <w:sz w:val="24"/>
          <w:szCs w:val="24"/>
        </w:rPr>
        <w:t xml:space="preserve">Vzhľadom na závery Európskeho súdu pre ľudské práva sa navrhuje úprava existujúceho prostriedku nápravy proti prieťahom v správnych konaniach v podobe žaloby proti nečinnosti orgánu verejnej správy tak, aby </w:t>
      </w:r>
      <w:r w:rsidR="000124A8">
        <w:rPr>
          <w:rFonts w:ascii="Times New Roman" w:hAnsi="Times New Roman"/>
          <w:sz w:val="24"/>
          <w:szCs w:val="24"/>
        </w:rPr>
        <w:t xml:space="preserve">súd, ak zistí nečinnosť a žalobca bude žiadať o primerané finančné zadosťučinenie, mal možnosť už v tomto štádiu okrem uloženia odstránenia nečinnosti orgánu verejnej správy, uložiť žalovanému zaplatiť finančné zadosťučinenie. </w:t>
      </w:r>
      <w:r w:rsidR="00BC2DD7">
        <w:rPr>
          <w:rFonts w:ascii="Times New Roman" w:hAnsi="Times New Roman"/>
          <w:sz w:val="24"/>
          <w:szCs w:val="24"/>
        </w:rPr>
        <w:t xml:space="preserve">  </w:t>
      </w:r>
    </w:p>
    <w:p w:rsidR="005A18EC" w:rsidRPr="006F1AE9" w:rsidRDefault="002515F3" w:rsidP="00DF4FF8">
      <w:pPr>
        <w:spacing w:line="240" w:lineRule="auto"/>
        <w:ind w:firstLine="708"/>
        <w:jc w:val="both"/>
        <w:rPr>
          <w:rFonts w:ascii="Times New Roman" w:hAnsi="Times New Roman"/>
          <w:sz w:val="24"/>
          <w:szCs w:val="24"/>
        </w:rPr>
      </w:pPr>
      <w:r w:rsidRPr="006F1AE9">
        <w:rPr>
          <w:rFonts w:ascii="Times New Roman" w:hAnsi="Times New Roman"/>
          <w:sz w:val="24"/>
          <w:szCs w:val="24"/>
        </w:rPr>
        <w:t xml:space="preserve">Návrh zákona nebude </w:t>
      </w:r>
      <w:r w:rsidR="00D2199D" w:rsidRPr="006F1AE9">
        <w:rPr>
          <w:rFonts w:ascii="Times New Roman" w:hAnsi="Times New Roman"/>
          <w:sz w:val="24"/>
          <w:szCs w:val="24"/>
        </w:rPr>
        <w:t xml:space="preserve">mať </w:t>
      </w:r>
      <w:r w:rsidR="00BD6C37" w:rsidRPr="006F1AE9">
        <w:rPr>
          <w:rFonts w:ascii="Times New Roman" w:hAnsi="Times New Roman"/>
          <w:sz w:val="24"/>
          <w:szCs w:val="24"/>
        </w:rPr>
        <w:t>vplyv</w:t>
      </w:r>
      <w:r w:rsidRPr="006F1AE9">
        <w:rPr>
          <w:rFonts w:ascii="Times New Roman" w:hAnsi="Times New Roman"/>
          <w:sz w:val="24"/>
          <w:szCs w:val="24"/>
        </w:rPr>
        <w:t xml:space="preserve"> na rozpočet verejnej správy, </w:t>
      </w:r>
      <w:r w:rsidR="00385B59" w:rsidRPr="00B90001">
        <w:rPr>
          <w:rFonts w:ascii="Times New Roman" w:hAnsi="Times New Roman"/>
          <w:sz w:val="24"/>
          <w:szCs w:val="24"/>
        </w:rPr>
        <w:t>vplyvy na podnikateľské prostredie</w:t>
      </w:r>
      <w:r w:rsidR="00A44BEF">
        <w:rPr>
          <w:rFonts w:ascii="Times New Roman" w:hAnsi="Times New Roman"/>
          <w:sz w:val="24"/>
          <w:szCs w:val="24"/>
        </w:rPr>
        <w:t>,</w:t>
      </w:r>
      <w:r w:rsidR="00385B59">
        <w:rPr>
          <w:rFonts w:ascii="Times New Roman" w:hAnsi="Times New Roman"/>
          <w:sz w:val="24"/>
          <w:szCs w:val="24"/>
        </w:rPr>
        <w:t xml:space="preserve"> </w:t>
      </w:r>
      <w:r w:rsidR="00D2199D" w:rsidRPr="006F1AE9">
        <w:rPr>
          <w:rFonts w:ascii="Times New Roman" w:hAnsi="Times New Roman"/>
          <w:sz w:val="24"/>
          <w:szCs w:val="24"/>
        </w:rPr>
        <w:t>vplyvy na</w:t>
      </w:r>
      <w:r w:rsidR="00212653" w:rsidRPr="006F1AE9">
        <w:rPr>
          <w:rFonts w:ascii="Times New Roman" w:hAnsi="Times New Roman"/>
          <w:sz w:val="24"/>
          <w:szCs w:val="24"/>
        </w:rPr>
        <w:t xml:space="preserve"> životné prostred</w:t>
      </w:r>
      <w:r w:rsidR="008E1B5A" w:rsidRPr="006F1AE9">
        <w:rPr>
          <w:rFonts w:ascii="Times New Roman" w:hAnsi="Times New Roman"/>
          <w:sz w:val="24"/>
          <w:szCs w:val="24"/>
        </w:rPr>
        <w:t xml:space="preserve">ie, vplyvy na služby pre občana, vplyvy na informatizáciu spoločnosti </w:t>
      </w:r>
      <w:r w:rsidR="00212653" w:rsidRPr="006F1AE9">
        <w:rPr>
          <w:rFonts w:ascii="Times New Roman" w:hAnsi="Times New Roman"/>
          <w:sz w:val="24"/>
          <w:szCs w:val="24"/>
        </w:rPr>
        <w:t xml:space="preserve">ani </w:t>
      </w:r>
      <w:r w:rsidR="00D2199D" w:rsidRPr="006F1AE9">
        <w:rPr>
          <w:rFonts w:ascii="Times New Roman" w:hAnsi="Times New Roman"/>
          <w:sz w:val="24"/>
          <w:szCs w:val="24"/>
        </w:rPr>
        <w:t>vplyvy na manželstvo, rodičovstvo a</w:t>
      </w:r>
      <w:r w:rsidR="00773C16">
        <w:rPr>
          <w:rFonts w:ascii="Times New Roman" w:hAnsi="Times New Roman"/>
          <w:sz w:val="24"/>
          <w:szCs w:val="24"/>
        </w:rPr>
        <w:t xml:space="preserve"> </w:t>
      </w:r>
      <w:r w:rsidR="00D2199D" w:rsidRPr="006F1AE9">
        <w:rPr>
          <w:rFonts w:ascii="Times New Roman" w:hAnsi="Times New Roman"/>
          <w:sz w:val="24"/>
          <w:szCs w:val="24"/>
        </w:rPr>
        <w:t xml:space="preserve">rodinu. </w:t>
      </w:r>
      <w:r w:rsidR="00D2199D" w:rsidRPr="00B90001">
        <w:rPr>
          <w:rFonts w:ascii="Times New Roman" w:hAnsi="Times New Roman"/>
          <w:sz w:val="24"/>
          <w:szCs w:val="24"/>
        </w:rPr>
        <w:t>Návrh zákona bude mať</w:t>
      </w:r>
      <w:r w:rsidR="00212653" w:rsidRPr="00B90001">
        <w:rPr>
          <w:rFonts w:ascii="Times New Roman" w:hAnsi="Times New Roman"/>
          <w:sz w:val="24"/>
          <w:szCs w:val="24"/>
        </w:rPr>
        <w:t xml:space="preserve"> </w:t>
      </w:r>
      <w:r w:rsidR="006A5A3B">
        <w:rPr>
          <w:rFonts w:ascii="Times New Roman" w:hAnsi="Times New Roman"/>
          <w:sz w:val="24"/>
          <w:szCs w:val="24"/>
        </w:rPr>
        <w:t xml:space="preserve">pozitívne </w:t>
      </w:r>
      <w:r w:rsidR="00B90001" w:rsidRPr="006F1AE9">
        <w:rPr>
          <w:rFonts w:ascii="Times New Roman" w:hAnsi="Times New Roman"/>
          <w:sz w:val="24"/>
          <w:szCs w:val="24"/>
        </w:rPr>
        <w:t>sociál</w:t>
      </w:r>
      <w:r w:rsidR="00B90001">
        <w:rPr>
          <w:rFonts w:ascii="Times New Roman" w:hAnsi="Times New Roman"/>
          <w:sz w:val="24"/>
          <w:szCs w:val="24"/>
        </w:rPr>
        <w:t>ne</w:t>
      </w:r>
      <w:r w:rsidR="00B90001" w:rsidRPr="006F1AE9">
        <w:rPr>
          <w:rFonts w:ascii="Times New Roman" w:hAnsi="Times New Roman"/>
          <w:sz w:val="24"/>
          <w:szCs w:val="24"/>
        </w:rPr>
        <w:t xml:space="preserve"> vplyvy</w:t>
      </w:r>
      <w:r w:rsidR="00385B59">
        <w:rPr>
          <w:rFonts w:ascii="Times New Roman" w:hAnsi="Times New Roman"/>
          <w:sz w:val="24"/>
          <w:szCs w:val="24"/>
        </w:rPr>
        <w:t>.</w:t>
      </w:r>
    </w:p>
    <w:p w:rsidR="00212653" w:rsidRDefault="00212653" w:rsidP="005F2C65">
      <w:pPr>
        <w:spacing w:after="0" w:line="240" w:lineRule="auto"/>
        <w:ind w:firstLine="708"/>
        <w:jc w:val="both"/>
        <w:rPr>
          <w:rFonts w:ascii="Times New Roman" w:hAnsi="Times New Roman"/>
          <w:sz w:val="24"/>
          <w:szCs w:val="24"/>
        </w:rPr>
      </w:pPr>
      <w:r w:rsidRPr="006F1AE9">
        <w:rPr>
          <w:rFonts w:ascii="Times New Roman" w:hAnsi="Times New Roman"/>
          <w:sz w:val="24"/>
          <w:szCs w:val="24"/>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005264" w:rsidRDefault="00005264" w:rsidP="005F2C65">
      <w:pPr>
        <w:spacing w:after="0" w:line="240" w:lineRule="auto"/>
        <w:ind w:firstLine="708"/>
        <w:jc w:val="both"/>
        <w:rPr>
          <w:rFonts w:ascii="Times New Roman" w:hAnsi="Times New Roman"/>
          <w:sz w:val="24"/>
          <w:szCs w:val="24"/>
        </w:rPr>
      </w:pPr>
    </w:p>
    <w:p w:rsidR="00774EC4" w:rsidRDefault="00774EC4" w:rsidP="00E844AA">
      <w:pPr>
        <w:spacing w:after="0" w:line="240" w:lineRule="auto"/>
        <w:jc w:val="center"/>
        <w:rPr>
          <w:rFonts w:ascii="Times New Roman" w:hAnsi="Times New Roman"/>
          <w:b/>
          <w:sz w:val="28"/>
          <w:szCs w:val="28"/>
          <w:lang w:eastAsia="sk-SK"/>
        </w:rPr>
      </w:pPr>
    </w:p>
    <w:p w:rsidR="00774EC4" w:rsidRDefault="00774EC4" w:rsidP="00E844AA">
      <w:pPr>
        <w:spacing w:after="0" w:line="240" w:lineRule="auto"/>
        <w:jc w:val="center"/>
        <w:rPr>
          <w:rFonts w:ascii="Times New Roman" w:hAnsi="Times New Roman"/>
          <w:b/>
          <w:sz w:val="28"/>
          <w:szCs w:val="28"/>
          <w:lang w:eastAsia="sk-SK"/>
        </w:rPr>
      </w:pPr>
    </w:p>
    <w:p w:rsidR="00E844AA" w:rsidRPr="006045CB" w:rsidRDefault="00E844AA" w:rsidP="00E844AA">
      <w:pPr>
        <w:spacing w:after="0" w:line="240" w:lineRule="auto"/>
        <w:jc w:val="center"/>
        <w:rPr>
          <w:rFonts w:ascii="Times New Roman" w:hAnsi="Times New Roman"/>
          <w:b/>
          <w:sz w:val="28"/>
          <w:szCs w:val="28"/>
          <w:lang w:eastAsia="sk-SK"/>
        </w:rPr>
      </w:pPr>
      <w:r>
        <w:rPr>
          <w:rFonts w:ascii="Times New Roman" w:hAnsi="Times New Roman"/>
          <w:b/>
          <w:sz w:val="28"/>
          <w:szCs w:val="28"/>
          <w:lang w:eastAsia="sk-SK"/>
        </w:rPr>
        <w:lastRenderedPageBreak/>
        <w:t>D</w:t>
      </w:r>
      <w:r w:rsidRPr="006045CB">
        <w:rPr>
          <w:rFonts w:ascii="Times New Roman" w:hAnsi="Times New Roman"/>
          <w:b/>
          <w:sz w:val="28"/>
          <w:szCs w:val="28"/>
          <w:lang w:eastAsia="sk-SK"/>
        </w:rPr>
        <w:t>oložka vybraných vplyvov</w:t>
      </w:r>
    </w:p>
    <w:p w:rsidR="00E844AA" w:rsidRPr="00B043B4" w:rsidRDefault="00E844AA" w:rsidP="00E844AA">
      <w:pPr>
        <w:spacing w:after="200" w:line="276" w:lineRule="auto"/>
        <w:ind w:left="426"/>
        <w:contextualSpacing/>
        <w:rPr>
          <w:rFonts w:ascii="Calibri" w:hAnsi="Calibri"/>
          <w:b/>
        </w:rPr>
      </w:pPr>
    </w:p>
    <w:tbl>
      <w:tblPr>
        <w:tblStyle w:val="Mriekatabuky1"/>
        <w:tblW w:w="9180" w:type="dxa"/>
        <w:tblLayout w:type="fixed"/>
        <w:tblLook w:val="04A0" w:firstRow="1" w:lastRow="0" w:firstColumn="1" w:lastColumn="0" w:noHBand="0" w:noVBand="1"/>
      </w:tblPr>
      <w:tblGrid>
        <w:gridCol w:w="4212"/>
        <w:gridCol w:w="705"/>
        <w:gridCol w:w="1032"/>
        <w:gridCol w:w="254"/>
        <w:gridCol w:w="1417"/>
        <w:gridCol w:w="1560"/>
      </w:tblGrid>
      <w:tr w:rsidR="00E844AA" w:rsidRPr="00B043B4" w:rsidTr="0045221E">
        <w:tc>
          <w:tcPr>
            <w:tcW w:w="9180" w:type="dxa"/>
            <w:gridSpan w:val="6"/>
            <w:tcBorders>
              <w:bottom w:val="single" w:sz="4" w:space="0" w:color="FFFFFF"/>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Základné údaje</w:t>
            </w:r>
          </w:p>
        </w:tc>
      </w:tr>
      <w:tr w:rsidR="00E844AA" w:rsidRPr="00B043B4" w:rsidTr="0045221E">
        <w:tc>
          <w:tcPr>
            <w:tcW w:w="9180" w:type="dxa"/>
            <w:gridSpan w:val="6"/>
            <w:tcBorders>
              <w:bottom w:val="single" w:sz="4" w:space="0" w:color="FFFFFF"/>
            </w:tcBorders>
            <w:shd w:val="clear" w:color="auto" w:fill="E2E2E2"/>
          </w:tcPr>
          <w:p w:rsidR="00E844AA" w:rsidRPr="00B043B4" w:rsidRDefault="00E844AA" w:rsidP="0045221E">
            <w:pPr>
              <w:spacing w:after="200" w:line="276" w:lineRule="auto"/>
              <w:ind w:left="142"/>
              <w:contextualSpacing/>
              <w:rPr>
                <w:rFonts w:ascii="Times New Roman" w:hAnsi="Times New Roman"/>
                <w:b/>
              </w:rPr>
            </w:pPr>
            <w:r w:rsidRPr="00B043B4">
              <w:rPr>
                <w:rFonts w:ascii="Times New Roman" w:hAnsi="Times New Roman"/>
                <w:b/>
              </w:rPr>
              <w:t>Názov materiálu</w:t>
            </w:r>
          </w:p>
        </w:tc>
      </w:tr>
      <w:tr w:rsidR="00E844AA" w:rsidRPr="00B043B4" w:rsidTr="0045221E">
        <w:tc>
          <w:tcPr>
            <w:tcW w:w="9180" w:type="dxa"/>
            <w:gridSpan w:val="6"/>
            <w:tcBorders>
              <w:top w:val="single" w:sz="4" w:space="0" w:color="FFFFFF"/>
            </w:tcBorders>
          </w:tcPr>
          <w:p w:rsidR="00E844AA" w:rsidRDefault="00E844AA" w:rsidP="0045221E">
            <w:pPr>
              <w:jc w:val="both"/>
              <w:rPr>
                <w:rFonts w:ascii="Times New Roman" w:hAnsi="Times New Roman"/>
                <w:b/>
                <w:bCs/>
                <w:szCs w:val="20"/>
                <w:lang w:eastAsia="sk-SK"/>
              </w:rPr>
            </w:pPr>
            <w:r w:rsidRPr="0016063A">
              <w:rPr>
                <w:rFonts w:ascii="Times New Roman" w:hAnsi="Times New Roman"/>
                <w:szCs w:val="20"/>
                <w:lang w:eastAsia="sk-SK"/>
              </w:rPr>
              <w:t xml:space="preserve">Návrh </w:t>
            </w:r>
            <w:r w:rsidRPr="00601AE5">
              <w:rPr>
                <w:rFonts w:ascii="Times New Roman" w:hAnsi="Times New Roman"/>
                <w:szCs w:val="20"/>
                <w:lang w:eastAsia="sk-SK"/>
              </w:rPr>
              <w:t xml:space="preserve">zákona, </w:t>
            </w:r>
            <w:r w:rsidRPr="00D778F1">
              <w:rPr>
                <w:rFonts w:ascii="Times New Roman" w:hAnsi="Times New Roman"/>
                <w:szCs w:val="20"/>
                <w:lang w:eastAsia="sk-SK"/>
              </w:rPr>
              <w:t>ktorým sa mení a dopĺňa zákon č. 162/2015 Z. z. Správny súdny poriadok v znení neskorších predpisov a ktorým sa mení zákon č. 514/2003 Z. z. o zodpovednosti za škodu spôsobenú pri výkone verejnej moci a o zmene niektorých zákonov v znení neskorších predpisov</w:t>
            </w:r>
            <w:r w:rsidRPr="00D778F1">
              <w:rPr>
                <w:rFonts w:ascii="Times New Roman" w:hAnsi="Times New Roman"/>
                <w:b/>
                <w:bCs/>
                <w:szCs w:val="20"/>
                <w:lang w:eastAsia="sk-SK"/>
              </w:rPr>
              <w:t xml:space="preserve"> </w:t>
            </w:r>
          </w:p>
          <w:p w:rsidR="00E844AA" w:rsidRPr="0016063A" w:rsidRDefault="00E844AA" w:rsidP="0045221E">
            <w:pPr>
              <w:jc w:val="both"/>
              <w:rPr>
                <w:rFonts w:ascii="Times New Roman" w:hAnsi="Times New Roman"/>
                <w:szCs w:val="20"/>
                <w:lang w:eastAsia="sk-SK"/>
              </w:rPr>
            </w:pPr>
          </w:p>
        </w:tc>
      </w:tr>
      <w:tr w:rsidR="00E844AA" w:rsidRPr="00B043B4" w:rsidTr="0045221E">
        <w:tc>
          <w:tcPr>
            <w:tcW w:w="9180" w:type="dxa"/>
            <w:gridSpan w:val="6"/>
            <w:tcBorders>
              <w:bottom w:val="single" w:sz="4" w:space="0" w:color="FFFFFF"/>
            </w:tcBorders>
            <w:shd w:val="clear" w:color="auto" w:fill="E2E2E2"/>
          </w:tcPr>
          <w:p w:rsidR="00E844AA" w:rsidRPr="00B043B4" w:rsidRDefault="00E844AA" w:rsidP="0045221E">
            <w:pPr>
              <w:spacing w:after="200" w:line="276" w:lineRule="auto"/>
              <w:ind w:left="142"/>
              <w:contextualSpacing/>
              <w:rPr>
                <w:rFonts w:ascii="Times New Roman" w:hAnsi="Times New Roman"/>
                <w:b/>
              </w:rPr>
            </w:pPr>
            <w:r w:rsidRPr="00B043B4">
              <w:rPr>
                <w:rFonts w:ascii="Times New Roman" w:hAnsi="Times New Roman"/>
                <w:b/>
              </w:rPr>
              <w:t>Predkladateľ (a spolupredkladateľ)</w:t>
            </w:r>
          </w:p>
        </w:tc>
      </w:tr>
      <w:tr w:rsidR="00E844AA" w:rsidRPr="00B043B4" w:rsidTr="0045221E">
        <w:tc>
          <w:tcPr>
            <w:tcW w:w="9180" w:type="dxa"/>
            <w:gridSpan w:val="6"/>
            <w:tcBorders>
              <w:top w:val="single" w:sz="4" w:space="0" w:color="FFFFFF"/>
            </w:tcBorders>
            <w:shd w:val="clear" w:color="auto" w:fill="FFFFFF"/>
          </w:tcPr>
          <w:p w:rsidR="00E844AA" w:rsidRPr="00B043B4" w:rsidRDefault="00E844AA" w:rsidP="0045221E">
            <w:pPr>
              <w:rPr>
                <w:rFonts w:ascii="Times New Roman" w:hAnsi="Times New Roman"/>
                <w:sz w:val="20"/>
                <w:szCs w:val="20"/>
                <w:lang w:eastAsia="sk-SK"/>
              </w:rPr>
            </w:pPr>
            <w:r w:rsidRPr="0016063A">
              <w:rPr>
                <w:rFonts w:ascii="Times New Roman" w:hAnsi="Times New Roman"/>
                <w:szCs w:val="20"/>
                <w:lang w:eastAsia="sk-SK"/>
              </w:rPr>
              <w:t>Ministerstvo spravodlivosti Slovenskej republiky</w:t>
            </w:r>
          </w:p>
        </w:tc>
      </w:tr>
      <w:tr w:rsidR="00E844AA" w:rsidRPr="00B043B4" w:rsidTr="0045221E">
        <w:tc>
          <w:tcPr>
            <w:tcW w:w="4212" w:type="dxa"/>
            <w:vMerge w:val="restart"/>
            <w:tcBorders>
              <w:bottom w:val="single" w:sz="4" w:space="0" w:color="FFFFFF"/>
            </w:tcBorders>
            <w:shd w:val="clear" w:color="auto" w:fill="E2E2E2"/>
            <w:vAlign w:val="center"/>
          </w:tcPr>
          <w:p w:rsidR="00E844AA" w:rsidRPr="00B043B4" w:rsidRDefault="00E844AA" w:rsidP="0045221E">
            <w:pPr>
              <w:spacing w:after="200" w:line="276" w:lineRule="auto"/>
              <w:ind w:left="142"/>
              <w:contextualSpacing/>
              <w:rPr>
                <w:rFonts w:ascii="Times New Roman" w:hAnsi="Times New Roman"/>
                <w:b/>
              </w:rPr>
            </w:pPr>
            <w:r w:rsidRPr="00B043B4">
              <w:rPr>
                <w:rFonts w:ascii="Times New Roman" w:hAnsi="Times New Roman"/>
                <w:b/>
              </w:rPr>
              <w:t>Charakter predkladaného materiálu</w:t>
            </w:r>
          </w:p>
        </w:tc>
        <w:tc>
          <w:tcPr>
            <w:tcW w:w="705" w:type="dxa"/>
            <w:tcBorders>
              <w:right w:val="nil"/>
            </w:tcBorders>
            <w:shd w:val="clear" w:color="auto" w:fill="FFFFFF"/>
          </w:tcPr>
          <w:p w:rsidR="00E844AA" w:rsidRPr="00B043B4" w:rsidRDefault="00E844AA" w:rsidP="0045221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4"/>
            <w:tcBorders>
              <w:left w:val="nil"/>
            </w:tcBorders>
            <w:shd w:val="clear" w:color="auto" w:fill="FFFFFF"/>
          </w:tcPr>
          <w:p w:rsidR="00E844AA" w:rsidRPr="00B043B4" w:rsidRDefault="00E844AA" w:rsidP="0045221E">
            <w:pPr>
              <w:rPr>
                <w:rFonts w:ascii="Times New Roman" w:hAnsi="Times New Roman"/>
                <w:sz w:val="20"/>
                <w:szCs w:val="20"/>
                <w:lang w:eastAsia="sk-SK"/>
              </w:rPr>
            </w:pPr>
            <w:r w:rsidRPr="00B043B4">
              <w:rPr>
                <w:rFonts w:ascii="Times New Roman" w:hAnsi="Times New Roman"/>
                <w:sz w:val="20"/>
                <w:szCs w:val="20"/>
                <w:lang w:eastAsia="sk-SK"/>
              </w:rPr>
              <w:t>Materiál nelegislatívnej povahy</w:t>
            </w:r>
          </w:p>
        </w:tc>
      </w:tr>
      <w:tr w:rsidR="00E844AA" w:rsidRPr="00B043B4" w:rsidTr="0045221E">
        <w:tc>
          <w:tcPr>
            <w:tcW w:w="4212" w:type="dxa"/>
            <w:vMerge/>
            <w:tcBorders>
              <w:top w:val="nil"/>
              <w:bottom w:val="single" w:sz="4" w:space="0" w:color="FFFFFF"/>
            </w:tcBorders>
            <w:shd w:val="clear" w:color="auto" w:fill="E2E2E2"/>
          </w:tcPr>
          <w:p w:rsidR="00E844AA" w:rsidRPr="00B043B4" w:rsidRDefault="00E844AA" w:rsidP="0045221E">
            <w:pPr>
              <w:rPr>
                <w:rFonts w:ascii="Times New Roman" w:hAnsi="Times New Roman"/>
                <w:sz w:val="20"/>
                <w:szCs w:val="20"/>
                <w:lang w:eastAsia="sk-SK"/>
              </w:rPr>
            </w:pPr>
          </w:p>
        </w:tc>
        <w:tc>
          <w:tcPr>
            <w:tcW w:w="705" w:type="dxa"/>
            <w:tcBorders>
              <w:right w:val="nil"/>
            </w:tcBorders>
            <w:shd w:val="clear" w:color="auto" w:fill="FFFFFF"/>
          </w:tcPr>
          <w:p w:rsidR="00E844AA" w:rsidRPr="00B043B4" w:rsidRDefault="00E844AA" w:rsidP="0045221E">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4"/>
            <w:tcBorders>
              <w:left w:val="nil"/>
            </w:tcBorders>
            <w:shd w:val="clear" w:color="auto" w:fill="FFFFFF"/>
          </w:tcPr>
          <w:p w:rsidR="00E844AA" w:rsidRPr="00B043B4" w:rsidRDefault="00E844AA" w:rsidP="0045221E">
            <w:pPr>
              <w:ind w:left="175" w:hanging="175"/>
              <w:rPr>
                <w:rFonts w:ascii="Times New Roman" w:hAnsi="Times New Roman"/>
                <w:sz w:val="20"/>
                <w:szCs w:val="20"/>
                <w:lang w:eastAsia="sk-SK"/>
              </w:rPr>
            </w:pPr>
            <w:r w:rsidRPr="00B043B4">
              <w:rPr>
                <w:rFonts w:ascii="Times New Roman" w:hAnsi="Times New Roman"/>
                <w:sz w:val="20"/>
                <w:szCs w:val="20"/>
                <w:lang w:eastAsia="sk-SK"/>
              </w:rPr>
              <w:t>Materiál legislatívnej povahy</w:t>
            </w:r>
          </w:p>
        </w:tc>
      </w:tr>
      <w:tr w:rsidR="00E844AA" w:rsidRPr="00B043B4" w:rsidTr="0045221E">
        <w:tc>
          <w:tcPr>
            <w:tcW w:w="4212" w:type="dxa"/>
            <w:vMerge/>
            <w:tcBorders>
              <w:top w:val="nil"/>
            </w:tcBorders>
            <w:shd w:val="clear" w:color="auto" w:fill="E2E2E2"/>
          </w:tcPr>
          <w:p w:rsidR="00E844AA" w:rsidRPr="00B043B4" w:rsidRDefault="00E844AA" w:rsidP="0045221E">
            <w:pPr>
              <w:rPr>
                <w:rFonts w:ascii="Times New Roman" w:hAnsi="Times New Roman"/>
                <w:sz w:val="20"/>
                <w:szCs w:val="20"/>
                <w:lang w:eastAsia="sk-SK"/>
              </w:rPr>
            </w:pPr>
          </w:p>
        </w:tc>
        <w:tc>
          <w:tcPr>
            <w:tcW w:w="705" w:type="dxa"/>
            <w:tcBorders>
              <w:right w:val="nil"/>
            </w:tcBorders>
            <w:shd w:val="clear" w:color="auto" w:fill="FFFFFF"/>
          </w:tcPr>
          <w:p w:rsidR="00E844AA" w:rsidRPr="00B043B4" w:rsidRDefault="00E844AA" w:rsidP="0045221E">
            <w:pPr>
              <w:jc w:val="center"/>
              <w:rPr>
                <w:rFonts w:ascii="Times New Roman" w:hAnsi="Times New Roman"/>
                <w:sz w:val="20"/>
                <w:szCs w:val="20"/>
                <w:lang w:eastAsia="sk-SK"/>
              </w:rPr>
            </w:pPr>
            <w:r w:rsidRPr="00601AE5">
              <w:rPr>
                <w:rFonts w:ascii="MS Gothic" w:eastAsia="MS Gothic" w:hAnsi="MS Gothic" w:hint="eastAsia"/>
                <w:sz w:val="20"/>
                <w:szCs w:val="20"/>
                <w:lang w:eastAsia="sk-SK"/>
              </w:rPr>
              <w:t>☐</w:t>
            </w:r>
          </w:p>
        </w:tc>
        <w:tc>
          <w:tcPr>
            <w:tcW w:w="4263" w:type="dxa"/>
            <w:gridSpan w:val="4"/>
            <w:tcBorders>
              <w:left w:val="nil"/>
            </w:tcBorders>
            <w:shd w:val="clear" w:color="auto" w:fill="FFFFFF"/>
          </w:tcPr>
          <w:p w:rsidR="00E844AA" w:rsidRPr="00B043B4" w:rsidRDefault="00E844AA" w:rsidP="0045221E">
            <w:pPr>
              <w:rPr>
                <w:rFonts w:ascii="Times New Roman" w:hAnsi="Times New Roman"/>
                <w:sz w:val="20"/>
                <w:szCs w:val="20"/>
                <w:lang w:eastAsia="sk-SK"/>
              </w:rPr>
            </w:pPr>
            <w:r w:rsidRPr="00B043B4">
              <w:rPr>
                <w:rFonts w:ascii="Times New Roman" w:hAnsi="Times New Roman"/>
                <w:sz w:val="20"/>
                <w:szCs w:val="20"/>
                <w:lang w:eastAsia="sk-SK"/>
              </w:rPr>
              <w:t>Transpozícia práva EÚ</w:t>
            </w:r>
          </w:p>
        </w:tc>
      </w:tr>
      <w:tr w:rsidR="00E844AA" w:rsidRPr="00B043B4" w:rsidTr="0045221E">
        <w:tc>
          <w:tcPr>
            <w:tcW w:w="9180" w:type="dxa"/>
            <w:gridSpan w:val="6"/>
            <w:tcBorders>
              <w:bottom w:val="single" w:sz="4" w:space="0" w:color="FFFFFF"/>
            </w:tcBorders>
            <w:shd w:val="clear" w:color="auto" w:fill="FFFFFF"/>
          </w:tcPr>
          <w:p w:rsidR="00E844AA" w:rsidRPr="00B043B4"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V prípade transpozície uveďte zoznam transponovaných predpisov:</w:t>
            </w:r>
          </w:p>
          <w:p w:rsidR="00E844AA" w:rsidRPr="00B043B4" w:rsidRDefault="00E844AA" w:rsidP="0045221E">
            <w:pPr>
              <w:jc w:val="both"/>
              <w:rPr>
                <w:rFonts w:ascii="Times New Roman" w:hAnsi="Times New Roman"/>
                <w:sz w:val="20"/>
                <w:szCs w:val="20"/>
                <w:lang w:eastAsia="sk-SK"/>
              </w:rPr>
            </w:pPr>
          </w:p>
        </w:tc>
      </w:tr>
      <w:tr w:rsidR="00E844AA" w:rsidRPr="00B043B4" w:rsidTr="0045221E">
        <w:tc>
          <w:tcPr>
            <w:tcW w:w="5949" w:type="dxa"/>
            <w:gridSpan w:val="3"/>
            <w:tcBorders>
              <w:top w:val="single" w:sz="4" w:space="0" w:color="000000"/>
              <w:bottom w:val="single" w:sz="4" w:space="0" w:color="FFFFFF"/>
            </w:tcBorders>
            <w:shd w:val="clear" w:color="auto" w:fill="E2E2E2"/>
          </w:tcPr>
          <w:p w:rsidR="00E844AA" w:rsidRPr="00B043B4" w:rsidRDefault="00E844AA" w:rsidP="0045221E">
            <w:pPr>
              <w:spacing w:after="200" w:line="276" w:lineRule="auto"/>
              <w:ind w:left="142"/>
              <w:contextualSpacing/>
              <w:rPr>
                <w:rFonts w:ascii="Times New Roman" w:hAnsi="Times New Roman"/>
                <w:b/>
              </w:rPr>
            </w:pPr>
            <w:r w:rsidRPr="00B043B4">
              <w:rPr>
                <w:rFonts w:ascii="Times New Roman" w:hAnsi="Times New Roman"/>
                <w:b/>
              </w:rPr>
              <w:t>Termín začiatku a ukončenia PPK</w:t>
            </w:r>
          </w:p>
        </w:tc>
        <w:tc>
          <w:tcPr>
            <w:tcW w:w="3231" w:type="dxa"/>
            <w:gridSpan w:val="3"/>
            <w:tcBorders>
              <w:top w:val="single" w:sz="4" w:space="0" w:color="000000"/>
            </w:tcBorders>
          </w:tcPr>
          <w:p w:rsidR="00E844AA" w:rsidRPr="00B043B4" w:rsidRDefault="00E844AA" w:rsidP="0045221E">
            <w:pPr>
              <w:rPr>
                <w:rFonts w:ascii="Times New Roman" w:hAnsi="Times New Roman"/>
                <w:i/>
                <w:sz w:val="20"/>
                <w:szCs w:val="20"/>
                <w:lang w:eastAsia="sk-SK"/>
              </w:rPr>
            </w:pPr>
            <w:r>
              <w:rPr>
                <w:rFonts w:ascii="Times New Roman" w:hAnsi="Times New Roman"/>
                <w:i/>
                <w:sz w:val="20"/>
                <w:szCs w:val="20"/>
                <w:lang w:eastAsia="sk-SK"/>
              </w:rPr>
              <w:t>november 2022</w:t>
            </w:r>
          </w:p>
        </w:tc>
      </w:tr>
      <w:tr w:rsidR="00E844AA" w:rsidRPr="00B043B4" w:rsidTr="0045221E">
        <w:tc>
          <w:tcPr>
            <w:tcW w:w="5949" w:type="dxa"/>
            <w:gridSpan w:val="3"/>
            <w:tcBorders>
              <w:bottom w:val="single" w:sz="4" w:space="0" w:color="FFFFFF"/>
            </w:tcBorders>
            <w:shd w:val="clear" w:color="auto" w:fill="E2E2E2"/>
          </w:tcPr>
          <w:p w:rsidR="00E844AA" w:rsidRPr="00B043B4" w:rsidRDefault="00E844AA" w:rsidP="0045221E">
            <w:pPr>
              <w:spacing w:after="200" w:line="276" w:lineRule="auto"/>
              <w:ind w:left="142"/>
              <w:contextualSpacing/>
              <w:rPr>
                <w:rFonts w:ascii="Times New Roman" w:hAnsi="Times New Roman"/>
                <w:b/>
              </w:rPr>
            </w:pPr>
            <w:r w:rsidRPr="00B043B4">
              <w:rPr>
                <w:rFonts w:ascii="Times New Roman" w:hAnsi="Times New Roman"/>
                <w:b/>
              </w:rPr>
              <w:t>Predpokl</w:t>
            </w:r>
            <w:r>
              <w:rPr>
                <w:rFonts w:ascii="Times New Roman" w:hAnsi="Times New Roman"/>
                <w:b/>
              </w:rPr>
              <w:t>adaný termín predloženia na pripomienkové konanie</w:t>
            </w:r>
          </w:p>
        </w:tc>
        <w:tc>
          <w:tcPr>
            <w:tcW w:w="3231" w:type="dxa"/>
            <w:gridSpan w:val="3"/>
          </w:tcPr>
          <w:p w:rsidR="00E844AA" w:rsidRPr="00B043B4" w:rsidRDefault="00E844AA" w:rsidP="0045221E">
            <w:pPr>
              <w:rPr>
                <w:rFonts w:ascii="Times New Roman" w:hAnsi="Times New Roman"/>
                <w:i/>
                <w:sz w:val="20"/>
                <w:szCs w:val="20"/>
                <w:lang w:eastAsia="sk-SK"/>
              </w:rPr>
            </w:pPr>
            <w:r>
              <w:rPr>
                <w:rFonts w:ascii="Times New Roman" w:hAnsi="Times New Roman"/>
                <w:i/>
                <w:sz w:val="20"/>
                <w:szCs w:val="20"/>
                <w:lang w:eastAsia="sk-SK"/>
              </w:rPr>
              <w:t>december 2022</w:t>
            </w:r>
          </w:p>
        </w:tc>
      </w:tr>
      <w:tr w:rsidR="00E844AA" w:rsidRPr="00B043B4" w:rsidTr="0045221E">
        <w:trPr>
          <w:trHeight w:val="320"/>
        </w:trPr>
        <w:tc>
          <w:tcPr>
            <w:tcW w:w="5949" w:type="dxa"/>
            <w:gridSpan w:val="3"/>
            <w:tcBorders>
              <w:bottom w:val="single" w:sz="4" w:space="0" w:color="FFFFFF"/>
            </w:tcBorders>
            <w:shd w:val="clear" w:color="auto" w:fill="E2E2E2"/>
          </w:tcPr>
          <w:p w:rsidR="00E844AA" w:rsidRPr="00B043B4" w:rsidRDefault="00E844AA" w:rsidP="0045221E">
            <w:pPr>
              <w:spacing w:line="276" w:lineRule="auto"/>
              <w:ind w:left="142"/>
              <w:contextualSpacing/>
              <w:rPr>
                <w:rFonts w:ascii="Calibri" w:hAnsi="Calibri"/>
                <w:b/>
              </w:rPr>
            </w:pPr>
            <w:r w:rsidRPr="00B043B4">
              <w:rPr>
                <w:rFonts w:ascii="Times New Roman" w:hAnsi="Times New Roman"/>
                <w:b/>
              </w:rPr>
              <w:t>Predpokladaný termín začiatku a ukončenia ZP**</w:t>
            </w:r>
            <w:r w:rsidRPr="00B043B4">
              <w:rPr>
                <w:rFonts w:ascii="Calibri" w:hAnsi="Calibri"/>
                <w:b/>
              </w:rPr>
              <w:t xml:space="preserve"> </w:t>
            </w:r>
          </w:p>
        </w:tc>
        <w:tc>
          <w:tcPr>
            <w:tcW w:w="3231" w:type="dxa"/>
            <w:gridSpan w:val="3"/>
          </w:tcPr>
          <w:p w:rsidR="00E844AA" w:rsidRPr="00B043B4" w:rsidRDefault="00E844AA" w:rsidP="0045221E">
            <w:pPr>
              <w:rPr>
                <w:rFonts w:ascii="Times New Roman" w:hAnsi="Times New Roman"/>
                <w:i/>
                <w:sz w:val="20"/>
                <w:szCs w:val="20"/>
                <w:lang w:eastAsia="sk-SK"/>
              </w:rPr>
            </w:pPr>
          </w:p>
        </w:tc>
      </w:tr>
      <w:tr w:rsidR="00E844AA" w:rsidRPr="00B043B4" w:rsidTr="0045221E">
        <w:tc>
          <w:tcPr>
            <w:tcW w:w="5949" w:type="dxa"/>
            <w:gridSpan w:val="3"/>
            <w:tcBorders>
              <w:bottom w:val="single" w:sz="4" w:space="0" w:color="FFFFFF"/>
            </w:tcBorders>
            <w:shd w:val="clear" w:color="auto" w:fill="E2E2E2"/>
          </w:tcPr>
          <w:p w:rsidR="00E844AA" w:rsidRPr="00B043B4" w:rsidRDefault="00E844AA" w:rsidP="0045221E">
            <w:pPr>
              <w:spacing w:after="200" w:line="276" w:lineRule="auto"/>
              <w:ind w:left="142"/>
              <w:contextualSpacing/>
              <w:jc w:val="both"/>
              <w:rPr>
                <w:rFonts w:ascii="Times New Roman" w:hAnsi="Times New Roman"/>
                <w:b/>
              </w:rPr>
            </w:pPr>
            <w:r w:rsidRPr="00B043B4">
              <w:rPr>
                <w:rFonts w:ascii="Times New Roman" w:hAnsi="Times New Roman"/>
                <w:b/>
              </w:rPr>
              <w:t>Predpokladaný termín predloženia na rokovanie vlády SR*</w:t>
            </w:r>
          </w:p>
        </w:tc>
        <w:tc>
          <w:tcPr>
            <w:tcW w:w="3231" w:type="dxa"/>
            <w:gridSpan w:val="3"/>
          </w:tcPr>
          <w:p w:rsidR="00E844AA" w:rsidRPr="00B043B4" w:rsidRDefault="00E844AA" w:rsidP="0045221E">
            <w:pPr>
              <w:rPr>
                <w:rFonts w:ascii="Times New Roman" w:hAnsi="Times New Roman"/>
                <w:i/>
                <w:sz w:val="20"/>
                <w:szCs w:val="20"/>
                <w:lang w:eastAsia="sk-SK"/>
              </w:rPr>
            </w:pPr>
            <w:r>
              <w:rPr>
                <w:rFonts w:ascii="Times New Roman" w:hAnsi="Times New Roman"/>
                <w:i/>
                <w:sz w:val="20"/>
                <w:szCs w:val="20"/>
                <w:lang w:eastAsia="sk-SK"/>
              </w:rPr>
              <w:t>január 2023</w:t>
            </w:r>
          </w:p>
        </w:tc>
      </w:tr>
      <w:tr w:rsidR="00E844AA" w:rsidRPr="00B043B4" w:rsidTr="0045221E">
        <w:tc>
          <w:tcPr>
            <w:tcW w:w="9180" w:type="dxa"/>
            <w:gridSpan w:val="6"/>
            <w:tcBorders>
              <w:left w:val="nil"/>
              <w:right w:val="nil"/>
            </w:tcBorders>
            <w:shd w:val="clear" w:color="auto" w:fill="FFFFFF"/>
          </w:tcPr>
          <w:p w:rsidR="00E844AA" w:rsidRPr="00B043B4" w:rsidRDefault="00E844AA" w:rsidP="0045221E">
            <w:pPr>
              <w:rPr>
                <w:rFonts w:ascii="Times New Roman" w:hAnsi="Times New Roman"/>
                <w:sz w:val="20"/>
                <w:szCs w:val="20"/>
                <w:lang w:eastAsia="sk-SK"/>
              </w:rPr>
            </w:pPr>
          </w:p>
        </w:tc>
      </w:tr>
      <w:tr w:rsidR="00E844AA" w:rsidRPr="00B043B4" w:rsidTr="0045221E">
        <w:tc>
          <w:tcPr>
            <w:tcW w:w="9180" w:type="dxa"/>
            <w:gridSpan w:val="6"/>
            <w:tcBorders>
              <w:bottom w:val="single" w:sz="4" w:space="0" w:color="FFFFFF"/>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Definovanie problému</w:t>
            </w:r>
          </w:p>
        </w:tc>
      </w:tr>
      <w:tr w:rsidR="00E844AA" w:rsidRPr="00B043B4" w:rsidTr="0045221E">
        <w:trPr>
          <w:trHeight w:val="718"/>
        </w:trPr>
        <w:tc>
          <w:tcPr>
            <w:tcW w:w="9180" w:type="dxa"/>
            <w:gridSpan w:val="6"/>
            <w:tcBorders>
              <w:top w:val="single" w:sz="4" w:space="0" w:color="FFFFFF"/>
            </w:tcBorders>
            <w:shd w:val="clear" w:color="auto" w:fill="FFFFFF"/>
          </w:tcPr>
          <w:p w:rsidR="00E844AA" w:rsidRDefault="00E844AA" w:rsidP="0045221E">
            <w:pPr>
              <w:jc w:val="both"/>
              <w:rPr>
                <w:rFonts w:ascii="Times New Roman" w:hAnsi="Times New Roman"/>
                <w:i/>
                <w:sz w:val="20"/>
                <w:szCs w:val="20"/>
                <w:lang w:eastAsia="sk-SK"/>
              </w:rPr>
            </w:pPr>
            <w:r w:rsidRPr="00B043B4">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E844AA" w:rsidRPr="006860F6" w:rsidRDefault="00E844AA" w:rsidP="0045221E">
            <w:pPr>
              <w:jc w:val="both"/>
              <w:rPr>
                <w:rFonts w:ascii="Times New Roman" w:hAnsi="Times New Roman"/>
                <w:szCs w:val="20"/>
                <w:lang w:eastAsia="sk-SK"/>
              </w:rPr>
            </w:pPr>
            <w:r w:rsidRPr="006860F6">
              <w:rPr>
                <w:rFonts w:ascii="Times New Roman" w:hAnsi="Times New Roman"/>
                <w:szCs w:val="20"/>
                <w:lang w:eastAsia="sk-SK"/>
              </w:rPr>
              <w:t xml:space="preserve">Návrh zákona reaguje na viaceré rozsudky Európskeho súdu pre ľudské práva proti Slovenskej republike, v ktorých vyslovil závery, ktoré naznačujú neúčinnosť vnútroštátneho mechanizmu nápravy porušenia práva na prejednanie veci v primeranej lehote v konaniach prebiehajúcich pred správnymi orgánmi a následne pred súdmi. </w:t>
            </w:r>
          </w:p>
          <w:p w:rsidR="00E844AA" w:rsidRPr="0098744A" w:rsidRDefault="00E844AA" w:rsidP="0045221E">
            <w:pPr>
              <w:jc w:val="both"/>
              <w:rPr>
                <w:rFonts w:ascii="Times New Roman" w:hAnsi="Times New Roman"/>
                <w:szCs w:val="20"/>
                <w:lang w:eastAsia="sk-SK"/>
              </w:rPr>
            </w:pPr>
          </w:p>
        </w:tc>
      </w:tr>
      <w:tr w:rsidR="00E844AA" w:rsidRPr="00B043B4" w:rsidTr="0045221E">
        <w:tc>
          <w:tcPr>
            <w:tcW w:w="9180" w:type="dxa"/>
            <w:gridSpan w:val="6"/>
            <w:tcBorders>
              <w:bottom w:val="nil"/>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Ciele a výsledný stav</w:t>
            </w:r>
          </w:p>
        </w:tc>
      </w:tr>
      <w:tr w:rsidR="00E844AA" w:rsidRPr="00B043B4" w:rsidTr="0045221E">
        <w:trPr>
          <w:trHeight w:val="741"/>
        </w:trPr>
        <w:tc>
          <w:tcPr>
            <w:tcW w:w="9180" w:type="dxa"/>
            <w:gridSpan w:val="6"/>
            <w:tcBorders>
              <w:top w:val="nil"/>
            </w:tcBorders>
            <w:shd w:val="clear" w:color="auto" w:fill="FFFFFF"/>
          </w:tcPr>
          <w:p w:rsidR="00E844AA"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hAnsi="Times New Roman"/>
                <w:i/>
                <w:sz w:val="20"/>
                <w:szCs w:val="20"/>
                <w:lang w:eastAsia="sk-SK"/>
              </w:rPr>
              <w:t>e</w:t>
            </w:r>
            <w:r w:rsidRPr="00B043B4">
              <w:rPr>
                <w:rFonts w:ascii="Times New Roman" w:hAnsi="Times New Roman"/>
                <w:i/>
                <w:sz w:val="20"/>
                <w:szCs w:val="20"/>
                <w:lang w:eastAsia="sk-SK"/>
              </w:rPr>
              <w:t xml:space="preserve"> 2. Definovanie problému). </w:t>
            </w:r>
          </w:p>
          <w:p w:rsidR="00E844AA" w:rsidRPr="000940D7" w:rsidRDefault="00E844AA" w:rsidP="0045221E">
            <w:pPr>
              <w:jc w:val="both"/>
              <w:rPr>
                <w:rFonts w:ascii="Times New Roman" w:hAnsi="Times New Roman"/>
                <w:szCs w:val="20"/>
                <w:lang w:eastAsia="sk-SK"/>
              </w:rPr>
            </w:pPr>
            <w:r w:rsidRPr="000940D7">
              <w:rPr>
                <w:rFonts w:ascii="Times New Roman" w:hAnsi="Times New Roman"/>
                <w:szCs w:val="20"/>
                <w:lang w:eastAsia="sk-SK"/>
              </w:rPr>
              <w:t>Cieľom novely Správneho súdneho poriadku je posilniť preventívny účinok žaloby proti nečinnosti orgánu verejnej správy a kompenzačný účinok nápravy tým, že správny súd bude mať v štádiu konania o žalobe proti nečinnosti voči orgánom verejnej správy možnosť rozhodnúť o povinnosti zaplatiť primerané zadosťučinenie žalobcovi. Možnosť uloženia pokuty orgánu verejnej správy za nečinnosť sa vypúšťa. Keďže odškodnenie vrátane poskytnutia nemajetkovej ujmy sa poskytuje v zmysle zákona č. 514/2003 Z. z. o zodpovednosti za škodu spôsobenú pri výkone verejnej moci a o zmene niektorých zákonov v znení neskorších predpisov, ak už bolo priznané primerané zadosťučinenie súdom, nebude sa vyplácať duplicitne aj podľa zákona č. 514/2003 Z. z.</w:t>
            </w:r>
          </w:p>
          <w:p w:rsidR="00E844AA" w:rsidRPr="0098744A" w:rsidRDefault="00E844AA" w:rsidP="0045221E">
            <w:pPr>
              <w:jc w:val="both"/>
              <w:rPr>
                <w:rFonts w:ascii="Times New Roman" w:hAnsi="Times New Roman"/>
                <w:lang w:eastAsia="sk-SK"/>
              </w:rPr>
            </w:pPr>
          </w:p>
        </w:tc>
      </w:tr>
      <w:tr w:rsidR="00E844AA" w:rsidRPr="00B043B4" w:rsidTr="0045221E">
        <w:tc>
          <w:tcPr>
            <w:tcW w:w="9180" w:type="dxa"/>
            <w:gridSpan w:val="6"/>
            <w:tcBorders>
              <w:bottom w:val="nil"/>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Dotknuté subjekty</w:t>
            </w:r>
          </w:p>
        </w:tc>
      </w:tr>
      <w:tr w:rsidR="00E844AA" w:rsidRPr="00B043B4" w:rsidTr="0045221E">
        <w:tc>
          <w:tcPr>
            <w:tcW w:w="9180" w:type="dxa"/>
            <w:gridSpan w:val="6"/>
            <w:tcBorders>
              <w:top w:val="nil"/>
            </w:tcBorders>
            <w:shd w:val="clear" w:color="auto" w:fill="FFFFFF"/>
          </w:tcPr>
          <w:p w:rsidR="00E844AA"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Uveďte subjekty, ktorých sa zmeny predkladaného mater</w:t>
            </w:r>
            <w:r>
              <w:rPr>
                <w:rFonts w:ascii="Times New Roman" w:hAnsi="Times New Roman"/>
                <w:i/>
                <w:sz w:val="20"/>
                <w:szCs w:val="20"/>
                <w:lang w:eastAsia="sk-SK"/>
              </w:rPr>
              <w:t>iálu dotknú priamo aj nepriamo:</w:t>
            </w:r>
          </w:p>
          <w:p w:rsidR="00E844AA" w:rsidRDefault="00E844AA" w:rsidP="0045221E">
            <w:pPr>
              <w:jc w:val="both"/>
              <w:rPr>
                <w:rFonts w:ascii="Times New Roman" w:hAnsi="Times New Roman"/>
                <w:szCs w:val="20"/>
                <w:lang w:eastAsia="sk-SK"/>
              </w:rPr>
            </w:pPr>
            <w:r>
              <w:rPr>
                <w:rFonts w:ascii="Times New Roman" w:hAnsi="Times New Roman"/>
                <w:szCs w:val="20"/>
                <w:lang w:eastAsia="sk-SK"/>
              </w:rPr>
              <w:t>Predkladaný materiál sa priamo dotkne osôb v postavení žalobcu v konaniach o žalobách proti nečinnosti orgánov verejnej správy. Medzi konštatovaním nezákonnej nečinnosti orgánov verejnej moci a poskytnutím primeraného zadosťučinenia za porušenie práv žalobcu nebude časový odstup, ktorý si vyžadoval obrátenie sa na príslušný orgán v zmysle zákona č. 514/2003 Z. z. Priamo sa dotkne aj orgánov štátnej moci v pozícii žalovaného, ktorí budú rozhodnutím súdu zaviazaní zaplatiť súdom stanovenú sumu do dvoch mesiacov od rozhodnutia súdu, inak sa suma bude postupne navyšovať.</w:t>
            </w:r>
          </w:p>
          <w:p w:rsidR="00E844AA" w:rsidRPr="00DA3F03" w:rsidRDefault="00E844AA" w:rsidP="0045221E">
            <w:pPr>
              <w:jc w:val="both"/>
              <w:rPr>
                <w:rFonts w:ascii="Times New Roman" w:hAnsi="Times New Roman"/>
                <w:szCs w:val="20"/>
                <w:lang w:eastAsia="sk-SK"/>
              </w:rPr>
            </w:pPr>
          </w:p>
        </w:tc>
      </w:tr>
      <w:tr w:rsidR="00E844AA" w:rsidRPr="00B043B4" w:rsidTr="0045221E">
        <w:tc>
          <w:tcPr>
            <w:tcW w:w="9180" w:type="dxa"/>
            <w:gridSpan w:val="6"/>
            <w:tcBorders>
              <w:bottom w:val="nil"/>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Alternatívne riešenia</w:t>
            </w:r>
          </w:p>
        </w:tc>
      </w:tr>
      <w:tr w:rsidR="00E844AA" w:rsidRPr="00B043B4" w:rsidTr="0045221E">
        <w:trPr>
          <w:trHeight w:val="1524"/>
        </w:trPr>
        <w:tc>
          <w:tcPr>
            <w:tcW w:w="9180" w:type="dxa"/>
            <w:gridSpan w:val="6"/>
            <w:tcBorders>
              <w:top w:val="nil"/>
            </w:tcBorders>
            <w:shd w:val="clear" w:color="auto" w:fill="FFFFFF"/>
          </w:tcPr>
          <w:p w:rsidR="00E844AA" w:rsidRPr="00B043B4" w:rsidRDefault="00E844AA" w:rsidP="0045221E">
            <w:pPr>
              <w:jc w:val="both"/>
              <w:rPr>
                <w:rFonts w:ascii="Times New Roman" w:hAnsi="Times New Roman"/>
                <w:i/>
                <w:sz w:val="20"/>
                <w:szCs w:val="20"/>
                <w:lang w:eastAsia="sk-SK"/>
              </w:rPr>
            </w:pPr>
            <w:r w:rsidRPr="00B043B4">
              <w:rPr>
                <w:rFonts w:ascii="Times New Roman" w:hAnsi="Times New Roman"/>
                <w:i/>
                <w:sz w:val="20"/>
                <w:szCs w:val="20"/>
                <w:lang w:eastAsia="sk-SK"/>
              </w:rPr>
              <w:lastRenderedPageBreak/>
              <w:t>Aké alternatívne riešenia vedúce k stanovenému cieľu boli identifikované a</w:t>
            </w:r>
            <w:r>
              <w:rPr>
                <w:rFonts w:ascii="Times New Roman" w:hAnsi="Times New Roman"/>
                <w:i/>
                <w:sz w:val="20"/>
                <w:szCs w:val="20"/>
                <w:lang w:eastAsia="sk-SK"/>
              </w:rPr>
              <w:t xml:space="preserve"> </w:t>
            </w:r>
            <w:r w:rsidRPr="00B043B4">
              <w:rPr>
                <w:rFonts w:ascii="Times New Roman" w:hAnsi="Times New Roman"/>
                <w:i/>
                <w:sz w:val="20"/>
                <w:szCs w:val="20"/>
                <w:lang w:eastAsia="sk-SK"/>
              </w:rPr>
              <w:t>posudzované pre riešenie definovaného problému?</w:t>
            </w:r>
          </w:p>
          <w:p w:rsidR="00E844AA" w:rsidRDefault="00E844AA" w:rsidP="0045221E">
            <w:pPr>
              <w:jc w:val="both"/>
              <w:rPr>
                <w:rFonts w:ascii="Times New Roman" w:hAnsi="Times New Roman"/>
                <w:i/>
                <w:sz w:val="20"/>
                <w:szCs w:val="20"/>
                <w:lang w:eastAsia="sk-SK"/>
              </w:rPr>
            </w:pPr>
            <w:r>
              <w:rPr>
                <w:rFonts w:ascii="Times New Roman" w:hAnsi="Times New Roman"/>
                <w:i/>
                <w:sz w:val="20"/>
                <w:szCs w:val="20"/>
                <w:lang w:eastAsia="sk-SK"/>
              </w:rPr>
              <w:t>Nulový varia</w:t>
            </w:r>
            <w:r w:rsidRPr="00B043B4">
              <w:rPr>
                <w:rFonts w:ascii="Times New Roman" w:hAnsi="Times New Roman"/>
                <w:i/>
                <w:sz w:val="20"/>
                <w:szCs w:val="20"/>
                <w:lang w:eastAsia="sk-SK"/>
              </w:rPr>
              <w:t>nt - uveďte dôsledky, ku ktorým by došlo v prípade nevykonania úprav v predkladanom materiáli</w:t>
            </w:r>
            <w:r>
              <w:rPr>
                <w:rFonts w:ascii="Times New Roman" w:hAnsi="Times New Roman"/>
                <w:i/>
                <w:sz w:val="20"/>
                <w:szCs w:val="20"/>
                <w:lang w:eastAsia="sk-SK"/>
              </w:rPr>
              <w:t xml:space="preserve">           </w:t>
            </w:r>
            <w:r w:rsidRPr="00B043B4">
              <w:rPr>
                <w:rFonts w:ascii="Times New Roman" w:hAnsi="Times New Roman"/>
                <w:i/>
                <w:sz w:val="20"/>
                <w:szCs w:val="20"/>
                <w:lang w:eastAsia="sk-SK"/>
              </w:rPr>
              <w:t>a alternatívne riešenia/spôsoby dosiahnutia cieľov uvedených v bode 3.</w:t>
            </w:r>
          </w:p>
          <w:p w:rsidR="00E844AA" w:rsidRDefault="00E844AA" w:rsidP="0045221E">
            <w:pPr>
              <w:jc w:val="both"/>
              <w:rPr>
                <w:rFonts w:ascii="Times New Roman" w:hAnsi="Times New Roman"/>
                <w:lang w:eastAsia="sk-SK"/>
              </w:rPr>
            </w:pPr>
            <w:r>
              <w:rPr>
                <w:rFonts w:ascii="Times New Roman" w:hAnsi="Times New Roman"/>
                <w:szCs w:val="20"/>
                <w:lang w:eastAsia="sk-SK"/>
              </w:rPr>
              <w:t xml:space="preserve">V prípade nulového variantu by Slovenská republika neúspešne čelila žalobám občanov na </w:t>
            </w:r>
            <w:r w:rsidRPr="00BD278D">
              <w:rPr>
                <w:rFonts w:ascii="Times New Roman" w:hAnsi="Times New Roman"/>
                <w:lang w:eastAsia="sk-SK"/>
              </w:rPr>
              <w:t xml:space="preserve"> </w:t>
            </w:r>
            <w:r>
              <w:rPr>
                <w:rFonts w:ascii="Times New Roman" w:hAnsi="Times New Roman"/>
                <w:lang w:eastAsia="sk-SK"/>
              </w:rPr>
              <w:t>Európskom súde pre ľudské práva v zrýchlenej a zjednodušenej procedúre, vyplateniu súm spravodlivého zadosťučinenia a s tým spojenými výdavkami za trovy a náklady konania pred ESĽP.</w:t>
            </w:r>
          </w:p>
          <w:p w:rsidR="00E844AA" w:rsidRPr="002E3DAC" w:rsidRDefault="00E844AA" w:rsidP="0045221E">
            <w:pPr>
              <w:jc w:val="both"/>
              <w:rPr>
                <w:rFonts w:ascii="Times New Roman" w:hAnsi="Times New Roman"/>
                <w:szCs w:val="20"/>
                <w:lang w:eastAsia="sk-SK"/>
              </w:rPr>
            </w:pPr>
            <w:r>
              <w:rPr>
                <w:rFonts w:ascii="Times New Roman" w:hAnsi="Times New Roman"/>
                <w:lang w:eastAsia="sk-SK"/>
              </w:rPr>
              <w:t xml:space="preserve"> </w:t>
            </w:r>
          </w:p>
        </w:tc>
      </w:tr>
      <w:tr w:rsidR="00E844AA" w:rsidRPr="00B043B4" w:rsidTr="0045221E">
        <w:tc>
          <w:tcPr>
            <w:tcW w:w="9180" w:type="dxa"/>
            <w:gridSpan w:val="6"/>
            <w:tcBorders>
              <w:bottom w:val="single" w:sz="4" w:space="0" w:color="FFFFFF"/>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Vykonávacie predpisy</w:t>
            </w:r>
          </w:p>
        </w:tc>
      </w:tr>
      <w:tr w:rsidR="00E844AA" w:rsidRPr="00B043B4" w:rsidTr="0045221E">
        <w:tc>
          <w:tcPr>
            <w:tcW w:w="6203" w:type="dxa"/>
            <w:gridSpan w:val="4"/>
            <w:tcBorders>
              <w:top w:val="single" w:sz="4" w:space="0" w:color="FFFFFF"/>
              <w:bottom w:val="nil"/>
              <w:right w:val="nil"/>
            </w:tcBorders>
            <w:shd w:val="clear" w:color="auto" w:fill="FFFFFF"/>
          </w:tcPr>
          <w:p w:rsidR="00E844AA" w:rsidRPr="00B043B4"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Predpokladá sa prijatie/zmena  vykonávacích predpisov?</w:t>
            </w:r>
          </w:p>
        </w:tc>
        <w:tc>
          <w:tcPr>
            <w:tcW w:w="1417" w:type="dxa"/>
            <w:tcBorders>
              <w:top w:val="single" w:sz="4" w:space="0" w:color="FFFFFF"/>
              <w:left w:val="nil"/>
              <w:bottom w:val="nil"/>
              <w:right w:val="nil"/>
            </w:tcBorders>
            <w:shd w:val="clear" w:color="auto" w:fill="FFFFFF"/>
          </w:tcPr>
          <w:p w:rsidR="00E844AA" w:rsidRPr="00B043B4" w:rsidRDefault="00E844AA" w:rsidP="0045221E">
            <w:pPr>
              <w:jc w:val="center"/>
              <w:rPr>
                <w:rFonts w:ascii="Times New Roman" w:hAnsi="Times New Roman"/>
                <w:b/>
                <w:sz w:val="20"/>
                <w:szCs w:val="20"/>
                <w:lang w:eastAsia="sk-SK"/>
              </w:rPr>
            </w:pPr>
            <w:r w:rsidRPr="00EF49FB">
              <w:rPr>
                <w:rFonts w:ascii="MS Gothic" w:eastAsia="MS Gothic" w:hAnsi="MS Gothic" w:hint="eastAsia"/>
                <w:b/>
                <w:sz w:val="20"/>
                <w:szCs w:val="20"/>
                <w:lang w:eastAsia="sk-SK"/>
              </w:rPr>
              <w:t>☐</w:t>
            </w:r>
            <w:r w:rsidRPr="00B043B4">
              <w:rPr>
                <w:rFonts w:ascii="Times New Roman" w:hAnsi="Times New Roman"/>
                <w:b/>
                <w:sz w:val="20"/>
                <w:szCs w:val="20"/>
                <w:lang w:eastAsia="sk-SK"/>
              </w:rPr>
              <w:t xml:space="preserve">  Áno</w:t>
            </w:r>
          </w:p>
        </w:tc>
        <w:tc>
          <w:tcPr>
            <w:tcW w:w="1560" w:type="dxa"/>
            <w:tcBorders>
              <w:top w:val="single" w:sz="4" w:space="0" w:color="FFFFFF"/>
              <w:left w:val="nil"/>
              <w:bottom w:val="nil"/>
            </w:tcBorders>
            <w:shd w:val="clear" w:color="auto" w:fill="FFFFFF"/>
          </w:tcPr>
          <w:p w:rsidR="00E844AA" w:rsidRPr="00B043B4" w:rsidRDefault="00E844AA" w:rsidP="0045221E">
            <w:pPr>
              <w:jc w:val="center"/>
              <w:rPr>
                <w:rFonts w:ascii="Times New Roman" w:hAnsi="Times New Roman"/>
                <w:b/>
                <w:sz w:val="20"/>
                <w:szCs w:val="20"/>
                <w:lang w:eastAsia="sk-SK"/>
              </w:rPr>
            </w:pPr>
            <w:r w:rsidRPr="00EF49FB">
              <w:rPr>
                <w:rFonts w:ascii="MS Gothic" w:eastAsia="MS Gothic" w:hAnsi="MS Gothic" w:hint="eastAsia"/>
                <w:b/>
                <w:sz w:val="20"/>
                <w:szCs w:val="20"/>
                <w:lang w:eastAsia="sk-SK"/>
              </w:rPr>
              <w:t>☒</w:t>
            </w:r>
            <w:r w:rsidRPr="00B043B4">
              <w:rPr>
                <w:rFonts w:ascii="Times New Roman" w:hAnsi="Times New Roman"/>
                <w:b/>
                <w:sz w:val="20"/>
                <w:szCs w:val="20"/>
                <w:lang w:eastAsia="sk-SK"/>
              </w:rPr>
              <w:t xml:space="preserve">  Nie</w:t>
            </w:r>
          </w:p>
        </w:tc>
      </w:tr>
      <w:tr w:rsidR="00E844AA" w:rsidRPr="00B043B4" w:rsidTr="0045221E">
        <w:tc>
          <w:tcPr>
            <w:tcW w:w="9180" w:type="dxa"/>
            <w:gridSpan w:val="6"/>
            <w:tcBorders>
              <w:top w:val="nil"/>
            </w:tcBorders>
            <w:shd w:val="clear" w:color="auto" w:fill="FFFFFF"/>
          </w:tcPr>
          <w:p w:rsidR="00E844AA"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Ak áno, uveďte ktoré oblasti budú nimi upravené, resp. ktorých vykonávacích predpisov sa zmena dotkne:</w:t>
            </w:r>
          </w:p>
          <w:p w:rsidR="00E844AA" w:rsidRPr="0024614E" w:rsidRDefault="00E844AA" w:rsidP="0045221E">
            <w:pPr>
              <w:jc w:val="both"/>
              <w:rPr>
                <w:rFonts w:ascii="Times New Roman" w:hAnsi="Times New Roman"/>
                <w:i/>
                <w:strike/>
                <w:sz w:val="20"/>
                <w:szCs w:val="20"/>
                <w:lang w:eastAsia="sk-SK"/>
              </w:rPr>
            </w:pPr>
          </w:p>
        </w:tc>
      </w:tr>
      <w:tr w:rsidR="00E844AA" w:rsidRPr="00B043B4" w:rsidTr="0045221E">
        <w:tc>
          <w:tcPr>
            <w:tcW w:w="9180" w:type="dxa"/>
            <w:gridSpan w:val="6"/>
            <w:tcBorders>
              <w:bottom w:val="single" w:sz="4" w:space="0" w:color="FFFFFF"/>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 xml:space="preserve">Transpozícia práva EÚ </w:t>
            </w:r>
          </w:p>
        </w:tc>
      </w:tr>
      <w:tr w:rsidR="00E844AA" w:rsidRPr="00B043B4" w:rsidTr="0045221E">
        <w:trPr>
          <w:trHeight w:val="157"/>
        </w:trPr>
        <w:tc>
          <w:tcPr>
            <w:tcW w:w="9180" w:type="dxa"/>
            <w:gridSpan w:val="6"/>
            <w:tcBorders>
              <w:top w:val="nil"/>
              <w:left w:val="single" w:sz="4" w:space="0" w:color="000000"/>
              <w:bottom w:val="nil"/>
            </w:tcBorders>
            <w:shd w:val="clear" w:color="auto" w:fill="FFFFFF"/>
          </w:tcPr>
          <w:p w:rsidR="00E844AA" w:rsidRDefault="00E844AA" w:rsidP="0045221E">
            <w:pPr>
              <w:jc w:val="both"/>
              <w:rPr>
                <w:rFonts w:ascii="Times New Roman" w:hAnsi="Times New Roman"/>
                <w:i/>
                <w:sz w:val="20"/>
                <w:szCs w:val="20"/>
                <w:lang w:eastAsia="sk-SK"/>
              </w:rPr>
            </w:pPr>
            <w:r w:rsidRPr="00B043B4">
              <w:rPr>
                <w:rFonts w:ascii="Times New Roman" w:hAnsi="Times New Roman"/>
                <w:i/>
                <w:sz w:val="20"/>
                <w:szCs w:val="20"/>
                <w:lang w:eastAsia="sk-SK"/>
              </w:rPr>
              <w:t>Uveďte, v ktorých konkrétnych ustanoveniach (paragrafy, články, body, atď.) ide národná právna úprava nad rámec minimálnych požiadaviek EÚ (tzv. goldplating) spolu s odôvodnením opodstatnenosti presahu.</w:t>
            </w:r>
          </w:p>
          <w:p w:rsidR="00E844AA" w:rsidRPr="0013331E" w:rsidRDefault="00E844AA" w:rsidP="0045221E">
            <w:pPr>
              <w:jc w:val="both"/>
              <w:rPr>
                <w:rFonts w:ascii="Times New Roman" w:hAnsi="Times New Roman"/>
                <w:i/>
                <w:sz w:val="20"/>
                <w:szCs w:val="20"/>
                <w:lang w:eastAsia="sk-SK"/>
              </w:rPr>
            </w:pPr>
          </w:p>
        </w:tc>
      </w:tr>
      <w:tr w:rsidR="00E844AA" w:rsidRPr="00B043B4" w:rsidTr="0045221E">
        <w:tc>
          <w:tcPr>
            <w:tcW w:w="9180" w:type="dxa"/>
            <w:gridSpan w:val="6"/>
            <w:tcBorders>
              <w:bottom w:val="single" w:sz="4" w:space="0" w:color="FFFFFF"/>
            </w:tcBorders>
            <w:shd w:val="clear" w:color="auto" w:fill="E2E2E2"/>
          </w:tcPr>
          <w:p w:rsidR="00E844AA" w:rsidRPr="00B043B4" w:rsidRDefault="00E844AA" w:rsidP="00E844AA">
            <w:pPr>
              <w:numPr>
                <w:ilvl w:val="0"/>
                <w:numId w:val="16"/>
              </w:numPr>
              <w:ind w:left="426"/>
              <w:contextualSpacing/>
              <w:rPr>
                <w:rFonts w:ascii="Times New Roman" w:hAnsi="Times New Roman"/>
                <w:b/>
              </w:rPr>
            </w:pPr>
            <w:r w:rsidRPr="00B043B4">
              <w:rPr>
                <w:rFonts w:ascii="Times New Roman" w:hAnsi="Times New Roman"/>
                <w:b/>
              </w:rPr>
              <w:t>Preskúmanie účelnosti</w:t>
            </w:r>
          </w:p>
        </w:tc>
      </w:tr>
      <w:tr w:rsidR="00E844AA" w:rsidRPr="00B043B4" w:rsidTr="0045221E">
        <w:tc>
          <w:tcPr>
            <w:tcW w:w="9180" w:type="dxa"/>
            <w:gridSpan w:val="6"/>
            <w:tcBorders>
              <w:top w:val="single" w:sz="4" w:space="0" w:color="FFFFFF"/>
            </w:tcBorders>
            <w:shd w:val="clear" w:color="auto" w:fill="FFFFFF"/>
          </w:tcPr>
          <w:p w:rsidR="00E844AA" w:rsidRPr="00B043B4"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Uveďte termín, kedy by malo dôjsť k preskúmaniu účinnosti a účelnosti predkladaného materiálu.</w:t>
            </w:r>
          </w:p>
          <w:p w:rsidR="00E844AA"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Uveďte kritériá, na základe ktorých bude preskúmanie vykonané</w:t>
            </w:r>
            <w:r>
              <w:rPr>
                <w:rFonts w:ascii="Times New Roman" w:hAnsi="Times New Roman"/>
                <w:i/>
                <w:sz w:val="20"/>
                <w:szCs w:val="20"/>
                <w:lang w:eastAsia="sk-SK"/>
              </w:rPr>
              <w:t>.</w:t>
            </w:r>
          </w:p>
          <w:p w:rsidR="00E844AA" w:rsidRDefault="00E844AA" w:rsidP="0045221E">
            <w:pPr>
              <w:rPr>
                <w:rFonts w:ascii="Times New Roman" w:hAnsi="Times New Roman"/>
                <w:i/>
                <w:sz w:val="20"/>
                <w:szCs w:val="20"/>
                <w:lang w:eastAsia="sk-SK"/>
              </w:rPr>
            </w:pPr>
          </w:p>
          <w:p w:rsidR="00E844AA" w:rsidRPr="00083EB8" w:rsidRDefault="00E844AA" w:rsidP="0045221E">
            <w:pPr>
              <w:rPr>
                <w:rFonts w:ascii="Times New Roman" w:hAnsi="Times New Roman"/>
                <w:sz w:val="20"/>
                <w:szCs w:val="20"/>
                <w:lang w:eastAsia="sk-SK"/>
              </w:rPr>
            </w:pPr>
            <w:r w:rsidRPr="008870B6">
              <w:rPr>
                <w:rFonts w:ascii="Times New Roman" w:hAnsi="Times New Roman"/>
                <w:sz w:val="20"/>
                <w:szCs w:val="20"/>
                <w:lang w:eastAsia="sk-SK"/>
              </w:rPr>
              <w:t>Termín na preskúmanie účinnosti a účelnosti predkladaného materiálu: 20</w:t>
            </w:r>
            <w:r>
              <w:rPr>
                <w:rFonts w:ascii="Times New Roman" w:hAnsi="Times New Roman"/>
                <w:sz w:val="20"/>
                <w:szCs w:val="20"/>
                <w:lang w:eastAsia="sk-SK"/>
              </w:rPr>
              <w:t>27</w:t>
            </w:r>
            <w:r w:rsidRPr="008870B6">
              <w:rPr>
                <w:rFonts w:ascii="Times New Roman" w:hAnsi="Times New Roman"/>
                <w:sz w:val="20"/>
                <w:szCs w:val="20"/>
                <w:lang w:eastAsia="sk-SK"/>
              </w:rPr>
              <w:br/>
            </w:r>
            <w:r w:rsidRPr="00083EB8">
              <w:rPr>
                <w:rFonts w:ascii="Times New Roman" w:hAnsi="Times New Roman"/>
                <w:sz w:val="20"/>
                <w:szCs w:val="20"/>
                <w:lang w:eastAsia="sk-SK"/>
              </w:rPr>
              <w:t xml:space="preserve">Kritériá: </w:t>
            </w:r>
          </w:p>
          <w:p w:rsidR="00E844AA" w:rsidRPr="001B5716" w:rsidRDefault="00E844AA" w:rsidP="00E844AA">
            <w:pPr>
              <w:pStyle w:val="Odsekzoznamu"/>
              <w:numPr>
                <w:ilvl w:val="0"/>
                <w:numId w:val="17"/>
              </w:numPr>
              <w:rPr>
                <w:rFonts w:ascii="Times New Roman" w:hAnsi="Times New Roman"/>
                <w:szCs w:val="20"/>
                <w:lang w:eastAsia="sk-SK"/>
              </w:rPr>
            </w:pPr>
            <w:r>
              <w:rPr>
                <w:rFonts w:ascii="Times New Roman" w:hAnsi="Times New Roman"/>
                <w:sz w:val="20"/>
                <w:szCs w:val="20"/>
              </w:rPr>
              <w:t>Stav žalôb podaných proti Slovenskej republike na Európskom súde pre ľudské práva z dôvodu nečinnosti</w:t>
            </w:r>
          </w:p>
          <w:p w:rsidR="00E844AA" w:rsidRPr="000553E1" w:rsidRDefault="00E844AA" w:rsidP="00E844AA">
            <w:pPr>
              <w:pStyle w:val="Odsekzoznamu"/>
              <w:numPr>
                <w:ilvl w:val="0"/>
                <w:numId w:val="17"/>
              </w:numPr>
              <w:rPr>
                <w:rFonts w:ascii="Times New Roman" w:hAnsi="Times New Roman"/>
                <w:szCs w:val="20"/>
                <w:lang w:eastAsia="sk-SK"/>
              </w:rPr>
            </w:pPr>
            <w:r>
              <w:rPr>
                <w:rFonts w:ascii="Times New Roman" w:hAnsi="Times New Roman"/>
                <w:sz w:val="20"/>
                <w:szCs w:val="20"/>
              </w:rPr>
              <w:t xml:space="preserve">Súdna štatistika v konaniach o žalobách proti nečinnosti orgánov verejnej správy </w:t>
            </w:r>
          </w:p>
        </w:tc>
      </w:tr>
      <w:tr w:rsidR="00E844AA" w:rsidRPr="00B043B4" w:rsidTr="0045221E">
        <w:tc>
          <w:tcPr>
            <w:tcW w:w="9180" w:type="dxa"/>
            <w:gridSpan w:val="6"/>
            <w:tcBorders>
              <w:top w:val="nil"/>
              <w:left w:val="nil"/>
              <w:right w:val="nil"/>
            </w:tcBorders>
            <w:shd w:val="clear" w:color="auto" w:fill="FFFFFF"/>
          </w:tcPr>
          <w:p w:rsidR="00E844AA" w:rsidRPr="00B043B4" w:rsidRDefault="00E844AA" w:rsidP="0045221E">
            <w:pPr>
              <w:rPr>
                <w:rFonts w:ascii="Times New Roman" w:hAnsi="Times New Roman"/>
                <w:b/>
                <w:sz w:val="20"/>
                <w:szCs w:val="20"/>
                <w:lang w:eastAsia="sk-SK"/>
              </w:rPr>
            </w:pPr>
          </w:p>
          <w:p w:rsidR="00E844AA" w:rsidRPr="00B043B4" w:rsidRDefault="00E844AA" w:rsidP="0045221E">
            <w:pPr>
              <w:ind w:left="142" w:hanging="142"/>
              <w:jc w:val="both"/>
              <w:rPr>
                <w:rFonts w:ascii="Times New Roman" w:hAnsi="Times New Roman"/>
                <w:sz w:val="20"/>
                <w:szCs w:val="20"/>
                <w:lang w:eastAsia="sk-SK"/>
              </w:rPr>
            </w:pPr>
            <w:r w:rsidRPr="00B043B4">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E844AA" w:rsidRDefault="00E844AA" w:rsidP="0045221E">
            <w:pPr>
              <w:jc w:val="both"/>
              <w:rPr>
                <w:rFonts w:ascii="Times New Roman" w:hAnsi="Times New Roman"/>
                <w:sz w:val="20"/>
                <w:szCs w:val="20"/>
                <w:lang w:eastAsia="sk-SK"/>
              </w:rPr>
            </w:pPr>
            <w:r w:rsidRPr="00B043B4">
              <w:rPr>
                <w:rFonts w:ascii="Times New Roman" w:hAnsi="Times New Roman"/>
                <w:sz w:val="20"/>
                <w:szCs w:val="20"/>
                <w:lang w:eastAsia="sk-SK"/>
              </w:rPr>
              <w:t>** vyplniť iba v prípade, ak sa záverečné posúdenie</w:t>
            </w:r>
            <w:r>
              <w:rPr>
                <w:rFonts w:ascii="Times New Roman" w:hAnsi="Times New Roman"/>
                <w:sz w:val="20"/>
                <w:szCs w:val="20"/>
                <w:lang w:eastAsia="sk-SK"/>
              </w:rPr>
              <w:t xml:space="preserve"> vybraných vplyvov</w:t>
            </w:r>
            <w:r w:rsidRPr="00B043B4">
              <w:rPr>
                <w:rFonts w:ascii="Times New Roman" w:hAnsi="Times New Roman"/>
                <w:sz w:val="20"/>
                <w:szCs w:val="20"/>
                <w:lang w:eastAsia="sk-SK"/>
              </w:rPr>
              <w:t xml:space="preserve"> uskutočnilo v zmysle bodu 9.1. </w:t>
            </w:r>
            <w:r>
              <w:rPr>
                <w:rFonts w:ascii="Times New Roman" w:hAnsi="Times New Roman"/>
                <w:sz w:val="20"/>
                <w:szCs w:val="20"/>
                <w:lang w:eastAsia="sk-SK"/>
              </w:rPr>
              <w:t>j</w:t>
            </w:r>
            <w:r w:rsidRPr="00B043B4">
              <w:rPr>
                <w:rFonts w:ascii="Times New Roman" w:hAnsi="Times New Roman"/>
                <w:sz w:val="20"/>
                <w:szCs w:val="20"/>
                <w:lang w:eastAsia="sk-SK"/>
              </w:rPr>
              <w:t>ednotnej metodiky</w:t>
            </w:r>
            <w:r>
              <w:rPr>
                <w:rFonts w:ascii="Times New Roman" w:hAnsi="Times New Roman"/>
                <w:sz w:val="20"/>
                <w:szCs w:val="20"/>
                <w:lang w:eastAsia="sk-SK"/>
              </w:rPr>
              <w:t>.</w:t>
            </w:r>
          </w:p>
          <w:p w:rsidR="00E844AA" w:rsidRPr="00B043B4" w:rsidRDefault="00E844AA" w:rsidP="0045221E">
            <w:pPr>
              <w:rPr>
                <w:rFonts w:ascii="Times New Roman" w:hAnsi="Times New Roman"/>
                <w:b/>
                <w:sz w:val="20"/>
                <w:szCs w:val="20"/>
                <w:lang w:eastAsia="sk-SK"/>
              </w:rPr>
            </w:pPr>
          </w:p>
        </w:tc>
      </w:tr>
    </w:tbl>
    <w:p w:rsidR="00E844AA" w:rsidRDefault="00E844AA" w:rsidP="00E844AA">
      <w:pPr>
        <w:spacing w:after="0" w:line="240" w:lineRule="auto"/>
        <w:ind w:right="141"/>
        <w:rPr>
          <w:rFonts w:ascii="Times New Roman" w:hAnsi="Times New Roman"/>
          <w:b/>
          <w:sz w:val="20"/>
          <w:szCs w:val="20"/>
          <w:lang w:eastAsia="sk-SK"/>
        </w:rPr>
      </w:pPr>
    </w:p>
    <w:p w:rsidR="00E844AA" w:rsidRDefault="00E844AA" w:rsidP="00E844AA">
      <w:pPr>
        <w:spacing w:after="0" w:line="240" w:lineRule="auto"/>
        <w:ind w:right="141"/>
        <w:rPr>
          <w:rFonts w:ascii="Times New Roman" w:hAnsi="Times New Roman"/>
          <w:b/>
          <w:sz w:val="20"/>
          <w:szCs w:val="20"/>
          <w:lang w:eastAsia="sk-SK"/>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E844AA" w:rsidRPr="00FC64F0" w:rsidTr="0045221E">
        <w:trPr>
          <w:trHeight w:val="283"/>
        </w:trPr>
        <w:tc>
          <w:tcPr>
            <w:tcW w:w="9180" w:type="dxa"/>
            <w:gridSpan w:val="8"/>
            <w:tcBorders>
              <w:bottom w:val="single" w:sz="4" w:space="0" w:color="FFFFFF"/>
            </w:tcBorders>
            <w:shd w:val="clear" w:color="auto" w:fill="E2E2E2"/>
            <w:vAlign w:val="center"/>
          </w:tcPr>
          <w:p w:rsidR="00E844AA" w:rsidRPr="00FC64F0" w:rsidRDefault="00E844AA" w:rsidP="00E844AA">
            <w:pPr>
              <w:numPr>
                <w:ilvl w:val="0"/>
                <w:numId w:val="16"/>
              </w:numPr>
              <w:ind w:right="141"/>
              <w:rPr>
                <w:rFonts w:ascii="Times New Roman" w:hAnsi="Times New Roman"/>
                <w:b/>
                <w:sz w:val="20"/>
                <w:szCs w:val="20"/>
                <w:lang w:eastAsia="sk-SK"/>
              </w:rPr>
            </w:pPr>
            <w:r w:rsidRPr="00FC64F0">
              <w:rPr>
                <w:rFonts w:ascii="Times New Roman" w:hAnsi="Times New Roman"/>
                <w:b/>
                <w:sz w:val="20"/>
                <w:szCs w:val="20"/>
                <w:lang w:eastAsia="sk-SK"/>
              </w:rPr>
              <w:t>Vybrané vplyvy  materiálu</w:t>
            </w:r>
          </w:p>
        </w:tc>
      </w:tr>
      <w:tr w:rsidR="00E844AA" w:rsidRPr="00FC64F0" w:rsidTr="0045221E">
        <w:tc>
          <w:tcPr>
            <w:tcW w:w="3812" w:type="dxa"/>
            <w:tcBorders>
              <w:bottom w:val="nil"/>
            </w:tcBorders>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Vplyvy na rozpočet verejnej správy</w:t>
            </w:r>
          </w:p>
        </w:tc>
        <w:tc>
          <w:tcPr>
            <w:tcW w:w="541" w:type="dxa"/>
            <w:tcBorders>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312" w:type="dxa"/>
            <w:tcBorders>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gridSpan w:val="2"/>
            <w:tcBorders>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left w:val="nil"/>
              <w:bottom w:val="dotted" w:sz="4" w:space="0" w:color="auto"/>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r w:rsidR="00E844AA" w:rsidRPr="00FC64F0" w:rsidTr="0045221E">
        <w:tc>
          <w:tcPr>
            <w:tcW w:w="3812" w:type="dxa"/>
            <w:tcBorders>
              <w:top w:val="nil"/>
              <w:bottom w:val="nil"/>
            </w:tcBorders>
            <w:shd w:val="clear" w:color="auto" w:fill="E2E2E2"/>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b/>
                <w:sz w:val="20"/>
                <w:szCs w:val="20"/>
                <w:lang w:eastAsia="sk-SK"/>
              </w:rPr>
              <w:t xml:space="preserve">    </w:t>
            </w:r>
            <w:r w:rsidRPr="00FC64F0">
              <w:rPr>
                <w:rFonts w:ascii="Times New Roman" w:hAnsi="Times New Roman"/>
                <w:sz w:val="20"/>
                <w:szCs w:val="20"/>
                <w:lang w:eastAsia="sk-SK"/>
              </w:rPr>
              <w:t xml:space="preserve">z toho rozpočtovo zabezpečené vplyvy,         </w:t>
            </w:r>
          </w:p>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 xml:space="preserve">    v prípade identifikovaného negatívneho </w:t>
            </w:r>
          </w:p>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sz w:val="20"/>
                <w:szCs w:val="20"/>
                <w:lang w:eastAsia="sk-SK"/>
              </w:rPr>
              <w:t xml:space="preserve">    vplyvu</w:t>
            </w:r>
          </w:p>
        </w:tc>
        <w:tc>
          <w:tcPr>
            <w:tcW w:w="541" w:type="dxa"/>
            <w:tcBorders>
              <w:top w:val="dotted" w:sz="4" w:space="0" w:color="auto"/>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Segoe UI Symbol" w:hAnsi="Segoe UI Symbol" w:cs="Segoe UI Symbol"/>
                <w:sz w:val="20"/>
                <w:szCs w:val="20"/>
                <w:lang w:eastAsia="sk-SK"/>
              </w:rPr>
              <w:t>☐</w:t>
            </w:r>
          </w:p>
        </w:tc>
        <w:tc>
          <w:tcPr>
            <w:tcW w:w="1133"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Nie</w:t>
            </w:r>
          </w:p>
        </w:tc>
        <w:tc>
          <w:tcPr>
            <w:tcW w:w="547"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Segoe UI Symbol" w:hAnsi="Segoe UI Symbol" w:cs="Segoe UI Symbol"/>
                <w:sz w:val="20"/>
                <w:szCs w:val="20"/>
                <w:lang w:eastAsia="sk-SK"/>
              </w:rPr>
              <w:t>☐</w:t>
            </w:r>
          </w:p>
        </w:tc>
        <w:tc>
          <w:tcPr>
            <w:tcW w:w="1297" w:type="dxa"/>
            <w:tcBorders>
              <w:top w:val="dotted" w:sz="4" w:space="0" w:color="auto"/>
              <w:left w:val="nil"/>
              <w:bottom w:val="dotted" w:sz="4" w:space="0" w:color="auto"/>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Čiastočne</w:t>
            </w:r>
          </w:p>
        </w:tc>
      </w:tr>
      <w:tr w:rsidR="00E844AA" w:rsidRPr="00FC64F0" w:rsidTr="0045221E">
        <w:tc>
          <w:tcPr>
            <w:tcW w:w="3812" w:type="dxa"/>
            <w:tcBorders>
              <w:top w:val="nil"/>
              <w:bottom w:val="nil"/>
            </w:tcBorders>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v tom vplyvy na rozpočty obcí a vyšších územných celkov</w:t>
            </w:r>
          </w:p>
        </w:tc>
        <w:tc>
          <w:tcPr>
            <w:tcW w:w="541" w:type="dxa"/>
            <w:tcBorders>
              <w:top w:val="dotted" w:sz="4" w:space="0" w:color="auto"/>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MS Gothic" w:eastAsia="MS Gothic" w:hAnsi="MS Gothic" w:hint="eastAsia"/>
                <w:b/>
                <w:sz w:val="20"/>
                <w:szCs w:val="20"/>
                <w:lang w:eastAsia="sk-SK"/>
              </w:rPr>
              <w:t>☐</w:t>
            </w:r>
          </w:p>
        </w:tc>
        <w:tc>
          <w:tcPr>
            <w:tcW w:w="1312" w:type="dxa"/>
            <w:tcBorders>
              <w:top w:val="dotted" w:sz="4" w:space="0" w:color="auto"/>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top w:val="dotted" w:sz="4" w:space="0" w:color="auto"/>
              <w:left w:val="nil"/>
              <w:bottom w:val="dotted" w:sz="4" w:space="0" w:color="auto"/>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top w:val="dotted" w:sz="4" w:space="0" w:color="auto"/>
              <w:left w:val="nil"/>
              <w:bottom w:val="dotted" w:sz="4" w:space="0" w:color="auto"/>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r w:rsidR="00E844AA" w:rsidRPr="00FC64F0" w:rsidTr="0045221E">
        <w:tc>
          <w:tcPr>
            <w:tcW w:w="3812" w:type="dxa"/>
            <w:tcBorders>
              <w:top w:val="nil"/>
              <w:bottom w:val="single" w:sz="4" w:space="0" w:color="000000"/>
            </w:tcBorders>
            <w:shd w:val="clear" w:color="auto" w:fill="E2E2E2"/>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z toho rozpočtovo zabezpečené vplyvy,</w:t>
            </w:r>
          </w:p>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sz w:val="20"/>
                <w:szCs w:val="20"/>
                <w:lang w:eastAsia="sk-SK"/>
              </w:rPr>
              <w:t>v prípade identifikovaného negatívneho vplyvu</w:t>
            </w:r>
          </w:p>
        </w:tc>
        <w:tc>
          <w:tcPr>
            <w:tcW w:w="541" w:type="dxa"/>
            <w:tcBorders>
              <w:top w:val="dotted" w:sz="4" w:space="0" w:color="auto"/>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Segoe UI Symbol" w:hAnsi="Segoe UI Symbol" w:cs="Segoe UI Symbol"/>
                <w:sz w:val="20"/>
                <w:szCs w:val="20"/>
                <w:lang w:eastAsia="sk-SK"/>
              </w:rPr>
              <w:t>☐</w:t>
            </w:r>
          </w:p>
        </w:tc>
        <w:tc>
          <w:tcPr>
            <w:tcW w:w="1312"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Segoe UI Symbol" w:hAnsi="Segoe UI Symbol" w:cs="Segoe UI Symbol"/>
                <w:sz w:val="20"/>
                <w:szCs w:val="20"/>
                <w:lang w:eastAsia="sk-SK"/>
              </w:rPr>
              <w:t>☐</w:t>
            </w:r>
          </w:p>
        </w:tc>
        <w:tc>
          <w:tcPr>
            <w:tcW w:w="1133"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Nie</w:t>
            </w:r>
          </w:p>
        </w:tc>
        <w:tc>
          <w:tcPr>
            <w:tcW w:w="547"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Segoe UI Symbol" w:hAnsi="Segoe UI Symbol" w:cs="Segoe UI Symbol"/>
                <w:sz w:val="20"/>
                <w:szCs w:val="20"/>
                <w:lang w:eastAsia="sk-SK"/>
              </w:rPr>
              <w:t>☐</w:t>
            </w:r>
          </w:p>
        </w:tc>
        <w:tc>
          <w:tcPr>
            <w:tcW w:w="1297" w:type="dxa"/>
            <w:tcBorders>
              <w:top w:val="dotted" w:sz="4" w:space="0" w:color="auto"/>
              <w:left w:val="nil"/>
              <w:bottom w:val="dotted" w:sz="4" w:space="0" w:color="auto"/>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Čiastočne</w:t>
            </w:r>
          </w:p>
        </w:tc>
      </w:tr>
      <w:tr w:rsidR="00E844AA" w:rsidRPr="00FC64F0" w:rsidTr="0045221E">
        <w:tc>
          <w:tcPr>
            <w:tcW w:w="3812" w:type="dxa"/>
            <w:tcBorders>
              <w:top w:val="single" w:sz="4" w:space="0" w:color="000000"/>
              <w:bottom w:val="nil"/>
            </w:tcBorders>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Vplyvy na podnikateľské prostredie</w:t>
            </w:r>
          </w:p>
        </w:tc>
        <w:tc>
          <w:tcPr>
            <w:tcW w:w="541" w:type="dxa"/>
            <w:tcBorders>
              <w:bottom w:val="dotted" w:sz="4" w:space="0" w:color="auto"/>
              <w:right w:val="nil"/>
            </w:tcBorders>
            <w:vAlign w:val="center"/>
          </w:tcPr>
          <w:p w:rsidR="00E844AA" w:rsidRPr="00FC64F0" w:rsidRDefault="00E844AA" w:rsidP="0045221E">
            <w:pPr>
              <w:ind w:right="141"/>
              <w:rPr>
                <w:rFonts w:ascii="Times New Roman" w:hAnsi="Times New Roman"/>
                <w:b/>
                <w:sz w:val="20"/>
                <w:szCs w:val="20"/>
                <w:lang w:eastAsia="sk-SK"/>
              </w:rPr>
            </w:pPr>
            <w:r w:rsidRPr="00F8609C">
              <w:rPr>
                <w:rFonts w:ascii="MS Gothic" w:eastAsia="MS Gothic" w:hAnsi="MS Gothic" w:hint="eastAsia"/>
                <w:b/>
                <w:sz w:val="20"/>
                <w:szCs w:val="20"/>
                <w:lang w:eastAsia="sk-SK"/>
              </w:rPr>
              <w:t>☐</w:t>
            </w:r>
          </w:p>
        </w:tc>
        <w:tc>
          <w:tcPr>
            <w:tcW w:w="1312" w:type="dxa"/>
            <w:tcBorders>
              <w:left w:val="nil"/>
              <w:bottom w:val="dotted" w:sz="4" w:space="0" w:color="auto"/>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gridSpan w:val="2"/>
            <w:tcBorders>
              <w:left w:val="nil"/>
              <w:bottom w:val="dotted" w:sz="4" w:space="0" w:color="auto"/>
              <w:right w:val="nil"/>
            </w:tcBorders>
            <w:vAlign w:val="center"/>
          </w:tcPr>
          <w:p w:rsidR="00E844AA" w:rsidRPr="00FC64F0" w:rsidRDefault="00E844AA" w:rsidP="0045221E">
            <w:pPr>
              <w:ind w:right="141"/>
              <w:rPr>
                <w:rFonts w:ascii="Times New Roman" w:hAnsi="Times New Roman"/>
                <w:b/>
                <w:sz w:val="20"/>
                <w:szCs w:val="20"/>
                <w:lang w:eastAsia="sk-SK"/>
              </w:rPr>
            </w:pPr>
            <w:r w:rsidRPr="00F8609C">
              <w:rPr>
                <w:rFonts w:ascii="Segoe UI Symbol" w:hAnsi="Segoe UI Symbol" w:cs="Segoe UI Symbol"/>
                <w:b/>
                <w:sz w:val="20"/>
                <w:szCs w:val="20"/>
                <w:lang w:eastAsia="sk-SK"/>
              </w:rPr>
              <w:t>☒</w:t>
            </w:r>
          </w:p>
        </w:tc>
        <w:tc>
          <w:tcPr>
            <w:tcW w:w="1133" w:type="dxa"/>
            <w:tcBorders>
              <w:left w:val="nil"/>
              <w:bottom w:val="dotted" w:sz="4" w:space="0" w:color="auto"/>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left w:val="nil"/>
              <w:bottom w:val="dotted" w:sz="4" w:space="0" w:color="auto"/>
              <w:right w:val="nil"/>
            </w:tcBorders>
            <w:vAlign w:val="center"/>
          </w:tcPr>
          <w:p w:rsidR="00E844AA" w:rsidRPr="00FC64F0" w:rsidRDefault="00E844AA" w:rsidP="0045221E">
            <w:pPr>
              <w:ind w:right="141"/>
              <w:rPr>
                <w:rFonts w:ascii="Times New Roman" w:hAnsi="Times New Roman"/>
                <w:b/>
                <w:sz w:val="20"/>
                <w:szCs w:val="20"/>
                <w:lang w:eastAsia="sk-SK"/>
              </w:rPr>
            </w:pPr>
            <w:r w:rsidRPr="00F8609C">
              <w:rPr>
                <w:rFonts w:ascii="MS Gothic" w:eastAsia="MS Gothic" w:hAnsi="MS Gothic" w:hint="eastAsia"/>
                <w:b/>
                <w:sz w:val="20"/>
                <w:szCs w:val="20"/>
                <w:lang w:eastAsia="sk-SK"/>
              </w:rPr>
              <w:t>☐</w:t>
            </w:r>
          </w:p>
        </w:tc>
        <w:tc>
          <w:tcPr>
            <w:tcW w:w="1297" w:type="dxa"/>
            <w:tcBorders>
              <w:left w:val="nil"/>
              <w:bottom w:val="dotted" w:sz="4" w:space="0" w:color="auto"/>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r w:rsidR="00E844AA" w:rsidRPr="00FC64F0" w:rsidTr="0045221E">
        <w:tc>
          <w:tcPr>
            <w:tcW w:w="3812" w:type="dxa"/>
            <w:tcBorders>
              <w:top w:val="nil"/>
              <w:left w:val="single" w:sz="4" w:space="0" w:color="000000"/>
              <w:bottom w:val="nil"/>
              <w:right w:val="single" w:sz="4" w:space="0" w:color="000000"/>
            </w:tcBorders>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 xml:space="preserve">    z toho vplyvy na MSP</w:t>
            </w:r>
          </w:p>
          <w:p w:rsidR="00E844AA" w:rsidRPr="00FC64F0" w:rsidRDefault="00E844AA" w:rsidP="0045221E">
            <w:pPr>
              <w:ind w:right="141"/>
              <w:rPr>
                <w:rFonts w:ascii="Times New Roman" w:hAnsi="Times New Roman"/>
                <w:b/>
                <w:sz w:val="20"/>
                <w:szCs w:val="20"/>
                <w:lang w:eastAsia="sk-SK"/>
              </w:rPr>
            </w:pPr>
          </w:p>
        </w:tc>
        <w:tc>
          <w:tcPr>
            <w:tcW w:w="541" w:type="dxa"/>
            <w:tcBorders>
              <w:top w:val="dotted" w:sz="4" w:space="0" w:color="auto"/>
              <w:left w:val="single" w:sz="4" w:space="0" w:color="000000"/>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213AD5">
              <w:rPr>
                <w:rFonts w:ascii="MS Gothic" w:eastAsia="MS Gothic" w:hAnsi="MS Gothic" w:hint="eastAsia"/>
                <w:sz w:val="20"/>
                <w:szCs w:val="20"/>
                <w:lang w:eastAsia="sk-SK"/>
              </w:rPr>
              <w:t>☐</w:t>
            </w:r>
          </w:p>
        </w:tc>
        <w:tc>
          <w:tcPr>
            <w:tcW w:w="1312"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Segoe UI Symbol" w:hAnsi="Segoe UI Symbol" w:cs="Segoe UI Symbol"/>
                <w:sz w:val="20"/>
                <w:szCs w:val="20"/>
                <w:lang w:eastAsia="sk-SK"/>
              </w:rPr>
              <w:t>☐</w:t>
            </w:r>
          </w:p>
        </w:tc>
        <w:tc>
          <w:tcPr>
            <w:tcW w:w="1133"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Žiadne</w:t>
            </w:r>
          </w:p>
        </w:tc>
        <w:tc>
          <w:tcPr>
            <w:tcW w:w="547" w:type="dxa"/>
            <w:tcBorders>
              <w:top w:val="dotted" w:sz="4" w:space="0" w:color="auto"/>
              <w:left w:val="nil"/>
              <w:bottom w:val="dotted" w:sz="4" w:space="0" w:color="auto"/>
              <w:right w:val="nil"/>
            </w:tcBorders>
            <w:vAlign w:val="center"/>
          </w:tcPr>
          <w:p w:rsidR="00E844AA" w:rsidRPr="00FC64F0" w:rsidRDefault="00E844AA" w:rsidP="0045221E">
            <w:pPr>
              <w:ind w:right="141"/>
              <w:rPr>
                <w:rFonts w:ascii="Times New Roman" w:hAnsi="Times New Roman"/>
                <w:sz w:val="20"/>
                <w:szCs w:val="20"/>
                <w:lang w:eastAsia="sk-SK"/>
              </w:rPr>
            </w:pPr>
            <w:r w:rsidRPr="00213AD5">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sz w:val="20"/>
                <w:szCs w:val="20"/>
                <w:lang w:eastAsia="sk-SK"/>
              </w:rPr>
              <w:t>Negatívne</w:t>
            </w:r>
          </w:p>
        </w:tc>
      </w:tr>
      <w:tr w:rsidR="00E844AA" w:rsidRPr="00FC64F0" w:rsidTr="0045221E">
        <w:tc>
          <w:tcPr>
            <w:tcW w:w="3812" w:type="dxa"/>
            <w:tcBorders>
              <w:top w:val="nil"/>
            </w:tcBorders>
            <w:shd w:val="clear" w:color="auto" w:fill="E2E2E2"/>
          </w:tcPr>
          <w:p w:rsidR="00E844AA" w:rsidRPr="00FC64F0" w:rsidRDefault="00E844AA" w:rsidP="0045221E">
            <w:pPr>
              <w:ind w:right="141"/>
              <w:rPr>
                <w:rFonts w:ascii="Times New Roman" w:hAnsi="Times New Roman"/>
                <w:sz w:val="20"/>
                <w:szCs w:val="20"/>
                <w:lang w:eastAsia="sk-SK"/>
              </w:rPr>
            </w:pPr>
            <w:r w:rsidRPr="00FC64F0">
              <w:rPr>
                <w:rFonts w:ascii="Times New Roman" w:hAnsi="Times New Roman"/>
                <w:b/>
                <w:sz w:val="20"/>
                <w:szCs w:val="20"/>
                <w:lang w:eastAsia="sk-SK"/>
              </w:rPr>
              <w:t xml:space="preserve">    </w:t>
            </w:r>
            <w:r w:rsidRPr="00FC64F0">
              <w:rPr>
                <w:rFonts w:ascii="Times New Roman" w:hAnsi="Times New Roman"/>
                <w:sz w:val="20"/>
                <w:szCs w:val="20"/>
                <w:lang w:eastAsia="sk-SK"/>
              </w:rPr>
              <w:t xml:space="preserve">Mechanizmus znižovania byrokracie    </w:t>
            </w:r>
          </w:p>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sz w:val="20"/>
                <w:szCs w:val="20"/>
                <w:lang w:eastAsia="sk-SK"/>
              </w:rPr>
              <w:t xml:space="preserve">    a nákladov sa uplatňuje:</w:t>
            </w:r>
          </w:p>
        </w:tc>
        <w:tc>
          <w:tcPr>
            <w:tcW w:w="541" w:type="dxa"/>
            <w:tcBorders>
              <w:top w:val="dotted" w:sz="4" w:space="0" w:color="auto"/>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596" w:type="dxa"/>
            <w:gridSpan w:val="2"/>
            <w:tcBorders>
              <w:top w:val="dotted" w:sz="4" w:space="0" w:color="auto"/>
              <w:left w:val="nil"/>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Áno</w:t>
            </w:r>
          </w:p>
        </w:tc>
        <w:tc>
          <w:tcPr>
            <w:tcW w:w="254" w:type="dxa"/>
            <w:tcBorders>
              <w:top w:val="dotted" w:sz="4" w:space="0" w:color="auto"/>
              <w:left w:val="nil"/>
              <w:right w:val="nil"/>
            </w:tcBorders>
            <w:vAlign w:val="center"/>
          </w:tcPr>
          <w:p w:rsidR="00E844AA" w:rsidRPr="00FC64F0" w:rsidRDefault="00E844AA" w:rsidP="0045221E">
            <w:pPr>
              <w:ind w:right="141"/>
              <w:rPr>
                <w:rFonts w:ascii="Times New Roman" w:hAnsi="Times New Roman"/>
                <w:b/>
                <w:sz w:val="20"/>
                <w:szCs w:val="20"/>
                <w:lang w:eastAsia="sk-SK"/>
              </w:rPr>
            </w:pPr>
          </w:p>
        </w:tc>
        <w:tc>
          <w:tcPr>
            <w:tcW w:w="1133" w:type="dxa"/>
            <w:tcBorders>
              <w:top w:val="dotted" w:sz="4" w:space="0" w:color="auto"/>
              <w:left w:val="nil"/>
              <w:right w:val="nil"/>
            </w:tcBorders>
            <w:vAlign w:val="center"/>
          </w:tcPr>
          <w:p w:rsidR="00E844AA" w:rsidRPr="00FC64F0" w:rsidRDefault="00E844AA" w:rsidP="0045221E">
            <w:pPr>
              <w:ind w:right="141"/>
              <w:rPr>
                <w:rFonts w:ascii="Times New Roman" w:hAnsi="Times New Roman"/>
                <w:b/>
                <w:sz w:val="20"/>
                <w:szCs w:val="20"/>
                <w:lang w:eastAsia="sk-SK"/>
              </w:rPr>
            </w:pPr>
          </w:p>
        </w:tc>
        <w:tc>
          <w:tcPr>
            <w:tcW w:w="547" w:type="dxa"/>
            <w:tcBorders>
              <w:top w:val="dotted" w:sz="4" w:space="0" w:color="auto"/>
              <w:left w:val="nil"/>
              <w:right w:val="nil"/>
            </w:tcBorders>
            <w:vAlign w:val="center"/>
          </w:tcPr>
          <w:p w:rsidR="00E844AA" w:rsidRPr="00FC64F0" w:rsidRDefault="00E844AA" w:rsidP="0045221E">
            <w:pPr>
              <w:ind w:right="141"/>
              <w:rPr>
                <w:rFonts w:ascii="Times New Roman" w:hAnsi="Times New Roman"/>
                <w:b/>
                <w:sz w:val="20"/>
                <w:szCs w:val="20"/>
                <w:lang w:eastAsia="sk-SK"/>
              </w:rPr>
            </w:pPr>
            <w:r w:rsidRPr="00F8609C">
              <w:rPr>
                <w:rFonts w:ascii="MS Gothic" w:eastAsia="MS Gothic" w:hAnsi="MS Gothic" w:hint="eastAsia"/>
                <w:b/>
                <w:sz w:val="20"/>
                <w:szCs w:val="20"/>
                <w:lang w:eastAsia="sk-SK"/>
              </w:rPr>
              <w:t>☐</w:t>
            </w:r>
          </w:p>
        </w:tc>
        <w:tc>
          <w:tcPr>
            <w:tcW w:w="1297" w:type="dxa"/>
            <w:tcBorders>
              <w:top w:val="dotted" w:sz="4" w:space="0" w:color="auto"/>
              <w:lef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Nie</w:t>
            </w:r>
          </w:p>
        </w:tc>
      </w:tr>
      <w:tr w:rsidR="00E844AA" w:rsidRPr="00FC64F0" w:rsidTr="0045221E">
        <w:tc>
          <w:tcPr>
            <w:tcW w:w="3812" w:type="dxa"/>
            <w:tcBorders>
              <w:top w:val="single" w:sz="4" w:space="0" w:color="000000"/>
            </w:tcBorders>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Sociálne vplyvy</w:t>
            </w:r>
          </w:p>
        </w:tc>
        <w:tc>
          <w:tcPr>
            <w:tcW w:w="541" w:type="dxa"/>
            <w:tcBorders>
              <w:right w:val="nil"/>
            </w:tcBorders>
          </w:tcPr>
          <w:p w:rsidR="00E844AA" w:rsidRPr="00FC64F0" w:rsidRDefault="00E844AA" w:rsidP="0045221E">
            <w:pPr>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gridSpan w:val="2"/>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133"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lef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r w:rsidR="00E844AA" w:rsidRPr="00FC64F0" w:rsidTr="0045221E">
        <w:tc>
          <w:tcPr>
            <w:tcW w:w="3812" w:type="dxa"/>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Vplyvy na životné prostredie</w:t>
            </w:r>
          </w:p>
        </w:tc>
        <w:tc>
          <w:tcPr>
            <w:tcW w:w="541" w:type="dxa"/>
            <w:tcBorders>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312"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gridSpan w:val="2"/>
            <w:tcBorders>
              <w:left w:val="nil"/>
              <w:right w:val="nil"/>
            </w:tcBorders>
          </w:tcPr>
          <w:p w:rsidR="00E844AA" w:rsidRPr="00FC64F0" w:rsidRDefault="00E844AA" w:rsidP="0045221E">
            <w:pPr>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lef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r w:rsidR="00E844AA" w:rsidRPr="00FC64F0" w:rsidTr="0045221E">
        <w:tc>
          <w:tcPr>
            <w:tcW w:w="3812" w:type="dxa"/>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Vplyvy na informatizáciu spoločnosti</w:t>
            </w:r>
          </w:p>
        </w:tc>
        <w:tc>
          <w:tcPr>
            <w:tcW w:w="541" w:type="dxa"/>
            <w:tcBorders>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312"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gridSpan w:val="2"/>
            <w:tcBorders>
              <w:left w:val="nil"/>
              <w:right w:val="nil"/>
            </w:tcBorders>
          </w:tcPr>
          <w:p w:rsidR="00E844AA" w:rsidRPr="00FC64F0" w:rsidRDefault="00E844AA" w:rsidP="0045221E">
            <w:pPr>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left w:val="nil"/>
              <w:right w:val="nil"/>
            </w:tcBorders>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left w:val="nil"/>
            </w:tcBorders>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844AA" w:rsidRPr="00FC64F0" w:rsidTr="0045221E">
        <w:tc>
          <w:tcPr>
            <w:tcW w:w="3812" w:type="dxa"/>
            <w:tcBorders>
              <w:bottom w:val="nil"/>
            </w:tcBorders>
            <w:shd w:val="clear" w:color="auto" w:fill="E2E2E2"/>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Vplyvy na služby verejnej správy pre občana, z toho</w:t>
            </w:r>
          </w:p>
        </w:tc>
        <w:tc>
          <w:tcPr>
            <w:tcW w:w="541" w:type="dxa"/>
            <w:tcBorders>
              <w:bottom w:val="nil"/>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p>
        </w:tc>
        <w:tc>
          <w:tcPr>
            <w:tcW w:w="1281" w:type="dxa"/>
            <w:tcBorders>
              <w:left w:val="nil"/>
              <w:bottom w:val="nil"/>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p>
        </w:tc>
        <w:tc>
          <w:tcPr>
            <w:tcW w:w="569" w:type="dxa"/>
            <w:gridSpan w:val="2"/>
            <w:tcBorders>
              <w:left w:val="nil"/>
              <w:bottom w:val="nil"/>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p>
        </w:tc>
        <w:tc>
          <w:tcPr>
            <w:tcW w:w="1133" w:type="dxa"/>
            <w:tcBorders>
              <w:left w:val="nil"/>
              <w:bottom w:val="nil"/>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p>
        </w:tc>
        <w:tc>
          <w:tcPr>
            <w:tcW w:w="547" w:type="dxa"/>
            <w:tcBorders>
              <w:left w:val="nil"/>
              <w:bottom w:val="nil"/>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p>
        </w:tc>
        <w:tc>
          <w:tcPr>
            <w:tcW w:w="1297" w:type="dxa"/>
            <w:tcBorders>
              <w:left w:val="nil"/>
              <w:bottom w:val="nil"/>
            </w:tcBorders>
          </w:tcPr>
          <w:p w:rsidR="00E844AA" w:rsidRPr="00FC64F0" w:rsidRDefault="00E844AA" w:rsidP="0045221E">
            <w:pPr>
              <w:spacing w:after="0" w:line="240" w:lineRule="auto"/>
              <w:ind w:right="141"/>
              <w:rPr>
                <w:rFonts w:ascii="Times New Roman" w:hAnsi="Times New Roman"/>
                <w:b/>
                <w:sz w:val="20"/>
                <w:szCs w:val="20"/>
                <w:lang w:eastAsia="sk-SK"/>
              </w:rPr>
            </w:pPr>
          </w:p>
        </w:tc>
      </w:tr>
      <w:tr w:rsidR="00E844AA" w:rsidRPr="00FC64F0" w:rsidTr="0045221E">
        <w:tc>
          <w:tcPr>
            <w:tcW w:w="3812" w:type="dxa"/>
            <w:tcBorders>
              <w:top w:val="nil"/>
              <w:bottom w:val="nil"/>
            </w:tcBorders>
            <w:shd w:val="clear" w:color="auto" w:fill="E2E2E2"/>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 xml:space="preserve">    vplyvy služieb verejnej správy na občana</w:t>
            </w:r>
          </w:p>
        </w:tc>
        <w:tc>
          <w:tcPr>
            <w:tcW w:w="541" w:type="dxa"/>
            <w:tcBorders>
              <w:top w:val="nil"/>
              <w:bottom w:val="dotted" w:sz="4" w:space="0" w:color="auto"/>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312" w:type="dxa"/>
            <w:gridSpan w:val="2"/>
            <w:tcBorders>
              <w:top w:val="nil"/>
              <w:left w:val="nil"/>
              <w:bottom w:val="dotted" w:sz="4" w:space="0" w:color="auto"/>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tcBorders>
              <w:top w:val="nil"/>
              <w:left w:val="nil"/>
              <w:bottom w:val="dotted" w:sz="4" w:space="0" w:color="auto"/>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nil"/>
              <w:left w:val="nil"/>
              <w:bottom w:val="dotted" w:sz="4" w:space="0" w:color="auto"/>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top w:val="nil"/>
              <w:left w:val="nil"/>
              <w:bottom w:val="dotted" w:sz="4" w:space="0" w:color="auto"/>
              <w:right w:val="nil"/>
            </w:tcBorders>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top w:val="nil"/>
              <w:left w:val="nil"/>
              <w:bottom w:val="dotted" w:sz="4" w:space="0" w:color="auto"/>
            </w:tcBorders>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r w:rsidR="00E844AA" w:rsidRPr="00FC64F0" w:rsidTr="0045221E">
        <w:tc>
          <w:tcPr>
            <w:tcW w:w="3812" w:type="dxa"/>
            <w:tcBorders>
              <w:top w:val="nil"/>
              <w:bottom w:val="nil"/>
            </w:tcBorders>
            <w:shd w:val="clear" w:color="auto" w:fill="E2E2E2"/>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 xml:space="preserve">    vplyvy na procesy služieb vo verejnej správe</w:t>
            </w:r>
          </w:p>
        </w:tc>
        <w:tc>
          <w:tcPr>
            <w:tcW w:w="541" w:type="dxa"/>
            <w:tcBorders>
              <w:top w:val="dotted" w:sz="4" w:space="0" w:color="auto"/>
              <w:bottom w:val="dotted" w:sz="4" w:space="0" w:color="auto"/>
              <w:right w:val="nil"/>
            </w:tcBorders>
            <w:vAlign w:val="center"/>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vAlign w:val="center"/>
          </w:tcPr>
          <w:p w:rsidR="00E844AA" w:rsidRPr="00FC64F0" w:rsidRDefault="00E844AA" w:rsidP="0045221E">
            <w:pPr>
              <w:spacing w:after="0" w:line="240" w:lineRule="auto"/>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vAlign w:val="center"/>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top w:val="dotted" w:sz="4" w:space="0" w:color="auto"/>
              <w:left w:val="nil"/>
              <w:bottom w:val="dotted" w:sz="4" w:space="0" w:color="auto"/>
              <w:right w:val="nil"/>
            </w:tcBorders>
            <w:vAlign w:val="center"/>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top w:val="dotted" w:sz="4" w:space="0" w:color="auto"/>
              <w:left w:val="nil"/>
              <w:bottom w:val="dotted" w:sz="4" w:space="0" w:color="auto"/>
            </w:tcBorders>
            <w:vAlign w:val="center"/>
          </w:tcPr>
          <w:p w:rsidR="00E844AA" w:rsidRPr="00FC64F0" w:rsidRDefault="00E844AA" w:rsidP="0045221E">
            <w:pPr>
              <w:spacing w:after="0" w:line="240" w:lineRule="auto"/>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844AA" w:rsidRPr="00FC64F0" w:rsidTr="0045221E">
        <w:tc>
          <w:tcPr>
            <w:tcW w:w="3812" w:type="dxa"/>
            <w:tcBorders>
              <w:top w:val="single" w:sz="4" w:space="0" w:color="000000"/>
            </w:tcBorders>
            <w:shd w:val="clear" w:color="auto" w:fill="E2E2E2"/>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Vplyvy na manželstvo, rodičovstvo a rodinu</w:t>
            </w:r>
          </w:p>
        </w:tc>
        <w:tc>
          <w:tcPr>
            <w:tcW w:w="541" w:type="dxa"/>
            <w:tcBorders>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312" w:type="dxa"/>
            <w:tcBorders>
              <w:left w:val="nil"/>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Pozitívne</w:t>
            </w:r>
          </w:p>
        </w:tc>
        <w:tc>
          <w:tcPr>
            <w:tcW w:w="538" w:type="dxa"/>
            <w:tcBorders>
              <w:left w:val="nil"/>
              <w:right w:val="nil"/>
            </w:tcBorders>
            <w:vAlign w:val="center"/>
          </w:tcPr>
          <w:p w:rsidR="00E844AA" w:rsidRPr="00FC64F0" w:rsidRDefault="00E844AA" w:rsidP="0045221E">
            <w:pPr>
              <w:ind w:right="141"/>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Žiadne</w:t>
            </w:r>
          </w:p>
        </w:tc>
        <w:tc>
          <w:tcPr>
            <w:tcW w:w="547" w:type="dxa"/>
            <w:tcBorders>
              <w:left w:val="nil"/>
              <w:righ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Segoe UI Symbol" w:hAnsi="Segoe UI Symbol" w:cs="Segoe UI Symbol"/>
                <w:b/>
                <w:sz w:val="20"/>
                <w:szCs w:val="20"/>
                <w:lang w:eastAsia="sk-SK"/>
              </w:rPr>
              <w:t>☐</w:t>
            </w:r>
          </w:p>
        </w:tc>
        <w:tc>
          <w:tcPr>
            <w:tcW w:w="1297" w:type="dxa"/>
            <w:tcBorders>
              <w:left w:val="nil"/>
            </w:tcBorders>
            <w:vAlign w:val="center"/>
          </w:tcPr>
          <w:p w:rsidR="00E844AA" w:rsidRPr="00FC64F0" w:rsidRDefault="00E844AA" w:rsidP="0045221E">
            <w:pPr>
              <w:ind w:right="141"/>
              <w:rPr>
                <w:rFonts w:ascii="Times New Roman" w:hAnsi="Times New Roman"/>
                <w:b/>
                <w:sz w:val="20"/>
                <w:szCs w:val="20"/>
                <w:lang w:eastAsia="sk-SK"/>
              </w:rPr>
            </w:pPr>
            <w:r w:rsidRPr="00FC64F0">
              <w:rPr>
                <w:rFonts w:ascii="Times New Roman" w:hAnsi="Times New Roman"/>
                <w:b/>
                <w:sz w:val="20"/>
                <w:szCs w:val="20"/>
                <w:lang w:eastAsia="sk-SK"/>
              </w:rPr>
              <w:t>Negatívne</w:t>
            </w:r>
          </w:p>
        </w:tc>
      </w:tr>
    </w:tbl>
    <w:p w:rsidR="00E844AA" w:rsidRDefault="00E844AA" w:rsidP="00E844AA">
      <w:pPr>
        <w:spacing w:after="0" w:line="240" w:lineRule="auto"/>
        <w:ind w:right="141"/>
        <w:rPr>
          <w:rFonts w:ascii="Times New Roman" w:hAnsi="Times New Roman"/>
          <w:b/>
          <w:sz w:val="20"/>
          <w:szCs w:val="20"/>
          <w:lang w:eastAsia="sk-SK"/>
        </w:rPr>
      </w:pPr>
    </w:p>
    <w:p w:rsidR="00E844AA" w:rsidRPr="00B043B4" w:rsidRDefault="00E844AA" w:rsidP="00E844AA">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844AA" w:rsidRPr="00B043B4" w:rsidTr="0045221E">
        <w:tc>
          <w:tcPr>
            <w:tcW w:w="9176" w:type="dxa"/>
            <w:tcBorders>
              <w:bottom w:val="nil"/>
            </w:tcBorders>
            <w:shd w:val="clear" w:color="auto" w:fill="E2E2E2"/>
          </w:tcPr>
          <w:p w:rsidR="00E844AA" w:rsidRPr="00B043B4" w:rsidRDefault="00E844AA" w:rsidP="00E844AA">
            <w:pPr>
              <w:numPr>
                <w:ilvl w:val="0"/>
                <w:numId w:val="16"/>
              </w:numPr>
              <w:contextualSpacing/>
              <w:rPr>
                <w:rFonts w:ascii="Times New Roman" w:hAnsi="Times New Roman"/>
                <w:b/>
              </w:rPr>
            </w:pPr>
            <w:r w:rsidRPr="00B043B4">
              <w:rPr>
                <w:rFonts w:ascii="Times New Roman" w:hAnsi="Times New Roman"/>
                <w:b/>
              </w:rPr>
              <w:t>Poznámky</w:t>
            </w:r>
          </w:p>
        </w:tc>
      </w:tr>
      <w:tr w:rsidR="00E844AA" w:rsidRPr="00B043B4" w:rsidTr="0045221E">
        <w:trPr>
          <w:trHeight w:val="713"/>
        </w:trPr>
        <w:tc>
          <w:tcPr>
            <w:tcW w:w="9176" w:type="dxa"/>
            <w:tcBorders>
              <w:top w:val="nil"/>
              <w:bottom w:val="single" w:sz="4" w:space="0" w:color="FFFFFF"/>
            </w:tcBorders>
          </w:tcPr>
          <w:p w:rsidR="00E844AA" w:rsidRDefault="00E844AA" w:rsidP="0045221E">
            <w:pPr>
              <w:jc w:val="both"/>
              <w:rPr>
                <w:rFonts w:ascii="Times New Roman" w:hAnsi="Times New Roman"/>
                <w:i/>
                <w:sz w:val="20"/>
                <w:szCs w:val="20"/>
                <w:lang w:eastAsia="sk-SK"/>
              </w:rPr>
            </w:pPr>
            <w:r w:rsidRPr="00B043B4">
              <w:rPr>
                <w:rFonts w:ascii="Times New Roman" w:hAnsi="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E844AA" w:rsidRDefault="00E844AA" w:rsidP="0045221E">
            <w:pPr>
              <w:jc w:val="both"/>
              <w:rPr>
                <w:rFonts w:ascii="Times New Roman" w:hAnsi="Times New Roman"/>
                <w:i/>
                <w:sz w:val="20"/>
                <w:szCs w:val="20"/>
                <w:lang w:eastAsia="sk-SK"/>
              </w:rPr>
            </w:pPr>
            <w:r>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E844AA" w:rsidRPr="00B043B4" w:rsidRDefault="00E844AA" w:rsidP="0045221E">
            <w:pPr>
              <w:jc w:val="both"/>
              <w:rPr>
                <w:rFonts w:ascii="Times New Roman" w:hAnsi="Times New Roman"/>
                <w:i/>
                <w:sz w:val="20"/>
                <w:szCs w:val="20"/>
                <w:lang w:eastAsia="sk-SK"/>
              </w:rPr>
            </w:pPr>
            <w:r>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E844AA" w:rsidRDefault="00E844AA" w:rsidP="0045221E">
            <w:pPr>
              <w:jc w:val="both"/>
              <w:rPr>
                <w:rFonts w:ascii="Times New Roman" w:hAnsi="Times New Roman"/>
                <w:i/>
                <w:sz w:val="20"/>
                <w:szCs w:val="20"/>
                <w:lang w:eastAsia="sk-SK"/>
              </w:rPr>
            </w:pPr>
          </w:p>
          <w:p w:rsidR="00E844AA" w:rsidRDefault="00E844AA" w:rsidP="0045221E">
            <w:pPr>
              <w:jc w:val="both"/>
              <w:rPr>
                <w:rFonts w:ascii="Times New Roman" w:hAnsi="Times New Roman"/>
                <w:szCs w:val="20"/>
                <w:lang w:eastAsia="sk-SK"/>
              </w:rPr>
            </w:pPr>
            <w:r w:rsidRPr="00363F73">
              <w:rPr>
                <w:rFonts w:ascii="Times New Roman" w:hAnsi="Times New Roman"/>
                <w:szCs w:val="20"/>
                <w:lang w:eastAsia="sk-SK"/>
              </w:rPr>
              <w:t xml:space="preserve">Verejnosť bola o príprave návrhu </w:t>
            </w:r>
            <w:r w:rsidRPr="00606537">
              <w:rPr>
                <w:rFonts w:ascii="Times New Roman" w:hAnsi="Times New Roman"/>
                <w:szCs w:val="20"/>
                <w:lang w:eastAsia="sk-SK"/>
              </w:rPr>
              <w:t xml:space="preserve">zákona </w:t>
            </w:r>
            <w:r w:rsidRPr="008B3EDF">
              <w:rPr>
                <w:rFonts w:ascii="Times New Roman" w:hAnsi="Times New Roman"/>
                <w:szCs w:val="20"/>
                <w:lang w:eastAsia="sk-SK"/>
              </w:rPr>
              <w:t>ktorým sa mení a dopĺňa zákon č. 162/2015 Z. z. Správny súdny poriadok v znení neskorších predpisov a</w:t>
            </w:r>
            <w:r>
              <w:rPr>
                <w:rFonts w:ascii="Times New Roman" w:hAnsi="Times New Roman"/>
                <w:szCs w:val="20"/>
                <w:lang w:eastAsia="sk-SK"/>
              </w:rPr>
              <w:t> ktorým sa mení zákon</w:t>
            </w:r>
            <w:r w:rsidRPr="008B3EDF">
              <w:rPr>
                <w:rFonts w:ascii="Times New Roman" w:hAnsi="Times New Roman"/>
                <w:szCs w:val="20"/>
                <w:lang w:eastAsia="sk-SK"/>
              </w:rPr>
              <w:t xml:space="preserve"> č. 514/2003 Z. z. o zodpovednosti za škodu spôsobenú pri výkone verejnej moci a o zmene niektorých záko</w:t>
            </w:r>
            <w:r>
              <w:rPr>
                <w:rFonts w:ascii="Times New Roman" w:hAnsi="Times New Roman"/>
                <w:szCs w:val="20"/>
                <w:lang w:eastAsia="sk-SK"/>
              </w:rPr>
              <w:t>nov v znení neskorších predpisov</w:t>
            </w:r>
            <w:r w:rsidRPr="000C72F0">
              <w:rPr>
                <w:rFonts w:ascii="Times New Roman" w:hAnsi="Times New Roman"/>
                <w:szCs w:val="20"/>
                <w:lang w:eastAsia="sk-SK"/>
              </w:rPr>
              <w:t xml:space="preserve"> </w:t>
            </w:r>
            <w:r w:rsidRPr="00363F73">
              <w:rPr>
                <w:rFonts w:ascii="Times New Roman" w:hAnsi="Times New Roman"/>
                <w:szCs w:val="20"/>
                <w:lang w:eastAsia="sk-SK"/>
              </w:rPr>
              <w:t>informovaná prostredníctvom predbežnej informácie PI/202</w:t>
            </w:r>
            <w:r>
              <w:rPr>
                <w:rFonts w:ascii="Times New Roman" w:hAnsi="Times New Roman"/>
                <w:szCs w:val="20"/>
                <w:lang w:eastAsia="sk-SK"/>
              </w:rPr>
              <w:t>2</w:t>
            </w:r>
            <w:r w:rsidRPr="00363F73">
              <w:rPr>
                <w:rFonts w:ascii="Times New Roman" w:hAnsi="Times New Roman"/>
                <w:szCs w:val="20"/>
                <w:lang w:eastAsia="sk-SK"/>
              </w:rPr>
              <w:t>/</w:t>
            </w:r>
            <w:r>
              <w:rPr>
                <w:rFonts w:ascii="Times New Roman" w:hAnsi="Times New Roman"/>
                <w:szCs w:val="20"/>
                <w:lang w:eastAsia="sk-SK"/>
              </w:rPr>
              <w:t xml:space="preserve">273 </w:t>
            </w:r>
            <w:r w:rsidRPr="00363F73">
              <w:rPr>
                <w:rFonts w:ascii="Times New Roman" w:hAnsi="Times New Roman"/>
                <w:szCs w:val="20"/>
                <w:lang w:eastAsia="sk-SK"/>
              </w:rPr>
              <w:t xml:space="preserve">zverejnenej na portáli Slov-lex (dostupné na </w:t>
            </w:r>
            <w:hyperlink r:id="rId7" w:history="1">
              <w:r w:rsidRPr="00D95F5B">
                <w:rPr>
                  <w:rStyle w:val="Hypertextovprepojenie"/>
                  <w:rFonts w:ascii="Times New Roman" w:hAnsi="Times New Roman"/>
                  <w:color w:val="5B9BD5" w:themeColor="accent1"/>
                </w:rPr>
                <w:t>https://www.slov-lex.sk/legislativne-procesy/SK/PI/2022/273</w:t>
              </w:r>
            </w:hyperlink>
            <w:r>
              <w:rPr>
                <w:rFonts w:ascii="Times New Roman" w:hAnsi="Times New Roman"/>
                <w:szCs w:val="20"/>
                <w:lang w:eastAsia="sk-SK"/>
              </w:rPr>
              <w:t xml:space="preserve"> </w:t>
            </w:r>
            <w:r w:rsidRPr="00363F73">
              <w:rPr>
                <w:rFonts w:ascii="Times New Roman" w:hAnsi="Times New Roman"/>
                <w:szCs w:val="20"/>
                <w:lang w:eastAsia="sk-SK"/>
              </w:rPr>
              <w:t>).</w:t>
            </w:r>
            <w:r>
              <w:rPr>
                <w:rFonts w:ascii="Times New Roman" w:hAnsi="Times New Roman"/>
                <w:szCs w:val="20"/>
                <w:lang w:eastAsia="sk-SK"/>
              </w:rPr>
              <w:t xml:space="preserve"> </w:t>
            </w:r>
          </w:p>
          <w:p w:rsidR="00E844AA" w:rsidRDefault="00E844AA" w:rsidP="0045221E">
            <w:pPr>
              <w:jc w:val="both"/>
              <w:rPr>
                <w:rFonts w:ascii="Times New Roman" w:hAnsi="Times New Roman"/>
                <w:szCs w:val="20"/>
                <w:lang w:eastAsia="sk-SK"/>
              </w:rPr>
            </w:pPr>
          </w:p>
          <w:p w:rsidR="00E844AA" w:rsidRDefault="00E844AA" w:rsidP="0045221E">
            <w:pPr>
              <w:jc w:val="both"/>
              <w:rPr>
                <w:rFonts w:ascii="Times New Roman" w:hAnsi="Times New Roman"/>
                <w:szCs w:val="20"/>
                <w:lang w:eastAsia="sk-SK"/>
              </w:rPr>
            </w:pPr>
            <w:r>
              <w:rPr>
                <w:rFonts w:ascii="Times New Roman" w:hAnsi="Times New Roman"/>
                <w:szCs w:val="20"/>
                <w:lang w:eastAsia="sk-SK"/>
              </w:rPr>
              <w:t>Vplyv na štátny rozpočet je zanedbateľný z dôvodu, že podľa súdnej štatistiky za roky 2018-2022 bola len v 2 prípadoch uložená pokuta, v prípade, ak orgán bezdôvodne nečinnosť neodstránil. Čo sa týka priznania primeraného zadosťučinenia, táto forma odškodnenia sa presúva do fázy rozhodovania súdu o žalobe proti nečinnosti. Povinnosť orgánu verejnej správy uhradiť sumu primeraného zadosťučinenia zostáva zachovaná s doplnením sankcie, ktorá sa uplatní, ak by v zmysle súdneho rozhodnutia nebola suma uhradená.</w:t>
            </w:r>
            <w:r>
              <w:t xml:space="preserve"> </w:t>
            </w:r>
            <w:r>
              <w:rPr>
                <w:rFonts w:ascii="Times New Roman" w:hAnsi="Times New Roman"/>
                <w:szCs w:val="20"/>
                <w:lang w:eastAsia="sk-SK"/>
              </w:rPr>
              <w:t>V</w:t>
            </w:r>
            <w:r w:rsidRPr="001B554B">
              <w:rPr>
                <w:rFonts w:ascii="Times New Roman" w:hAnsi="Times New Roman"/>
                <w:szCs w:val="20"/>
                <w:lang w:eastAsia="sk-SK"/>
              </w:rPr>
              <w:t>šetky vplyvy vyplývajúce z návrhu zákona budú zabezpečené v rámci schválených limitov výdavkov dotknutého subjektu verejnej správy na príslušné rozpočtové roky bez dodatočných požiadaviek na rozpočet verejnej správy.</w:t>
            </w:r>
          </w:p>
          <w:p w:rsidR="00E844AA" w:rsidRDefault="00E844AA" w:rsidP="0045221E">
            <w:pPr>
              <w:jc w:val="both"/>
              <w:rPr>
                <w:rFonts w:ascii="Times New Roman" w:hAnsi="Times New Roman"/>
                <w:szCs w:val="20"/>
                <w:lang w:eastAsia="sk-SK"/>
              </w:rPr>
            </w:pPr>
          </w:p>
          <w:p w:rsidR="00E844AA" w:rsidRDefault="00E844AA" w:rsidP="0045221E">
            <w:pPr>
              <w:jc w:val="both"/>
              <w:rPr>
                <w:rFonts w:ascii="Times New Roman" w:hAnsi="Times New Roman"/>
                <w:szCs w:val="20"/>
                <w:lang w:eastAsia="sk-SK"/>
              </w:rPr>
            </w:pPr>
            <w:r w:rsidRPr="004C0D94">
              <w:rPr>
                <w:rFonts w:ascii="Times New Roman" w:hAnsi="Times New Roman"/>
                <w:szCs w:val="20"/>
                <w:lang w:eastAsia="sk-SK"/>
              </w:rPr>
              <w:t>Vplyv na podnikateľské prostredie je marginálny. Ako potenciálny pozitívny vplyv na podnikateľské prostredie možno uviesť možnosť žiadať v rámci súdneho konania pred správnym súdom primerané zadosťučinenie.</w:t>
            </w:r>
          </w:p>
          <w:p w:rsidR="00E844AA" w:rsidRDefault="00E844AA" w:rsidP="0045221E">
            <w:pPr>
              <w:jc w:val="both"/>
              <w:rPr>
                <w:rFonts w:ascii="Times New Roman" w:hAnsi="Times New Roman"/>
                <w:szCs w:val="20"/>
                <w:lang w:eastAsia="sk-SK"/>
              </w:rPr>
            </w:pPr>
          </w:p>
          <w:p w:rsidR="00E844AA" w:rsidRDefault="00E844AA" w:rsidP="0045221E">
            <w:pPr>
              <w:jc w:val="both"/>
              <w:rPr>
                <w:rFonts w:ascii="Times New Roman" w:hAnsi="Times New Roman"/>
                <w:szCs w:val="20"/>
                <w:lang w:eastAsia="sk-SK"/>
              </w:rPr>
            </w:pPr>
            <w:r w:rsidRPr="00476354">
              <w:rPr>
                <w:rFonts w:ascii="Times New Roman" w:hAnsi="Times New Roman"/>
                <w:szCs w:val="20"/>
                <w:lang w:eastAsia="sk-SK"/>
              </w:rPr>
              <w:t>Predkladaný návrh zákona nezakladá pozitívny vplyv na zvýšenie príjmu domácnosti, keďže fyzická osoba v prípade nečinnosti orgánu verejnej správy mala právo na priznanie primeraného zadosťučinenia, ak si ho uplatnila v zmysle zákona č. 514/2003 Z. z. o zodpovednosti za škodu spôsobenú pri výkone verejnej moci a o zmene niektorých zákonov v znení neskorších predpisov. Podľa doterajšej právnej úpravy orgán verejnej správy čelil uloženiu pokuty, ktorá však nebola príjmom domácnosti.</w:t>
            </w:r>
          </w:p>
          <w:p w:rsidR="00E844AA" w:rsidRPr="00530473" w:rsidRDefault="00E844AA" w:rsidP="0045221E">
            <w:pPr>
              <w:jc w:val="both"/>
              <w:rPr>
                <w:rFonts w:ascii="Times New Roman" w:hAnsi="Times New Roman"/>
                <w:szCs w:val="20"/>
                <w:lang w:eastAsia="sk-SK"/>
              </w:rPr>
            </w:pPr>
          </w:p>
        </w:tc>
      </w:tr>
      <w:tr w:rsidR="00E844AA" w:rsidRPr="00B043B4" w:rsidTr="0045221E">
        <w:tc>
          <w:tcPr>
            <w:tcW w:w="9176" w:type="dxa"/>
            <w:tcBorders>
              <w:bottom w:val="single" w:sz="4" w:space="0" w:color="FFFFFF"/>
            </w:tcBorders>
            <w:shd w:val="clear" w:color="auto" w:fill="E2E2E2"/>
          </w:tcPr>
          <w:p w:rsidR="00E844AA" w:rsidRPr="00B043B4" w:rsidRDefault="00E844AA" w:rsidP="00E844AA">
            <w:pPr>
              <w:numPr>
                <w:ilvl w:val="0"/>
                <w:numId w:val="16"/>
              </w:numPr>
              <w:contextualSpacing/>
              <w:rPr>
                <w:rFonts w:ascii="Times New Roman" w:hAnsi="Times New Roman"/>
                <w:b/>
              </w:rPr>
            </w:pPr>
            <w:r w:rsidRPr="00B043B4">
              <w:rPr>
                <w:rFonts w:ascii="Times New Roman" w:hAnsi="Times New Roman"/>
                <w:b/>
              </w:rPr>
              <w:t>Kontakt na spracovateľa</w:t>
            </w:r>
          </w:p>
        </w:tc>
      </w:tr>
      <w:tr w:rsidR="00E844AA" w:rsidRPr="00B043B4" w:rsidTr="0045221E">
        <w:trPr>
          <w:trHeight w:val="586"/>
        </w:trPr>
        <w:tc>
          <w:tcPr>
            <w:tcW w:w="9176" w:type="dxa"/>
            <w:tcBorders>
              <w:top w:val="single" w:sz="4" w:space="0" w:color="FFFFFF"/>
            </w:tcBorders>
            <w:shd w:val="clear" w:color="auto" w:fill="FFFFFF"/>
          </w:tcPr>
          <w:p w:rsidR="00E844AA" w:rsidRDefault="00E844AA" w:rsidP="0045221E">
            <w:pPr>
              <w:rPr>
                <w:rFonts w:ascii="Times New Roman" w:hAnsi="Times New Roman"/>
                <w:i/>
                <w:sz w:val="20"/>
                <w:szCs w:val="20"/>
                <w:lang w:eastAsia="sk-SK"/>
              </w:rPr>
            </w:pPr>
            <w:r w:rsidRPr="00B043B4">
              <w:rPr>
                <w:rFonts w:ascii="Times New Roman" w:hAnsi="Times New Roman"/>
                <w:i/>
                <w:sz w:val="20"/>
                <w:szCs w:val="20"/>
                <w:lang w:eastAsia="sk-SK"/>
              </w:rPr>
              <w:t>Uveďte údaje na kontaktnú osobu, ktorú je možné kontaktovať v súvislosti s posúdením vybraných vplyvov.</w:t>
            </w:r>
          </w:p>
          <w:p w:rsidR="00E844AA" w:rsidRDefault="00E844AA" w:rsidP="0045221E">
            <w:pPr>
              <w:jc w:val="both"/>
              <w:rPr>
                <w:rFonts w:ascii="Times New Roman" w:hAnsi="Times New Roman"/>
              </w:rPr>
            </w:pPr>
            <w:r w:rsidRPr="0069576E">
              <w:rPr>
                <w:rFonts w:ascii="Times New Roman" w:hAnsi="Times New Roman"/>
              </w:rPr>
              <w:t xml:space="preserve">JUDr. </w:t>
            </w:r>
            <w:r>
              <w:rPr>
                <w:rFonts w:ascii="Times New Roman" w:hAnsi="Times New Roman"/>
              </w:rPr>
              <w:t>Gabriela Rusnáková</w:t>
            </w:r>
          </w:p>
          <w:p w:rsidR="00E844AA" w:rsidRDefault="00E844AA" w:rsidP="0045221E">
            <w:pPr>
              <w:jc w:val="both"/>
              <w:rPr>
                <w:rFonts w:ascii="Times New Roman" w:hAnsi="Times New Roman"/>
              </w:rPr>
            </w:pPr>
            <w:r w:rsidRPr="0069576E">
              <w:rPr>
                <w:rFonts w:ascii="Times New Roman" w:hAnsi="Times New Roman"/>
              </w:rPr>
              <w:t>odbor legislatívy občianskeho a obchodného práva, sekcia legislatívy Ministerstva spravodlivosti SR</w:t>
            </w:r>
          </w:p>
          <w:p w:rsidR="00E844AA" w:rsidRPr="00611F40" w:rsidRDefault="00E8797E" w:rsidP="0045221E">
            <w:pPr>
              <w:jc w:val="both"/>
              <w:rPr>
                <w:rFonts w:ascii="Times New Roman" w:hAnsi="Times New Roman"/>
              </w:rPr>
            </w:pPr>
            <w:hyperlink r:id="rId8" w:history="1">
              <w:r w:rsidR="00E844AA" w:rsidRPr="00B132BC">
                <w:rPr>
                  <w:rStyle w:val="Hypertextovprepojenie"/>
                  <w:rFonts w:ascii="Times New Roman" w:hAnsi="Times New Roman"/>
                </w:rPr>
                <w:t>gabriela.rusnakova@justice.sk</w:t>
              </w:r>
            </w:hyperlink>
          </w:p>
        </w:tc>
      </w:tr>
      <w:tr w:rsidR="00E844AA" w:rsidRPr="00B043B4" w:rsidTr="0045221E">
        <w:tc>
          <w:tcPr>
            <w:tcW w:w="9176" w:type="dxa"/>
            <w:tcBorders>
              <w:bottom w:val="single" w:sz="4" w:space="0" w:color="FFFFFF"/>
            </w:tcBorders>
            <w:shd w:val="clear" w:color="auto" w:fill="E2E2E2"/>
          </w:tcPr>
          <w:p w:rsidR="00E844AA" w:rsidRPr="00B043B4" w:rsidRDefault="00E844AA" w:rsidP="00E844AA">
            <w:pPr>
              <w:numPr>
                <w:ilvl w:val="0"/>
                <w:numId w:val="16"/>
              </w:numPr>
              <w:contextualSpacing/>
              <w:rPr>
                <w:rFonts w:ascii="Times New Roman" w:hAnsi="Times New Roman"/>
                <w:b/>
              </w:rPr>
            </w:pPr>
            <w:r w:rsidRPr="00B043B4">
              <w:rPr>
                <w:rFonts w:ascii="Times New Roman" w:hAnsi="Times New Roman"/>
                <w:b/>
              </w:rPr>
              <w:t>Zdroje</w:t>
            </w:r>
          </w:p>
        </w:tc>
      </w:tr>
      <w:tr w:rsidR="00E844AA" w:rsidRPr="00B043B4" w:rsidTr="0045221E">
        <w:trPr>
          <w:trHeight w:val="401"/>
        </w:trPr>
        <w:tc>
          <w:tcPr>
            <w:tcW w:w="9176" w:type="dxa"/>
            <w:tcBorders>
              <w:top w:val="single" w:sz="4" w:space="0" w:color="FFFFFF"/>
            </w:tcBorders>
            <w:shd w:val="clear" w:color="auto" w:fill="FFFFFF"/>
          </w:tcPr>
          <w:p w:rsidR="00E844AA" w:rsidRPr="00B043B4" w:rsidRDefault="00E844AA" w:rsidP="0045221E">
            <w:pPr>
              <w:jc w:val="both"/>
              <w:rPr>
                <w:rFonts w:ascii="Times New Roman" w:hAnsi="Times New Roman"/>
                <w:i/>
                <w:sz w:val="20"/>
                <w:szCs w:val="20"/>
                <w:lang w:eastAsia="sk-SK"/>
              </w:rPr>
            </w:pPr>
            <w:r w:rsidRPr="00B043B4">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hAnsi="Times New Roman"/>
                <w:sz w:val="24"/>
                <w:szCs w:val="24"/>
              </w:rPr>
              <w:t xml:space="preserve"> </w:t>
            </w:r>
          </w:p>
          <w:p w:rsidR="00E844AA" w:rsidRPr="008D4BCB" w:rsidRDefault="00E844AA" w:rsidP="0045221E">
            <w:pPr>
              <w:jc w:val="both"/>
              <w:rPr>
                <w:rFonts w:ascii="Times New Roman" w:hAnsi="Times New Roman"/>
                <w:szCs w:val="20"/>
                <w:lang w:eastAsia="sk-SK"/>
              </w:rPr>
            </w:pPr>
            <w:r>
              <w:rPr>
                <w:rFonts w:ascii="Times New Roman" w:hAnsi="Times New Roman"/>
                <w:szCs w:val="20"/>
                <w:lang w:eastAsia="sk-SK"/>
              </w:rPr>
              <w:t>Zdroje: Súdna štatistika za roky 2018 až 2022</w:t>
            </w:r>
          </w:p>
        </w:tc>
      </w:tr>
      <w:tr w:rsidR="00E844AA" w:rsidRPr="00B043B4" w:rsidTr="0045221E">
        <w:tc>
          <w:tcPr>
            <w:tcW w:w="9176" w:type="dxa"/>
            <w:tcBorders>
              <w:bottom w:val="single" w:sz="4" w:space="0" w:color="FFFFFF"/>
            </w:tcBorders>
            <w:shd w:val="clear" w:color="auto" w:fill="E2E2E2"/>
          </w:tcPr>
          <w:p w:rsidR="00E844AA" w:rsidRPr="00B043B4" w:rsidRDefault="00E844AA" w:rsidP="00E844AA">
            <w:pPr>
              <w:numPr>
                <w:ilvl w:val="0"/>
                <w:numId w:val="16"/>
              </w:numPr>
              <w:contextualSpacing/>
              <w:rPr>
                <w:rFonts w:ascii="Times New Roman" w:hAnsi="Times New Roman"/>
                <w:b/>
              </w:rPr>
            </w:pPr>
            <w:r w:rsidRPr="00B043B4">
              <w:rPr>
                <w:rFonts w:ascii="Times New Roman" w:hAnsi="Times New Roman"/>
                <w:b/>
              </w:rPr>
              <w:t xml:space="preserve">Stanovisko Komisie na posudzovanie vybraných vplyvov z PPK č. </w:t>
            </w:r>
            <w:r>
              <w:rPr>
                <w:rFonts w:ascii="Times New Roman" w:hAnsi="Times New Roman"/>
                <w:b/>
              </w:rPr>
              <w:t>287/2022</w:t>
            </w:r>
          </w:p>
          <w:p w:rsidR="00E844AA" w:rsidRPr="00B043B4" w:rsidRDefault="00E844AA" w:rsidP="0045221E">
            <w:pPr>
              <w:ind w:left="502"/>
              <w:rPr>
                <w:rFonts w:ascii="Times New Roman" w:hAnsi="Times New Roman"/>
                <w:b/>
                <w:sz w:val="20"/>
                <w:szCs w:val="20"/>
                <w:lang w:eastAsia="sk-SK"/>
              </w:rPr>
            </w:pPr>
            <w:r w:rsidRPr="00B043B4">
              <w:rPr>
                <w:rFonts w:ascii="Times New Roman" w:hAnsi="Times New Roman"/>
              </w:rPr>
              <w:t>(v prípade, ak sa uskutočnilo v zmysle bodu 8.1 Jednotnej metodiky)</w:t>
            </w:r>
          </w:p>
        </w:tc>
      </w:tr>
      <w:tr w:rsidR="00E844AA" w:rsidRPr="00B043B4" w:rsidTr="0045221E">
        <w:trPr>
          <w:trHeight w:val="1236"/>
        </w:trPr>
        <w:tc>
          <w:tcPr>
            <w:tcW w:w="9176" w:type="dxa"/>
            <w:tcBorders>
              <w:top w:val="single" w:sz="4" w:space="0" w:color="FFFFFF"/>
            </w:tcBorders>
            <w:shd w:val="clear" w:color="auto" w:fill="FFFFFF"/>
          </w:tcPr>
          <w:p w:rsidR="00E844AA" w:rsidRPr="00B043B4" w:rsidRDefault="00E844AA" w:rsidP="0045221E">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844AA" w:rsidRPr="00B043B4" w:rsidTr="0045221E">
              <w:trPr>
                <w:trHeight w:val="396"/>
              </w:trPr>
              <w:tc>
                <w:tcPr>
                  <w:tcW w:w="2552" w:type="dxa"/>
                  <w:tcBorders>
                    <w:top w:val="nil"/>
                    <w:left w:val="nil"/>
                    <w:bottom w:val="nil"/>
                    <w:right w:val="nil"/>
                  </w:tcBorders>
                </w:tcPr>
                <w:p w:rsidR="00E844AA" w:rsidRPr="00B043B4" w:rsidRDefault="00E844AA" w:rsidP="0045221E">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 xml:space="preserve">Súhlasné </w:t>
                  </w:r>
                </w:p>
              </w:tc>
              <w:tc>
                <w:tcPr>
                  <w:tcW w:w="3827" w:type="dxa"/>
                  <w:tcBorders>
                    <w:top w:val="nil"/>
                    <w:left w:val="nil"/>
                    <w:bottom w:val="nil"/>
                    <w:right w:val="nil"/>
                  </w:tcBorders>
                </w:tcPr>
                <w:p w:rsidR="00E844AA" w:rsidRPr="00B043B4" w:rsidRDefault="00E844AA" w:rsidP="0045221E">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Súhlasné s návrhom na dopracovanie</w:t>
                  </w:r>
                </w:p>
              </w:tc>
              <w:tc>
                <w:tcPr>
                  <w:tcW w:w="2534" w:type="dxa"/>
                  <w:tcBorders>
                    <w:top w:val="nil"/>
                    <w:left w:val="nil"/>
                    <w:bottom w:val="nil"/>
                    <w:right w:val="nil"/>
                  </w:tcBorders>
                </w:tcPr>
                <w:p w:rsidR="00E844AA" w:rsidRPr="00B043B4" w:rsidRDefault="00E844AA" w:rsidP="0045221E">
                  <w:pPr>
                    <w:ind w:right="459"/>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Nesúhlasné</w:t>
                  </w:r>
                </w:p>
              </w:tc>
            </w:tr>
          </w:tbl>
          <w:p w:rsidR="00E844AA" w:rsidRDefault="00E844AA" w:rsidP="0045221E">
            <w:pPr>
              <w:jc w:val="both"/>
              <w:rPr>
                <w:rFonts w:ascii="Times New Roman" w:hAnsi="Times New Roman"/>
                <w:b/>
                <w:sz w:val="20"/>
                <w:szCs w:val="20"/>
                <w:lang w:eastAsia="sk-SK"/>
              </w:rPr>
            </w:pPr>
            <w:r w:rsidRPr="00B043B4">
              <w:rPr>
                <w:rFonts w:ascii="Times New Roman" w:hAnsi="Times New Roman"/>
                <w:b/>
                <w:sz w:val="20"/>
                <w:szCs w:val="20"/>
                <w:lang w:eastAsia="sk-SK"/>
              </w:rPr>
              <w:t>Uveďte pripomienky zo stanoviska Komisie z časti II. spolu s Vaším vyhodnotením:</w:t>
            </w:r>
          </w:p>
          <w:p w:rsidR="00E844AA" w:rsidRDefault="00E844AA" w:rsidP="0045221E">
            <w:pPr>
              <w:jc w:val="both"/>
              <w:rPr>
                <w:rFonts w:ascii="Times New Roman" w:hAnsi="Times New Roman"/>
                <w:b/>
                <w:sz w:val="20"/>
                <w:szCs w:val="20"/>
                <w:lang w:eastAsia="sk-SK"/>
              </w:rPr>
            </w:pPr>
          </w:p>
          <w:p w:rsidR="00E844AA" w:rsidRDefault="00E844AA" w:rsidP="0045221E">
            <w:pPr>
              <w:jc w:val="both"/>
              <w:rPr>
                <w:rFonts w:ascii="Times New Roman" w:hAnsi="Times New Roman"/>
                <w:b/>
                <w:sz w:val="20"/>
                <w:szCs w:val="20"/>
                <w:lang w:eastAsia="sk-SK"/>
              </w:rPr>
            </w:pPr>
            <w:r w:rsidRPr="00652719">
              <w:rPr>
                <w:rFonts w:ascii="Times New Roman" w:hAnsi="Times New Roman"/>
                <w:b/>
                <w:sz w:val="20"/>
                <w:szCs w:val="20"/>
                <w:lang w:eastAsia="sk-SK"/>
              </w:rPr>
              <w:t xml:space="preserve">K vplyvom </w:t>
            </w:r>
            <w:r w:rsidRPr="007E2EFB">
              <w:rPr>
                <w:rFonts w:ascii="Times New Roman" w:hAnsi="Times New Roman"/>
                <w:b/>
                <w:bCs/>
                <w:sz w:val="20"/>
                <w:szCs w:val="20"/>
                <w:lang w:eastAsia="sk-SK"/>
              </w:rPr>
              <w:t>na podnikateľské prostredie</w:t>
            </w:r>
            <w:r w:rsidRPr="007E2EFB">
              <w:rPr>
                <w:rFonts w:ascii="Times New Roman" w:hAnsi="Times New Roman"/>
                <w:b/>
                <w:sz w:val="20"/>
                <w:szCs w:val="20"/>
                <w:lang w:eastAsia="sk-SK"/>
              </w:rPr>
              <w:t xml:space="preserve"> </w:t>
            </w:r>
          </w:p>
          <w:p w:rsidR="00E844AA" w:rsidRPr="00652719" w:rsidRDefault="00E844AA" w:rsidP="0045221E">
            <w:pPr>
              <w:jc w:val="both"/>
              <w:rPr>
                <w:rFonts w:ascii="Times New Roman" w:hAnsi="Times New Roman"/>
                <w:sz w:val="20"/>
                <w:szCs w:val="20"/>
                <w:lang w:eastAsia="sk-SK"/>
              </w:rPr>
            </w:pPr>
            <w:r w:rsidRPr="00652719">
              <w:rPr>
                <w:rFonts w:ascii="Times New Roman" w:hAnsi="Times New Roman"/>
                <w:sz w:val="20"/>
                <w:szCs w:val="20"/>
                <w:lang w:eastAsia="sk-SK"/>
              </w:rPr>
              <w:t>Komisia žiada predkladateľa o vyznačenie pozitívneho a negatívneho vplyvu predkladaného materiálu celkovo na podnikateľské prostredie v bode 9 Doložky vybraných vplyvov, nakoľko bol vyznačený vplyv iba na malé a stredné podniky (MSP),</w:t>
            </w:r>
          </w:p>
          <w:p w:rsidR="00E844AA" w:rsidRPr="00652719" w:rsidRDefault="00E844AA" w:rsidP="0045221E">
            <w:pPr>
              <w:jc w:val="both"/>
              <w:rPr>
                <w:rFonts w:ascii="Times New Roman" w:hAnsi="Times New Roman"/>
                <w:sz w:val="20"/>
                <w:szCs w:val="20"/>
                <w:lang w:eastAsia="sk-SK"/>
              </w:rPr>
            </w:pPr>
            <w:r w:rsidRPr="00652719">
              <w:rPr>
                <w:rFonts w:ascii="Times New Roman" w:hAnsi="Times New Roman"/>
                <w:sz w:val="20"/>
                <w:szCs w:val="20"/>
                <w:lang w:eastAsia="sk-SK"/>
              </w:rPr>
              <w:t>Komisia žiada predkladateľa aj o vyznačenie mechanizmu znižovania byrokracie a nákladov v bode 9 Doložky vybraných vplyvov,</w:t>
            </w:r>
          </w:p>
          <w:p w:rsidR="00E844AA" w:rsidRPr="00652719" w:rsidRDefault="00E844AA" w:rsidP="0045221E">
            <w:pPr>
              <w:jc w:val="both"/>
              <w:rPr>
                <w:rFonts w:ascii="Times New Roman" w:hAnsi="Times New Roman"/>
                <w:sz w:val="20"/>
                <w:szCs w:val="20"/>
                <w:lang w:eastAsia="sk-SK"/>
              </w:rPr>
            </w:pPr>
            <w:r w:rsidRPr="00652719">
              <w:rPr>
                <w:rFonts w:ascii="Times New Roman" w:hAnsi="Times New Roman"/>
                <w:sz w:val="20"/>
                <w:szCs w:val="20"/>
                <w:lang w:eastAsia="sk-SK"/>
              </w:rPr>
              <w:lastRenderedPageBreak/>
              <w:t>Komisia žiada predkladateľa o vyhotovenie Analýzy vplyvov na podnikateľské prostredie, keďže ide o o povinnú prílohu v prípade vyznačenia akýchkoľvek vplyvov na podnikateľské prostredie, vrátane MSP.</w:t>
            </w:r>
          </w:p>
          <w:p w:rsidR="00E844AA" w:rsidRPr="00652719" w:rsidRDefault="00E844AA" w:rsidP="0045221E">
            <w:pPr>
              <w:jc w:val="both"/>
              <w:rPr>
                <w:rFonts w:ascii="Times New Roman" w:hAnsi="Times New Roman"/>
                <w:sz w:val="20"/>
                <w:szCs w:val="20"/>
                <w:lang w:eastAsia="sk-SK"/>
              </w:rPr>
            </w:pPr>
            <w:r w:rsidRPr="00652719">
              <w:rPr>
                <w:rFonts w:ascii="Times New Roman" w:hAnsi="Times New Roman"/>
                <w:sz w:val="20"/>
                <w:szCs w:val="20"/>
                <w:lang w:eastAsia="sk-SK"/>
              </w:rPr>
              <w:t xml:space="preserve">Komisia odporúča predkladateľovi aby uviedol potenciálny pozitívny vplyv na podnikateľské prostredie (možnosť žiadať o finančné zadosťučinenie) do bodu 10. Poznámky, </w:t>
            </w:r>
          </w:p>
          <w:p w:rsidR="00E844AA" w:rsidRPr="00652719" w:rsidRDefault="00E844AA" w:rsidP="0045221E">
            <w:pPr>
              <w:jc w:val="both"/>
              <w:rPr>
                <w:rFonts w:ascii="Times New Roman" w:hAnsi="Times New Roman"/>
                <w:sz w:val="20"/>
                <w:szCs w:val="20"/>
                <w:lang w:eastAsia="sk-SK"/>
              </w:rPr>
            </w:pPr>
            <w:r w:rsidRPr="00652719">
              <w:rPr>
                <w:rFonts w:ascii="Times New Roman" w:hAnsi="Times New Roman"/>
                <w:sz w:val="20"/>
                <w:szCs w:val="20"/>
                <w:u w:val="single"/>
                <w:lang w:eastAsia="sk-SK"/>
              </w:rPr>
              <w:t>Odôvodnenie:</w:t>
            </w:r>
            <w:r w:rsidRPr="00652719">
              <w:rPr>
                <w:rFonts w:ascii="Times New Roman" w:hAnsi="Times New Roman"/>
                <w:sz w:val="20"/>
                <w:szCs w:val="20"/>
                <w:lang w:eastAsia="sk-SK"/>
              </w:rPr>
              <w:t xml:space="preserve"> Komisia odporúča uviesť tento potencionálny vplyv aspoň do poznámok vzhľadom k tomu že tento vplyv sa môže dotknúť aj podnikateľských subjektov (podnikateľský subjekt môže byť na strane žalobcu).</w:t>
            </w:r>
          </w:p>
          <w:p w:rsidR="00E844AA" w:rsidRPr="004C0D94" w:rsidRDefault="00E844AA" w:rsidP="0045221E">
            <w:pPr>
              <w:jc w:val="both"/>
              <w:rPr>
                <w:rFonts w:ascii="Times New Roman" w:hAnsi="Times New Roman"/>
                <w:b/>
                <w:sz w:val="20"/>
                <w:szCs w:val="20"/>
                <w:lang w:eastAsia="sk-SK"/>
              </w:rPr>
            </w:pPr>
            <w:r w:rsidRPr="00070084">
              <w:rPr>
                <w:rFonts w:ascii="Times New Roman" w:hAnsi="Times New Roman"/>
                <w:b/>
                <w:sz w:val="20"/>
                <w:szCs w:val="20"/>
                <w:lang w:eastAsia="sk-SK"/>
              </w:rPr>
              <w:t>Vyhodnotenie predkladateľa</w:t>
            </w:r>
            <w:r>
              <w:rPr>
                <w:rFonts w:ascii="Times New Roman" w:hAnsi="Times New Roman"/>
                <w:b/>
                <w:sz w:val="20"/>
                <w:szCs w:val="20"/>
                <w:lang w:eastAsia="sk-SK"/>
              </w:rPr>
              <w:t xml:space="preserve">: </w:t>
            </w:r>
            <w:r w:rsidRPr="004C0D94">
              <w:rPr>
                <w:rFonts w:ascii="Times New Roman" w:hAnsi="Times New Roman"/>
                <w:b/>
                <w:sz w:val="20"/>
                <w:szCs w:val="20"/>
                <w:lang w:eastAsia="sk-SK"/>
              </w:rPr>
              <w:t>Predkladateľ považuje vplyv na podnikateľské prostredie za marginálny. Vplyv na malé a stredné podniky bol v materiáli zaslanom na predbežné pripomienkové konanie označený omylom. Označenie vplyvu na malé a stredné podniky bolo vypustené.  Potenciálny vplyv na podnikateľské prostredie je v zmysle pripomienok doplnený v poznámkach v bode 10.</w:t>
            </w:r>
          </w:p>
          <w:p w:rsidR="00E844AA" w:rsidRDefault="00E844AA" w:rsidP="0045221E">
            <w:pPr>
              <w:jc w:val="both"/>
              <w:rPr>
                <w:rFonts w:ascii="Times New Roman" w:hAnsi="Times New Roman"/>
                <w:b/>
                <w:sz w:val="20"/>
                <w:szCs w:val="20"/>
                <w:lang w:eastAsia="sk-SK"/>
              </w:rPr>
            </w:pPr>
          </w:p>
          <w:p w:rsidR="00E844AA" w:rsidRPr="00070084" w:rsidRDefault="00E844AA" w:rsidP="0045221E">
            <w:pPr>
              <w:rPr>
                <w:rFonts w:ascii="Times New Roman" w:hAnsi="Times New Roman"/>
                <w:b/>
                <w:bCs/>
                <w:sz w:val="20"/>
                <w:szCs w:val="20"/>
                <w:lang w:eastAsia="sk-SK"/>
              </w:rPr>
            </w:pPr>
            <w:r w:rsidRPr="00070084">
              <w:rPr>
                <w:rFonts w:ascii="Times New Roman" w:hAnsi="Times New Roman"/>
                <w:b/>
                <w:bCs/>
                <w:sz w:val="20"/>
                <w:szCs w:val="20"/>
                <w:lang w:eastAsia="sk-SK"/>
              </w:rPr>
              <w:t>K vplyvom na rozpočet verejnej správy</w:t>
            </w:r>
          </w:p>
          <w:p w:rsidR="00E844AA" w:rsidRPr="00070084" w:rsidRDefault="00E844AA" w:rsidP="0045221E">
            <w:pPr>
              <w:rPr>
                <w:rFonts w:ascii="Times New Roman" w:hAnsi="Times New Roman"/>
                <w:bCs/>
                <w:sz w:val="20"/>
                <w:szCs w:val="20"/>
                <w:lang w:eastAsia="sk-SK"/>
              </w:rPr>
            </w:pPr>
            <w:r w:rsidRPr="00070084">
              <w:rPr>
                <w:rFonts w:ascii="Times New Roman" w:hAnsi="Times New Roman"/>
                <w:sz w:val="20"/>
                <w:szCs w:val="20"/>
                <w:lang w:eastAsia="sk-SK"/>
              </w:rPr>
              <w:t xml:space="preserve">Keďže z materiálu vyplývajú vplyvy na rozpočet verejnej správy v súvislosti s povinnosťou zaplatiť žalobcovi primerané zadosťučinenie v prípade žaloby voči nečinnosti orgánu verejnej správy, Komisia do doložky vybraných vplyvov na rozpočet verejnej správy, bodu 10. Poznámky doplniť, že všetky vplyvy vyplývajúce z návrhu zákona budú zabezpečené v rámci schválených limitov výdavkov dotknutého subjektu verejnej správy na príslušné rozpočtové roky bez dodatočných požiadaviek na rozpočet verejnej správy. </w:t>
            </w:r>
          </w:p>
          <w:p w:rsidR="00E844AA" w:rsidRDefault="00E844AA" w:rsidP="0045221E">
            <w:pPr>
              <w:rPr>
                <w:rFonts w:ascii="Times New Roman" w:hAnsi="Times New Roman"/>
                <w:b/>
                <w:sz w:val="20"/>
                <w:szCs w:val="20"/>
                <w:lang w:eastAsia="sk-SK"/>
              </w:rPr>
            </w:pPr>
            <w:r w:rsidRPr="00070084">
              <w:rPr>
                <w:rFonts w:ascii="Times New Roman" w:hAnsi="Times New Roman"/>
                <w:b/>
                <w:sz w:val="20"/>
                <w:szCs w:val="20"/>
                <w:lang w:eastAsia="sk-SK"/>
              </w:rPr>
              <w:t>Vyhodnotenie predkladateľa:</w:t>
            </w:r>
            <w:r>
              <w:rPr>
                <w:rFonts w:ascii="Times New Roman" w:hAnsi="Times New Roman"/>
                <w:b/>
                <w:sz w:val="20"/>
                <w:szCs w:val="20"/>
                <w:lang w:eastAsia="sk-SK"/>
              </w:rPr>
              <w:t xml:space="preserve"> Poznámka v bode 10 bola v zmysle pripomienky doplnená.</w:t>
            </w:r>
          </w:p>
          <w:p w:rsidR="00E844AA" w:rsidRDefault="00E844AA" w:rsidP="0045221E">
            <w:pPr>
              <w:rPr>
                <w:rFonts w:ascii="Times New Roman" w:hAnsi="Times New Roman"/>
                <w:b/>
                <w:sz w:val="20"/>
                <w:szCs w:val="20"/>
                <w:lang w:eastAsia="sk-SK"/>
              </w:rPr>
            </w:pPr>
          </w:p>
          <w:p w:rsidR="00E844AA" w:rsidRPr="00070084" w:rsidRDefault="00E844AA" w:rsidP="0045221E">
            <w:pPr>
              <w:rPr>
                <w:rFonts w:ascii="Times New Roman" w:hAnsi="Times New Roman"/>
                <w:b/>
                <w:sz w:val="20"/>
                <w:szCs w:val="20"/>
                <w:lang w:eastAsia="sk-SK"/>
              </w:rPr>
            </w:pPr>
            <w:r w:rsidRPr="00070084">
              <w:rPr>
                <w:rFonts w:ascii="Times New Roman" w:hAnsi="Times New Roman"/>
                <w:b/>
                <w:sz w:val="20"/>
                <w:szCs w:val="20"/>
                <w:lang w:eastAsia="sk-SK"/>
              </w:rPr>
              <w:t>K sociálnym vplyvom</w:t>
            </w:r>
          </w:p>
          <w:p w:rsidR="00E844AA" w:rsidRPr="00070084" w:rsidRDefault="00E844AA" w:rsidP="0045221E">
            <w:pPr>
              <w:rPr>
                <w:rFonts w:ascii="Times New Roman" w:hAnsi="Times New Roman"/>
                <w:sz w:val="20"/>
                <w:szCs w:val="20"/>
                <w:lang w:eastAsia="sk-SK"/>
              </w:rPr>
            </w:pPr>
            <w:r w:rsidRPr="00070084">
              <w:rPr>
                <w:rFonts w:ascii="Times New Roman" w:hAnsi="Times New Roman"/>
                <w:sz w:val="20"/>
                <w:szCs w:val="20"/>
                <w:lang w:eastAsia="sk-SK"/>
              </w:rPr>
              <w:t>Text uvedený v bode 4.1.1 Pozitívny vplyv analýzy sociálnych vplyvov Komisia považuje za potrebné uviesť v bode 10. Poznámky doložky vybraných vplyvov ako poznámku k sociálnym vplyvom, keďže sa predloženým návrhom nezakladajú vplyvy na hospodárenie domácností.</w:t>
            </w:r>
          </w:p>
          <w:p w:rsidR="00E844AA" w:rsidRPr="00070084" w:rsidRDefault="00E844AA" w:rsidP="0045221E">
            <w:pPr>
              <w:rPr>
                <w:rFonts w:ascii="Times New Roman" w:hAnsi="Times New Roman"/>
                <w:sz w:val="20"/>
                <w:szCs w:val="20"/>
                <w:lang w:eastAsia="sk-SK"/>
              </w:rPr>
            </w:pPr>
            <w:r w:rsidRPr="00070084">
              <w:rPr>
                <w:rFonts w:ascii="Times New Roman" w:hAnsi="Times New Roman"/>
                <w:sz w:val="20"/>
                <w:szCs w:val="20"/>
                <w:lang w:eastAsia="sk-SK"/>
              </w:rPr>
              <w:t xml:space="preserve"> </w:t>
            </w:r>
          </w:p>
          <w:p w:rsidR="00E844AA" w:rsidRDefault="00E844AA" w:rsidP="0045221E">
            <w:pPr>
              <w:rPr>
                <w:rFonts w:ascii="Times New Roman" w:hAnsi="Times New Roman"/>
                <w:sz w:val="20"/>
                <w:szCs w:val="20"/>
                <w:lang w:eastAsia="sk-SK"/>
              </w:rPr>
            </w:pPr>
            <w:r w:rsidRPr="00070084">
              <w:rPr>
                <w:rFonts w:ascii="Times New Roman" w:hAnsi="Times New Roman"/>
                <w:sz w:val="20"/>
                <w:szCs w:val="20"/>
                <w:lang w:eastAsia="sk-SK"/>
              </w:rPr>
              <w:t>Text uvedený v celom bode 4.1 analýzy sociálnych vplyvov Komisia odporúča vypustiť a zároveň Komisia odporúča v riadku b) bodu 4.1.1, v riadku h) bodu 4.1.1.1,  v riadku b) bodu 4.1.2 a v riadku h) bodu 4.1.2.1 uviesť text „Bez vplyvu.“, keďže v týchto oblastiach predložený návrh nezakladá sociálne vplyvy.</w:t>
            </w:r>
          </w:p>
          <w:p w:rsidR="00E844AA" w:rsidRPr="00070084" w:rsidRDefault="00E844AA" w:rsidP="0045221E">
            <w:pPr>
              <w:rPr>
                <w:rFonts w:ascii="Times New Roman" w:hAnsi="Times New Roman"/>
                <w:sz w:val="20"/>
                <w:szCs w:val="20"/>
                <w:lang w:eastAsia="sk-SK"/>
              </w:rPr>
            </w:pPr>
            <w:r w:rsidRPr="00070084">
              <w:rPr>
                <w:rFonts w:ascii="Times New Roman" w:hAnsi="Times New Roman"/>
                <w:b/>
                <w:sz w:val="20"/>
                <w:szCs w:val="20"/>
                <w:lang w:eastAsia="sk-SK"/>
              </w:rPr>
              <w:t>Vyhodnotenie predkladateľa:</w:t>
            </w:r>
            <w:r>
              <w:rPr>
                <w:rFonts w:ascii="Times New Roman" w:hAnsi="Times New Roman"/>
                <w:b/>
                <w:sz w:val="20"/>
                <w:szCs w:val="20"/>
                <w:lang w:eastAsia="sk-SK"/>
              </w:rPr>
              <w:t xml:space="preserve"> Poznámka v bode 10 bola doplnená a text v analýze v zmysle pripomienky upravený.</w:t>
            </w:r>
          </w:p>
          <w:p w:rsidR="00E844AA" w:rsidRPr="00B043B4" w:rsidRDefault="00E844AA" w:rsidP="0045221E">
            <w:pPr>
              <w:rPr>
                <w:rFonts w:ascii="Times New Roman" w:hAnsi="Times New Roman"/>
                <w:b/>
                <w:sz w:val="20"/>
                <w:szCs w:val="20"/>
                <w:lang w:eastAsia="sk-SK"/>
              </w:rPr>
            </w:pPr>
          </w:p>
        </w:tc>
      </w:tr>
      <w:tr w:rsidR="00E844AA" w:rsidRPr="00B043B4" w:rsidTr="0045221E">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E844AA" w:rsidRPr="00B043B4" w:rsidRDefault="00E844AA" w:rsidP="00E844AA">
            <w:pPr>
              <w:numPr>
                <w:ilvl w:val="0"/>
                <w:numId w:val="16"/>
              </w:numPr>
              <w:contextualSpacing/>
              <w:jc w:val="both"/>
              <w:rPr>
                <w:rFonts w:ascii="Times New Roman" w:hAnsi="Times New Roman"/>
                <w:b/>
              </w:rPr>
            </w:pPr>
            <w:r w:rsidRPr="00B043B4">
              <w:rPr>
                <w:rFonts w:ascii="Times New Roman" w:hAnsi="Times New Roman"/>
                <w:b/>
              </w:rPr>
              <w:lastRenderedPageBreak/>
              <w:t>Stanovisko Komisie na posudzovanie vybraných vplyvov zo záverečného posúdenia č. ..........</w:t>
            </w:r>
            <w:r w:rsidRPr="00B043B4">
              <w:rPr>
                <w:rFonts w:ascii="Times New Roman" w:hAnsi="Times New Roman"/>
              </w:rPr>
              <w:t xml:space="preserve"> (v prípade, ak sa uskutočnilo v zmysle bodu 9.1. Jednotnej metodiky) </w:t>
            </w:r>
          </w:p>
        </w:tc>
      </w:tr>
      <w:tr w:rsidR="00E844AA" w:rsidRPr="00B043B4" w:rsidTr="0045221E">
        <w:tblPrEx>
          <w:tblBorders>
            <w:insideH w:val="single" w:sz="4" w:space="0" w:color="FFFFFF"/>
            <w:insideV w:val="single" w:sz="4" w:space="0" w:color="FFFFFF"/>
          </w:tblBorders>
        </w:tblPrEx>
        <w:tc>
          <w:tcPr>
            <w:tcW w:w="9176" w:type="dxa"/>
            <w:tcBorders>
              <w:bottom w:val="single" w:sz="4" w:space="0" w:color="auto"/>
            </w:tcBorders>
            <w:shd w:val="clear" w:color="auto" w:fill="FFFFFF"/>
          </w:tcPr>
          <w:p w:rsidR="00E844AA" w:rsidRPr="00B043B4" w:rsidRDefault="00E844AA" w:rsidP="0045221E">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844AA" w:rsidRPr="00B043B4" w:rsidTr="0045221E">
              <w:trPr>
                <w:trHeight w:val="396"/>
              </w:trPr>
              <w:tc>
                <w:tcPr>
                  <w:tcW w:w="2552" w:type="dxa"/>
                  <w:tcBorders>
                    <w:top w:val="nil"/>
                    <w:left w:val="nil"/>
                    <w:bottom w:val="nil"/>
                    <w:right w:val="nil"/>
                  </w:tcBorders>
                </w:tcPr>
                <w:p w:rsidR="00E844AA" w:rsidRPr="00B043B4" w:rsidRDefault="00E844AA" w:rsidP="0045221E">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 xml:space="preserve">Súhlasné </w:t>
                  </w:r>
                </w:p>
              </w:tc>
              <w:tc>
                <w:tcPr>
                  <w:tcW w:w="3827" w:type="dxa"/>
                  <w:tcBorders>
                    <w:top w:val="nil"/>
                    <w:left w:val="nil"/>
                    <w:bottom w:val="nil"/>
                    <w:right w:val="nil"/>
                  </w:tcBorders>
                </w:tcPr>
                <w:p w:rsidR="00E844AA" w:rsidRPr="00B043B4" w:rsidRDefault="00E844AA" w:rsidP="0045221E">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Súhlasné s  návrhom na dopracovanie</w:t>
                  </w:r>
                </w:p>
              </w:tc>
              <w:tc>
                <w:tcPr>
                  <w:tcW w:w="2534" w:type="dxa"/>
                  <w:tcBorders>
                    <w:top w:val="nil"/>
                    <w:left w:val="nil"/>
                    <w:bottom w:val="nil"/>
                    <w:right w:val="nil"/>
                  </w:tcBorders>
                </w:tcPr>
                <w:p w:rsidR="00E844AA" w:rsidRPr="00B043B4" w:rsidRDefault="00E844AA" w:rsidP="0045221E">
                  <w:pPr>
                    <w:ind w:right="459"/>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Nesúhlasné</w:t>
                  </w:r>
                </w:p>
              </w:tc>
            </w:tr>
          </w:tbl>
          <w:p w:rsidR="00E844AA" w:rsidRPr="00B043B4" w:rsidRDefault="00E844AA" w:rsidP="0045221E">
            <w:pPr>
              <w:jc w:val="both"/>
              <w:rPr>
                <w:rFonts w:ascii="Times New Roman" w:hAnsi="Times New Roman"/>
                <w:b/>
                <w:sz w:val="20"/>
                <w:szCs w:val="20"/>
                <w:lang w:eastAsia="sk-SK"/>
              </w:rPr>
            </w:pPr>
            <w:r w:rsidRPr="00B043B4">
              <w:rPr>
                <w:rFonts w:ascii="Times New Roman" w:hAnsi="Times New Roman"/>
                <w:b/>
                <w:sz w:val="20"/>
                <w:szCs w:val="20"/>
                <w:lang w:eastAsia="sk-SK"/>
              </w:rPr>
              <w:t>Uveďte pripomienky zo stanoviska Komisie z časti II. spolu s Vaším vyhodnotením:</w:t>
            </w:r>
          </w:p>
          <w:p w:rsidR="00E844AA" w:rsidRPr="00B043B4" w:rsidRDefault="00E844AA" w:rsidP="0045221E">
            <w:pPr>
              <w:rPr>
                <w:rFonts w:ascii="Times New Roman" w:hAnsi="Times New Roman"/>
                <w:b/>
                <w:sz w:val="20"/>
                <w:szCs w:val="20"/>
                <w:lang w:eastAsia="sk-SK"/>
              </w:rPr>
            </w:pPr>
          </w:p>
          <w:p w:rsidR="00E844AA" w:rsidRPr="00B043B4" w:rsidRDefault="00E844AA" w:rsidP="0045221E">
            <w:pPr>
              <w:rPr>
                <w:rFonts w:ascii="Times New Roman" w:hAnsi="Times New Roman"/>
                <w:b/>
                <w:sz w:val="20"/>
                <w:szCs w:val="20"/>
                <w:lang w:eastAsia="sk-SK"/>
              </w:rPr>
            </w:pPr>
          </w:p>
        </w:tc>
      </w:tr>
    </w:tbl>
    <w:p w:rsidR="00E844AA" w:rsidRDefault="00E844AA" w:rsidP="00E844AA"/>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E844AA" w:rsidRPr="00E3544D" w:rsidTr="0045221E">
        <w:trPr>
          <w:trHeight w:val="534"/>
          <w:jc w:val="center"/>
        </w:trPr>
        <w:tc>
          <w:tcPr>
            <w:tcW w:w="5000" w:type="pct"/>
            <w:gridSpan w:val="3"/>
            <w:shd w:val="clear" w:color="auto" w:fill="808080" w:themeFill="background1" w:themeFillShade="80"/>
          </w:tcPr>
          <w:p w:rsidR="00E844AA" w:rsidRPr="002644DE" w:rsidRDefault="00E844AA" w:rsidP="0045221E">
            <w:pPr>
              <w:spacing w:after="0" w:line="240" w:lineRule="auto"/>
              <w:ind w:left="-284" w:firstLine="284"/>
              <w:jc w:val="center"/>
              <w:rPr>
                <w:rFonts w:ascii="Times New Roman" w:hAnsi="Times New Roman"/>
                <w:b/>
                <w:lang w:eastAsia="sk-SK"/>
              </w:rPr>
            </w:pPr>
            <w:r w:rsidRPr="002644DE">
              <w:rPr>
                <w:rFonts w:ascii="Times New Roman" w:hAnsi="Times New Roman"/>
                <w:b/>
                <w:sz w:val="28"/>
                <w:lang w:eastAsia="sk-SK"/>
              </w:rPr>
              <w:lastRenderedPageBreak/>
              <w:t>Analýza sociálnych vplyvov</w:t>
            </w:r>
          </w:p>
          <w:p w:rsidR="00E844AA" w:rsidRPr="002644DE" w:rsidRDefault="00E844AA" w:rsidP="0045221E">
            <w:pPr>
              <w:spacing w:after="0" w:line="240" w:lineRule="auto"/>
              <w:jc w:val="center"/>
              <w:rPr>
                <w:rFonts w:ascii="Times New Roman" w:hAnsi="Times New Roman"/>
                <w:b/>
                <w:sz w:val="24"/>
                <w:lang w:eastAsia="sk-SK"/>
              </w:rPr>
            </w:pPr>
            <w:r w:rsidRPr="002644DE">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rsidR="00E844AA" w:rsidRPr="002644DE" w:rsidRDefault="00E844AA" w:rsidP="0045221E">
            <w:pPr>
              <w:spacing w:after="0" w:line="240" w:lineRule="auto"/>
              <w:jc w:val="both"/>
              <w:rPr>
                <w:rFonts w:ascii="Times New Roman" w:hAnsi="Times New Roman"/>
                <w:b/>
                <w:lang w:eastAsia="sk-SK"/>
              </w:rPr>
            </w:pPr>
            <w:r w:rsidRPr="002644DE">
              <w:rPr>
                <w:rFonts w:ascii="Times New Roman" w:hAnsi="Times New Roman"/>
                <w:b/>
                <w:sz w:val="18"/>
                <w:lang w:eastAsia="sk-SK"/>
              </w:rPr>
              <w:t>(</w:t>
            </w:r>
            <w:r w:rsidRPr="002644DE">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E844AA" w:rsidRPr="00E3544D" w:rsidTr="0045221E">
        <w:trPr>
          <w:jc w:val="center"/>
        </w:trPr>
        <w:tc>
          <w:tcPr>
            <w:tcW w:w="5000" w:type="pct"/>
            <w:gridSpan w:val="3"/>
            <w:shd w:val="clear" w:color="auto" w:fill="A6A6A6" w:themeFill="background1" w:themeFillShade="A6"/>
          </w:tcPr>
          <w:p w:rsidR="00E844AA" w:rsidRPr="00E3544D" w:rsidRDefault="00E844AA" w:rsidP="0045221E">
            <w:pPr>
              <w:spacing w:after="0" w:line="240" w:lineRule="auto"/>
              <w:rPr>
                <w:rFonts w:ascii="Times New Roman" w:hAnsi="Times New Roman"/>
                <w:b/>
                <w:sz w:val="24"/>
                <w:lang w:eastAsia="sk-SK"/>
              </w:rPr>
            </w:pPr>
            <w:r w:rsidRPr="00E3544D">
              <w:rPr>
                <w:rFonts w:ascii="Times New Roman" w:hAnsi="Times New Roman"/>
                <w:b/>
                <w:lang w:eastAsia="sk-SK"/>
              </w:rPr>
              <w:t xml:space="preserve">4.1 </w:t>
            </w:r>
            <w:r w:rsidRPr="00E3544D">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E844AA" w:rsidRPr="00E3544D" w:rsidTr="0045221E">
        <w:trPr>
          <w:jc w:val="center"/>
        </w:trPr>
        <w:tc>
          <w:tcPr>
            <w:tcW w:w="5000" w:type="pct"/>
            <w:gridSpan w:val="3"/>
            <w:shd w:val="clear" w:color="auto" w:fill="F2F2F2"/>
          </w:tcPr>
          <w:p w:rsidR="00E844AA" w:rsidRPr="00E3544D" w:rsidRDefault="00E844AA" w:rsidP="0045221E">
            <w:pPr>
              <w:spacing w:after="0" w:line="240" w:lineRule="auto"/>
              <w:rPr>
                <w:rFonts w:ascii="Times New Roman" w:hAnsi="Times New Roman"/>
                <w:i/>
                <w:sz w:val="20"/>
                <w:lang w:eastAsia="sk-SK"/>
              </w:rPr>
            </w:pPr>
            <w:r w:rsidRPr="00E3544D">
              <w:rPr>
                <w:rFonts w:ascii="Times New Roman" w:hAnsi="Times New Roman"/>
                <w:i/>
                <w:sz w:val="20"/>
                <w:lang w:eastAsia="sk-SK"/>
              </w:rPr>
              <w:t xml:space="preserve">Vedie návrh k zvýšeniu alebo zníženiu príjmov alebo výdavkov domácností? </w:t>
            </w:r>
          </w:p>
          <w:p w:rsidR="00E844AA" w:rsidRPr="00E3544D" w:rsidRDefault="00E844AA" w:rsidP="0045221E">
            <w:pPr>
              <w:spacing w:after="0" w:line="240" w:lineRule="auto"/>
              <w:rPr>
                <w:rFonts w:ascii="Times New Roman" w:hAnsi="Times New Roman"/>
                <w:i/>
                <w:sz w:val="20"/>
                <w:lang w:eastAsia="sk-SK"/>
              </w:rPr>
            </w:pPr>
            <w:r w:rsidRPr="00E3544D">
              <w:rPr>
                <w:rFonts w:ascii="Times New Roman" w:hAnsi="Times New Roman"/>
                <w:i/>
                <w:sz w:val="20"/>
                <w:lang w:eastAsia="sk-SK"/>
              </w:rPr>
              <w:t xml:space="preserve">Ktoré skupiny domácností/obyvateľstva sú takto ovplyvnené a akým spôsobom? </w:t>
            </w:r>
          </w:p>
          <w:p w:rsidR="00E844AA" w:rsidRPr="00E3544D" w:rsidRDefault="00E844AA" w:rsidP="0045221E">
            <w:pPr>
              <w:spacing w:after="0" w:line="240" w:lineRule="auto"/>
              <w:rPr>
                <w:rFonts w:ascii="Times New Roman" w:hAnsi="Times New Roman"/>
                <w:i/>
                <w:sz w:val="20"/>
                <w:lang w:eastAsia="sk-SK"/>
              </w:rPr>
            </w:pPr>
            <w:r w:rsidRPr="00E3544D">
              <w:rPr>
                <w:rFonts w:ascii="Times New Roman" w:hAnsi="Times New Roman"/>
                <w:i/>
                <w:sz w:val="20"/>
                <w:lang w:eastAsia="sk-SK"/>
              </w:rPr>
              <w:t>Sú medzi potenciálne ovplyvnenými skupinami skupiny v riziku chudoby alebo sociálneho vylúčenia?</w:t>
            </w:r>
          </w:p>
          <w:p w:rsidR="00E844AA" w:rsidRPr="00E3544D" w:rsidRDefault="00E844AA" w:rsidP="0045221E">
            <w:pPr>
              <w:spacing w:after="0" w:line="240" w:lineRule="auto"/>
              <w:rPr>
                <w:rFonts w:ascii="Times New Roman" w:hAnsi="Times New Roman"/>
                <w:b/>
                <w:sz w:val="18"/>
                <w:lang w:eastAsia="sk-SK"/>
              </w:rPr>
            </w:pPr>
            <w:r w:rsidRPr="00E3544D">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E844AA" w:rsidRPr="00E3544D" w:rsidTr="0045221E">
        <w:trPr>
          <w:trHeight w:val="170"/>
          <w:jc w:val="center"/>
        </w:trPr>
        <w:tc>
          <w:tcPr>
            <w:tcW w:w="129" w:type="pct"/>
            <w:shd w:val="clear" w:color="auto" w:fill="DDDDDD"/>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a)</w:t>
            </w:r>
          </w:p>
        </w:tc>
        <w:tc>
          <w:tcPr>
            <w:tcW w:w="4871" w:type="pct"/>
            <w:gridSpan w:val="2"/>
            <w:shd w:val="clear" w:color="auto" w:fill="DDDDDD"/>
            <w:vAlign w:val="center"/>
          </w:tcPr>
          <w:p w:rsidR="00E844AA" w:rsidRPr="00E3544D" w:rsidRDefault="00E844AA" w:rsidP="0045221E">
            <w:pPr>
              <w:spacing w:after="0" w:line="240" w:lineRule="auto"/>
              <w:jc w:val="center"/>
              <w:rPr>
                <w:rFonts w:ascii="Times New Roman" w:hAnsi="Times New Roman"/>
                <w:b/>
                <w:sz w:val="20"/>
                <w:szCs w:val="20"/>
                <w:lang w:eastAsia="sk-SK"/>
              </w:rPr>
            </w:pPr>
            <w:r w:rsidRPr="00E3544D">
              <w:rPr>
                <w:rFonts w:ascii="Times New Roman" w:hAnsi="Times New Roman"/>
                <w:b/>
                <w:i/>
                <w:sz w:val="20"/>
                <w:szCs w:val="20"/>
                <w:lang w:eastAsia="sk-SK"/>
              </w:rPr>
              <w:t>4.1.1 Pozitívny vplyv</w:t>
            </w:r>
          </w:p>
        </w:tc>
      </w:tr>
      <w:tr w:rsidR="00E844AA" w:rsidRPr="00E3544D" w:rsidTr="0045221E">
        <w:trPr>
          <w:trHeight w:val="759"/>
          <w:jc w:val="center"/>
        </w:trPr>
        <w:tc>
          <w:tcPr>
            <w:tcW w:w="129" w:type="pct"/>
            <w:vAlign w:val="center"/>
          </w:tcPr>
          <w:p w:rsidR="00E844AA" w:rsidRPr="00E3544D" w:rsidRDefault="00E844AA" w:rsidP="0045221E">
            <w:pPr>
              <w:spacing w:after="0" w:line="240" w:lineRule="auto"/>
              <w:contextualSpacing/>
              <w:jc w:val="center"/>
              <w:rPr>
                <w:rFonts w:ascii="Times New Roman" w:hAnsi="Times New Roman"/>
                <w:i/>
                <w:sz w:val="18"/>
                <w:szCs w:val="18"/>
                <w:lang w:eastAsia="sk-SK"/>
              </w:rPr>
            </w:pPr>
            <w:r w:rsidRPr="00E3544D">
              <w:rPr>
                <w:rFonts w:ascii="Times New Roman" w:hAnsi="Times New Roman"/>
                <w:i/>
                <w:sz w:val="18"/>
                <w:szCs w:val="18"/>
                <w:lang w:eastAsia="sk-SK"/>
              </w:rPr>
              <w:t>b)</w:t>
            </w:r>
          </w:p>
        </w:tc>
        <w:tc>
          <w:tcPr>
            <w:tcW w:w="1642" w:type="pct"/>
            <w:vAlign w:val="center"/>
          </w:tcPr>
          <w:p w:rsidR="00E844AA" w:rsidRPr="00E3544D" w:rsidRDefault="00E844AA" w:rsidP="0045221E">
            <w:pPr>
              <w:spacing w:after="0" w:line="240" w:lineRule="auto"/>
              <w:jc w:val="both"/>
              <w:rPr>
                <w:rFonts w:ascii="Times New Roman" w:hAnsi="Times New Roman"/>
                <w:i/>
                <w:sz w:val="20"/>
                <w:szCs w:val="20"/>
                <w:lang w:eastAsia="sk-SK"/>
              </w:rPr>
            </w:pPr>
            <w:r w:rsidRPr="00E3544D">
              <w:rPr>
                <w:rFonts w:ascii="Times New Roman" w:hAnsi="Times New Roman"/>
                <w:b/>
                <w:i/>
                <w:sz w:val="20"/>
                <w:szCs w:val="20"/>
                <w:lang w:eastAsia="sk-SK"/>
              </w:rPr>
              <w:t xml:space="preserve">Popíšte </w:t>
            </w:r>
            <w:r w:rsidRPr="00E3544D">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Pr>
          <w:p w:rsidR="00E844AA" w:rsidRPr="00E3544D" w:rsidRDefault="00E844AA" w:rsidP="0045221E">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Bez vplyvu.</w:t>
            </w:r>
          </w:p>
        </w:tc>
      </w:tr>
      <w:tr w:rsidR="00E844AA" w:rsidRPr="00E3544D" w:rsidTr="0045221E">
        <w:trPr>
          <w:trHeight w:val="397"/>
          <w:jc w:val="center"/>
        </w:trPr>
        <w:tc>
          <w:tcPr>
            <w:tcW w:w="129"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c)</w:t>
            </w:r>
          </w:p>
        </w:tc>
        <w:tc>
          <w:tcPr>
            <w:tcW w:w="1642" w:type="pct"/>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 xml:space="preserve">Špecifikujte </w:t>
            </w:r>
            <w:r w:rsidRPr="00E3544D">
              <w:rPr>
                <w:rFonts w:ascii="Times New Roman" w:hAnsi="Times New Roman"/>
                <w:i/>
                <w:sz w:val="20"/>
                <w:szCs w:val="20"/>
                <w:lang w:eastAsia="sk-SK"/>
              </w:rPr>
              <w:t>ovplyvnené skupiny:</w:t>
            </w:r>
          </w:p>
        </w:tc>
        <w:tc>
          <w:tcPr>
            <w:tcW w:w="3229" w:type="pct"/>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jc w:val="both"/>
              <w:rPr>
                <w:rFonts w:ascii="Times New Roman" w:hAnsi="Times New Roman"/>
                <w:sz w:val="20"/>
                <w:szCs w:val="20"/>
                <w:lang w:eastAsia="sk-SK"/>
              </w:rPr>
            </w:pPr>
            <w:r w:rsidRPr="006737EB">
              <w:rPr>
                <w:rFonts w:ascii="Times New Roman" w:hAnsi="Times New Roman"/>
                <w:sz w:val="20"/>
                <w:szCs w:val="20"/>
                <w:lang w:eastAsia="sk-SK"/>
              </w:rPr>
              <w:t>Návrh zákona nepredpokladá vplyv v tejto oblasti.</w:t>
            </w:r>
          </w:p>
        </w:tc>
      </w:tr>
      <w:tr w:rsidR="00E844AA" w:rsidRPr="00E3544D" w:rsidTr="0045221E">
        <w:trPr>
          <w:trHeight w:val="454"/>
          <w:jc w:val="center"/>
        </w:trPr>
        <w:tc>
          <w:tcPr>
            <w:tcW w:w="129" w:type="pct"/>
            <w:tcBorders>
              <w:top w:val="dotted" w:sz="4" w:space="0" w:color="auto"/>
            </w:tcBorders>
            <w:shd w:val="clear" w:color="auto" w:fill="F2F2F2"/>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d)</w:t>
            </w:r>
          </w:p>
        </w:tc>
        <w:tc>
          <w:tcPr>
            <w:tcW w:w="4871" w:type="pct"/>
            <w:gridSpan w:val="2"/>
            <w:tcBorders>
              <w:top w:val="dotted" w:sz="4" w:space="0" w:color="auto"/>
            </w:tcBorders>
            <w:shd w:val="clear" w:color="auto" w:fill="F2F2F2"/>
            <w:vAlign w:val="center"/>
          </w:tcPr>
          <w:p w:rsidR="00E844AA" w:rsidRPr="00E3544D" w:rsidRDefault="00E844AA" w:rsidP="0045221E">
            <w:pPr>
              <w:spacing w:after="0" w:line="240" w:lineRule="auto"/>
              <w:rPr>
                <w:rFonts w:ascii="Times New Roman" w:hAnsi="Times New Roman"/>
                <w:sz w:val="20"/>
                <w:szCs w:val="20"/>
                <w:lang w:eastAsia="sk-SK"/>
              </w:rPr>
            </w:pPr>
            <w:r w:rsidRPr="00E3544D">
              <w:rPr>
                <w:rFonts w:ascii="Times New Roman" w:hAnsi="Times New Roman"/>
                <w:b/>
                <w:i/>
                <w:sz w:val="20"/>
                <w:szCs w:val="20"/>
                <w:lang w:eastAsia="sk-SK"/>
              </w:rPr>
              <w:t>Kvantifikujte</w:t>
            </w:r>
            <w:r w:rsidRPr="00E3544D">
              <w:rPr>
                <w:rFonts w:ascii="Times New Roman" w:hAnsi="Times New Roman"/>
                <w:i/>
                <w:sz w:val="20"/>
                <w:szCs w:val="20"/>
                <w:lang w:eastAsia="sk-SK"/>
              </w:rPr>
              <w:t xml:space="preserve"> rast príjmov alebo pokles výdavkov </w:t>
            </w:r>
            <w:r w:rsidRPr="00E3544D">
              <w:rPr>
                <w:rFonts w:ascii="Times New Roman" w:hAnsi="Times New Roman"/>
                <w:b/>
                <w:i/>
                <w:sz w:val="20"/>
                <w:szCs w:val="20"/>
                <w:lang w:eastAsia="sk-SK"/>
              </w:rPr>
              <w:t>za jednotlivé</w:t>
            </w:r>
            <w:r w:rsidRPr="00E3544D">
              <w:rPr>
                <w:rFonts w:ascii="Times New Roman" w:hAnsi="Times New Roman"/>
                <w:i/>
                <w:sz w:val="20"/>
                <w:szCs w:val="20"/>
                <w:lang w:eastAsia="sk-SK"/>
              </w:rPr>
              <w:t xml:space="preserve"> </w:t>
            </w:r>
            <w:r w:rsidRPr="00E3544D">
              <w:rPr>
                <w:rFonts w:ascii="Times New Roman" w:hAnsi="Times New Roman"/>
                <w:b/>
                <w:i/>
                <w:sz w:val="20"/>
                <w:szCs w:val="20"/>
                <w:lang w:eastAsia="sk-SK"/>
              </w:rPr>
              <w:t>ovplyvnené</w:t>
            </w:r>
            <w:r w:rsidRPr="00E3544D">
              <w:rPr>
                <w:rFonts w:ascii="Times New Roman" w:hAnsi="Times New Roman"/>
                <w:i/>
                <w:sz w:val="20"/>
                <w:szCs w:val="20"/>
                <w:lang w:eastAsia="sk-SK"/>
              </w:rPr>
              <w:t xml:space="preserve"> </w:t>
            </w:r>
            <w:r w:rsidRPr="00E3544D">
              <w:rPr>
                <w:rFonts w:ascii="Times New Roman" w:hAnsi="Times New Roman"/>
                <w:b/>
                <w:i/>
                <w:sz w:val="20"/>
                <w:szCs w:val="20"/>
                <w:lang w:eastAsia="sk-SK"/>
              </w:rPr>
              <w:t>skupiny</w:t>
            </w:r>
            <w:r w:rsidRPr="00E3544D">
              <w:rPr>
                <w:rFonts w:ascii="Times New Roman" w:hAnsi="Times New Roman"/>
                <w:i/>
                <w:sz w:val="20"/>
                <w:szCs w:val="20"/>
                <w:lang w:eastAsia="sk-SK"/>
              </w:rPr>
              <w:t xml:space="preserve"> domácností / skupiny jednotlivcov a počet obyvateľstva/domácností ovplyvnených predkladaným návrhom.</w:t>
            </w:r>
          </w:p>
        </w:tc>
      </w:tr>
      <w:tr w:rsidR="00E844AA" w:rsidRPr="00E3544D" w:rsidTr="0045221E">
        <w:trPr>
          <w:trHeight w:val="680"/>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e)</w:t>
            </w:r>
          </w:p>
        </w:tc>
        <w:tc>
          <w:tcPr>
            <w:tcW w:w="1642" w:type="pct"/>
            <w:tcBorders>
              <w:top w:val="dotted" w:sz="4" w:space="0" w:color="auto"/>
            </w:tcBorders>
          </w:tcPr>
          <w:p w:rsidR="00E844AA" w:rsidRPr="00E3544D" w:rsidRDefault="00E844AA" w:rsidP="00E844AA">
            <w:pPr>
              <w:numPr>
                <w:ilvl w:val="0"/>
                <w:numId w:val="20"/>
              </w:numPr>
              <w:spacing w:after="0" w:line="240" w:lineRule="auto"/>
              <w:contextualSpacing/>
              <w:jc w:val="both"/>
              <w:rPr>
                <w:rFonts w:ascii="Times New Roman" w:hAnsi="Times New Roman"/>
                <w:i/>
                <w:sz w:val="18"/>
                <w:szCs w:val="20"/>
                <w:lang w:eastAsia="sk-SK"/>
              </w:rPr>
            </w:pPr>
            <w:r w:rsidRPr="00E3544D">
              <w:rPr>
                <w:rFonts w:ascii="Times New Roman" w:hAnsi="Times New Roman"/>
                <w:i/>
                <w:sz w:val="18"/>
                <w:szCs w:val="20"/>
                <w:lang w:eastAsia="sk-SK"/>
              </w:rPr>
              <w:t>priemerný rast príjmov/ pokles výdavkov v skupine v eurách a/alebo v % / obdobie:</w:t>
            </w:r>
          </w:p>
          <w:p w:rsidR="00E844AA" w:rsidRPr="00E3544D" w:rsidRDefault="00E844AA" w:rsidP="00E844AA">
            <w:pPr>
              <w:numPr>
                <w:ilvl w:val="0"/>
                <w:numId w:val="20"/>
              </w:numPr>
              <w:spacing w:after="0" w:line="240" w:lineRule="auto"/>
              <w:contextualSpacing/>
              <w:jc w:val="both"/>
              <w:rPr>
                <w:rFonts w:ascii="Times New Roman" w:hAnsi="Times New Roman"/>
                <w:i/>
                <w:sz w:val="20"/>
                <w:szCs w:val="20"/>
                <w:lang w:eastAsia="sk-SK"/>
              </w:rPr>
            </w:pPr>
            <w:r w:rsidRPr="00E3544D">
              <w:rPr>
                <w:rFonts w:ascii="Times New Roman" w:hAnsi="Times New Roman"/>
                <w:i/>
                <w:sz w:val="18"/>
                <w:szCs w:val="20"/>
                <w:lang w:eastAsia="sk-SK"/>
              </w:rPr>
              <w:t>veľkosť skupiny (počet obyvateľov):</w:t>
            </w:r>
          </w:p>
        </w:tc>
        <w:tc>
          <w:tcPr>
            <w:tcW w:w="3229" w:type="pct"/>
            <w:tcBorders>
              <w:top w:val="dotted" w:sz="4" w:space="0" w:color="auto"/>
            </w:tcBorders>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rPr>
                <w:rFonts w:ascii="Times New Roman" w:hAnsi="Times New Roman"/>
                <w:sz w:val="20"/>
                <w:szCs w:val="20"/>
                <w:lang w:eastAsia="sk-SK"/>
              </w:rPr>
            </w:pPr>
          </w:p>
          <w:p w:rsidR="00E844AA" w:rsidRPr="00E3544D" w:rsidRDefault="00E844AA" w:rsidP="0045221E">
            <w:pPr>
              <w:spacing w:after="0" w:line="240" w:lineRule="auto"/>
              <w:rPr>
                <w:rFonts w:ascii="Times New Roman" w:hAnsi="Times New Roman"/>
                <w:sz w:val="20"/>
                <w:szCs w:val="20"/>
                <w:lang w:eastAsia="sk-SK"/>
              </w:rPr>
            </w:pPr>
            <w:r w:rsidRPr="006737EB">
              <w:rPr>
                <w:rFonts w:ascii="Times New Roman" w:hAnsi="Times New Roman"/>
                <w:sz w:val="20"/>
                <w:szCs w:val="20"/>
                <w:lang w:eastAsia="sk-SK"/>
              </w:rPr>
              <w:t>Návrh zákona nepredpokladá vplyv v tejto oblasti.</w:t>
            </w:r>
          </w:p>
        </w:tc>
      </w:tr>
      <w:tr w:rsidR="00E844AA" w:rsidRPr="00E3544D" w:rsidTr="0045221E">
        <w:trPr>
          <w:trHeight w:val="397"/>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f)</w:t>
            </w:r>
          </w:p>
        </w:tc>
        <w:tc>
          <w:tcPr>
            <w:tcW w:w="1642" w:type="pct"/>
            <w:tcBorders>
              <w:top w:val="dotted" w:sz="4" w:space="0" w:color="auto"/>
            </w:tcBorders>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i/>
                <w:sz w:val="20"/>
                <w:szCs w:val="20"/>
                <w:lang w:eastAsia="sk-SK"/>
              </w:rPr>
              <w:t>Dôvod chýbajúcej kvantifikácie:</w:t>
            </w:r>
          </w:p>
        </w:tc>
        <w:tc>
          <w:tcPr>
            <w:tcW w:w="3229" w:type="pct"/>
            <w:tcBorders>
              <w:top w:val="dotted" w:sz="4" w:space="0" w:color="auto"/>
            </w:tcBorders>
          </w:tcPr>
          <w:p w:rsidR="00E844AA" w:rsidRPr="00E3544D" w:rsidRDefault="00E844AA" w:rsidP="0045221E">
            <w:pPr>
              <w:spacing w:after="0" w:line="240" w:lineRule="auto"/>
              <w:jc w:val="both"/>
              <w:rPr>
                <w:rFonts w:ascii="Times New Roman" w:hAnsi="Times New Roman"/>
                <w:sz w:val="20"/>
                <w:szCs w:val="20"/>
                <w:lang w:eastAsia="sk-SK"/>
              </w:rPr>
            </w:pPr>
          </w:p>
        </w:tc>
      </w:tr>
      <w:tr w:rsidR="00E844AA" w:rsidRPr="00E3544D" w:rsidTr="0045221E">
        <w:trPr>
          <w:trHeight w:val="170"/>
          <w:jc w:val="center"/>
        </w:trPr>
        <w:tc>
          <w:tcPr>
            <w:tcW w:w="129" w:type="pct"/>
            <w:tcBorders>
              <w:top w:val="nil"/>
            </w:tcBorders>
            <w:shd w:val="clear" w:color="auto" w:fill="F2F2F2"/>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g)</w:t>
            </w:r>
          </w:p>
        </w:tc>
        <w:tc>
          <w:tcPr>
            <w:tcW w:w="4871" w:type="pct"/>
            <w:gridSpan w:val="2"/>
            <w:tcBorders>
              <w:top w:val="nil"/>
            </w:tcBorders>
            <w:shd w:val="clear" w:color="auto" w:fill="F2F2F2"/>
            <w:vAlign w:val="center"/>
          </w:tcPr>
          <w:p w:rsidR="00E844AA" w:rsidRPr="00E3544D" w:rsidRDefault="00E844AA" w:rsidP="0045221E">
            <w:pPr>
              <w:spacing w:after="0" w:line="240" w:lineRule="auto"/>
              <w:rPr>
                <w:rFonts w:ascii="Times New Roman" w:hAnsi="Times New Roman"/>
                <w:b/>
                <w:i/>
                <w:sz w:val="20"/>
                <w:szCs w:val="20"/>
                <w:lang w:eastAsia="sk-SK"/>
              </w:rPr>
            </w:pPr>
            <w:r w:rsidRPr="00E3544D">
              <w:rPr>
                <w:rFonts w:ascii="Times New Roman" w:hAnsi="Times New Roman"/>
                <w:b/>
                <w:i/>
                <w:sz w:val="20"/>
                <w:szCs w:val="20"/>
                <w:lang w:eastAsia="sk-SK"/>
              </w:rPr>
              <w:t>4.1.1.1</w:t>
            </w:r>
            <w:r w:rsidRPr="00E3544D">
              <w:rPr>
                <w:rFonts w:ascii="Times New Roman" w:hAnsi="Times New Roman"/>
                <w:i/>
                <w:sz w:val="20"/>
                <w:szCs w:val="20"/>
                <w:lang w:eastAsia="sk-SK"/>
              </w:rPr>
              <w:t xml:space="preserve"> </w:t>
            </w:r>
            <w:r w:rsidRPr="00E3544D">
              <w:rPr>
                <w:rFonts w:ascii="Times New Roman" w:hAnsi="Times New Roman"/>
                <w:b/>
                <w:i/>
                <w:sz w:val="20"/>
                <w:szCs w:val="20"/>
                <w:lang w:eastAsia="sk-SK"/>
              </w:rPr>
              <w:t>Z toho pozitívny vplyv na skupiny v riziku chudoby alebo sociálneho vylúčenia</w:t>
            </w:r>
          </w:p>
          <w:p w:rsidR="00E844AA" w:rsidRPr="00E3544D" w:rsidRDefault="00E844AA" w:rsidP="0045221E">
            <w:pPr>
              <w:spacing w:after="0" w:line="240" w:lineRule="auto"/>
              <w:rPr>
                <w:rFonts w:ascii="Times New Roman" w:hAnsi="Times New Roman"/>
                <w:b/>
                <w:sz w:val="20"/>
                <w:szCs w:val="20"/>
                <w:lang w:eastAsia="sk-SK"/>
              </w:rPr>
            </w:pPr>
            <w:r w:rsidRPr="00E3544D">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844AA" w:rsidRPr="00E3544D" w:rsidTr="0045221E">
        <w:trPr>
          <w:trHeight w:val="759"/>
          <w:jc w:val="center"/>
        </w:trPr>
        <w:tc>
          <w:tcPr>
            <w:tcW w:w="129"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h)</w:t>
            </w:r>
          </w:p>
        </w:tc>
        <w:tc>
          <w:tcPr>
            <w:tcW w:w="1642" w:type="pct"/>
          </w:tcPr>
          <w:p w:rsidR="00E844AA" w:rsidRPr="00E3544D" w:rsidRDefault="00E844AA" w:rsidP="0045221E">
            <w:pPr>
              <w:spacing w:after="0" w:line="240" w:lineRule="auto"/>
              <w:jc w:val="both"/>
              <w:rPr>
                <w:rFonts w:ascii="Times New Roman" w:hAnsi="Times New Roman"/>
                <w:i/>
                <w:sz w:val="20"/>
                <w:szCs w:val="20"/>
                <w:lang w:eastAsia="sk-SK"/>
              </w:rPr>
            </w:pPr>
            <w:r w:rsidRPr="00E3544D">
              <w:rPr>
                <w:rFonts w:ascii="Times New Roman" w:hAnsi="Times New Roman"/>
                <w:b/>
                <w:i/>
                <w:sz w:val="20"/>
                <w:szCs w:val="20"/>
                <w:lang w:eastAsia="sk-SK"/>
              </w:rPr>
              <w:t xml:space="preserve">Popíšte </w:t>
            </w:r>
            <w:r w:rsidRPr="00E3544D">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Pr>
          <w:p w:rsidR="00E844AA" w:rsidRPr="00E3544D" w:rsidRDefault="00E844AA" w:rsidP="0045221E">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Bez vplyvu.</w:t>
            </w:r>
          </w:p>
        </w:tc>
      </w:tr>
      <w:tr w:rsidR="00E844AA" w:rsidRPr="00E3544D" w:rsidTr="0045221E">
        <w:trPr>
          <w:trHeight w:val="397"/>
          <w:jc w:val="center"/>
        </w:trPr>
        <w:tc>
          <w:tcPr>
            <w:tcW w:w="129"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i)</w:t>
            </w:r>
          </w:p>
        </w:tc>
        <w:tc>
          <w:tcPr>
            <w:tcW w:w="1642" w:type="pct"/>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 xml:space="preserve">Špecifikujte </w:t>
            </w:r>
            <w:r w:rsidRPr="00E3544D">
              <w:rPr>
                <w:rFonts w:ascii="Times New Roman" w:hAnsi="Times New Roman"/>
                <w:i/>
                <w:sz w:val="20"/>
                <w:szCs w:val="20"/>
                <w:lang w:eastAsia="sk-SK"/>
              </w:rPr>
              <w:t>ovplyvnené skupiny:</w:t>
            </w:r>
          </w:p>
        </w:tc>
        <w:tc>
          <w:tcPr>
            <w:tcW w:w="3229" w:type="pct"/>
          </w:tcPr>
          <w:p w:rsidR="00E844AA" w:rsidRPr="00E3544D" w:rsidRDefault="00E844AA" w:rsidP="0045221E">
            <w:pPr>
              <w:spacing w:after="0" w:line="240" w:lineRule="auto"/>
              <w:rPr>
                <w:rFonts w:ascii="Times New Roman" w:hAnsi="Times New Roman"/>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jc w:val="both"/>
              <w:rPr>
                <w:rFonts w:ascii="Times New Roman" w:hAnsi="Times New Roman"/>
                <w:i/>
                <w:sz w:val="18"/>
                <w:szCs w:val="20"/>
                <w:lang w:eastAsia="sk-SK"/>
              </w:rPr>
            </w:pPr>
            <w:r>
              <w:rPr>
                <w:rFonts w:ascii="Times New Roman" w:hAnsi="Times New Roman"/>
                <w:sz w:val="20"/>
                <w:szCs w:val="20"/>
                <w:lang w:eastAsia="sk-SK"/>
              </w:rPr>
              <w:t xml:space="preserve"> </w:t>
            </w:r>
          </w:p>
        </w:tc>
      </w:tr>
      <w:tr w:rsidR="00E844AA" w:rsidRPr="00E3544D" w:rsidTr="0045221E">
        <w:trPr>
          <w:trHeight w:val="397"/>
          <w:jc w:val="center"/>
        </w:trPr>
        <w:tc>
          <w:tcPr>
            <w:tcW w:w="129" w:type="pct"/>
            <w:tcBorders>
              <w:top w:val="dotted" w:sz="4" w:space="0" w:color="auto"/>
            </w:tcBorders>
            <w:shd w:val="clear" w:color="auto" w:fill="F2F2F2"/>
            <w:vAlign w:val="center"/>
          </w:tcPr>
          <w:p w:rsidR="00E844AA" w:rsidRPr="00E3544D" w:rsidRDefault="00E844AA" w:rsidP="0045221E">
            <w:pPr>
              <w:spacing w:after="0" w:line="240" w:lineRule="auto"/>
              <w:jc w:val="center"/>
              <w:rPr>
                <w:rFonts w:ascii="Times New Roman" w:hAnsi="Times New Roman"/>
                <w:sz w:val="18"/>
                <w:szCs w:val="18"/>
                <w:lang w:eastAsia="sk-SK"/>
              </w:rPr>
            </w:pPr>
            <w:r w:rsidRPr="00E3544D">
              <w:rPr>
                <w:rFonts w:ascii="Times New Roman" w:hAnsi="Times New Roman"/>
                <w:i/>
                <w:sz w:val="18"/>
                <w:szCs w:val="18"/>
                <w:lang w:eastAsia="sk-SK"/>
              </w:rPr>
              <w:t>j</w:t>
            </w:r>
            <w:r w:rsidRPr="00E3544D">
              <w:rPr>
                <w:rFonts w:ascii="Times New Roman" w:hAnsi="Times New Roman"/>
                <w:sz w:val="18"/>
                <w:szCs w:val="18"/>
                <w:lang w:eastAsia="sk-SK"/>
              </w:rPr>
              <w:t>)</w:t>
            </w:r>
          </w:p>
        </w:tc>
        <w:tc>
          <w:tcPr>
            <w:tcW w:w="4871" w:type="pct"/>
            <w:gridSpan w:val="2"/>
            <w:tcBorders>
              <w:top w:val="dotted" w:sz="4" w:space="0" w:color="auto"/>
            </w:tcBorders>
            <w:shd w:val="clear" w:color="auto" w:fill="F2F2F2"/>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 xml:space="preserve">Kvantifikujte </w:t>
            </w:r>
            <w:r w:rsidRPr="00E3544D">
              <w:rPr>
                <w:rFonts w:ascii="Times New Roman" w:hAnsi="Times New Roman"/>
                <w:i/>
                <w:sz w:val="20"/>
                <w:szCs w:val="20"/>
                <w:lang w:eastAsia="sk-SK"/>
              </w:rPr>
              <w:t xml:space="preserve">rast príjmov alebo pokles výdavkov </w:t>
            </w:r>
            <w:r w:rsidRPr="00E3544D">
              <w:rPr>
                <w:rFonts w:ascii="Times New Roman" w:hAnsi="Times New Roman"/>
                <w:b/>
                <w:i/>
                <w:sz w:val="20"/>
                <w:szCs w:val="20"/>
                <w:lang w:eastAsia="sk-SK"/>
              </w:rPr>
              <w:t>za jednotlivé ovplyvnené skupiny</w:t>
            </w:r>
            <w:r w:rsidRPr="00E3544D">
              <w:rPr>
                <w:rFonts w:ascii="Times New Roman" w:hAnsi="Times New Roman"/>
                <w:i/>
                <w:sz w:val="20"/>
                <w:szCs w:val="20"/>
                <w:lang w:eastAsia="sk-SK"/>
              </w:rPr>
              <w:t xml:space="preserve"> domácností / skupiny jednotlivcov a počet obyvateľstva/domácností ovplyvnených predkladaným návrhom.</w:t>
            </w:r>
          </w:p>
        </w:tc>
      </w:tr>
      <w:tr w:rsidR="00E844AA" w:rsidRPr="00E3544D" w:rsidTr="0045221E">
        <w:trPr>
          <w:trHeight w:val="680"/>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k)</w:t>
            </w:r>
          </w:p>
        </w:tc>
        <w:tc>
          <w:tcPr>
            <w:tcW w:w="1642" w:type="pct"/>
            <w:tcBorders>
              <w:top w:val="dotted" w:sz="4" w:space="0" w:color="auto"/>
            </w:tcBorders>
          </w:tcPr>
          <w:p w:rsidR="00E844AA" w:rsidRPr="00E3544D" w:rsidRDefault="00E844AA" w:rsidP="00E844AA">
            <w:pPr>
              <w:numPr>
                <w:ilvl w:val="0"/>
                <w:numId w:val="20"/>
              </w:numPr>
              <w:spacing w:after="0" w:line="240" w:lineRule="auto"/>
              <w:contextualSpacing/>
              <w:rPr>
                <w:rFonts w:ascii="Times New Roman" w:hAnsi="Times New Roman"/>
                <w:i/>
                <w:sz w:val="18"/>
                <w:szCs w:val="20"/>
                <w:lang w:eastAsia="sk-SK"/>
              </w:rPr>
            </w:pPr>
            <w:r w:rsidRPr="00E3544D">
              <w:rPr>
                <w:rFonts w:ascii="Times New Roman" w:hAnsi="Times New Roman"/>
                <w:i/>
                <w:sz w:val="18"/>
                <w:szCs w:val="20"/>
                <w:lang w:eastAsia="sk-SK"/>
              </w:rPr>
              <w:t>priemerný rast príjmov/ pokles výdavkov v skupine v eurách a/alebo v % / obdobie:</w:t>
            </w:r>
          </w:p>
          <w:p w:rsidR="00E844AA" w:rsidRPr="00E3544D" w:rsidRDefault="00E844AA" w:rsidP="00E844AA">
            <w:pPr>
              <w:numPr>
                <w:ilvl w:val="0"/>
                <w:numId w:val="20"/>
              </w:numPr>
              <w:spacing w:after="0" w:line="240" w:lineRule="auto"/>
              <w:contextualSpacing/>
              <w:rPr>
                <w:rFonts w:ascii="Times New Roman" w:hAnsi="Times New Roman"/>
                <w:i/>
                <w:sz w:val="20"/>
                <w:szCs w:val="20"/>
                <w:lang w:eastAsia="sk-SK"/>
              </w:rPr>
            </w:pPr>
            <w:r w:rsidRPr="00E3544D">
              <w:rPr>
                <w:rFonts w:ascii="Times New Roman" w:hAnsi="Times New Roman"/>
                <w:i/>
                <w:sz w:val="18"/>
                <w:szCs w:val="20"/>
                <w:lang w:eastAsia="sk-SK"/>
              </w:rPr>
              <w:t>veľkosť skupiny (počet obyvateľov):</w:t>
            </w:r>
          </w:p>
        </w:tc>
        <w:tc>
          <w:tcPr>
            <w:tcW w:w="3229" w:type="pct"/>
            <w:tcBorders>
              <w:top w:val="dotted" w:sz="4" w:space="0" w:color="auto"/>
            </w:tcBorders>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rPr>
                <w:rFonts w:ascii="Times New Roman" w:hAnsi="Times New Roman"/>
                <w:i/>
                <w:sz w:val="18"/>
                <w:szCs w:val="20"/>
                <w:lang w:eastAsia="sk-SK"/>
              </w:rPr>
            </w:pPr>
          </w:p>
          <w:p w:rsidR="00E844AA" w:rsidRPr="00E3544D" w:rsidRDefault="00E844AA" w:rsidP="0045221E">
            <w:pPr>
              <w:spacing w:after="0" w:line="240" w:lineRule="auto"/>
              <w:rPr>
                <w:rFonts w:ascii="Times New Roman" w:hAnsi="Times New Roman"/>
                <w:sz w:val="20"/>
                <w:szCs w:val="20"/>
                <w:lang w:eastAsia="sk-SK"/>
              </w:rPr>
            </w:pPr>
            <w:r w:rsidRPr="006737EB">
              <w:rPr>
                <w:rFonts w:ascii="Times New Roman" w:hAnsi="Times New Roman"/>
                <w:sz w:val="20"/>
                <w:szCs w:val="20"/>
                <w:lang w:eastAsia="sk-SK"/>
              </w:rPr>
              <w:t>Návrh zákona nepredpokladá vplyv v tejto oblasti.</w:t>
            </w:r>
          </w:p>
        </w:tc>
      </w:tr>
      <w:tr w:rsidR="00E844AA" w:rsidRPr="00E3544D" w:rsidTr="0045221E">
        <w:trPr>
          <w:trHeight w:val="350"/>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l)</w:t>
            </w:r>
          </w:p>
        </w:tc>
        <w:tc>
          <w:tcPr>
            <w:tcW w:w="1642" w:type="pct"/>
            <w:tcBorders>
              <w:top w:val="dotted" w:sz="4" w:space="0" w:color="auto"/>
            </w:tcBorders>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i/>
                <w:sz w:val="20"/>
                <w:szCs w:val="20"/>
                <w:lang w:eastAsia="sk-SK"/>
              </w:rPr>
              <w:t>Dôvod chýbajúcej kvantifikácie:</w:t>
            </w:r>
          </w:p>
        </w:tc>
        <w:tc>
          <w:tcPr>
            <w:tcW w:w="3229" w:type="pct"/>
            <w:tcBorders>
              <w:top w:val="dotted" w:sz="4" w:space="0" w:color="auto"/>
            </w:tcBorders>
          </w:tcPr>
          <w:p w:rsidR="00E844AA" w:rsidRPr="00E3544D" w:rsidRDefault="00E844AA" w:rsidP="0045221E">
            <w:pPr>
              <w:spacing w:after="0" w:line="240" w:lineRule="auto"/>
              <w:jc w:val="both"/>
              <w:rPr>
                <w:rFonts w:ascii="Times New Roman" w:hAnsi="Times New Roman"/>
                <w:sz w:val="20"/>
                <w:szCs w:val="20"/>
                <w:lang w:eastAsia="sk-SK"/>
              </w:rPr>
            </w:pPr>
          </w:p>
        </w:tc>
      </w:tr>
      <w:tr w:rsidR="00E844AA" w:rsidRPr="00E3544D" w:rsidTr="0045221E">
        <w:trPr>
          <w:trHeight w:val="170"/>
          <w:jc w:val="center"/>
        </w:trPr>
        <w:tc>
          <w:tcPr>
            <w:tcW w:w="129" w:type="pct"/>
            <w:shd w:val="clear" w:color="auto" w:fill="DDDDDD"/>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a)</w:t>
            </w:r>
          </w:p>
        </w:tc>
        <w:tc>
          <w:tcPr>
            <w:tcW w:w="4871" w:type="pct"/>
            <w:gridSpan w:val="2"/>
            <w:shd w:val="clear" w:color="auto" w:fill="DDDDDD"/>
            <w:vAlign w:val="center"/>
          </w:tcPr>
          <w:p w:rsidR="00E844AA" w:rsidRPr="00E3544D" w:rsidRDefault="00E844AA" w:rsidP="0045221E">
            <w:pPr>
              <w:spacing w:after="0" w:line="240" w:lineRule="auto"/>
              <w:jc w:val="center"/>
              <w:rPr>
                <w:rFonts w:ascii="Times New Roman" w:hAnsi="Times New Roman"/>
                <w:b/>
                <w:color w:val="0070C0"/>
                <w:sz w:val="20"/>
                <w:szCs w:val="20"/>
                <w:lang w:eastAsia="sk-SK"/>
              </w:rPr>
            </w:pPr>
            <w:r w:rsidRPr="00E3544D">
              <w:rPr>
                <w:rFonts w:ascii="Times New Roman" w:hAnsi="Times New Roman"/>
                <w:b/>
                <w:i/>
                <w:sz w:val="20"/>
                <w:szCs w:val="20"/>
                <w:lang w:eastAsia="sk-SK"/>
              </w:rPr>
              <w:t>4.1.2 Negatívny vplyv</w:t>
            </w:r>
          </w:p>
        </w:tc>
      </w:tr>
      <w:tr w:rsidR="00E844AA" w:rsidRPr="00E3544D" w:rsidTr="0045221E">
        <w:trPr>
          <w:trHeight w:val="759"/>
          <w:jc w:val="center"/>
        </w:trPr>
        <w:tc>
          <w:tcPr>
            <w:tcW w:w="129" w:type="pct"/>
            <w:vAlign w:val="center"/>
          </w:tcPr>
          <w:p w:rsidR="00E844AA" w:rsidRPr="00E3544D" w:rsidRDefault="00E844AA" w:rsidP="0045221E">
            <w:pPr>
              <w:spacing w:after="0" w:line="240" w:lineRule="auto"/>
              <w:contextualSpacing/>
              <w:jc w:val="center"/>
              <w:rPr>
                <w:rFonts w:ascii="Times New Roman" w:hAnsi="Times New Roman"/>
                <w:i/>
                <w:sz w:val="18"/>
                <w:szCs w:val="18"/>
                <w:lang w:eastAsia="sk-SK"/>
              </w:rPr>
            </w:pPr>
            <w:r w:rsidRPr="00E3544D">
              <w:rPr>
                <w:rFonts w:ascii="Times New Roman" w:hAnsi="Times New Roman"/>
                <w:i/>
                <w:sz w:val="18"/>
                <w:szCs w:val="18"/>
                <w:lang w:eastAsia="sk-SK"/>
              </w:rPr>
              <w:t>b)</w:t>
            </w:r>
          </w:p>
          <w:p w:rsidR="00E844AA" w:rsidRPr="00E3544D" w:rsidRDefault="00E844AA" w:rsidP="0045221E">
            <w:pPr>
              <w:spacing w:after="0" w:line="240" w:lineRule="auto"/>
              <w:ind w:left="360"/>
              <w:contextualSpacing/>
              <w:jc w:val="center"/>
              <w:rPr>
                <w:rFonts w:ascii="Times New Roman" w:hAnsi="Times New Roman"/>
                <w:i/>
                <w:sz w:val="18"/>
                <w:szCs w:val="18"/>
                <w:lang w:eastAsia="sk-SK"/>
              </w:rPr>
            </w:pPr>
          </w:p>
        </w:tc>
        <w:tc>
          <w:tcPr>
            <w:tcW w:w="1642" w:type="pct"/>
            <w:vAlign w:val="center"/>
          </w:tcPr>
          <w:p w:rsidR="00E844AA" w:rsidRPr="00E3544D" w:rsidRDefault="00E844AA" w:rsidP="0045221E">
            <w:pPr>
              <w:spacing w:after="0" w:line="240" w:lineRule="auto"/>
              <w:jc w:val="both"/>
              <w:rPr>
                <w:rFonts w:ascii="Times New Roman" w:hAnsi="Times New Roman"/>
                <w:i/>
                <w:sz w:val="20"/>
                <w:szCs w:val="20"/>
                <w:lang w:eastAsia="sk-SK"/>
              </w:rPr>
            </w:pPr>
            <w:r w:rsidRPr="00E3544D">
              <w:rPr>
                <w:rFonts w:ascii="Times New Roman" w:hAnsi="Times New Roman"/>
                <w:b/>
                <w:i/>
                <w:sz w:val="20"/>
                <w:szCs w:val="20"/>
                <w:lang w:eastAsia="sk-SK"/>
              </w:rPr>
              <w:t xml:space="preserve">Popíšte </w:t>
            </w:r>
            <w:r w:rsidRPr="00E3544D">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Pr>
          <w:p w:rsidR="00E844AA" w:rsidRPr="00E3544D" w:rsidRDefault="00E844AA" w:rsidP="0045221E">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Bez vplyvu.</w:t>
            </w:r>
            <w:r w:rsidRPr="00E3544D">
              <w:rPr>
                <w:rFonts w:ascii="Times New Roman" w:hAnsi="Times New Roman"/>
                <w:sz w:val="20"/>
                <w:szCs w:val="20"/>
                <w:lang w:eastAsia="sk-SK"/>
              </w:rPr>
              <w:t xml:space="preserve"> </w:t>
            </w:r>
          </w:p>
        </w:tc>
      </w:tr>
      <w:tr w:rsidR="00E844AA" w:rsidRPr="00E3544D" w:rsidTr="0045221E">
        <w:trPr>
          <w:trHeight w:val="397"/>
          <w:jc w:val="center"/>
        </w:trPr>
        <w:tc>
          <w:tcPr>
            <w:tcW w:w="129"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c)</w:t>
            </w:r>
          </w:p>
        </w:tc>
        <w:tc>
          <w:tcPr>
            <w:tcW w:w="1642" w:type="pct"/>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Špecifikujte</w:t>
            </w:r>
            <w:r w:rsidRPr="00E3544D">
              <w:rPr>
                <w:rFonts w:ascii="Times New Roman" w:hAnsi="Times New Roman"/>
                <w:i/>
                <w:sz w:val="20"/>
                <w:szCs w:val="20"/>
                <w:lang w:eastAsia="sk-SK"/>
              </w:rPr>
              <w:t xml:space="preserve"> ovplyvnené skupiny:</w:t>
            </w:r>
          </w:p>
        </w:tc>
        <w:tc>
          <w:tcPr>
            <w:tcW w:w="3229" w:type="pct"/>
          </w:tcPr>
          <w:p w:rsidR="00E844AA" w:rsidRPr="00E3544D" w:rsidRDefault="00E844AA" w:rsidP="0045221E">
            <w:pPr>
              <w:spacing w:after="0" w:line="240" w:lineRule="auto"/>
            </w:pPr>
            <w:r w:rsidRPr="00E3544D">
              <w:rPr>
                <w:rFonts w:ascii="Times New Roman" w:hAnsi="Times New Roman"/>
                <w:i/>
                <w:sz w:val="18"/>
                <w:szCs w:val="20"/>
                <w:lang w:eastAsia="sk-SK"/>
              </w:rPr>
              <w:t>Ovplyvnená skupina č. 1</w:t>
            </w:r>
            <w:r w:rsidRPr="00E3544D">
              <w:t xml:space="preserve"> </w:t>
            </w:r>
          </w:p>
          <w:p w:rsidR="00E844AA" w:rsidRPr="00E3544D" w:rsidRDefault="00E844AA" w:rsidP="0045221E">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xml:space="preserve"> </w:t>
            </w:r>
            <w:r w:rsidRPr="00E3544D">
              <w:rPr>
                <w:rFonts w:ascii="Times New Roman" w:hAnsi="Times New Roman"/>
                <w:sz w:val="20"/>
                <w:szCs w:val="20"/>
                <w:lang w:eastAsia="sk-SK"/>
              </w:rPr>
              <w:t>Návrh zákona nepredpokladá vplyv v tejto oblasti.</w:t>
            </w:r>
          </w:p>
        </w:tc>
      </w:tr>
      <w:tr w:rsidR="00E844AA" w:rsidRPr="00E3544D" w:rsidTr="0045221E">
        <w:trPr>
          <w:trHeight w:val="397"/>
          <w:jc w:val="center"/>
        </w:trPr>
        <w:tc>
          <w:tcPr>
            <w:tcW w:w="129" w:type="pct"/>
            <w:shd w:val="clear" w:color="auto" w:fill="F2F2F2"/>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d)</w:t>
            </w:r>
          </w:p>
        </w:tc>
        <w:tc>
          <w:tcPr>
            <w:tcW w:w="4871" w:type="pct"/>
            <w:gridSpan w:val="2"/>
            <w:shd w:val="clear" w:color="auto" w:fill="F2F2F2"/>
            <w:vAlign w:val="center"/>
          </w:tcPr>
          <w:p w:rsidR="00E844AA" w:rsidRPr="00E3544D" w:rsidRDefault="00E844AA" w:rsidP="0045221E">
            <w:pPr>
              <w:spacing w:after="0" w:line="240" w:lineRule="auto"/>
              <w:rPr>
                <w:rFonts w:ascii="Times New Roman" w:hAnsi="Times New Roman"/>
                <w:sz w:val="20"/>
                <w:szCs w:val="20"/>
                <w:lang w:eastAsia="sk-SK"/>
              </w:rPr>
            </w:pPr>
            <w:r w:rsidRPr="00E3544D">
              <w:rPr>
                <w:rFonts w:ascii="Times New Roman" w:hAnsi="Times New Roman"/>
                <w:b/>
                <w:i/>
                <w:sz w:val="20"/>
                <w:szCs w:val="20"/>
                <w:lang w:eastAsia="sk-SK"/>
              </w:rPr>
              <w:t>Kvantifikujte</w:t>
            </w:r>
            <w:r w:rsidRPr="00E3544D">
              <w:rPr>
                <w:rFonts w:ascii="Times New Roman" w:hAnsi="Times New Roman"/>
                <w:i/>
                <w:sz w:val="20"/>
                <w:szCs w:val="20"/>
                <w:lang w:eastAsia="sk-SK"/>
              </w:rPr>
              <w:t xml:space="preserve"> pokles príjmov alebo rast výdavkov </w:t>
            </w:r>
            <w:r w:rsidRPr="00E3544D">
              <w:rPr>
                <w:rFonts w:ascii="Times New Roman" w:hAnsi="Times New Roman"/>
                <w:b/>
                <w:i/>
                <w:sz w:val="20"/>
                <w:szCs w:val="20"/>
                <w:lang w:eastAsia="sk-SK"/>
              </w:rPr>
              <w:t>za jednotlivé</w:t>
            </w:r>
            <w:r w:rsidRPr="00E3544D">
              <w:rPr>
                <w:rFonts w:ascii="Times New Roman" w:hAnsi="Times New Roman"/>
                <w:i/>
                <w:sz w:val="20"/>
                <w:szCs w:val="20"/>
                <w:lang w:eastAsia="sk-SK"/>
              </w:rPr>
              <w:t xml:space="preserve"> </w:t>
            </w:r>
            <w:r w:rsidRPr="00E3544D">
              <w:rPr>
                <w:rFonts w:ascii="Times New Roman" w:hAnsi="Times New Roman"/>
                <w:b/>
                <w:i/>
                <w:sz w:val="20"/>
                <w:szCs w:val="20"/>
                <w:lang w:eastAsia="sk-SK"/>
              </w:rPr>
              <w:t>ovplyvnené</w:t>
            </w:r>
            <w:r w:rsidRPr="00E3544D">
              <w:rPr>
                <w:rFonts w:ascii="Times New Roman" w:hAnsi="Times New Roman"/>
                <w:i/>
                <w:sz w:val="20"/>
                <w:szCs w:val="20"/>
                <w:lang w:eastAsia="sk-SK"/>
              </w:rPr>
              <w:t xml:space="preserve"> </w:t>
            </w:r>
            <w:r w:rsidRPr="00E3544D">
              <w:rPr>
                <w:rFonts w:ascii="Times New Roman" w:hAnsi="Times New Roman"/>
                <w:b/>
                <w:i/>
                <w:sz w:val="20"/>
                <w:szCs w:val="20"/>
                <w:lang w:eastAsia="sk-SK"/>
              </w:rPr>
              <w:t>skupiny</w:t>
            </w:r>
            <w:r w:rsidRPr="00E3544D">
              <w:rPr>
                <w:rFonts w:ascii="Times New Roman" w:hAnsi="Times New Roman"/>
                <w:i/>
                <w:sz w:val="20"/>
                <w:szCs w:val="20"/>
                <w:lang w:eastAsia="sk-SK"/>
              </w:rPr>
              <w:t xml:space="preserve"> domácností / skupiny jednotlivcov a počet obyvateľstva/domácností ovplyvnených predkladaným návrhom.</w:t>
            </w:r>
          </w:p>
        </w:tc>
      </w:tr>
      <w:tr w:rsidR="00E844AA" w:rsidRPr="00E3544D" w:rsidTr="0045221E">
        <w:trPr>
          <w:trHeight w:val="680"/>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e)</w:t>
            </w:r>
          </w:p>
        </w:tc>
        <w:tc>
          <w:tcPr>
            <w:tcW w:w="1642" w:type="pct"/>
            <w:tcBorders>
              <w:top w:val="dotted" w:sz="4" w:space="0" w:color="auto"/>
            </w:tcBorders>
          </w:tcPr>
          <w:p w:rsidR="00E844AA" w:rsidRPr="00E3544D" w:rsidRDefault="00E844AA" w:rsidP="00E844AA">
            <w:pPr>
              <w:numPr>
                <w:ilvl w:val="0"/>
                <w:numId w:val="20"/>
              </w:numPr>
              <w:spacing w:after="0" w:line="240" w:lineRule="auto"/>
              <w:contextualSpacing/>
              <w:jc w:val="both"/>
              <w:rPr>
                <w:rFonts w:ascii="Times New Roman" w:hAnsi="Times New Roman"/>
                <w:i/>
                <w:sz w:val="18"/>
                <w:szCs w:val="20"/>
                <w:lang w:eastAsia="sk-SK"/>
              </w:rPr>
            </w:pPr>
            <w:r w:rsidRPr="00E3544D">
              <w:rPr>
                <w:rFonts w:ascii="Times New Roman" w:hAnsi="Times New Roman"/>
                <w:i/>
                <w:sz w:val="18"/>
                <w:szCs w:val="20"/>
                <w:lang w:eastAsia="sk-SK"/>
              </w:rPr>
              <w:t>priemerný pokles príjmov/ rast výdavkov v skupine v eurách a/alebo v % / obdobie:</w:t>
            </w:r>
          </w:p>
          <w:p w:rsidR="00E844AA" w:rsidRPr="00E3544D" w:rsidRDefault="00E844AA" w:rsidP="00E844AA">
            <w:pPr>
              <w:numPr>
                <w:ilvl w:val="0"/>
                <w:numId w:val="20"/>
              </w:numPr>
              <w:spacing w:after="0" w:line="240" w:lineRule="auto"/>
              <w:contextualSpacing/>
              <w:jc w:val="both"/>
              <w:rPr>
                <w:rFonts w:ascii="Times New Roman" w:hAnsi="Times New Roman"/>
                <w:i/>
                <w:sz w:val="18"/>
                <w:szCs w:val="20"/>
                <w:lang w:eastAsia="sk-SK"/>
              </w:rPr>
            </w:pPr>
            <w:r w:rsidRPr="00E3544D">
              <w:rPr>
                <w:rFonts w:ascii="Times New Roman" w:hAnsi="Times New Roman"/>
                <w:i/>
                <w:sz w:val="18"/>
                <w:szCs w:val="20"/>
                <w:lang w:eastAsia="sk-SK"/>
              </w:rPr>
              <w:t>veľkosť skupiny (počet obyvateľov):</w:t>
            </w:r>
          </w:p>
        </w:tc>
        <w:tc>
          <w:tcPr>
            <w:tcW w:w="3229" w:type="pct"/>
            <w:tcBorders>
              <w:top w:val="dotted" w:sz="4" w:space="0" w:color="auto"/>
            </w:tcBorders>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sz w:val="20"/>
                <w:szCs w:val="20"/>
                <w:lang w:eastAsia="sk-SK"/>
              </w:rPr>
              <w:t>Návrh zákona nepredpokladá vplyv v tejto oblasti.</w:t>
            </w:r>
          </w:p>
          <w:p w:rsidR="00E844AA" w:rsidRPr="00E3544D" w:rsidRDefault="00E844AA" w:rsidP="0045221E">
            <w:pPr>
              <w:spacing w:after="0" w:line="240" w:lineRule="auto"/>
              <w:rPr>
                <w:rFonts w:ascii="Times New Roman" w:hAnsi="Times New Roman"/>
                <w:sz w:val="20"/>
                <w:szCs w:val="20"/>
                <w:lang w:eastAsia="sk-SK"/>
              </w:rPr>
            </w:pPr>
          </w:p>
        </w:tc>
      </w:tr>
      <w:tr w:rsidR="00E844AA" w:rsidRPr="00E3544D" w:rsidTr="0045221E">
        <w:trPr>
          <w:trHeight w:val="397"/>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f)</w:t>
            </w:r>
          </w:p>
        </w:tc>
        <w:tc>
          <w:tcPr>
            <w:tcW w:w="1642" w:type="pct"/>
            <w:tcBorders>
              <w:top w:val="dotted" w:sz="4" w:space="0" w:color="auto"/>
            </w:tcBorders>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i/>
                <w:sz w:val="20"/>
                <w:szCs w:val="20"/>
                <w:lang w:eastAsia="sk-SK"/>
              </w:rPr>
              <w:t>Dôvod chýbajúcej kvantifikácie:</w:t>
            </w:r>
          </w:p>
        </w:tc>
        <w:tc>
          <w:tcPr>
            <w:tcW w:w="3229" w:type="pct"/>
            <w:tcBorders>
              <w:top w:val="dotted" w:sz="4" w:space="0" w:color="auto"/>
            </w:tcBorders>
          </w:tcPr>
          <w:p w:rsidR="00E844AA" w:rsidRPr="00E3544D" w:rsidRDefault="00E844AA" w:rsidP="0045221E">
            <w:pPr>
              <w:spacing w:after="0" w:line="240" w:lineRule="auto"/>
              <w:jc w:val="both"/>
              <w:rPr>
                <w:rFonts w:ascii="Times New Roman" w:hAnsi="Times New Roman"/>
                <w:sz w:val="20"/>
                <w:szCs w:val="20"/>
                <w:lang w:eastAsia="sk-SK"/>
              </w:rPr>
            </w:pPr>
            <w:r w:rsidRPr="00727CBE">
              <w:rPr>
                <w:rFonts w:ascii="Times New Roman" w:hAnsi="Times New Roman"/>
                <w:sz w:val="20"/>
                <w:szCs w:val="20"/>
                <w:lang w:eastAsia="sk-SK"/>
              </w:rPr>
              <w:t>Návrh zákona nepredpokladá vplyv v tejto oblasti.</w:t>
            </w:r>
          </w:p>
        </w:tc>
      </w:tr>
      <w:tr w:rsidR="00E844AA" w:rsidRPr="00E3544D" w:rsidTr="0045221E">
        <w:trPr>
          <w:trHeight w:val="227"/>
          <w:jc w:val="center"/>
        </w:trPr>
        <w:tc>
          <w:tcPr>
            <w:tcW w:w="129" w:type="pct"/>
            <w:tcBorders>
              <w:top w:val="nil"/>
            </w:tcBorders>
            <w:shd w:val="clear" w:color="auto" w:fill="F2F2F2"/>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g)</w:t>
            </w:r>
          </w:p>
        </w:tc>
        <w:tc>
          <w:tcPr>
            <w:tcW w:w="4871" w:type="pct"/>
            <w:gridSpan w:val="2"/>
            <w:tcBorders>
              <w:top w:val="nil"/>
            </w:tcBorders>
            <w:shd w:val="clear" w:color="auto" w:fill="F2F2F2"/>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4.1.2.1</w:t>
            </w:r>
            <w:r w:rsidRPr="00E3544D">
              <w:rPr>
                <w:rFonts w:ascii="Times New Roman" w:hAnsi="Times New Roman"/>
                <w:i/>
                <w:sz w:val="20"/>
                <w:szCs w:val="20"/>
                <w:lang w:eastAsia="sk-SK"/>
              </w:rPr>
              <w:t xml:space="preserve"> </w:t>
            </w:r>
            <w:r w:rsidRPr="00E3544D">
              <w:rPr>
                <w:rFonts w:ascii="Times New Roman" w:hAnsi="Times New Roman"/>
                <w:b/>
                <w:i/>
                <w:sz w:val="20"/>
                <w:szCs w:val="20"/>
                <w:lang w:eastAsia="sk-SK"/>
              </w:rPr>
              <w:t>Z toho negatívny vplyv na skupiny v riziku chudoby alebo sociálneho vylúčenia</w:t>
            </w:r>
          </w:p>
          <w:p w:rsidR="00E844AA" w:rsidRPr="00E3544D" w:rsidRDefault="00E844AA" w:rsidP="0045221E">
            <w:pPr>
              <w:spacing w:after="0" w:line="240" w:lineRule="auto"/>
              <w:rPr>
                <w:rFonts w:ascii="Times New Roman" w:hAnsi="Times New Roman"/>
                <w:b/>
                <w:sz w:val="20"/>
                <w:szCs w:val="20"/>
                <w:lang w:eastAsia="sk-SK"/>
              </w:rPr>
            </w:pPr>
            <w:r w:rsidRPr="00E3544D">
              <w:rPr>
                <w:rFonts w:ascii="Times New Roman" w:hAnsi="Times New Roman"/>
                <w:i/>
                <w:sz w:val="20"/>
                <w:szCs w:val="20"/>
                <w:lang w:eastAsia="sk-SK"/>
              </w:rPr>
              <w:t>(</w:t>
            </w:r>
            <w:r w:rsidRPr="00E3544D">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E3544D">
              <w:rPr>
                <w:rFonts w:ascii="Times New Roman" w:hAnsi="Times New Roman"/>
                <w:i/>
                <w:sz w:val="20"/>
                <w:szCs w:val="20"/>
                <w:lang w:eastAsia="sk-SK"/>
              </w:rPr>
              <w:t>)</w:t>
            </w:r>
          </w:p>
        </w:tc>
      </w:tr>
      <w:tr w:rsidR="00E844AA" w:rsidRPr="00E3544D" w:rsidTr="0045221E">
        <w:trPr>
          <w:trHeight w:val="759"/>
          <w:jc w:val="center"/>
        </w:trPr>
        <w:tc>
          <w:tcPr>
            <w:tcW w:w="129"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lastRenderedPageBreak/>
              <w:t>h)</w:t>
            </w:r>
          </w:p>
        </w:tc>
        <w:tc>
          <w:tcPr>
            <w:tcW w:w="1642" w:type="pct"/>
          </w:tcPr>
          <w:p w:rsidR="00E844AA" w:rsidRPr="00E3544D" w:rsidRDefault="00E844AA" w:rsidP="0045221E">
            <w:pPr>
              <w:spacing w:after="0" w:line="240" w:lineRule="auto"/>
              <w:jc w:val="both"/>
              <w:rPr>
                <w:rFonts w:ascii="Times New Roman" w:hAnsi="Times New Roman"/>
                <w:i/>
                <w:sz w:val="20"/>
                <w:szCs w:val="20"/>
                <w:lang w:eastAsia="sk-SK"/>
              </w:rPr>
            </w:pPr>
            <w:r w:rsidRPr="00E3544D">
              <w:rPr>
                <w:rFonts w:ascii="Times New Roman" w:hAnsi="Times New Roman"/>
                <w:b/>
                <w:i/>
                <w:sz w:val="20"/>
                <w:szCs w:val="20"/>
                <w:lang w:eastAsia="sk-SK"/>
              </w:rPr>
              <w:t>Popíšte</w:t>
            </w:r>
            <w:r w:rsidRPr="00E3544D">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Pr>
          <w:p w:rsidR="00E844AA" w:rsidRPr="00E3544D" w:rsidRDefault="00E844AA" w:rsidP="0045221E">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Bez vplyvu.</w:t>
            </w:r>
          </w:p>
        </w:tc>
      </w:tr>
      <w:tr w:rsidR="00E844AA" w:rsidRPr="00E3544D" w:rsidTr="0045221E">
        <w:trPr>
          <w:trHeight w:val="397"/>
          <w:jc w:val="center"/>
        </w:trPr>
        <w:tc>
          <w:tcPr>
            <w:tcW w:w="129"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i)</w:t>
            </w:r>
          </w:p>
        </w:tc>
        <w:tc>
          <w:tcPr>
            <w:tcW w:w="1642" w:type="pct"/>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 xml:space="preserve">Špecifikujte </w:t>
            </w:r>
            <w:r w:rsidRPr="00E3544D">
              <w:rPr>
                <w:rFonts w:ascii="Times New Roman" w:hAnsi="Times New Roman"/>
                <w:i/>
                <w:sz w:val="20"/>
                <w:szCs w:val="20"/>
                <w:lang w:eastAsia="sk-SK"/>
              </w:rPr>
              <w:t>ovplyvnené skupiny:</w:t>
            </w:r>
          </w:p>
        </w:tc>
        <w:tc>
          <w:tcPr>
            <w:tcW w:w="3229" w:type="pct"/>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sz w:val="20"/>
                <w:szCs w:val="20"/>
                <w:lang w:eastAsia="sk-SK"/>
              </w:rPr>
              <w:t xml:space="preserve">Návrh zákona nepredpokladá vplyv v tejto oblasti. </w:t>
            </w:r>
          </w:p>
        </w:tc>
      </w:tr>
      <w:tr w:rsidR="00E844AA" w:rsidRPr="00E3544D" w:rsidTr="0045221E">
        <w:trPr>
          <w:trHeight w:val="454"/>
          <w:jc w:val="center"/>
        </w:trPr>
        <w:tc>
          <w:tcPr>
            <w:tcW w:w="129" w:type="pct"/>
            <w:tcBorders>
              <w:top w:val="dotted" w:sz="4" w:space="0" w:color="auto"/>
            </w:tcBorders>
            <w:shd w:val="clear" w:color="auto" w:fill="F2F2F2"/>
            <w:vAlign w:val="center"/>
          </w:tcPr>
          <w:p w:rsidR="00E844AA" w:rsidRPr="00E3544D" w:rsidRDefault="00E844AA" w:rsidP="0045221E">
            <w:pPr>
              <w:spacing w:after="0" w:line="240" w:lineRule="auto"/>
              <w:jc w:val="center"/>
              <w:rPr>
                <w:rFonts w:ascii="Times New Roman" w:hAnsi="Times New Roman"/>
                <w:sz w:val="18"/>
                <w:szCs w:val="18"/>
                <w:lang w:eastAsia="sk-SK"/>
              </w:rPr>
            </w:pPr>
            <w:r w:rsidRPr="00E3544D">
              <w:rPr>
                <w:rFonts w:ascii="Times New Roman" w:hAnsi="Times New Roman"/>
                <w:i/>
                <w:sz w:val="18"/>
                <w:szCs w:val="18"/>
                <w:lang w:eastAsia="sk-SK"/>
              </w:rPr>
              <w:t>j</w:t>
            </w:r>
            <w:r w:rsidRPr="00E3544D">
              <w:rPr>
                <w:rFonts w:ascii="Times New Roman" w:hAnsi="Times New Roman"/>
                <w:sz w:val="18"/>
                <w:szCs w:val="18"/>
                <w:lang w:eastAsia="sk-SK"/>
              </w:rPr>
              <w:t>)</w:t>
            </w:r>
          </w:p>
        </w:tc>
        <w:tc>
          <w:tcPr>
            <w:tcW w:w="4871" w:type="pct"/>
            <w:gridSpan w:val="2"/>
            <w:tcBorders>
              <w:top w:val="dotted" w:sz="4" w:space="0" w:color="auto"/>
            </w:tcBorders>
            <w:shd w:val="clear" w:color="auto" w:fill="F2F2F2"/>
            <w:vAlign w:val="center"/>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b/>
                <w:i/>
                <w:sz w:val="20"/>
                <w:szCs w:val="20"/>
                <w:lang w:eastAsia="sk-SK"/>
              </w:rPr>
              <w:t>Kvantifikujte</w:t>
            </w:r>
            <w:r w:rsidRPr="00E3544D">
              <w:rPr>
                <w:rFonts w:ascii="Times New Roman" w:hAnsi="Times New Roman"/>
                <w:i/>
                <w:sz w:val="20"/>
                <w:szCs w:val="20"/>
                <w:lang w:eastAsia="sk-SK"/>
              </w:rPr>
              <w:t xml:space="preserve"> pokles príjmov alebo rast výdavkov </w:t>
            </w:r>
            <w:r w:rsidRPr="00E3544D">
              <w:rPr>
                <w:rFonts w:ascii="Times New Roman" w:hAnsi="Times New Roman"/>
                <w:b/>
                <w:i/>
                <w:sz w:val="20"/>
                <w:szCs w:val="20"/>
                <w:lang w:eastAsia="sk-SK"/>
              </w:rPr>
              <w:t>za jednotlivé ovplyvnené skupiny</w:t>
            </w:r>
            <w:r w:rsidRPr="00E3544D">
              <w:rPr>
                <w:rFonts w:ascii="Times New Roman" w:hAnsi="Times New Roman"/>
                <w:i/>
                <w:sz w:val="20"/>
                <w:szCs w:val="20"/>
                <w:lang w:eastAsia="sk-SK"/>
              </w:rPr>
              <w:t xml:space="preserve"> domácností / skupiny jednotlivcov a počet obyvateľstva/domácností ovplyvnených predkladaným návrhom.</w:t>
            </w:r>
          </w:p>
        </w:tc>
      </w:tr>
      <w:tr w:rsidR="00E844AA" w:rsidRPr="00E3544D" w:rsidTr="0045221E">
        <w:trPr>
          <w:trHeight w:val="680"/>
          <w:jc w:val="center"/>
        </w:trPr>
        <w:tc>
          <w:tcPr>
            <w:tcW w:w="129" w:type="pct"/>
            <w:vMerge w:val="restar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k)</w:t>
            </w:r>
          </w:p>
        </w:tc>
        <w:tc>
          <w:tcPr>
            <w:tcW w:w="1642" w:type="pct"/>
            <w:tcBorders>
              <w:top w:val="dotted" w:sz="4" w:space="0" w:color="auto"/>
            </w:tcBorders>
          </w:tcPr>
          <w:p w:rsidR="00E844AA" w:rsidRPr="00E3544D" w:rsidRDefault="00E844AA" w:rsidP="00E844AA">
            <w:pPr>
              <w:numPr>
                <w:ilvl w:val="0"/>
                <w:numId w:val="20"/>
              </w:numPr>
              <w:spacing w:after="0" w:line="240" w:lineRule="auto"/>
              <w:contextualSpacing/>
              <w:rPr>
                <w:rFonts w:ascii="Times New Roman" w:hAnsi="Times New Roman"/>
                <w:i/>
                <w:sz w:val="18"/>
                <w:szCs w:val="20"/>
                <w:lang w:eastAsia="sk-SK"/>
              </w:rPr>
            </w:pPr>
            <w:r w:rsidRPr="00E3544D">
              <w:rPr>
                <w:rFonts w:ascii="Times New Roman" w:hAnsi="Times New Roman"/>
                <w:i/>
                <w:sz w:val="18"/>
                <w:szCs w:val="20"/>
                <w:lang w:eastAsia="sk-SK"/>
              </w:rPr>
              <w:t>priemerný pokles príjmov/ rast výdavkov v skupine v eurách a/alebo v % / obdobie:</w:t>
            </w:r>
          </w:p>
          <w:p w:rsidR="00E844AA" w:rsidRPr="00E3544D" w:rsidRDefault="00E844AA" w:rsidP="00E844AA">
            <w:pPr>
              <w:numPr>
                <w:ilvl w:val="0"/>
                <w:numId w:val="20"/>
              </w:numPr>
              <w:spacing w:after="0" w:line="240" w:lineRule="auto"/>
              <w:contextualSpacing/>
              <w:rPr>
                <w:rFonts w:ascii="Times New Roman" w:hAnsi="Times New Roman"/>
                <w:i/>
                <w:sz w:val="20"/>
                <w:szCs w:val="20"/>
                <w:lang w:eastAsia="sk-SK"/>
              </w:rPr>
            </w:pPr>
            <w:r w:rsidRPr="00E3544D">
              <w:rPr>
                <w:rFonts w:ascii="Times New Roman" w:hAnsi="Times New Roman"/>
                <w:i/>
                <w:sz w:val="18"/>
                <w:szCs w:val="20"/>
                <w:lang w:eastAsia="sk-SK"/>
              </w:rPr>
              <w:t>veľkosť skupiny (počet obyvateľov):</w:t>
            </w:r>
          </w:p>
        </w:tc>
        <w:tc>
          <w:tcPr>
            <w:tcW w:w="3229" w:type="pct"/>
            <w:tcBorders>
              <w:top w:val="dotted" w:sz="4" w:space="0" w:color="auto"/>
            </w:tcBorders>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1</w:t>
            </w:r>
          </w:p>
          <w:p w:rsidR="00E844AA" w:rsidRPr="00E3544D" w:rsidRDefault="00E844AA" w:rsidP="0045221E">
            <w:pPr>
              <w:spacing w:after="0" w:line="240" w:lineRule="auto"/>
              <w:rPr>
                <w:rFonts w:ascii="Times New Roman" w:hAnsi="Times New Roman"/>
                <w:i/>
                <w:sz w:val="18"/>
                <w:szCs w:val="20"/>
                <w:lang w:eastAsia="sk-SK"/>
              </w:rPr>
            </w:pPr>
          </w:p>
          <w:p w:rsidR="00E844AA" w:rsidRPr="00E3544D" w:rsidRDefault="00E844AA" w:rsidP="0045221E">
            <w:pPr>
              <w:spacing w:after="0" w:line="240" w:lineRule="auto"/>
              <w:rPr>
                <w:rFonts w:ascii="Times New Roman" w:hAnsi="Times New Roman"/>
                <w:sz w:val="20"/>
                <w:szCs w:val="20"/>
                <w:lang w:eastAsia="sk-SK"/>
              </w:rPr>
            </w:pPr>
            <w:r w:rsidRPr="00E3544D">
              <w:rPr>
                <w:rFonts w:ascii="Times New Roman" w:hAnsi="Times New Roman"/>
                <w:sz w:val="20"/>
                <w:szCs w:val="20"/>
                <w:lang w:eastAsia="sk-SK"/>
              </w:rPr>
              <w:t>Nemožno kvantifikovať.</w:t>
            </w:r>
          </w:p>
        </w:tc>
      </w:tr>
      <w:tr w:rsidR="00E844AA" w:rsidRPr="00E3544D" w:rsidTr="0045221E">
        <w:trPr>
          <w:trHeight w:val="680"/>
          <w:jc w:val="center"/>
        </w:trPr>
        <w:tc>
          <w:tcPr>
            <w:tcW w:w="129" w:type="pct"/>
            <w:vMerge/>
            <w:vAlign w:val="center"/>
          </w:tcPr>
          <w:p w:rsidR="00E844AA" w:rsidRPr="00E3544D" w:rsidRDefault="00E844AA" w:rsidP="0045221E">
            <w:pPr>
              <w:spacing w:after="0" w:line="240" w:lineRule="auto"/>
              <w:jc w:val="center"/>
              <w:rPr>
                <w:rFonts w:ascii="Times New Roman" w:hAnsi="Times New Roman"/>
                <w:i/>
                <w:sz w:val="18"/>
                <w:szCs w:val="18"/>
                <w:lang w:eastAsia="sk-SK"/>
              </w:rPr>
            </w:pPr>
          </w:p>
        </w:tc>
        <w:tc>
          <w:tcPr>
            <w:tcW w:w="1642" w:type="pct"/>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3</w:t>
            </w:r>
          </w:p>
          <w:p w:rsidR="00E844AA" w:rsidRPr="00E3544D" w:rsidRDefault="00E844AA" w:rsidP="0045221E">
            <w:pPr>
              <w:spacing w:after="0" w:line="240" w:lineRule="auto"/>
              <w:rPr>
                <w:rFonts w:ascii="Times New Roman" w:hAnsi="Times New Roman"/>
                <w:i/>
                <w:sz w:val="18"/>
                <w:szCs w:val="20"/>
                <w:lang w:eastAsia="sk-SK"/>
              </w:rPr>
            </w:pPr>
          </w:p>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sz w:val="20"/>
                <w:szCs w:val="20"/>
                <w:lang w:eastAsia="sk-SK"/>
              </w:rPr>
              <w:t>Nemožno kvantifikovať.</w:t>
            </w:r>
          </w:p>
        </w:tc>
        <w:tc>
          <w:tcPr>
            <w:tcW w:w="3229" w:type="pct"/>
            <w:tcBorders>
              <w:top w:val="dotted" w:sz="4" w:space="0" w:color="auto"/>
            </w:tcBorders>
          </w:tcPr>
          <w:p w:rsidR="00E844AA" w:rsidRPr="00E3544D" w:rsidRDefault="00E844AA" w:rsidP="0045221E">
            <w:pPr>
              <w:spacing w:after="0" w:line="240" w:lineRule="auto"/>
              <w:rPr>
                <w:rFonts w:ascii="Times New Roman" w:hAnsi="Times New Roman"/>
                <w:i/>
                <w:sz w:val="18"/>
                <w:szCs w:val="20"/>
                <w:lang w:eastAsia="sk-SK"/>
              </w:rPr>
            </w:pPr>
            <w:r w:rsidRPr="00E3544D">
              <w:rPr>
                <w:rFonts w:ascii="Times New Roman" w:hAnsi="Times New Roman"/>
                <w:i/>
                <w:sz w:val="18"/>
                <w:szCs w:val="20"/>
                <w:lang w:eastAsia="sk-SK"/>
              </w:rPr>
              <w:t>Ovplyvnená skupina č. 2</w:t>
            </w:r>
          </w:p>
          <w:p w:rsidR="00E844AA" w:rsidRPr="00E3544D" w:rsidRDefault="00E844AA" w:rsidP="0045221E">
            <w:pPr>
              <w:spacing w:after="0" w:line="240" w:lineRule="auto"/>
              <w:rPr>
                <w:rFonts w:ascii="Times New Roman" w:hAnsi="Times New Roman"/>
                <w:i/>
                <w:sz w:val="18"/>
                <w:szCs w:val="20"/>
                <w:lang w:eastAsia="sk-SK"/>
              </w:rPr>
            </w:pPr>
          </w:p>
          <w:p w:rsidR="00E844AA" w:rsidRPr="00E3544D" w:rsidRDefault="00E844AA" w:rsidP="0045221E">
            <w:pPr>
              <w:spacing w:after="0" w:line="240" w:lineRule="auto"/>
              <w:rPr>
                <w:rFonts w:ascii="Times New Roman" w:hAnsi="Times New Roman"/>
                <w:sz w:val="20"/>
                <w:szCs w:val="20"/>
                <w:lang w:eastAsia="sk-SK"/>
              </w:rPr>
            </w:pPr>
            <w:r w:rsidRPr="00E3544D">
              <w:rPr>
                <w:rFonts w:ascii="Times New Roman" w:hAnsi="Times New Roman"/>
                <w:sz w:val="20"/>
                <w:szCs w:val="20"/>
                <w:lang w:eastAsia="sk-SK"/>
              </w:rPr>
              <w:t>Nemožno kvantifikovať.</w:t>
            </w:r>
          </w:p>
        </w:tc>
      </w:tr>
      <w:tr w:rsidR="00E844AA" w:rsidRPr="00E3544D" w:rsidTr="0045221E">
        <w:trPr>
          <w:trHeight w:val="454"/>
          <w:jc w:val="center"/>
        </w:trPr>
        <w:tc>
          <w:tcPr>
            <w:tcW w:w="129" w:type="pct"/>
            <w:tcBorders>
              <w:top w:val="dotted" w:sz="4" w:space="0" w:color="auto"/>
            </w:tcBorders>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l)</w:t>
            </w:r>
          </w:p>
        </w:tc>
        <w:tc>
          <w:tcPr>
            <w:tcW w:w="1642" w:type="pct"/>
            <w:tcBorders>
              <w:top w:val="dotted" w:sz="4" w:space="0" w:color="auto"/>
            </w:tcBorders>
          </w:tcPr>
          <w:p w:rsidR="00E844AA" w:rsidRPr="00E3544D" w:rsidRDefault="00E844AA" w:rsidP="0045221E">
            <w:pPr>
              <w:spacing w:after="0" w:line="240" w:lineRule="auto"/>
              <w:rPr>
                <w:rFonts w:ascii="Times New Roman" w:hAnsi="Times New Roman"/>
                <w:i/>
                <w:sz w:val="20"/>
                <w:szCs w:val="20"/>
                <w:lang w:eastAsia="sk-SK"/>
              </w:rPr>
            </w:pPr>
            <w:r w:rsidRPr="00E3544D">
              <w:rPr>
                <w:rFonts w:ascii="Times New Roman" w:hAnsi="Times New Roman"/>
                <w:i/>
                <w:sz w:val="20"/>
                <w:szCs w:val="20"/>
                <w:lang w:eastAsia="sk-SK"/>
              </w:rPr>
              <w:t>Dôvod chýbajúcej kvantifikácie:</w:t>
            </w:r>
          </w:p>
        </w:tc>
        <w:tc>
          <w:tcPr>
            <w:tcW w:w="3229" w:type="pct"/>
            <w:tcBorders>
              <w:top w:val="dotted" w:sz="4" w:space="0" w:color="auto"/>
            </w:tcBorders>
          </w:tcPr>
          <w:p w:rsidR="00E844AA" w:rsidRPr="00E3544D" w:rsidRDefault="00E844AA" w:rsidP="0045221E">
            <w:pPr>
              <w:spacing w:after="0" w:line="240" w:lineRule="auto"/>
              <w:jc w:val="both"/>
              <w:rPr>
                <w:rFonts w:ascii="Times New Roman" w:hAnsi="Times New Roman"/>
                <w:sz w:val="20"/>
                <w:szCs w:val="20"/>
                <w:lang w:eastAsia="sk-SK"/>
              </w:rPr>
            </w:pPr>
            <w:r w:rsidRPr="00727CBE">
              <w:rPr>
                <w:rFonts w:ascii="Times New Roman" w:hAnsi="Times New Roman"/>
                <w:sz w:val="20"/>
                <w:szCs w:val="20"/>
                <w:lang w:eastAsia="sk-SK"/>
              </w:rPr>
              <w:t>Návrh zákona nepredpokladá vplyv v tejto oblasti.</w:t>
            </w:r>
          </w:p>
        </w:tc>
      </w:tr>
    </w:tbl>
    <w:p w:rsidR="00E844AA" w:rsidRPr="00E3544D" w:rsidRDefault="00E844AA" w:rsidP="00E844AA">
      <w:r w:rsidRPr="00E3544D">
        <w:br w:type="page"/>
      </w:r>
    </w:p>
    <w:p w:rsidR="00E844AA" w:rsidRPr="00E3544D" w:rsidRDefault="00E844AA" w:rsidP="00E844AA">
      <w:pPr>
        <w:sectPr w:rsidR="00E844AA" w:rsidRPr="00E3544D" w:rsidSect="00FE3377">
          <w:headerReference w:type="default" r:id="rId9"/>
          <w:footerReference w:type="default" r:id="rId10"/>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E844AA" w:rsidRPr="00E3544D" w:rsidTr="0045221E">
        <w:trPr>
          <w:trHeight w:val="339"/>
          <w:jc w:val="center"/>
        </w:trPr>
        <w:tc>
          <w:tcPr>
            <w:tcW w:w="5000" w:type="pct"/>
            <w:gridSpan w:val="4"/>
            <w:shd w:val="clear" w:color="auto" w:fill="D9D9D9"/>
          </w:tcPr>
          <w:p w:rsidR="00E844AA" w:rsidRPr="00E3544D" w:rsidRDefault="00E844AA" w:rsidP="0045221E">
            <w:pPr>
              <w:spacing w:after="0" w:line="240" w:lineRule="auto"/>
              <w:rPr>
                <w:rFonts w:ascii="Times New Roman" w:hAnsi="Times New Roman"/>
                <w:b/>
                <w:sz w:val="24"/>
                <w:szCs w:val="24"/>
                <w:lang w:eastAsia="sk-SK"/>
              </w:rPr>
            </w:pPr>
            <w:r w:rsidRPr="00E3544D">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E844AA" w:rsidRPr="00E3544D" w:rsidTr="0045221E">
        <w:trPr>
          <w:trHeight w:val="290"/>
          <w:jc w:val="center"/>
        </w:trPr>
        <w:tc>
          <w:tcPr>
            <w:tcW w:w="5000" w:type="pct"/>
            <w:gridSpan w:val="4"/>
            <w:shd w:val="clear" w:color="auto" w:fill="F2F2F2"/>
            <w:vAlign w:val="center"/>
          </w:tcPr>
          <w:p w:rsidR="00E844AA" w:rsidRPr="00E3544D" w:rsidRDefault="00E844AA" w:rsidP="0045221E">
            <w:pPr>
              <w:spacing w:after="0" w:line="240" w:lineRule="auto"/>
              <w:jc w:val="both"/>
              <w:rPr>
                <w:rFonts w:ascii="Times New Roman" w:hAnsi="Times New Roman"/>
                <w:i/>
                <w:sz w:val="20"/>
                <w:szCs w:val="24"/>
                <w:lang w:eastAsia="sk-SK"/>
              </w:rPr>
            </w:pPr>
            <w:r w:rsidRPr="00E3544D">
              <w:rPr>
                <w:rFonts w:ascii="Times New Roman" w:hAnsi="Times New Roman"/>
                <w:i/>
                <w:sz w:val="20"/>
                <w:szCs w:val="24"/>
                <w:lang w:eastAsia="sk-SK"/>
              </w:rPr>
              <w:t xml:space="preserve">Má návrh vplyv na prístup k zdrojom, právam, tovarom a službám? </w:t>
            </w:r>
          </w:p>
          <w:p w:rsidR="00E844AA" w:rsidRPr="00E3544D" w:rsidRDefault="00E844AA" w:rsidP="0045221E">
            <w:pPr>
              <w:spacing w:after="0" w:line="240" w:lineRule="auto"/>
              <w:jc w:val="both"/>
              <w:rPr>
                <w:rFonts w:ascii="Calibri" w:hAnsi="Calibri"/>
                <w:i/>
                <w:sz w:val="24"/>
                <w:szCs w:val="24"/>
                <w:lang w:eastAsia="sk-SK"/>
              </w:rPr>
            </w:pPr>
            <w:r w:rsidRPr="00E3544D">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E844AA" w:rsidRPr="00E3544D" w:rsidTr="0045221E">
        <w:tblPrEx>
          <w:tblBorders>
            <w:top w:val="none" w:sz="0" w:space="0" w:color="auto"/>
            <w:bottom w:val="none" w:sz="0" w:space="0" w:color="auto"/>
          </w:tblBorders>
        </w:tblPrEx>
        <w:trPr>
          <w:trHeight w:val="557"/>
          <w:jc w:val="center"/>
        </w:trPr>
        <w:tc>
          <w:tcPr>
            <w:tcW w:w="180" w:type="pct"/>
            <w:vAlign w:val="center"/>
          </w:tcPr>
          <w:p w:rsidR="00E844AA" w:rsidRPr="00E3544D" w:rsidRDefault="00E844AA" w:rsidP="0045221E">
            <w:pPr>
              <w:spacing w:after="0" w:line="240" w:lineRule="auto"/>
              <w:jc w:val="center"/>
              <w:rPr>
                <w:rFonts w:ascii="Times New Roman" w:hAnsi="Times New Roman"/>
                <w:i/>
                <w:sz w:val="18"/>
                <w:szCs w:val="18"/>
                <w:lang w:eastAsia="sk-SK"/>
              </w:rPr>
            </w:pPr>
            <w:r w:rsidRPr="00E3544D">
              <w:rPr>
                <w:rFonts w:ascii="Times New Roman" w:hAnsi="Times New Roman"/>
                <w:i/>
                <w:sz w:val="18"/>
                <w:szCs w:val="18"/>
                <w:lang w:eastAsia="sk-SK"/>
              </w:rPr>
              <w:t>a)</w:t>
            </w:r>
          </w:p>
        </w:tc>
        <w:tc>
          <w:tcPr>
            <w:tcW w:w="1893" w:type="pct"/>
            <w:gridSpan w:val="2"/>
          </w:tcPr>
          <w:p w:rsidR="00E844AA" w:rsidRPr="00E3544D" w:rsidRDefault="00E844AA" w:rsidP="0045221E">
            <w:pPr>
              <w:spacing w:after="0" w:line="240" w:lineRule="auto"/>
              <w:jc w:val="both"/>
              <w:rPr>
                <w:rFonts w:ascii="Times New Roman" w:hAnsi="Times New Roman"/>
                <w:i/>
                <w:sz w:val="18"/>
                <w:szCs w:val="18"/>
                <w:lang w:eastAsia="sk-SK"/>
              </w:rPr>
            </w:pPr>
            <w:r w:rsidRPr="00E3544D">
              <w:rPr>
                <w:rFonts w:ascii="Times New Roman" w:hAnsi="Times New Roman"/>
                <w:i/>
                <w:sz w:val="18"/>
                <w:szCs w:val="18"/>
                <w:lang w:eastAsia="sk-SK"/>
              </w:rPr>
              <w:t>Rozumie sa najmä na prístup k:</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kvalitnej práci, ochrane zdravia, dôstojnosti a bezpečnosti pri práci pre zamestnancov a existujúcim zamestnaneckým právam,</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pomoci pri úhrade výdavkov súvisiacich so zdravotným postihnutím, </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zdravotnej starostlivosti vrátane cenovo dostupných pomôcok pre občanov so zdravotným postihnutím, </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k formálnemu i neformálnemu vzdelávaniu a celo</w:t>
            </w:r>
            <w:r w:rsidRPr="00E3544D">
              <w:rPr>
                <w:rFonts w:ascii="Times New Roman" w:hAnsi="Times New Roman"/>
                <w:i/>
                <w:sz w:val="18"/>
                <w:szCs w:val="18"/>
                <w:lang w:eastAsia="sk-SK"/>
              </w:rPr>
              <w:softHyphen/>
              <w:t xml:space="preserve">životnému vzdelávaniu, </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bývaniu a súvisiacim základným komunálnym službám,</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doprave,</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ďalším službám najmä službám všeobecného záujmu a tovarom,</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spravodlivosti, právnej ochrane, právnym službám,</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informáciám,</w:t>
            </w:r>
          </w:p>
          <w:p w:rsidR="00E844AA" w:rsidRPr="00E3544D" w:rsidRDefault="00E844AA" w:rsidP="00E844AA">
            <w:pPr>
              <w:numPr>
                <w:ilvl w:val="0"/>
                <w:numId w:val="18"/>
              </w:numPr>
              <w:spacing w:after="0" w:line="240" w:lineRule="auto"/>
              <w:ind w:left="170" w:hanging="170"/>
              <w:jc w:val="both"/>
              <w:rPr>
                <w:rFonts w:ascii="Calibri" w:hAnsi="Calibri"/>
                <w:i/>
                <w:sz w:val="20"/>
                <w:szCs w:val="20"/>
                <w:lang w:eastAsia="sk-SK"/>
              </w:rPr>
            </w:pPr>
            <w:r w:rsidRPr="00E3544D">
              <w:rPr>
                <w:rFonts w:ascii="Times New Roman" w:hAnsi="Times New Roman"/>
                <w:i/>
                <w:sz w:val="18"/>
                <w:szCs w:val="18"/>
                <w:lang w:eastAsia="sk-SK"/>
              </w:rPr>
              <w:t>k iným právam (napr. politickým).</w:t>
            </w:r>
          </w:p>
        </w:tc>
        <w:tc>
          <w:tcPr>
            <w:tcW w:w="2927" w:type="pct"/>
          </w:tcPr>
          <w:p w:rsidR="00E844AA" w:rsidRDefault="00E844AA" w:rsidP="0045221E">
            <w:pPr>
              <w:spacing w:after="0" w:line="240" w:lineRule="auto"/>
              <w:jc w:val="both"/>
              <w:rPr>
                <w:rFonts w:ascii="Times New Roman" w:hAnsi="Times New Roman"/>
                <w:sz w:val="20"/>
                <w:szCs w:val="20"/>
                <w:lang w:eastAsia="sk-SK"/>
              </w:rPr>
            </w:pPr>
            <w:r w:rsidRPr="00E3544D">
              <w:rPr>
                <w:rFonts w:ascii="Times New Roman" w:hAnsi="Times New Roman"/>
                <w:sz w:val="20"/>
                <w:szCs w:val="20"/>
                <w:lang w:eastAsia="sk-SK"/>
              </w:rPr>
              <w:t xml:space="preserve">Predkladaný návrh zákona zakladá </w:t>
            </w:r>
            <w:r>
              <w:rPr>
                <w:rFonts w:ascii="Times New Roman" w:hAnsi="Times New Roman"/>
                <w:sz w:val="20"/>
                <w:szCs w:val="20"/>
                <w:lang w:eastAsia="sk-SK"/>
              </w:rPr>
              <w:t>pozitívny vplyv na prístup k právam. Ovplyvnené budú v</w:t>
            </w:r>
            <w:r w:rsidRPr="00E3544D">
              <w:rPr>
                <w:rFonts w:ascii="Times New Roman" w:hAnsi="Times New Roman"/>
                <w:sz w:val="20"/>
                <w:szCs w:val="20"/>
                <w:lang w:eastAsia="sk-SK"/>
              </w:rPr>
              <w:t>šetky osoby v</w:t>
            </w:r>
            <w:r>
              <w:rPr>
                <w:rFonts w:ascii="Times New Roman" w:hAnsi="Times New Roman"/>
                <w:sz w:val="20"/>
                <w:szCs w:val="20"/>
                <w:lang w:eastAsia="sk-SK"/>
              </w:rPr>
              <w:t xml:space="preserve"> </w:t>
            </w:r>
            <w:r w:rsidRPr="00E3544D">
              <w:rPr>
                <w:rFonts w:ascii="Times New Roman" w:hAnsi="Times New Roman"/>
                <w:sz w:val="20"/>
                <w:szCs w:val="20"/>
                <w:lang w:eastAsia="sk-SK"/>
              </w:rPr>
              <w:t xml:space="preserve">postavení </w:t>
            </w:r>
            <w:r>
              <w:rPr>
                <w:rFonts w:ascii="Times New Roman" w:hAnsi="Times New Roman"/>
                <w:sz w:val="20"/>
                <w:szCs w:val="20"/>
                <w:lang w:eastAsia="sk-SK"/>
              </w:rPr>
              <w:t>žalobcov, ktorí sa domáhajú odstránenia nečinnosti orgánu verejnej správy a ktorá im spôsobila nemajetkovú ujmu, za ktorú im súd priznal kompenzáciu formou primeraného zadosťučinenia. Presunom rozhodovania o povinnosti zaplatiť osobe, ktorá je poškodená nečinnosťou orgánu verejnej správy do fázy rozhodovania o žalobe podľa Správneho súdneho poriadku, sa predpokladá rýchlejšie poskytnutie kompenzácie a teda účinnejší prostriedok nápravy. Zároveň sa predpokladá posilnenie preventívneho účinku žalôb spojených s možnosťou priznania primeraného zadosťučinenia, aby sa predchádzalo nečinnosti a prieťahom v konaní.</w:t>
            </w:r>
          </w:p>
          <w:p w:rsidR="00E844AA" w:rsidRDefault="00E844AA" w:rsidP="0045221E">
            <w:pPr>
              <w:spacing w:after="0" w:line="240" w:lineRule="auto"/>
              <w:jc w:val="both"/>
              <w:rPr>
                <w:rFonts w:ascii="Times New Roman" w:hAnsi="Times New Roman"/>
                <w:sz w:val="20"/>
                <w:szCs w:val="20"/>
                <w:lang w:eastAsia="sk-SK"/>
              </w:rPr>
            </w:pPr>
          </w:p>
          <w:p w:rsidR="00E844AA" w:rsidRDefault="00E844AA" w:rsidP="0045221E">
            <w:pPr>
              <w:spacing w:after="0" w:line="240" w:lineRule="auto"/>
              <w:jc w:val="both"/>
              <w:rPr>
                <w:rFonts w:ascii="Times New Roman" w:hAnsi="Times New Roman"/>
                <w:sz w:val="20"/>
                <w:szCs w:val="20"/>
                <w:lang w:eastAsia="sk-SK"/>
              </w:rPr>
            </w:pPr>
          </w:p>
          <w:p w:rsidR="00E844AA" w:rsidRPr="00E3544D" w:rsidRDefault="00E844AA" w:rsidP="0045221E">
            <w:pPr>
              <w:spacing w:after="0" w:line="240" w:lineRule="auto"/>
              <w:jc w:val="both"/>
              <w:rPr>
                <w:rFonts w:ascii="Times New Roman" w:hAnsi="Times New Roman"/>
                <w:sz w:val="20"/>
                <w:szCs w:val="20"/>
                <w:lang w:eastAsia="sk-SK"/>
              </w:rPr>
            </w:pPr>
          </w:p>
        </w:tc>
      </w:tr>
      <w:tr w:rsidR="00E844AA" w:rsidRPr="00E3544D" w:rsidTr="0045221E">
        <w:trPr>
          <w:jc w:val="center"/>
        </w:trPr>
        <w:tc>
          <w:tcPr>
            <w:tcW w:w="180" w:type="pct"/>
            <w:shd w:val="clear" w:color="auto" w:fill="F2F2F2"/>
            <w:vAlign w:val="center"/>
          </w:tcPr>
          <w:p w:rsidR="00E844AA" w:rsidRPr="00E3544D" w:rsidRDefault="00E844AA" w:rsidP="0045221E">
            <w:pPr>
              <w:spacing w:after="0" w:line="240" w:lineRule="auto"/>
              <w:rPr>
                <w:rFonts w:ascii="Times New Roman" w:hAnsi="Times New Roman"/>
                <w:i/>
                <w:sz w:val="18"/>
                <w:lang w:eastAsia="sk-SK"/>
              </w:rPr>
            </w:pPr>
            <w:r w:rsidRPr="00E3544D">
              <w:rPr>
                <w:rFonts w:ascii="Times New Roman" w:hAnsi="Times New Roman"/>
                <w:i/>
                <w:sz w:val="18"/>
                <w:lang w:eastAsia="sk-SK"/>
              </w:rPr>
              <w:t>b)</w:t>
            </w:r>
          </w:p>
        </w:tc>
        <w:tc>
          <w:tcPr>
            <w:tcW w:w="4820" w:type="pct"/>
            <w:gridSpan w:val="3"/>
            <w:shd w:val="clear" w:color="auto" w:fill="F2F2F2"/>
          </w:tcPr>
          <w:p w:rsidR="00E844AA" w:rsidRPr="00E3544D" w:rsidRDefault="00E844AA" w:rsidP="0045221E">
            <w:pPr>
              <w:spacing w:after="0" w:line="240" w:lineRule="auto"/>
              <w:jc w:val="both"/>
              <w:rPr>
                <w:rFonts w:ascii="Times New Roman" w:hAnsi="Times New Roman"/>
                <w:i/>
                <w:sz w:val="20"/>
                <w:szCs w:val="20"/>
                <w:lang w:eastAsia="sk-SK"/>
              </w:rPr>
            </w:pPr>
            <w:r w:rsidRPr="00E3544D">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E844AA" w:rsidRPr="00E3544D" w:rsidRDefault="00E844AA" w:rsidP="0045221E">
            <w:pPr>
              <w:spacing w:after="0" w:line="240" w:lineRule="auto"/>
              <w:jc w:val="both"/>
              <w:rPr>
                <w:rFonts w:ascii="Calibri" w:hAnsi="Calibri"/>
                <w:i/>
                <w:lang w:eastAsia="sk-SK"/>
              </w:rPr>
            </w:pPr>
            <w:r w:rsidRPr="00E3544D">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E844AA" w:rsidRPr="00E3544D" w:rsidTr="0045221E">
        <w:tblPrEx>
          <w:tblBorders>
            <w:top w:val="none" w:sz="0" w:space="0" w:color="auto"/>
          </w:tblBorders>
        </w:tblPrEx>
        <w:trPr>
          <w:trHeight w:val="677"/>
          <w:jc w:val="center"/>
        </w:trPr>
        <w:tc>
          <w:tcPr>
            <w:tcW w:w="180" w:type="pct"/>
            <w:vAlign w:val="center"/>
          </w:tcPr>
          <w:p w:rsidR="00E844AA" w:rsidRPr="00E3544D" w:rsidRDefault="00E844AA" w:rsidP="0045221E">
            <w:pPr>
              <w:spacing w:after="0" w:line="240" w:lineRule="auto"/>
              <w:rPr>
                <w:rFonts w:ascii="Times New Roman" w:hAnsi="Times New Roman"/>
                <w:i/>
                <w:sz w:val="18"/>
                <w:szCs w:val="18"/>
                <w:lang w:eastAsia="sk-SK"/>
              </w:rPr>
            </w:pPr>
            <w:r w:rsidRPr="00E3544D">
              <w:rPr>
                <w:rFonts w:ascii="Times New Roman" w:hAnsi="Times New Roman"/>
                <w:i/>
                <w:sz w:val="18"/>
                <w:szCs w:val="18"/>
                <w:lang w:eastAsia="sk-SK"/>
              </w:rPr>
              <w:t>c)</w:t>
            </w:r>
          </w:p>
        </w:tc>
        <w:tc>
          <w:tcPr>
            <w:tcW w:w="1849" w:type="pct"/>
          </w:tcPr>
          <w:p w:rsidR="00E844AA" w:rsidRPr="00E3544D" w:rsidRDefault="00E844AA" w:rsidP="0045221E">
            <w:pPr>
              <w:spacing w:after="0" w:line="240" w:lineRule="auto"/>
              <w:jc w:val="both"/>
              <w:rPr>
                <w:rFonts w:ascii="Times New Roman" w:hAnsi="Times New Roman"/>
                <w:i/>
                <w:sz w:val="18"/>
                <w:szCs w:val="18"/>
                <w:lang w:eastAsia="sk-SK"/>
              </w:rPr>
            </w:pPr>
            <w:r w:rsidRPr="00E3544D">
              <w:rPr>
                <w:rFonts w:ascii="Times New Roman" w:hAnsi="Times New Roman"/>
                <w:i/>
                <w:sz w:val="18"/>
                <w:szCs w:val="18"/>
                <w:lang w:eastAsia="sk-SK"/>
              </w:rPr>
              <w:t>Zraniteľné skupiny alebo skupiny v riziku chudoby alebo sociálneho vylúčenia sú napr.:</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nezamestnaní, najmä dlhodobo nezamestnaní, mladí nezamestnaní a nezamestnaní nad 50 rokov,</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deti (0 – 17),</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mladí ľudia (18 – 25 rokov),</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starší ľudia, napr. ľudia vo veku nad 65 rokov alebo dôchodcovia,</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ľudia so zdravotným postihnutím,</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marginalizované rómske komunity </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domácnosti s 3 a viac deťmi,</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jednorodičovské domácnosti s deťmi (neúplné rodiny, ktoré tvoria najmä osamelé matky s deťmi),</w:t>
            </w:r>
          </w:p>
          <w:p w:rsidR="00E844AA" w:rsidRPr="00E3544D" w:rsidRDefault="00E844AA" w:rsidP="00E844AA">
            <w:pPr>
              <w:numPr>
                <w:ilvl w:val="0"/>
                <w:numId w:val="18"/>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príslušníci tretích krajín, azylanti, žiadatelia o azyl,</w:t>
            </w:r>
          </w:p>
          <w:p w:rsidR="00E844AA" w:rsidRPr="00E3544D" w:rsidRDefault="00E844AA" w:rsidP="00E844AA">
            <w:pPr>
              <w:numPr>
                <w:ilvl w:val="0"/>
                <w:numId w:val="18"/>
              </w:numPr>
              <w:spacing w:after="0" w:line="240" w:lineRule="auto"/>
              <w:ind w:left="170" w:hanging="170"/>
              <w:jc w:val="both"/>
              <w:rPr>
                <w:rFonts w:ascii="Times New Roman" w:hAnsi="Times New Roman"/>
                <w:sz w:val="20"/>
                <w:lang w:eastAsia="sk-SK"/>
              </w:rPr>
            </w:pPr>
            <w:r w:rsidRPr="00E3544D">
              <w:rPr>
                <w:rFonts w:ascii="Times New Roman" w:hAnsi="Times New Roman"/>
                <w:i/>
                <w:sz w:val="18"/>
                <w:szCs w:val="18"/>
                <w:lang w:eastAsia="sk-SK"/>
              </w:rPr>
              <w:t>iné zraniteľné skupiny, ako sú napr. bezdomovci, ľudia opúšťajúci detské domovy alebo iné inštitucionálne zariadenia</w:t>
            </w:r>
          </w:p>
        </w:tc>
        <w:tc>
          <w:tcPr>
            <w:tcW w:w="2971" w:type="pct"/>
            <w:gridSpan w:val="2"/>
          </w:tcPr>
          <w:p w:rsidR="00E844AA" w:rsidRPr="00E3544D" w:rsidRDefault="00E844AA" w:rsidP="0045221E">
            <w:pPr>
              <w:jc w:val="both"/>
              <w:rPr>
                <w:rFonts w:ascii="Times New Roman" w:hAnsi="Times New Roman"/>
                <w:sz w:val="20"/>
                <w:lang w:eastAsia="sk-SK"/>
              </w:rPr>
            </w:pPr>
            <w:r w:rsidRPr="00E3544D">
              <w:rPr>
                <w:rFonts w:ascii="Times New Roman" w:hAnsi="Times New Roman"/>
                <w:sz w:val="20"/>
                <w:szCs w:val="20"/>
                <w:lang w:eastAsia="sk-SK"/>
              </w:rPr>
              <w:t>Návrh zákona predpokladá pozitívne vplyvy aj v</w:t>
            </w:r>
            <w:r>
              <w:rPr>
                <w:rFonts w:ascii="Times New Roman" w:hAnsi="Times New Roman"/>
                <w:sz w:val="20"/>
                <w:szCs w:val="20"/>
                <w:lang w:eastAsia="sk-SK"/>
              </w:rPr>
              <w:t xml:space="preserve"> </w:t>
            </w:r>
            <w:r w:rsidRPr="00E3544D">
              <w:rPr>
                <w:rFonts w:ascii="Times New Roman" w:hAnsi="Times New Roman"/>
                <w:sz w:val="20"/>
                <w:szCs w:val="20"/>
                <w:lang w:eastAsia="sk-SK"/>
              </w:rPr>
              <w:t>prípade zraniteľných</w:t>
            </w:r>
            <w:r>
              <w:rPr>
                <w:rFonts w:ascii="Times New Roman" w:hAnsi="Times New Roman"/>
                <w:sz w:val="20"/>
                <w:szCs w:val="20"/>
                <w:lang w:eastAsia="sk-SK"/>
              </w:rPr>
              <w:t xml:space="preserve"> </w:t>
            </w:r>
            <w:r w:rsidRPr="00E3544D">
              <w:rPr>
                <w:rFonts w:ascii="Times New Roman" w:hAnsi="Times New Roman"/>
                <w:sz w:val="20"/>
                <w:szCs w:val="20"/>
                <w:lang w:eastAsia="sk-SK"/>
              </w:rPr>
              <w:t>skupín obyvateľstva alebo skupín v</w:t>
            </w:r>
            <w:r>
              <w:rPr>
                <w:rFonts w:ascii="Times New Roman" w:hAnsi="Times New Roman"/>
                <w:sz w:val="20"/>
                <w:szCs w:val="20"/>
                <w:lang w:eastAsia="sk-SK"/>
              </w:rPr>
              <w:t xml:space="preserve"> </w:t>
            </w:r>
            <w:r w:rsidRPr="00E3544D">
              <w:rPr>
                <w:rFonts w:ascii="Times New Roman" w:hAnsi="Times New Roman"/>
                <w:sz w:val="20"/>
                <w:szCs w:val="20"/>
                <w:lang w:eastAsia="sk-SK"/>
              </w:rPr>
              <w:t>riziku chudoby alebo sociálneho vylúčenia rovnako, ako je opísané v</w:t>
            </w:r>
            <w:r>
              <w:rPr>
                <w:rFonts w:ascii="Times New Roman" w:hAnsi="Times New Roman"/>
                <w:sz w:val="20"/>
                <w:szCs w:val="20"/>
                <w:lang w:eastAsia="sk-SK"/>
              </w:rPr>
              <w:t xml:space="preserve"> </w:t>
            </w:r>
            <w:r w:rsidRPr="00E3544D">
              <w:rPr>
                <w:rFonts w:ascii="Times New Roman" w:hAnsi="Times New Roman"/>
                <w:sz w:val="20"/>
                <w:szCs w:val="20"/>
                <w:lang w:eastAsia="sk-SK"/>
              </w:rPr>
              <w:t xml:space="preserve">písmene a), ak </w:t>
            </w:r>
            <w:r>
              <w:rPr>
                <w:rFonts w:ascii="Times New Roman" w:hAnsi="Times New Roman"/>
                <w:sz w:val="20"/>
                <w:szCs w:val="20"/>
                <w:lang w:eastAsia="sk-SK"/>
              </w:rPr>
              <w:t>žalobca</w:t>
            </w:r>
            <w:r w:rsidRPr="00E3544D">
              <w:rPr>
                <w:rFonts w:ascii="Times New Roman" w:hAnsi="Times New Roman"/>
                <w:sz w:val="20"/>
                <w:szCs w:val="20"/>
                <w:lang w:eastAsia="sk-SK"/>
              </w:rPr>
              <w:t xml:space="preserve"> </w:t>
            </w:r>
            <w:r>
              <w:rPr>
                <w:rFonts w:ascii="Times New Roman" w:hAnsi="Times New Roman"/>
                <w:sz w:val="20"/>
                <w:szCs w:val="20"/>
                <w:lang w:eastAsia="sk-SK"/>
              </w:rPr>
              <w:t>bud</w:t>
            </w:r>
            <w:r w:rsidRPr="00E3544D">
              <w:rPr>
                <w:rFonts w:ascii="Times New Roman" w:hAnsi="Times New Roman"/>
                <w:sz w:val="20"/>
                <w:szCs w:val="20"/>
                <w:lang w:eastAsia="sk-SK"/>
              </w:rPr>
              <w:t>e osoba patriaca to tejto skupiny obyvateľov.</w:t>
            </w:r>
          </w:p>
          <w:p w:rsidR="00E844AA" w:rsidRPr="00E3544D" w:rsidRDefault="00E844AA" w:rsidP="0045221E">
            <w:pPr>
              <w:rPr>
                <w:rFonts w:ascii="Times New Roman" w:hAnsi="Times New Roman"/>
                <w:sz w:val="20"/>
                <w:lang w:eastAsia="sk-SK"/>
              </w:rPr>
            </w:pPr>
          </w:p>
          <w:p w:rsidR="00E844AA" w:rsidRPr="00E3544D" w:rsidRDefault="00E844AA" w:rsidP="0045221E">
            <w:pPr>
              <w:rPr>
                <w:rFonts w:ascii="Times New Roman" w:hAnsi="Times New Roman"/>
                <w:sz w:val="20"/>
                <w:lang w:eastAsia="sk-SK"/>
              </w:rPr>
            </w:pPr>
          </w:p>
        </w:tc>
      </w:tr>
    </w:tbl>
    <w:p w:rsidR="00E844AA" w:rsidRPr="00E3544D" w:rsidRDefault="00E844AA" w:rsidP="00E844AA">
      <w:pPr>
        <w:sectPr w:rsidR="00E844AA" w:rsidRPr="00E3544D" w:rsidSect="00FE3377">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E844AA" w:rsidRPr="00E3544D" w:rsidTr="0045221E">
        <w:trPr>
          <w:jc w:val="center"/>
        </w:trPr>
        <w:tc>
          <w:tcPr>
            <w:tcW w:w="5000" w:type="pct"/>
            <w:gridSpan w:val="3"/>
            <w:shd w:val="clear" w:color="auto" w:fill="D9D9D9"/>
          </w:tcPr>
          <w:p w:rsidR="00E844AA" w:rsidRPr="00E3544D" w:rsidRDefault="00E844AA" w:rsidP="0045221E">
            <w:pPr>
              <w:spacing w:after="0" w:line="240" w:lineRule="auto"/>
              <w:rPr>
                <w:rFonts w:ascii="Times New Roman" w:hAnsi="Times New Roman"/>
                <w:b/>
                <w:sz w:val="24"/>
                <w:szCs w:val="24"/>
              </w:rPr>
            </w:pPr>
            <w:r w:rsidRPr="00E3544D">
              <w:rPr>
                <w:rFonts w:ascii="Times New Roman" w:hAnsi="Times New Roman"/>
                <w:b/>
                <w:sz w:val="24"/>
                <w:szCs w:val="24"/>
              </w:rPr>
              <w:lastRenderedPageBreak/>
              <w:t>4.3 Identifikujte a popíšte vplyv na rovnosť príležitostí.</w:t>
            </w:r>
          </w:p>
          <w:p w:rsidR="00E844AA" w:rsidRPr="00E3544D" w:rsidRDefault="00E844AA" w:rsidP="0045221E">
            <w:pPr>
              <w:spacing w:after="0" w:line="240" w:lineRule="auto"/>
              <w:ind w:left="340"/>
              <w:jc w:val="both"/>
              <w:rPr>
                <w:rFonts w:ascii="Calibri" w:hAnsi="Calibri"/>
                <w:sz w:val="24"/>
                <w:szCs w:val="24"/>
              </w:rPr>
            </w:pPr>
            <w:r w:rsidRPr="00E3544D">
              <w:rPr>
                <w:rFonts w:ascii="Times New Roman" w:hAnsi="Times New Roman"/>
                <w:b/>
                <w:sz w:val="24"/>
                <w:szCs w:val="24"/>
              </w:rPr>
              <w:t>Identifikujte, popíšte a kvantifikujte vplyv na rovnosť žien a mužov.</w:t>
            </w:r>
          </w:p>
        </w:tc>
      </w:tr>
      <w:tr w:rsidR="00E844AA" w:rsidRPr="00E3544D" w:rsidTr="0045221E">
        <w:trPr>
          <w:jc w:val="center"/>
        </w:trPr>
        <w:tc>
          <w:tcPr>
            <w:tcW w:w="132" w:type="pct"/>
            <w:shd w:val="clear" w:color="auto" w:fill="F2F2F2"/>
            <w:vAlign w:val="center"/>
          </w:tcPr>
          <w:p w:rsidR="00E844AA" w:rsidRPr="00E3544D" w:rsidRDefault="00E844AA" w:rsidP="0045221E">
            <w:pPr>
              <w:spacing w:after="0" w:line="240" w:lineRule="auto"/>
              <w:rPr>
                <w:rFonts w:ascii="Times New Roman" w:hAnsi="Times New Roman"/>
                <w:i/>
                <w:sz w:val="24"/>
                <w:szCs w:val="24"/>
              </w:rPr>
            </w:pPr>
            <w:r w:rsidRPr="00E3544D">
              <w:rPr>
                <w:rFonts w:ascii="Times New Roman" w:hAnsi="Times New Roman"/>
                <w:i/>
                <w:sz w:val="18"/>
                <w:szCs w:val="24"/>
              </w:rPr>
              <w:t>a)</w:t>
            </w:r>
          </w:p>
        </w:tc>
        <w:tc>
          <w:tcPr>
            <w:tcW w:w="4868" w:type="pct"/>
            <w:gridSpan w:val="2"/>
            <w:shd w:val="clear" w:color="auto" w:fill="F2F2F2"/>
          </w:tcPr>
          <w:p w:rsidR="00E844AA" w:rsidRPr="00E3544D" w:rsidRDefault="00E844AA" w:rsidP="0045221E">
            <w:pPr>
              <w:spacing w:after="0" w:line="240" w:lineRule="auto"/>
              <w:jc w:val="both"/>
              <w:rPr>
                <w:rFonts w:ascii="Times New Roman" w:hAnsi="Times New Roman"/>
                <w:i/>
                <w:sz w:val="24"/>
                <w:szCs w:val="24"/>
              </w:rPr>
            </w:pPr>
            <w:r w:rsidRPr="00E3544D">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E844AA" w:rsidRPr="00E3544D" w:rsidTr="0045221E">
        <w:trPr>
          <w:trHeight w:val="928"/>
          <w:jc w:val="center"/>
        </w:trPr>
        <w:tc>
          <w:tcPr>
            <w:tcW w:w="132" w:type="pct"/>
            <w:tcBorders>
              <w:top w:val="nil"/>
              <w:bottom w:val="nil"/>
            </w:tcBorders>
          </w:tcPr>
          <w:p w:rsidR="00E844AA" w:rsidRPr="00E3544D" w:rsidRDefault="00E844AA" w:rsidP="0045221E">
            <w:pPr>
              <w:spacing w:after="0" w:line="240" w:lineRule="auto"/>
              <w:rPr>
                <w:rFonts w:ascii="Times New Roman" w:hAnsi="Times New Roman"/>
                <w:sz w:val="20"/>
              </w:rPr>
            </w:pPr>
          </w:p>
          <w:p w:rsidR="00E844AA" w:rsidRPr="00E3544D" w:rsidRDefault="00E844AA" w:rsidP="0045221E">
            <w:pPr>
              <w:spacing w:after="0" w:line="240" w:lineRule="auto"/>
              <w:rPr>
                <w:rFonts w:ascii="Times New Roman" w:hAnsi="Times New Roman"/>
                <w:i/>
                <w:sz w:val="20"/>
              </w:rPr>
            </w:pPr>
          </w:p>
          <w:p w:rsidR="00E844AA" w:rsidRPr="00E3544D" w:rsidRDefault="00E844AA" w:rsidP="0045221E">
            <w:pPr>
              <w:spacing w:after="0" w:line="240" w:lineRule="auto"/>
              <w:rPr>
                <w:rFonts w:ascii="Times New Roman" w:hAnsi="Times New Roman"/>
                <w:i/>
                <w:sz w:val="20"/>
              </w:rPr>
            </w:pPr>
          </w:p>
          <w:p w:rsidR="00E844AA" w:rsidRPr="00E3544D" w:rsidRDefault="00E844AA" w:rsidP="0045221E">
            <w:pPr>
              <w:spacing w:after="0" w:line="240" w:lineRule="auto"/>
              <w:rPr>
                <w:rFonts w:ascii="Times New Roman" w:hAnsi="Times New Roman"/>
                <w:i/>
                <w:sz w:val="18"/>
              </w:rPr>
            </w:pPr>
            <w:r w:rsidRPr="00E3544D">
              <w:rPr>
                <w:rFonts w:ascii="Times New Roman" w:hAnsi="Times New Roman"/>
                <w:i/>
                <w:sz w:val="18"/>
              </w:rPr>
              <w:t>b)</w:t>
            </w:r>
          </w:p>
          <w:p w:rsidR="00E844AA" w:rsidRPr="00E3544D" w:rsidRDefault="00E844AA" w:rsidP="0045221E">
            <w:pPr>
              <w:spacing w:after="0" w:line="240" w:lineRule="auto"/>
              <w:rPr>
                <w:rFonts w:ascii="Times New Roman" w:hAnsi="Times New Roman"/>
                <w:i/>
                <w:sz w:val="20"/>
              </w:rPr>
            </w:pPr>
          </w:p>
          <w:p w:rsidR="00E844AA" w:rsidRPr="00E3544D" w:rsidRDefault="00E844AA" w:rsidP="0045221E">
            <w:pPr>
              <w:spacing w:after="0" w:line="240" w:lineRule="auto"/>
              <w:rPr>
                <w:rFonts w:ascii="Times New Roman" w:hAnsi="Times New Roman"/>
                <w:i/>
                <w:sz w:val="20"/>
              </w:rPr>
            </w:pPr>
          </w:p>
          <w:p w:rsidR="00E844AA" w:rsidRPr="00E3544D" w:rsidRDefault="00E844AA" w:rsidP="0045221E">
            <w:pPr>
              <w:spacing w:after="0" w:line="240" w:lineRule="auto"/>
              <w:rPr>
                <w:rFonts w:ascii="Times New Roman" w:hAnsi="Times New Roman"/>
                <w:i/>
                <w:sz w:val="20"/>
              </w:rPr>
            </w:pPr>
          </w:p>
        </w:tc>
        <w:tc>
          <w:tcPr>
            <w:tcW w:w="4868" w:type="pct"/>
            <w:gridSpan w:val="2"/>
            <w:tcBorders>
              <w:top w:val="nil"/>
              <w:bottom w:val="nil"/>
            </w:tcBorders>
          </w:tcPr>
          <w:p w:rsidR="00E844AA" w:rsidRPr="00E3544D" w:rsidRDefault="00E844AA" w:rsidP="0045221E">
            <w:pPr>
              <w:spacing w:after="0" w:line="240" w:lineRule="auto"/>
              <w:jc w:val="both"/>
              <w:rPr>
                <w:rFonts w:ascii="Times New Roman" w:hAnsi="Times New Roman"/>
                <w:i/>
                <w:sz w:val="20"/>
              </w:rPr>
            </w:pPr>
            <w:r w:rsidRPr="00E3544D">
              <w:rPr>
                <w:rFonts w:ascii="Times New Roman" w:hAnsi="Times New Roman"/>
                <w:sz w:val="20"/>
              </w:rPr>
              <w:t>Predkladaný návrh zákona dôsledne rešpektuje rovnosť príležitostí, povinnosť rovnakého zaobchádzania so skupinami alebo jednotlivcami na základe pohlavia, rasy, etnicity, náboženstva alebo viery, zdravotného postihnutia, veku a sexuálnej orientácie alebo iného statusu a zákaz diskriminácie.</w:t>
            </w:r>
            <w:r w:rsidRPr="00E3544D">
              <w:rPr>
                <w:rFonts w:ascii="Times New Roman" w:hAnsi="Times New Roman"/>
                <w:i/>
                <w:sz w:val="20"/>
              </w:rPr>
              <w:t xml:space="preserve">  </w:t>
            </w:r>
          </w:p>
        </w:tc>
      </w:tr>
      <w:tr w:rsidR="00E844AA" w:rsidRPr="00E3544D" w:rsidTr="0045221E">
        <w:trPr>
          <w:trHeight w:val="345"/>
          <w:jc w:val="center"/>
        </w:trPr>
        <w:tc>
          <w:tcPr>
            <w:tcW w:w="132" w:type="pct"/>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c)</w:t>
            </w:r>
          </w:p>
        </w:tc>
        <w:tc>
          <w:tcPr>
            <w:tcW w:w="4868" w:type="pct"/>
            <w:gridSpan w:val="2"/>
            <w:shd w:val="clear" w:color="auto" w:fill="F2F2F2"/>
            <w:vAlign w:val="center"/>
          </w:tcPr>
          <w:p w:rsidR="00E844AA" w:rsidRPr="00E3544D" w:rsidRDefault="00E844AA" w:rsidP="0045221E">
            <w:pPr>
              <w:spacing w:after="0" w:line="240" w:lineRule="auto"/>
              <w:rPr>
                <w:rFonts w:ascii="Times New Roman" w:hAnsi="Times New Roman"/>
                <w:i/>
                <w:sz w:val="20"/>
                <w:szCs w:val="20"/>
              </w:rPr>
            </w:pPr>
            <w:r w:rsidRPr="00E3544D">
              <w:rPr>
                <w:rFonts w:ascii="Times New Roman" w:hAnsi="Times New Roman"/>
                <w:i/>
                <w:sz w:val="20"/>
                <w:szCs w:val="20"/>
              </w:rPr>
              <w:t xml:space="preserve">4.3.2 Môže návrh viesť k zväčšovaniu nerovností medzi ženami a mužmi? </w:t>
            </w:r>
            <w:r w:rsidRPr="00E3544D">
              <w:rPr>
                <w:rFonts w:ascii="Times New Roman" w:hAnsi="Times New Roman"/>
                <w:i/>
                <w:sz w:val="20"/>
                <w:szCs w:val="24"/>
              </w:rPr>
              <w:t xml:space="preserve">Podporuje návrh rovnosť príležitostí? </w:t>
            </w:r>
            <w:r w:rsidRPr="00E3544D">
              <w:rPr>
                <w:rFonts w:ascii="Times New Roman" w:hAnsi="Times New Roman"/>
                <w:i/>
                <w:sz w:val="20"/>
                <w:szCs w:val="20"/>
              </w:rPr>
              <w:t>Má návrh odlišný vplyv na ženy a mužov? Popíšte vplyvy.</w:t>
            </w:r>
          </w:p>
        </w:tc>
      </w:tr>
      <w:tr w:rsidR="00E844AA" w:rsidRPr="00E3544D" w:rsidTr="0045221E">
        <w:tblPrEx>
          <w:tblBorders>
            <w:top w:val="none" w:sz="0" w:space="0" w:color="auto"/>
            <w:bottom w:val="none" w:sz="0" w:space="0" w:color="auto"/>
          </w:tblBorders>
        </w:tblPrEx>
        <w:trPr>
          <w:trHeight w:val="372"/>
          <w:jc w:val="center"/>
        </w:trPr>
        <w:tc>
          <w:tcPr>
            <w:tcW w:w="132" w:type="pct"/>
            <w:vAlign w:val="center"/>
          </w:tcPr>
          <w:p w:rsidR="00E844AA" w:rsidRPr="00E3544D" w:rsidRDefault="00E844AA" w:rsidP="0045221E">
            <w:pPr>
              <w:spacing w:after="0" w:line="240" w:lineRule="auto"/>
              <w:rPr>
                <w:rFonts w:ascii="Times New Roman" w:hAnsi="Times New Roman"/>
                <w:i/>
                <w:sz w:val="18"/>
                <w:szCs w:val="18"/>
                <w:lang w:eastAsia="sk-SK"/>
              </w:rPr>
            </w:pPr>
            <w:r w:rsidRPr="00E3544D">
              <w:rPr>
                <w:rFonts w:ascii="Times New Roman" w:hAnsi="Times New Roman"/>
                <w:i/>
                <w:sz w:val="18"/>
                <w:szCs w:val="18"/>
                <w:lang w:eastAsia="sk-SK"/>
              </w:rPr>
              <w:t>d)</w:t>
            </w:r>
          </w:p>
        </w:tc>
        <w:tc>
          <w:tcPr>
            <w:tcW w:w="1880" w:type="pct"/>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Popíšte riziká návrhu, ktoré môžu viesť k zväčšovaniu nerovností:</w:t>
            </w:r>
          </w:p>
        </w:tc>
        <w:tc>
          <w:tcPr>
            <w:tcW w:w="2988" w:type="pct"/>
          </w:tcPr>
          <w:p w:rsidR="00E844AA" w:rsidRPr="00E3544D" w:rsidRDefault="00E844AA" w:rsidP="0045221E">
            <w:pPr>
              <w:spacing w:after="0" w:line="240" w:lineRule="auto"/>
              <w:jc w:val="both"/>
              <w:rPr>
                <w:rFonts w:ascii="Times New Roman" w:hAnsi="Times New Roman"/>
                <w:sz w:val="20"/>
              </w:rPr>
            </w:pPr>
            <w:r w:rsidRPr="00E3544D">
              <w:rPr>
                <w:rFonts w:ascii="Times New Roman" w:hAnsi="Times New Roman"/>
                <w:sz w:val="20"/>
                <w:szCs w:val="20"/>
                <w:lang w:eastAsia="sk-SK"/>
              </w:rPr>
              <w:t>Návrh zákona nepredpokladá vplyv v tejto oblasti.</w:t>
            </w:r>
          </w:p>
        </w:tc>
      </w:tr>
      <w:tr w:rsidR="00E844AA" w:rsidRPr="00E3544D" w:rsidTr="0045221E">
        <w:tblPrEx>
          <w:tblBorders>
            <w:top w:val="none" w:sz="0" w:space="0" w:color="auto"/>
            <w:bottom w:val="none" w:sz="0" w:space="0" w:color="auto"/>
          </w:tblBorders>
        </w:tblPrEx>
        <w:trPr>
          <w:trHeight w:val="371"/>
          <w:jc w:val="center"/>
        </w:trPr>
        <w:tc>
          <w:tcPr>
            <w:tcW w:w="132" w:type="pct"/>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e)</w:t>
            </w:r>
          </w:p>
        </w:tc>
        <w:tc>
          <w:tcPr>
            <w:tcW w:w="1880" w:type="pct"/>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988" w:type="pct"/>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sz w:val="20"/>
                <w:szCs w:val="20"/>
                <w:lang w:eastAsia="sk-SK"/>
              </w:rPr>
              <w:t>Návrh zákona nepredpokladá vplyv v tejto oblasti.</w:t>
            </w:r>
          </w:p>
        </w:tc>
      </w:tr>
      <w:tr w:rsidR="00E844AA" w:rsidRPr="00E3544D" w:rsidTr="0045221E">
        <w:tblPrEx>
          <w:tblBorders>
            <w:top w:val="none" w:sz="0" w:space="0" w:color="auto"/>
            <w:bottom w:val="none" w:sz="0" w:space="0" w:color="auto"/>
          </w:tblBorders>
        </w:tblPrEx>
        <w:trPr>
          <w:trHeight w:val="371"/>
          <w:jc w:val="center"/>
        </w:trPr>
        <w:tc>
          <w:tcPr>
            <w:tcW w:w="132" w:type="pct"/>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f)</w:t>
            </w:r>
          </w:p>
        </w:tc>
        <w:tc>
          <w:tcPr>
            <w:tcW w:w="1880" w:type="pct"/>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sz w:val="20"/>
                <w:szCs w:val="20"/>
                <w:lang w:eastAsia="sk-SK"/>
              </w:rPr>
              <w:t>Návrh zákona nepredpokladá vplyv v tejto oblasti.</w:t>
            </w:r>
          </w:p>
        </w:tc>
      </w:tr>
      <w:tr w:rsidR="00E844AA" w:rsidRPr="00E3544D" w:rsidTr="0045221E">
        <w:tblPrEx>
          <w:tblBorders>
            <w:top w:val="none" w:sz="0" w:space="0" w:color="auto"/>
            <w:bottom w:val="none" w:sz="0" w:space="0" w:color="auto"/>
          </w:tblBorders>
        </w:tblPrEx>
        <w:trPr>
          <w:trHeight w:val="1235"/>
          <w:jc w:val="center"/>
        </w:trPr>
        <w:tc>
          <w:tcPr>
            <w:tcW w:w="132" w:type="pct"/>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g)</w:t>
            </w:r>
          </w:p>
        </w:tc>
        <w:tc>
          <w:tcPr>
            <w:tcW w:w="1880" w:type="pct"/>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E844AA" w:rsidRPr="00E3544D" w:rsidRDefault="00E844AA" w:rsidP="0045221E">
            <w:pPr>
              <w:spacing w:after="0" w:line="240" w:lineRule="auto"/>
              <w:jc w:val="both"/>
              <w:rPr>
                <w:rFonts w:ascii="Times New Roman" w:hAnsi="Times New Roman"/>
                <w:color w:val="000000"/>
                <w:sz w:val="27"/>
                <w:szCs w:val="27"/>
              </w:rPr>
            </w:pPr>
            <w:r w:rsidRPr="00E3544D">
              <w:rPr>
                <w:rFonts w:ascii="Times New Roman" w:hAnsi="Times New Roman"/>
                <w:i/>
                <w:sz w:val="18"/>
                <w:szCs w:val="18"/>
              </w:rPr>
              <w:t xml:space="preserve">V ktorých oblastiach podpory rovnosti žien a mužov návrh odstraňuje prekážky a/alebo podporuje rovnosť žien a mužov? </w:t>
            </w:r>
            <w:r w:rsidRPr="00E3544D">
              <w:rPr>
                <w:rFonts w:ascii="Times New Roman" w:hAnsi="Times New Roman"/>
                <w:i/>
                <w:iCs/>
                <w:color w:val="000000"/>
                <w:sz w:val="18"/>
                <w:szCs w:val="18"/>
              </w:rPr>
              <w:t>Medzi oblasti podpory rovnosti žien a mužov okrem iného patria:</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podpora slobodného výberu povolania a ekonomickej činnosti</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podpora vyrovnávania ekonomickej nezávislosti, </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zosúladenie pracovného, súkromného a rodinného života, </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podpora rovnosti príležitostí pri participácii na rozhodovaní, </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 xml:space="preserve">boj proti domácemu násiliu,  násiliu na ženách  a obchodovaniu s ľuďmi, </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lang w:eastAsia="sk-SK"/>
              </w:rPr>
            </w:pPr>
            <w:r w:rsidRPr="00E3544D">
              <w:rPr>
                <w:rFonts w:ascii="Times New Roman" w:hAnsi="Times New Roman"/>
                <w:i/>
                <w:sz w:val="18"/>
                <w:szCs w:val="18"/>
                <w:lang w:eastAsia="sk-SK"/>
              </w:rPr>
              <w:t>podpora vnímania osobnej starostlivosti o dieťa za rovnocennú s ekonomickou činnosťou a podpora neviditeľnej práce v domácnosti ako takej,</w:t>
            </w:r>
          </w:p>
          <w:p w:rsidR="00E844AA" w:rsidRPr="00E3544D" w:rsidRDefault="00E844AA" w:rsidP="00E844AA">
            <w:pPr>
              <w:numPr>
                <w:ilvl w:val="0"/>
                <w:numId w:val="19"/>
              </w:numPr>
              <w:spacing w:after="0" w:line="240" w:lineRule="auto"/>
              <w:ind w:left="170" w:hanging="170"/>
              <w:jc w:val="both"/>
              <w:rPr>
                <w:rFonts w:ascii="Times New Roman" w:hAnsi="Times New Roman"/>
                <w:i/>
                <w:sz w:val="18"/>
                <w:szCs w:val="18"/>
              </w:rPr>
            </w:pPr>
            <w:r w:rsidRPr="00E3544D">
              <w:rPr>
                <w:rFonts w:ascii="Times New Roman" w:hAnsi="Times New Roman"/>
                <w:i/>
                <w:sz w:val="18"/>
                <w:szCs w:val="18"/>
                <w:lang w:eastAsia="sk-SK"/>
              </w:rPr>
              <w:t>rešpektovanie osobných preferencií pri výbere povolania a zosúlaďovania pracovného a rodinného života.</w:t>
            </w:r>
          </w:p>
        </w:tc>
        <w:tc>
          <w:tcPr>
            <w:tcW w:w="2988" w:type="pct"/>
          </w:tcPr>
          <w:p w:rsidR="00E844AA" w:rsidRPr="00E3544D" w:rsidRDefault="00E844AA" w:rsidP="0045221E">
            <w:pPr>
              <w:spacing w:after="0" w:line="240" w:lineRule="auto"/>
              <w:rPr>
                <w:rFonts w:ascii="Times New Roman" w:hAnsi="Times New Roman"/>
                <w:sz w:val="20"/>
              </w:rPr>
            </w:pPr>
            <w:r w:rsidRPr="00E3544D">
              <w:rPr>
                <w:rFonts w:ascii="Times New Roman" w:hAnsi="Times New Roman"/>
                <w:sz w:val="20"/>
                <w:szCs w:val="20"/>
                <w:lang w:eastAsia="sk-SK"/>
              </w:rPr>
              <w:t>Návrh zákona nepredpokladá vplyv v tejto oblasti.</w:t>
            </w:r>
          </w:p>
        </w:tc>
      </w:tr>
    </w:tbl>
    <w:p w:rsidR="00E844AA" w:rsidRPr="00E3544D" w:rsidRDefault="00E844AA" w:rsidP="00E844AA">
      <w:pPr>
        <w:spacing w:after="0" w:line="240" w:lineRule="auto"/>
        <w:rPr>
          <w:rFonts w:ascii="Times New Roman" w:hAnsi="Times New Roman"/>
          <w:b/>
          <w:sz w:val="24"/>
          <w:lang w:eastAsia="sk-SK"/>
        </w:rPr>
        <w:sectPr w:rsidR="00E844AA" w:rsidRPr="00E3544D" w:rsidSect="00FE3377">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E844AA" w:rsidRPr="00E3544D" w:rsidTr="0045221E">
        <w:trPr>
          <w:jc w:val="center"/>
        </w:trPr>
        <w:tc>
          <w:tcPr>
            <w:tcW w:w="5000" w:type="pct"/>
            <w:gridSpan w:val="3"/>
            <w:shd w:val="clear" w:color="auto" w:fill="D9D9D9"/>
          </w:tcPr>
          <w:p w:rsidR="00E844AA" w:rsidRPr="00E3544D" w:rsidRDefault="00E844AA" w:rsidP="0045221E">
            <w:pPr>
              <w:spacing w:after="0" w:line="240" w:lineRule="auto"/>
              <w:rPr>
                <w:rFonts w:ascii="Times New Roman" w:hAnsi="Times New Roman"/>
                <w:b/>
                <w:sz w:val="24"/>
                <w:lang w:eastAsia="sk-SK"/>
              </w:rPr>
            </w:pPr>
            <w:r w:rsidRPr="00E3544D">
              <w:rPr>
                <w:rFonts w:ascii="Times New Roman" w:hAnsi="Times New Roman"/>
                <w:b/>
                <w:sz w:val="24"/>
                <w:lang w:eastAsia="sk-SK"/>
              </w:rPr>
              <w:lastRenderedPageBreak/>
              <w:t>4.4 Identifikujte, popíšte a kvantifikujte vplyvy na zamestnanosť a na trh práce.</w:t>
            </w:r>
          </w:p>
          <w:p w:rsidR="00E844AA" w:rsidRPr="00E3544D" w:rsidRDefault="00E844AA" w:rsidP="0045221E">
            <w:pPr>
              <w:spacing w:after="0" w:line="240" w:lineRule="auto"/>
              <w:jc w:val="both"/>
              <w:rPr>
                <w:rFonts w:ascii="Times New Roman" w:hAnsi="Times New Roman"/>
                <w:i/>
                <w:lang w:eastAsia="sk-SK"/>
              </w:rPr>
            </w:pPr>
            <w:r w:rsidRPr="00E3544D">
              <w:rPr>
                <w:rFonts w:ascii="Times New Roman" w:hAnsi="Times New Roman"/>
                <w:i/>
                <w:lang w:eastAsia="sk-SK"/>
              </w:rPr>
              <w:t xml:space="preserve">V prípade kladnej odpovede pripojte </w:t>
            </w:r>
            <w:r w:rsidRPr="00E3544D">
              <w:rPr>
                <w:rFonts w:ascii="Times New Roman" w:hAnsi="Times New Roman"/>
                <w:b/>
                <w:i/>
                <w:lang w:eastAsia="sk-SK"/>
              </w:rPr>
              <w:t>odôvodnenie</w:t>
            </w:r>
            <w:r w:rsidRPr="00E3544D">
              <w:rPr>
                <w:rFonts w:ascii="Times New Roman" w:hAnsi="Times New Roman"/>
                <w:i/>
                <w:lang w:eastAsia="sk-SK"/>
              </w:rPr>
              <w:t xml:space="preserve"> v súlade s Metodickým postupom pre analýzu sociálnych vplyvov.</w:t>
            </w:r>
          </w:p>
        </w:tc>
      </w:tr>
      <w:tr w:rsidR="00E844AA" w:rsidRPr="00E3544D" w:rsidTr="0045221E">
        <w:trPr>
          <w:trHeight w:val="287"/>
          <w:jc w:val="center"/>
        </w:trPr>
        <w:tc>
          <w:tcPr>
            <w:tcW w:w="129" w:type="pct"/>
            <w:tcBorders>
              <w:top w:val="nil"/>
            </w:tcBorders>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a)</w:t>
            </w:r>
          </w:p>
        </w:tc>
        <w:tc>
          <w:tcPr>
            <w:tcW w:w="4871" w:type="pct"/>
            <w:gridSpan w:val="2"/>
            <w:tcBorders>
              <w:top w:val="nil"/>
            </w:tcBorders>
            <w:shd w:val="clear" w:color="auto" w:fill="F2F2F2"/>
            <w:vAlign w:val="center"/>
          </w:tcPr>
          <w:p w:rsidR="00E844AA" w:rsidRPr="00E3544D" w:rsidRDefault="00E844AA" w:rsidP="0045221E">
            <w:pPr>
              <w:spacing w:after="0" w:line="240" w:lineRule="auto"/>
              <w:rPr>
                <w:rFonts w:ascii="Times New Roman" w:hAnsi="Times New Roman"/>
                <w:i/>
                <w:sz w:val="20"/>
                <w:szCs w:val="20"/>
              </w:rPr>
            </w:pPr>
            <w:r w:rsidRPr="00E3544D">
              <w:rPr>
                <w:rFonts w:ascii="Times New Roman" w:hAnsi="Times New Roman"/>
                <w:i/>
                <w:sz w:val="20"/>
                <w:szCs w:val="20"/>
              </w:rPr>
              <w:t>Uľahčuje návrh vznik nových pracovných miest? Ak áno, ako? Ak je to možné, doplňte kvantifikáciu.</w:t>
            </w:r>
          </w:p>
        </w:tc>
      </w:tr>
      <w:tr w:rsidR="00E844AA" w:rsidRPr="00E3544D" w:rsidTr="0045221E">
        <w:trPr>
          <w:trHeight w:val="567"/>
          <w:jc w:val="center"/>
        </w:trPr>
        <w:tc>
          <w:tcPr>
            <w:tcW w:w="129" w:type="pct"/>
            <w:tcBorders>
              <w:top w:val="nil"/>
            </w:tcBorders>
            <w:shd w:val="clear" w:color="auto" w:fill="FFFFFF"/>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b)</w:t>
            </w:r>
          </w:p>
        </w:tc>
        <w:tc>
          <w:tcPr>
            <w:tcW w:w="1838" w:type="pct"/>
            <w:tcBorders>
              <w:top w:val="nil"/>
            </w:tcBorders>
            <w:shd w:val="clear" w:color="auto" w:fill="FFFFFF"/>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tcBorders>
            <w:shd w:val="clear" w:color="auto" w:fill="FFFFFF"/>
          </w:tcPr>
          <w:p w:rsidR="00E844AA" w:rsidRPr="00E3544D" w:rsidRDefault="00E844AA" w:rsidP="0045221E">
            <w:pPr>
              <w:spacing w:after="0" w:line="240" w:lineRule="auto"/>
              <w:rPr>
                <w:rFonts w:ascii="Times New Roman" w:hAnsi="Times New Roman"/>
                <w:sz w:val="20"/>
                <w:szCs w:val="18"/>
              </w:rPr>
            </w:pPr>
            <w:r w:rsidRPr="00E3544D">
              <w:rPr>
                <w:rFonts w:ascii="Times New Roman" w:hAnsi="Times New Roman"/>
                <w:sz w:val="20"/>
                <w:szCs w:val="20"/>
                <w:lang w:eastAsia="sk-SK"/>
              </w:rPr>
              <w:t>Návrh zákona nepredpokladá vplyv v tejto oblasti.</w:t>
            </w:r>
          </w:p>
        </w:tc>
      </w:tr>
      <w:tr w:rsidR="00E844AA" w:rsidRPr="00E3544D" w:rsidTr="0045221E">
        <w:trPr>
          <w:trHeight w:val="270"/>
          <w:jc w:val="center"/>
        </w:trPr>
        <w:tc>
          <w:tcPr>
            <w:tcW w:w="129" w:type="pct"/>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c)</w:t>
            </w:r>
          </w:p>
        </w:tc>
        <w:tc>
          <w:tcPr>
            <w:tcW w:w="4871" w:type="pct"/>
            <w:gridSpan w:val="2"/>
            <w:shd w:val="clear" w:color="auto" w:fill="F2F2F2"/>
            <w:vAlign w:val="center"/>
          </w:tcPr>
          <w:p w:rsidR="00E844AA" w:rsidRPr="00E3544D" w:rsidRDefault="00E844AA" w:rsidP="0045221E">
            <w:pPr>
              <w:spacing w:after="0" w:line="240" w:lineRule="auto"/>
              <w:rPr>
                <w:rFonts w:ascii="Times New Roman" w:hAnsi="Times New Roman"/>
                <w:i/>
                <w:sz w:val="20"/>
                <w:szCs w:val="20"/>
              </w:rPr>
            </w:pPr>
            <w:r w:rsidRPr="00E3544D">
              <w:rPr>
                <w:rFonts w:ascii="Times New Roman" w:hAnsi="Times New Roman"/>
                <w:i/>
                <w:sz w:val="20"/>
                <w:szCs w:val="20"/>
              </w:rPr>
              <w:t>Vedie návrh k zániku pracovných miest?</w:t>
            </w:r>
            <w:r w:rsidRPr="00E3544D">
              <w:rPr>
                <w:rFonts w:ascii="Times New Roman" w:hAnsi="Times New Roman"/>
                <w:sz w:val="20"/>
                <w:szCs w:val="20"/>
              </w:rPr>
              <w:t xml:space="preserve"> </w:t>
            </w:r>
            <w:r w:rsidRPr="00E3544D">
              <w:rPr>
                <w:rFonts w:ascii="Times New Roman" w:hAnsi="Times New Roman"/>
                <w:i/>
                <w:sz w:val="20"/>
                <w:szCs w:val="20"/>
              </w:rPr>
              <w:t>Ak áno, ako a akých? Ak je to možné, doplňte kvantifikáciu</w:t>
            </w:r>
          </w:p>
        </w:tc>
      </w:tr>
      <w:tr w:rsidR="00E844AA" w:rsidRPr="00E3544D" w:rsidTr="0045221E">
        <w:trPr>
          <w:trHeight w:val="454"/>
          <w:jc w:val="center"/>
        </w:trPr>
        <w:tc>
          <w:tcPr>
            <w:tcW w:w="129" w:type="pct"/>
            <w:shd w:val="clear" w:color="auto" w:fill="FFFFFF"/>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d)</w:t>
            </w:r>
          </w:p>
        </w:tc>
        <w:tc>
          <w:tcPr>
            <w:tcW w:w="1838" w:type="pct"/>
            <w:shd w:val="clear" w:color="auto" w:fill="FFFFFF"/>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shd w:val="clear" w:color="auto" w:fill="FFFFFF"/>
          </w:tcPr>
          <w:p w:rsidR="00E844AA" w:rsidRPr="00E3544D" w:rsidRDefault="00E844AA" w:rsidP="0045221E">
            <w:pPr>
              <w:spacing w:after="0" w:line="240" w:lineRule="auto"/>
              <w:rPr>
                <w:rFonts w:ascii="Times New Roman" w:hAnsi="Times New Roman"/>
                <w:sz w:val="20"/>
                <w:szCs w:val="18"/>
              </w:rPr>
            </w:pPr>
            <w:r w:rsidRPr="00E3544D">
              <w:rPr>
                <w:rFonts w:ascii="Times New Roman" w:hAnsi="Times New Roman"/>
                <w:sz w:val="20"/>
                <w:szCs w:val="20"/>
                <w:lang w:eastAsia="sk-SK"/>
              </w:rPr>
              <w:t>Návrh zákona nepredpokladá vplyv v tejto oblasti.</w:t>
            </w:r>
          </w:p>
        </w:tc>
      </w:tr>
      <w:tr w:rsidR="00E844AA" w:rsidRPr="00E3544D" w:rsidTr="0045221E">
        <w:trPr>
          <w:trHeight w:val="248"/>
          <w:jc w:val="center"/>
        </w:trPr>
        <w:tc>
          <w:tcPr>
            <w:tcW w:w="129" w:type="pct"/>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e)</w:t>
            </w:r>
          </w:p>
        </w:tc>
        <w:tc>
          <w:tcPr>
            <w:tcW w:w="4871" w:type="pct"/>
            <w:gridSpan w:val="2"/>
            <w:shd w:val="clear" w:color="auto" w:fill="F2F2F2"/>
            <w:vAlign w:val="center"/>
          </w:tcPr>
          <w:p w:rsidR="00E844AA" w:rsidRPr="00E3544D" w:rsidRDefault="00E844AA" w:rsidP="0045221E">
            <w:pPr>
              <w:spacing w:after="0" w:line="240" w:lineRule="auto"/>
              <w:rPr>
                <w:rFonts w:ascii="Times New Roman" w:hAnsi="Times New Roman"/>
                <w:sz w:val="20"/>
                <w:szCs w:val="20"/>
              </w:rPr>
            </w:pPr>
            <w:r w:rsidRPr="00E3544D">
              <w:rPr>
                <w:rFonts w:ascii="Times New Roman" w:hAnsi="Times New Roman"/>
                <w:i/>
                <w:sz w:val="20"/>
                <w:szCs w:val="20"/>
              </w:rPr>
              <w:t>Ovplyvňuje návrh dopyt po práci? Ak áno, ako?</w:t>
            </w:r>
          </w:p>
        </w:tc>
      </w:tr>
      <w:tr w:rsidR="00E844AA" w:rsidRPr="00E3544D" w:rsidTr="0045221E">
        <w:trPr>
          <w:trHeight w:val="209"/>
          <w:jc w:val="center"/>
        </w:trPr>
        <w:tc>
          <w:tcPr>
            <w:tcW w:w="129" w:type="pct"/>
            <w:shd w:val="clear" w:color="auto" w:fill="FFFFFF"/>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f)</w:t>
            </w:r>
          </w:p>
        </w:tc>
        <w:tc>
          <w:tcPr>
            <w:tcW w:w="1838" w:type="pct"/>
            <w:shd w:val="clear" w:color="auto" w:fill="FFFFFF"/>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Dopyt po práci závisí na jednej strane na produkcii tovarov a služieb v ekonomike a na druhej strane na cene práce.</w:t>
            </w:r>
          </w:p>
        </w:tc>
        <w:tc>
          <w:tcPr>
            <w:tcW w:w="3032" w:type="pct"/>
            <w:shd w:val="clear" w:color="auto" w:fill="FFFFFF"/>
          </w:tcPr>
          <w:p w:rsidR="00E844AA" w:rsidRPr="00E3544D" w:rsidRDefault="00E844AA" w:rsidP="0045221E">
            <w:pPr>
              <w:spacing w:after="0" w:line="240" w:lineRule="auto"/>
              <w:rPr>
                <w:rFonts w:ascii="Times New Roman" w:hAnsi="Times New Roman"/>
                <w:sz w:val="20"/>
                <w:szCs w:val="18"/>
              </w:rPr>
            </w:pPr>
            <w:r w:rsidRPr="00E3544D">
              <w:rPr>
                <w:rFonts w:ascii="Times New Roman" w:hAnsi="Times New Roman"/>
                <w:sz w:val="20"/>
                <w:szCs w:val="20"/>
                <w:lang w:eastAsia="sk-SK"/>
              </w:rPr>
              <w:t>Návrh zákona nepredpokladá vplyv v tejto oblasti.</w:t>
            </w:r>
          </w:p>
        </w:tc>
      </w:tr>
      <w:tr w:rsidR="00E844AA" w:rsidRPr="00E3544D" w:rsidTr="0045221E">
        <w:trPr>
          <w:trHeight w:val="208"/>
          <w:jc w:val="center"/>
        </w:trPr>
        <w:tc>
          <w:tcPr>
            <w:tcW w:w="129" w:type="pct"/>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g)</w:t>
            </w:r>
          </w:p>
        </w:tc>
        <w:tc>
          <w:tcPr>
            <w:tcW w:w="4871" w:type="pct"/>
            <w:gridSpan w:val="2"/>
            <w:shd w:val="clear" w:color="auto" w:fill="F2F2F2"/>
            <w:vAlign w:val="center"/>
          </w:tcPr>
          <w:p w:rsidR="00E844AA" w:rsidRPr="00E3544D" w:rsidRDefault="00E844AA" w:rsidP="0045221E">
            <w:pPr>
              <w:spacing w:after="0" w:line="240" w:lineRule="auto"/>
              <w:rPr>
                <w:rFonts w:ascii="Times New Roman" w:hAnsi="Times New Roman"/>
                <w:sz w:val="20"/>
                <w:szCs w:val="20"/>
              </w:rPr>
            </w:pPr>
            <w:r w:rsidRPr="00E3544D">
              <w:rPr>
                <w:rFonts w:ascii="Times New Roman" w:hAnsi="Times New Roman"/>
                <w:i/>
                <w:sz w:val="20"/>
                <w:szCs w:val="20"/>
              </w:rPr>
              <w:t>Má návrh dosah na fungovanie trhu práce?</w:t>
            </w:r>
            <w:r w:rsidRPr="00E3544D">
              <w:rPr>
                <w:rFonts w:ascii="Times New Roman" w:hAnsi="Times New Roman"/>
                <w:sz w:val="20"/>
                <w:szCs w:val="20"/>
              </w:rPr>
              <w:t xml:space="preserve"> </w:t>
            </w:r>
            <w:r w:rsidRPr="00E3544D">
              <w:rPr>
                <w:rFonts w:ascii="Times New Roman" w:hAnsi="Times New Roman"/>
                <w:i/>
                <w:sz w:val="20"/>
                <w:szCs w:val="20"/>
              </w:rPr>
              <w:t>Ak áno, aký?</w:t>
            </w:r>
          </w:p>
        </w:tc>
      </w:tr>
      <w:tr w:rsidR="00E844AA" w:rsidRPr="00E3544D" w:rsidTr="0045221E">
        <w:trPr>
          <w:trHeight w:val="794"/>
          <w:jc w:val="center"/>
        </w:trPr>
        <w:tc>
          <w:tcPr>
            <w:tcW w:w="129" w:type="pct"/>
            <w:shd w:val="clear" w:color="auto" w:fill="FFFFFF"/>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h)</w:t>
            </w:r>
          </w:p>
        </w:tc>
        <w:tc>
          <w:tcPr>
            <w:tcW w:w="1838" w:type="pct"/>
            <w:shd w:val="clear" w:color="auto" w:fill="FFFFFF"/>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Týka sa makroekonomických dosahov ako je napr. participácia na trhu práce, dlhodobá nezamestnanosť, regionálne rozdiely v mierach zamestnanosti.</w:t>
            </w:r>
            <w:r w:rsidRPr="00E3544D">
              <w:rPr>
                <w:rFonts w:ascii="Times New Roman" w:hAnsi="Times New Roman"/>
                <w:sz w:val="18"/>
                <w:szCs w:val="18"/>
              </w:rPr>
              <w:t xml:space="preserve"> </w:t>
            </w:r>
            <w:r w:rsidRPr="00E3544D">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shd w:val="clear" w:color="auto" w:fill="FFFFFF"/>
          </w:tcPr>
          <w:p w:rsidR="00E844AA" w:rsidRPr="00E3544D" w:rsidRDefault="00E844AA" w:rsidP="0045221E">
            <w:pPr>
              <w:spacing w:after="0" w:line="240" w:lineRule="auto"/>
              <w:rPr>
                <w:rFonts w:ascii="Times New Roman" w:hAnsi="Times New Roman"/>
                <w:sz w:val="20"/>
                <w:szCs w:val="18"/>
              </w:rPr>
            </w:pPr>
            <w:r w:rsidRPr="00E3544D">
              <w:rPr>
                <w:rFonts w:ascii="Times New Roman" w:hAnsi="Times New Roman"/>
                <w:sz w:val="20"/>
                <w:szCs w:val="20"/>
                <w:lang w:eastAsia="sk-SK"/>
              </w:rPr>
              <w:t>Návrh zákona nepredpokladá vplyv v tejto oblasti.</w:t>
            </w:r>
          </w:p>
        </w:tc>
      </w:tr>
      <w:tr w:rsidR="00E844AA" w:rsidRPr="00E3544D" w:rsidTr="0045221E">
        <w:trPr>
          <w:trHeight w:val="324"/>
          <w:jc w:val="center"/>
        </w:trPr>
        <w:tc>
          <w:tcPr>
            <w:tcW w:w="129" w:type="pct"/>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i)</w:t>
            </w:r>
          </w:p>
        </w:tc>
        <w:tc>
          <w:tcPr>
            <w:tcW w:w="4871" w:type="pct"/>
            <w:gridSpan w:val="2"/>
            <w:shd w:val="clear" w:color="auto" w:fill="F2F2F2"/>
            <w:vAlign w:val="center"/>
          </w:tcPr>
          <w:p w:rsidR="00E844AA" w:rsidRPr="00E3544D" w:rsidRDefault="00E844AA" w:rsidP="0045221E">
            <w:pPr>
              <w:spacing w:after="0" w:line="240" w:lineRule="auto"/>
              <w:rPr>
                <w:rFonts w:ascii="Times New Roman" w:hAnsi="Times New Roman"/>
                <w:sz w:val="20"/>
                <w:szCs w:val="20"/>
              </w:rPr>
            </w:pPr>
            <w:r w:rsidRPr="00E3544D">
              <w:rPr>
                <w:rFonts w:ascii="Times New Roman" w:hAnsi="Times New Roman"/>
                <w:i/>
                <w:sz w:val="20"/>
                <w:szCs w:val="20"/>
              </w:rPr>
              <w:t>Má návrh špecifické negatívne dôsledky pre isté skupiny profesií, skupín zamestnancov či živnostníkov?</w:t>
            </w:r>
            <w:r w:rsidRPr="00E3544D">
              <w:rPr>
                <w:rFonts w:ascii="Times New Roman" w:hAnsi="Times New Roman"/>
                <w:sz w:val="20"/>
                <w:szCs w:val="20"/>
              </w:rPr>
              <w:t xml:space="preserve"> </w:t>
            </w:r>
            <w:r w:rsidRPr="00E3544D">
              <w:rPr>
                <w:rFonts w:ascii="Times New Roman" w:hAnsi="Times New Roman"/>
                <w:i/>
                <w:sz w:val="20"/>
                <w:szCs w:val="20"/>
              </w:rPr>
              <w:t>Ak áno, aké a pre ktoré skupiny?</w:t>
            </w:r>
          </w:p>
        </w:tc>
      </w:tr>
      <w:tr w:rsidR="00E844AA" w:rsidRPr="00E3544D" w:rsidTr="0045221E">
        <w:trPr>
          <w:trHeight w:val="216"/>
          <w:jc w:val="center"/>
        </w:trPr>
        <w:tc>
          <w:tcPr>
            <w:tcW w:w="129" w:type="pct"/>
            <w:shd w:val="clear" w:color="auto" w:fill="FFFFFF"/>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j)</w:t>
            </w:r>
          </w:p>
        </w:tc>
        <w:tc>
          <w:tcPr>
            <w:tcW w:w="1838" w:type="pct"/>
            <w:shd w:val="clear" w:color="auto" w:fill="FFFFFF"/>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Návrh môže ohrozovať napr. pracovníkov istých profesií favorizovaním špecifických aktivít či technológií.</w:t>
            </w:r>
          </w:p>
        </w:tc>
        <w:tc>
          <w:tcPr>
            <w:tcW w:w="3032" w:type="pct"/>
            <w:shd w:val="clear" w:color="auto" w:fill="FFFFFF"/>
          </w:tcPr>
          <w:p w:rsidR="00E844AA" w:rsidRPr="00E3544D" w:rsidRDefault="00E844AA" w:rsidP="0045221E">
            <w:pPr>
              <w:spacing w:after="0" w:line="240" w:lineRule="auto"/>
              <w:rPr>
                <w:rFonts w:ascii="Times New Roman" w:hAnsi="Times New Roman"/>
                <w:sz w:val="20"/>
                <w:szCs w:val="18"/>
              </w:rPr>
            </w:pPr>
            <w:r w:rsidRPr="00E3544D">
              <w:rPr>
                <w:rFonts w:ascii="Times New Roman" w:hAnsi="Times New Roman"/>
                <w:sz w:val="20"/>
                <w:szCs w:val="20"/>
                <w:lang w:eastAsia="sk-SK"/>
              </w:rPr>
              <w:t>Návrh zákona nepredpokladá vplyv v tejto oblasti.</w:t>
            </w:r>
          </w:p>
        </w:tc>
      </w:tr>
      <w:tr w:rsidR="00E844AA" w:rsidRPr="00E3544D" w:rsidTr="0045221E">
        <w:trPr>
          <w:trHeight w:val="219"/>
          <w:jc w:val="center"/>
        </w:trPr>
        <w:tc>
          <w:tcPr>
            <w:tcW w:w="129" w:type="pct"/>
            <w:shd w:val="clear" w:color="auto" w:fill="F2F2F2"/>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k)</w:t>
            </w:r>
          </w:p>
        </w:tc>
        <w:tc>
          <w:tcPr>
            <w:tcW w:w="4871" w:type="pct"/>
            <w:gridSpan w:val="2"/>
            <w:shd w:val="clear" w:color="auto" w:fill="F2F2F2"/>
            <w:vAlign w:val="center"/>
          </w:tcPr>
          <w:p w:rsidR="00E844AA" w:rsidRPr="00E3544D" w:rsidRDefault="00E844AA" w:rsidP="0045221E">
            <w:pPr>
              <w:spacing w:after="0" w:line="240" w:lineRule="auto"/>
              <w:rPr>
                <w:rFonts w:ascii="Times New Roman" w:hAnsi="Times New Roman"/>
                <w:sz w:val="20"/>
                <w:szCs w:val="20"/>
              </w:rPr>
            </w:pPr>
            <w:r w:rsidRPr="00E3544D">
              <w:rPr>
                <w:rFonts w:ascii="Times New Roman" w:hAnsi="Times New Roman"/>
                <w:i/>
                <w:sz w:val="20"/>
                <w:szCs w:val="20"/>
              </w:rPr>
              <w:t>Ovplyvňuje návrh špecifické vekové skupiny zamestnancov? Ak áno, aké? Akým spôsobom?</w:t>
            </w:r>
          </w:p>
        </w:tc>
      </w:tr>
      <w:tr w:rsidR="00E844AA" w:rsidRPr="002644DE" w:rsidTr="0045221E">
        <w:trPr>
          <w:trHeight w:val="497"/>
          <w:jc w:val="center"/>
        </w:trPr>
        <w:tc>
          <w:tcPr>
            <w:tcW w:w="129" w:type="pct"/>
            <w:shd w:val="clear" w:color="auto" w:fill="FFFFFF"/>
            <w:vAlign w:val="center"/>
          </w:tcPr>
          <w:p w:rsidR="00E844AA" w:rsidRPr="00E3544D" w:rsidRDefault="00E844AA" w:rsidP="0045221E">
            <w:pPr>
              <w:spacing w:after="0" w:line="240" w:lineRule="auto"/>
              <w:rPr>
                <w:rFonts w:ascii="Times New Roman" w:hAnsi="Times New Roman"/>
                <w:i/>
                <w:sz w:val="18"/>
                <w:szCs w:val="18"/>
              </w:rPr>
            </w:pPr>
            <w:r w:rsidRPr="00E3544D">
              <w:rPr>
                <w:rFonts w:ascii="Times New Roman" w:hAnsi="Times New Roman"/>
                <w:i/>
                <w:sz w:val="18"/>
                <w:szCs w:val="18"/>
              </w:rPr>
              <w:t>l)</w:t>
            </w:r>
          </w:p>
        </w:tc>
        <w:tc>
          <w:tcPr>
            <w:tcW w:w="1838" w:type="pct"/>
            <w:shd w:val="clear" w:color="auto" w:fill="FFFFFF"/>
          </w:tcPr>
          <w:p w:rsidR="00E844AA" w:rsidRPr="00E3544D" w:rsidRDefault="00E844AA" w:rsidP="0045221E">
            <w:pPr>
              <w:spacing w:after="0" w:line="240" w:lineRule="auto"/>
              <w:jc w:val="both"/>
              <w:rPr>
                <w:rFonts w:ascii="Times New Roman" w:hAnsi="Times New Roman"/>
                <w:i/>
                <w:sz w:val="18"/>
                <w:szCs w:val="18"/>
              </w:rPr>
            </w:pPr>
            <w:r w:rsidRPr="00E3544D">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shd w:val="clear" w:color="auto" w:fill="FFFFFF"/>
          </w:tcPr>
          <w:p w:rsidR="00E844AA" w:rsidRPr="002644DE" w:rsidRDefault="00E844AA" w:rsidP="0045221E">
            <w:pPr>
              <w:spacing w:after="0" w:line="240" w:lineRule="auto"/>
              <w:rPr>
                <w:rFonts w:ascii="Times New Roman" w:hAnsi="Times New Roman"/>
                <w:sz w:val="20"/>
                <w:szCs w:val="18"/>
              </w:rPr>
            </w:pPr>
            <w:r w:rsidRPr="00E3544D">
              <w:rPr>
                <w:rFonts w:ascii="Times New Roman" w:hAnsi="Times New Roman"/>
                <w:sz w:val="20"/>
                <w:szCs w:val="20"/>
                <w:lang w:eastAsia="sk-SK"/>
              </w:rPr>
              <w:t>Návrh zákona nepredpokladá vplyv v tejto oblasti.</w:t>
            </w:r>
          </w:p>
        </w:tc>
      </w:tr>
    </w:tbl>
    <w:p w:rsidR="00E844AA" w:rsidRDefault="00E844AA" w:rsidP="00E844AA"/>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Pr="00433962" w:rsidRDefault="00E844AA" w:rsidP="00E844AA">
      <w:pPr>
        <w:jc w:val="center"/>
        <w:rPr>
          <w:rFonts w:ascii="Times New Roman" w:hAnsi="Times New Roman"/>
          <w:sz w:val="24"/>
          <w:szCs w:val="24"/>
        </w:rPr>
      </w:pPr>
      <w:r w:rsidRPr="00433962">
        <w:rPr>
          <w:rFonts w:ascii="Times New Roman" w:hAnsi="Times New Roman"/>
          <w:b/>
          <w:bCs/>
          <w:sz w:val="24"/>
          <w:szCs w:val="24"/>
        </w:rPr>
        <w:lastRenderedPageBreak/>
        <w:t>DOLOŽKA ZLUČITEĽNOSTI</w:t>
      </w:r>
    </w:p>
    <w:p w:rsidR="00E844AA" w:rsidRDefault="00E844AA" w:rsidP="00E844AA">
      <w:pPr>
        <w:jc w:val="center"/>
        <w:rPr>
          <w:rFonts w:ascii="Times New Roman" w:hAnsi="Times New Roman"/>
          <w:b/>
          <w:bCs/>
          <w:sz w:val="24"/>
          <w:szCs w:val="24"/>
        </w:rPr>
      </w:pPr>
      <w:r w:rsidRPr="00433962">
        <w:rPr>
          <w:rFonts w:ascii="Times New Roman" w:hAnsi="Times New Roman"/>
          <w:b/>
          <w:bCs/>
          <w:sz w:val="24"/>
          <w:szCs w:val="24"/>
        </w:rPr>
        <w:t>návrhu právneho predpisu s právom Európskej únie</w:t>
      </w:r>
    </w:p>
    <w:p w:rsidR="00E844AA" w:rsidRPr="00433962" w:rsidRDefault="00E844AA" w:rsidP="00E844AA">
      <w:pPr>
        <w:jc w:val="center"/>
        <w:rPr>
          <w:rFonts w:ascii="Times New Roman" w:hAnsi="Times New Roman"/>
          <w:sz w:val="24"/>
          <w:szCs w:val="24"/>
        </w:rPr>
      </w:pPr>
    </w:p>
    <w:p w:rsidR="00E844AA" w:rsidRPr="00433962" w:rsidRDefault="00E844AA" w:rsidP="00E844AA">
      <w:pPr>
        <w:rPr>
          <w:rFonts w:ascii="Times New Roman" w:hAnsi="Times New Roman"/>
          <w:sz w:val="24"/>
          <w:szCs w:val="24"/>
        </w:rPr>
      </w:pPr>
      <w:r w:rsidRPr="00433962">
        <w:rPr>
          <w:rFonts w:ascii="Times New Roman" w:hAnsi="Times New Roman"/>
          <w:sz w:val="24"/>
          <w:szCs w:val="24"/>
        </w:rPr>
        <w:t xml:space="preserve">1. </w:t>
      </w:r>
      <w:r w:rsidRPr="00433962">
        <w:rPr>
          <w:rFonts w:ascii="Times New Roman" w:hAnsi="Times New Roman"/>
          <w:b/>
          <w:bCs/>
          <w:sz w:val="24"/>
          <w:szCs w:val="24"/>
        </w:rPr>
        <w:t>Navrhovateľ právneho predpisu</w:t>
      </w:r>
      <w:r w:rsidRPr="00433962">
        <w:rPr>
          <w:rFonts w:ascii="Times New Roman" w:hAnsi="Times New Roman"/>
          <w:sz w:val="24"/>
          <w:szCs w:val="24"/>
        </w:rPr>
        <w:t xml:space="preserve">: </w:t>
      </w:r>
    </w:p>
    <w:p w:rsidR="00E844AA" w:rsidRDefault="00E844AA" w:rsidP="00E844AA">
      <w:pPr>
        <w:rPr>
          <w:rFonts w:ascii="Times New Roman" w:hAnsi="Times New Roman"/>
          <w:bCs/>
          <w:sz w:val="24"/>
          <w:szCs w:val="24"/>
        </w:rPr>
      </w:pPr>
      <w:r w:rsidRPr="00433962">
        <w:rPr>
          <w:rFonts w:ascii="Times New Roman" w:hAnsi="Times New Roman"/>
          <w:bCs/>
          <w:sz w:val="24"/>
          <w:szCs w:val="24"/>
        </w:rPr>
        <w:t>Ministerstvo spravodlivosti Slovenskej republiky</w:t>
      </w:r>
    </w:p>
    <w:p w:rsidR="00E844AA" w:rsidRPr="00433962" w:rsidRDefault="00E844AA" w:rsidP="00E844AA">
      <w:pPr>
        <w:rPr>
          <w:rFonts w:ascii="Times New Roman" w:hAnsi="Times New Roman"/>
          <w:sz w:val="24"/>
          <w:szCs w:val="24"/>
        </w:rPr>
      </w:pPr>
    </w:p>
    <w:p w:rsidR="00E844AA" w:rsidRDefault="00E844AA" w:rsidP="00E844AA">
      <w:pPr>
        <w:rPr>
          <w:rFonts w:ascii="Times New Roman" w:hAnsi="Times New Roman"/>
          <w:b/>
          <w:sz w:val="24"/>
          <w:szCs w:val="24"/>
        </w:rPr>
      </w:pPr>
      <w:r w:rsidRPr="00433962">
        <w:rPr>
          <w:rFonts w:ascii="Times New Roman" w:hAnsi="Times New Roman"/>
          <w:b/>
          <w:sz w:val="24"/>
          <w:szCs w:val="24"/>
        </w:rPr>
        <w:t xml:space="preserve">2. Názov návrhu právneho predpisu: </w:t>
      </w:r>
    </w:p>
    <w:p w:rsidR="00E844AA" w:rsidRDefault="00E844AA" w:rsidP="00E844AA">
      <w:pPr>
        <w:spacing w:after="0"/>
        <w:jc w:val="both"/>
        <w:rPr>
          <w:rFonts w:ascii="Times New Roman" w:hAnsi="Times New Roman"/>
          <w:sz w:val="24"/>
          <w:szCs w:val="24"/>
        </w:rPr>
      </w:pPr>
      <w:r w:rsidRPr="00E5686F">
        <w:rPr>
          <w:rFonts w:ascii="Times New Roman" w:hAnsi="Times New Roman"/>
          <w:sz w:val="24"/>
          <w:szCs w:val="24"/>
        </w:rPr>
        <w:t xml:space="preserve">Návrh zákona, ktorým sa mení a dopĺňa zákon č. 162/2015 Z. z. Správny súdny poriadok v znení neskorších predpisov a ktorým sa mení zákon č. 514/2003 Z. z. o </w:t>
      </w:r>
      <w:r>
        <w:rPr>
          <w:rFonts w:ascii="Times New Roman" w:hAnsi="Times New Roman"/>
          <w:sz w:val="24"/>
          <w:szCs w:val="24"/>
        </w:rPr>
        <w:t>z</w:t>
      </w:r>
      <w:r w:rsidRPr="00E5686F">
        <w:rPr>
          <w:rFonts w:ascii="Times New Roman" w:hAnsi="Times New Roman"/>
          <w:sz w:val="24"/>
          <w:szCs w:val="24"/>
        </w:rPr>
        <w:t>odpovednosti za škodu spôsobenú pri výkone verejnej moci a o zmene niektorých zákonov v znení neskorších predpisov</w:t>
      </w:r>
    </w:p>
    <w:p w:rsidR="00E844AA" w:rsidRPr="00433962" w:rsidRDefault="00E844AA" w:rsidP="00E844AA">
      <w:pPr>
        <w:spacing w:before="240" w:after="0"/>
        <w:rPr>
          <w:rFonts w:ascii="Times New Roman" w:hAnsi="Times New Roman"/>
          <w:sz w:val="24"/>
          <w:szCs w:val="24"/>
        </w:rPr>
      </w:pPr>
    </w:p>
    <w:p w:rsidR="00E844AA" w:rsidRPr="00433962" w:rsidRDefault="00E844AA" w:rsidP="00E844AA">
      <w:pPr>
        <w:rPr>
          <w:rFonts w:ascii="Times New Roman" w:hAnsi="Times New Roman"/>
          <w:sz w:val="24"/>
          <w:szCs w:val="24"/>
        </w:rPr>
      </w:pPr>
      <w:r w:rsidRPr="00433962">
        <w:rPr>
          <w:rFonts w:ascii="Times New Roman" w:hAnsi="Times New Roman"/>
          <w:sz w:val="24"/>
          <w:szCs w:val="24"/>
        </w:rPr>
        <w:t xml:space="preserve">3. </w:t>
      </w:r>
      <w:r w:rsidRPr="00433962">
        <w:rPr>
          <w:rFonts w:ascii="Times New Roman" w:hAnsi="Times New Roman"/>
          <w:b/>
          <w:bCs/>
          <w:sz w:val="24"/>
          <w:szCs w:val="24"/>
        </w:rPr>
        <w:t>Predmet návrhu právneho predpisu nie je upravený v práve Európskej únie</w:t>
      </w:r>
      <w:r w:rsidRPr="00433962">
        <w:rPr>
          <w:rFonts w:ascii="Times New Roman" w:hAnsi="Times New Roman"/>
          <w:sz w:val="24"/>
          <w:szCs w:val="24"/>
        </w:rPr>
        <w:t xml:space="preserve">: </w:t>
      </w:r>
    </w:p>
    <w:p w:rsidR="00E844AA" w:rsidRPr="00433962" w:rsidRDefault="00E844AA" w:rsidP="00E844AA">
      <w:pPr>
        <w:rPr>
          <w:rFonts w:ascii="Times New Roman" w:hAnsi="Times New Roman"/>
          <w:sz w:val="24"/>
          <w:szCs w:val="24"/>
        </w:rPr>
      </w:pPr>
      <w:r w:rsidRPr="00433962">
        <w:rPr>
          <w:rFonts w:ascii="Times New Roman" w:hAnsi="Times New Roman"/>
          <w:sz w:val="24"/>
          <w:szCs w:val="24"/>
        </w:rPr>
        <w:t xml:space="preserve">a) </w:t>
      </w:r>
      <w:r>
        <w:rPr>
          <w:rFonts w:ascii="Times New Roman" w:hAnsi="Times New Roman"/>
          <w:sz w:val="24"/>
          <w:szCs w:val="24"/>
        </w:rPr>
        <w:t xml:space="preserve">nie je upravený </w:t>
      </w:r>
      <w:r w:rsidRPr="00433962">
        <w:rPr>
          <w:rFonts w:ascii="Times New Roman" w:hAnsi="Times New Roman"/>
          <w:sz w:val="24"/>
          <w:szCs w:val="24"/>
        </w:rPr>
        <w:t xml:space="preserve">v primárnom práve, </w:t>
      </w:r>
    </w:p>
    <w:p w:rsidR="00E844AA" w:rsidRPr="00433962" w:rsidRDefault="00E844AA" w:rsidP="00E844AA">
      <w:pPr>
        <w:rPr>
          <w:rFonts w:ascii="Times New Roman" w:hAnsi="Times New Roman"/>
          <w:sz w:val="24"/>
          <w:szCs w:val="24"/>
        </w:rPr>
      </w:pPr>
      <w:r w:rsidRPr="00433962">
        <w:rPr>
          <w:rFonts w:ascii="Times New Roman" w:hAnsi="Times New Roman"/>
          <w:sz w:val="24"/>
          <w:szCs w:val="24"/>
        </w:rPr>
        <w:t xml:space="preserve">b) </w:t>
      </w:r>
      <w:r>
        <w:rPr>
          <w:rFonts w:ascii="Times New Roman" w:hAnsi="Times New Roman"/>
          <w:sz w:val="24"/>
          <w:szCs w:val="24"/>
        </w:rPr>
        <w:t xml:space="preserve">nie je upravený </w:t>
      </w:r>
      <w:r w:rsidRPr="00433962">
        <w:rPr>
          <w:rFonts w:ascii="Times New Roman" w:hAnsi="Times New Roman"/>
          <w:sz w:val="24"/>
          <w:szCs w:val="24"/>
        </w:rPr>
        <w:t xml:space="preserve">v sekundárnom práve, </w:t>
      </w:r>
    </w:p>
    <w:p w:rsidR="00E844AA" w:rsidRDefault="00E844AA" w:rsidP="00E844AA">
      <w:pPr>
        <w:rPr>
          <w:rFonts w:ascii="Times New Roman" w:hAnsi="Times New Roman"/>
          <w:sz w:val="24"/>
          <w:szCs w:val="24"/>
        </w:rPr>
      </w:pPr>
      <w:r w:rsidRPr="00433962">
        <w:rPr>
          <w:rFonts w:ascii="Times New Roman" w:hAnsi="Times New Roman"/>
          <w:sz w:val="24"/>
          <w:szCs w:val="24"/>
        </w:rPr>
        <w:t xml:space="preserve">c) </w:t>
      </w:r>
      <w:r>
        <w:rPr>
          <w:rFonts w:ascii="Times New Roman" w:hAnsi="Times New Roman"/>
          <w:sz w:val="24"/>
          <w:szCs w:val="24"/>
        </w:rPr>
        <w:t xml:space="preserve">nie je upravený </w:t>
      </w:r>
      <w:r w:rsidRPr="00433962">
        <w:rPr>
          <w:rFonts w:ascii="Times New Roman" w:hAnsi="Times New Roman"/>
          <w:sz w:val="24"/>
          <w:szCs w:val="24"/>
        </w:rPr>
        <w:t xml:space="preserve">v judikatúre Súdneho dvora Európskej únie. </w:t>
      </w:r>
    </w:p>
    <w:p w:rsidR="00E844AA" w:rsidRPr="00433962" w:rsidRDefault="00E844AA" w:rsidP="00E844AA">
      <w:pPr>
        <w:rPr>
          <w:rFonts w:ascii="Times New Roman" w:hAnsi="Times New Roman"/>
          <w:sz w:val="24"/>
          <w:szCs w:val="24"/>
        </w:rPr>
      </w:pPr>
    </w:p>
    <w:p w:rsidR="00E844AA" w:rsidRPr="00433962" w:rsidRDefault="00E844AA" w:rsidP="00E844AA">
      <w:pPr>
        <w:jc w:val="both"/>
        <w:rPr>
          <w:rFonts w:ascii="Times New Roman" w:hAnsi="Times New Roman"/>
          <w:b/>
          <w:sz w:val="24"/>
          <w:szCs w:val="24"/>
        </w:rPr>
      </w:pPr>
      <w:r w:rsidRPr="00433962">
        <w:rPr>
          <w:rFonts w:ascii="Times New Roman" w:hAnsi="Times New Roman"/>
          <w:b/>
          <w:sz w:val="24"/>
          <w:szCs w:val="24"/>
        </w:rPr>
        <w:t>Vzhľadom na vnútroštátny charakter návrhu právneho predpisu body 4 a 5 sa</w:t>
      </w:r>
      <w:r>
        <w:rPr>
          <w:rFonts w:ascii="Times New Roman" w:hAnsi="Times New Roman"/>
          <w:b/>
          <w:sz w:val="24"/>
          <w:szCs w:val="24"/>
        </w:rPr>
        <w:t xml:space="preserve"> </w:t>
      </w:r>
      <w:r w:rsidRPr="00433962">
        <w:rPr>
          <w:rFonts w:ascii="Times New Roman" w:hAnsi="Times New Roman"/>
          <w:b/>
          <w:sz w:val="24"/>
          <w:szCs w:val="24"/>
        </w:rPr>
        <w:t>nevypĺňajú.</w:t>
      </w: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E844AA" w:rsidRDefault="00E844AA" w:rsidP="00005264">
      <w:pPr>
        <w:spacing w:after="0" w:line="240" w:lineRule="auto"/>
        <w:ind w:left="360"/>
        <w:jc w:val="both"/>
        <w:rPr>
          <w:rFonts w:ascii="Times New Roman" w:hAnsi="Times New Roman"/>
          <w:b/>
          <w:sz w:val="24"/>
          <w:szCs w:val="24"/>
        </w:rPr>
      </w:pPr>
    </w:p>
    <w:p w:rsidR="00005264" w:rsidRPr="0049623A" w:rsidRDefault="00005264" w:rsidP="00005264">
      <w:pPr>
        <w:spacing w:after="0" w:line="240" w:lineRule="auto"/>
        <w:ind w:left="360"/>
        <w:jc w:val="both"/>
        <w:rPr>
          <w:rFonts w:ascii="Times New Roman" w:hAnsi="Times New Roman"/>
          <w:b/>
          <w:sz w:val="24"/>
          <w:szCs w:val="24"/>
        </w:rPr>
      </w:pPr>
      <w:r w:rsidRPr="0049623A">
        <w:rPr>
          <w:rFonts w:ascii="Times New Roman" w:hAnsi="Times New Roman"/>
          <w:b/>
          <w:sz w:val="24"/>
          <w:szCs w:val="24"/>
        </w:rPr>
        <w:lastRenderedPageBreak/>
        <w:t>B. Osobitná časť</w:t>
      </w:r>
    </w:p>
    <w:p w:rsidR="00005264" w:rsidRPr="0049623A" w:rsidRDefault="00005264" w:rsidP="00005264">
      <w:pPr>
        <w:spacing w:after="0" w:line="240" w:lineRule="auto"/>
        <w:ind w:left="360"/>
        <w:jc w:val="both"/>
        <w:rPr>
          <w:rFonts w:ascii="Times New Roman" w:hAnsi="Times New Roman"/>
          <w:b/>
          <w:sz w:val="24"/>
          <w:szCs w:val="24"/>
        </w:rPr>
      </w:pPr>
    </w:p>
    <w:p w:rsidR="00005264" w:rsidRPr="0049623A" w:rsidRDefault="00005264" w:rsidP="00005264">
      <w:pPr>
        <w:spacing w:after="0" w:line="240" w:lineRule="auto"/>
        <w:ind w:left="360"/>
        <w:jc w:val="both"/>
        <w:rPr>
          <w:rFonts w:ascii="Times New Roman" w:hAnsi="Times New Roman"/>
          <w:b/>
          <w:sz w:val="24"/>
          <w:szCs w:val="24"/>
        </w:rPr>
      </w:pPr>
    </w:p>
    <w:p w:rsidR="00005264" w:rsidRPr="0049623A" w:rsidRDefault="00005264" w:rsidP="00005264">
      <w:pPr>
        <w:spacing w:after="0" w:line="240" w:lineRule="auto"/>
        <w:jc w:val="both"/>
        <w:rPr>
          <w:rFonts w:ascii="Times New Roman" w:hAnsi="Times New Roman"/>
          <w:b/>
          <w:sz w:val="24"/>
          <w:szCs w:val="24"/>
        </w:rPr>
      </w:pPr>
      <w:r w:rsidRPr="0049623A">
        <w:rPr>
          <w:rFonts w:ascii="Times New Roman" w:hAnsi="Times New Roman"/>
          <w:b/>
          <w:sz w:val="24"/>
          <w:szCs w:val="24"/>
        </w:rPr>
        <w:t>K čl. I</w:t>
      </w:r>
    </w:p>
    <w:p w:rsidR="00005264" w:rsidRDefault="00005264" w:rsidP="00005264">
      <w:pPr>
        <w:spacing w:after="0" w:line="240" w:lineRule="auto"/>
        <w:jc w:val="both"/>
        <w:rPr>
          <w:rFonts w:ascii="Times New Roman" w:hAnsi="Times New Roman"/>
          <w:i/>
          <w:sz w:val="24"/>
          <w:szCs w:val="24"/>
        </w:rPr>
      </w:pPr>
      <w:r w:rsidRPr="00BA21F8">
        <w:rPr>
          <w:rFonts w:ascii="Times New Roman" w:hAnsi="Times New Roman"/>
          <w:i/>
          <w:sz w:val="24"/>
          <w:szCs w:val="24"/>
        </w:rPr>
        <w:t>(zákon, ktorým sa mení a dopĺňa zákon č. 162/2015 Z. z. Správny súdny poriadok v znení neskorších predpisov a</w:t>
      </w:r>
      <w:r>
        <w:rPr>
          <w:rFonts w:ascii="Times New Roman" w:hAnsi="Times New Roman"/>
          <w:i/>
          <w:sz w:val="24"/>
          <w:szCs w:val="24"/>
        </w:rPr>
        <w:t> ktorým sa mení zákon</w:t>
      </w:r>
      <w:r w:rsidRPr="00BA21F8">
        <w:rPr>
          <w:rFonts w:ascii="Times New Roman" w:hAnsi="Times New Roman"/>
          <w:i/>
          <w:sz w:val="24"/>
          <w:szCs w:val="24"/>
        </w:rPr>
        <w:t xml:space="preserve"> č. 514/2003 Z. z. o zodpovednosti za škodu spôsobenú pri výkone verejnej moci a o zmene niektorých zákonov v znení neskorších predpisov)</w:t>
      </w:r>
    </w:p>
    <w:p w:rsidR="00774EC4" w:rsidRPr="00BA21F8" w:rsidRDefault="00774EC4" w:rsidP="00005264">
      <w:pPr>
        <w:spacing w:after="0" w:line="240" w:lineRule="auto"/>
        <w:jc w:val="both"/>
        <w:rPr>
          <w:rFonts w:ascii="Times New Roman" w:hAnsi="Times New Roman"/>
          <w:i/>
          <w:sz w:val="24"/>
          <w:szCs w:val="24"/>
        </w:rPr>
      </w:pPr>
    </w:p>
    <w:p w:rsidR="00005264" w:rsidRDefault="00774EC4" w:rsidP="00005264">
      <w:pPr>
        <w:spacing w:after="0" w:line="240" w:lineRule="auto"/>
        <w:jc w:val="both"/>
        <w:rPr>
          <w:rFonts w:ascii="Times New Roman" w:hAnsi="Times New Roman"/>
          <w:b/>
          <w:sz w:val="24"/>
          <w:szCs w:val="24"/>
        </w:rPr>
      </w:pPr>
      <w:r>
        <w:rPr>
          <w:rFonts w:ascii="Times New Roman" w:hAnsi="Times New Roman"/>
          <w:b/>
          <w:sz w:val="24"/>
          <w:szCs w:val="24"/>
        </w:rPr>
        <w:t>K bodu 1</w:t>
      </w:r>
    </w:p>
    <w:p w:rsidR="00774EC4" w:rsidRDefault="00774EC4" w:rsidP="00005264">
      <w:pPr>
        <w:spacing w:after="0" w:line="240" w:lineRule="auto"/>
        <w:jc w:val="both"/>
        <w:rPr>
          <w:rFonts w:ascii="Times New Roman" w:hAnsi="Times New Roman"/>
          <w:sz w:val="24"/>
          <w:szCs w:val="24"/>
        </w:rPr>
      </w:pPr>
      <w:r w:rsidRPr="009B1EAC">
        <w:rPr>
          <w:rFonts w:ascii="Times New Roman" w:hAnsi="Times New Roman"/>
          <w:sz w:val="24"/>
          <w:szCs w:val="24"/>
        </w:rPr>
        <w:t>Ustanovuje sa neverejnosť konaní týkajúcich sa preskúmavania rozhodnutí Národného bezpečnostného úradu</w:t>
      </w:r>
      <w:r>
        <w:rPr>
          <w:rFonts w:ascii="Times New Roman" w:hAnsi="Times New Roman"/>
          <w:sz w:val="24"/>
          <w:szCs w:val="24"/>
        </w:rPr>
        <w:t>.</w:t>
      </w:r>
    </w:p>
    <w:p w:rsidR="00774EC4" w:rsidRPr="009B1EAC" w:rsidRDefault="00774EC4" w:rsidP="00005264">
      <w:pPr>
        <w:spacing w:after="0" w:line="240" w:lineRule="auto"/>
        <w:jc w:val="both"/>
        <w:rPr>
          <w:rFonts w:ascii="Times New Roman" w:hAnsi="Times New Roman"/>
          <w:sz w:val="24"/>
          <w:szCs w:val="24"/>
        </w:rPr>
      </w:pPr>
    </w:p>
    <w:p w:rsidR="00005264" w:rsidRDefault="00005264" w:rsidP="00005264">
      <w:pPr>
        <w:spacing w:after="0" w:line="240" w:lineRule="auto"/>
        <w:jc w:val="both"/>
        <w:rPr>
          <w:rFonts w:ascii="Times New Roman" w:hAnsi="Times New Roman"/>
          <w:b/>
          <w:sz w:val="24"/>
          <w:szCs w:val="24"/>
        </w:rPr>
      </w:pPr>
      <w:r w:rsidRPr="0049623A">
        <w:rPr>
          <w:rFonts w:ascii="Times New Roman" w:hAnsi="Times New Roman"/>
          <w:b/>
          <w:sz w:val="24"/>
          <w:szCs w:val="24"/>
        </w:rPr>
        <w:t>K</w:t>
      </w:r>
      <w:r>
        <w:rPr>
          <w:rFonts w:ascii="Times New Roman" w:hAnsi="Times New Roman"/>
          <w:b/>
          <w:sz w:val="24"/>
          <w:szCs w:val="24"/>
        </w:rPr>
        <w:t xml:space="preserve"> bodu </w:t>
      </w:r>
      <w:r w:rsidR="00774EC4">
        <w:rPr>
          <w:rFonts w:ascii="Times New Roman" w:hAnsi="Times New Roman"/>
          <w:b/>
          <w:sz w:val="24"/>
          <w:szCs w:val="24"/>
        </w:rPr>
        <w:t>2</w:t>
      </w:r>
    </w:p>
    <w:p w:rsidR="00005264" w:rsidRPr="00452E29" w:rsidRDefault="00005264" w:rsidP="00005264">
      <w:pPr>
        <w:spacing w:after="0" w:line="240" w:lineRule="auto"/>
        <w:jc w:val="both"/>
        <w:rPr>
          <w:rFonts w:ascii="Times New Roman" w:hAnsi="Times New Roman"/>
          <w:sz w:val="24"/>
          <w:szCs w:val="24"/>
        </w:rPr>
      </w:pPr>
      <w:r w:rsidRPr="00F13480">
        <w:rPr>
          <w:rFonts w:ascii="Times New Roman" w:hAnsi="Times New Roman"/>
          <w:sz w:val="24"/>
          <w:szCs w:val="24"/>
        </w:rPr>
        <w:t xml:space="preserve">Podľa doterajšieho znenia sa mohol žalobca v konaní o žalobe proti nečinnosti orgánu verejnej správy domáhať len odstránenia tejto nečinnosti. Návrhom zákona sa rozširuje možnosť domáhať sa aj </w:t>
      </w:r>
      <w:r w:rsidRPr="00452E29">
        <w:rPr>
          <w:rFonts w:ascii="Times New Roman" w:hAnsi="Times New Roman"/>
          <w:sz w:val="24"/>
          <w:szCs w:val="24"/>
        </w:rPr>
        <w:t>primeraného zadosťučinenia vzhľadom na ujmu spôsobenú nečinnosťou orgánu verejnej správy.</w:t>
      </w:r>
    </w:p>
    <w:p w:rsidR="00005264" w:rsidRPr="00452E29" w:rsidRDefault="00005264" w:rsidP="00005264">
      <w:pPr>
        <w:spacing w:after="0" w:line="240" w:lineRule="auto"/>
        <w:jc w:val="both"/>
        <w:rPr>
          <w:rFonts w:ascii="Times New Roman" w:hAnsi="Times New Roman"/>
          <w:sz w:val="24"/>
          <w:szCs w:val="24"/>
        </w:rPr>
      </w:pPr>
    </w:p>
    <w:p w:rsidR="00005264" w:rsidRPr="00452E29" w:rsidRDefault="00005264" w:rsidP="00005264">
      <w:pPr>
        <w:spacing w:after="0" w:line="240" w:lineRule="auto"/>
        <w:jc w:val="both"/>
        <w:rPr>
          <w:rFonts w:ascii="Times New Roman" w:hAnsi="Times New Roman"/>
          <w:b/>
          <w:sz w:val="24"/>
          <w:szCs w:val="24"/>
        </w:rPr>
      </w:pPr>
      <w:r w:rsidRPr="00452E29">
        <w:rPr>
          <w:rFonts w:ascii="Times New Roman" w:hAnsi="Times New Roman"/>
          <w:b/>
          <w:sz w:val="24"/>
          <w:szCs w:val="24"/>
        </w:rPr>
        <w:t xml:space="preserve">K bodu </w:t>
      </w:r>
      <w:r w:rsidR="00774EC4">
        <w:rPr>
          <w:rFonts w:ascii="Times New Roman" w:hAnsi="Times New Roman"/>
          <w:b/>
          <w:sz w:val="24"/>
          <w:szCs w:val="24"/>
        </w:rPr>
        <w:t>3</w:t>
      </w:r>
    </w:p>
    <w:p w:rsidR="00005264" w:rsidRPr="00452E29" w:rsidRDefault="00005264" w:rsidP="00005264">
      <w:pPr>
        <w:spacing w:after="0" w:line="240" w:lineRule="auto"/>
        <w:jc w:val="both"/>
        <w:rPr>
          <w:rFonts w:ascii="Times New Roman" w:hAnsi="Times New Roman"/>
          <w:sz w:val="24"/>
          <w:szCs w:val="24"/>
        </w:rPr>
      </w:pPr>
      <w:r w:rsidRPr="00452E29">
        <w:rPr>
          <w:rFonts w:ascii="Times New Roman" w:hAnsi="Times New Roman"/>
          <w:sz w:val="24"/>
          <w:szCs w:val="24"/>
        </w:rPr>
        <w:t>Medzi náležitosti žaloby proti nečinnosti orgánu verejnej správy patrí aj uvedenie výšky primeraného finančného zadosťučinenia, ak ho žalobca požaduje</w:t>
      </w:r>
      <w:r>
        <w:rPr>
          <w:rFonts w:ascii="Times New Roman" w:hAnsi="Times New Roman"/>
          <w:sz w:val="24"/>
          <w:szCs w:val="24"/>
        </w:rPr>
        <w:t xml:space="preserve"> a uvedenie dôvodov pre jeho priznanie</w:t>
      </w:r>
      <w:r w:rsidRPr="00452E29">
        <w:rPr>
          <w:rFonts w:ascii="Times New Roman" w:hAnsi="Times New Roman"/>
          <w:sz w:val="24"/>
          <w:szCs w:val="24"/>
        </w:rPr>
        <w:t>.</w:t>
      </w:r>
    </w:p>
    <w:p w:rsidR="00005264" w:rsidRPr="00452E29" w:rsidRDefault="00005264" w:rsidP="00005264">
      <w:pPr>
        <w:spacing w:after="0" w:line="240" w:lineRule="auto"/>
        <w:jc w:val="both"/>
        <w:rPr>
          <w:rFonts w:ascii="Times New Roman" w:hAnsi="Times New Roman"/>
          <w:sz w:val="24"/>
          <w:szCs w:val="24"/>
        </w:rPr>
      </w:pPr>
    </w:p>
    <w:p w:rsidR="00005264" w:rsidRPr="00452E29" w:rsidRDefault="00005264" w:rsidP="00005264">
      <w:pPr>
        <w:spacing w:after="0" w:line="240" w:lineRule="auto"/>
        <w:jc w:val="both"/>
        <w:rPr>
          <w:rFonts w:ascii="Times New Roman" w:hAnsi="Times New Roman"/>
          <w:b/>
          <w:sz w:val="24"/>
          <w:szCs w:val="24"/>
        </w:rPr>
      </w:pPr>
      <w:r w:rsidRPr="00452E29">
        <w:rPr>
          <w:rFonts w:ascii="Times New Roman" w:hAnsi="Times New Roman"/>
          <w:b/>
          <w:sz w:val="24"/>
          <w:szCs w:val="24"/>
        </w:rPr>
        <w:t xml:space="preserve">K bodu </w:t>
      </w:r>
      <w:r w:rsidR="00774EC4">
        <w:rPr>
          <w:rFonts w:ascii="Times New Roman" w:hAnsi="Times New Roman"/>
          <w:b/>
          <w:sz w:val="24"/>
          <w:szCs w:val="24"/>
        </w:rPr>
        <w:t>4</w:t>
      </w:r>
    </w:p>
    <w:p w:rsidR="00005264" w:rsidRDefault="00005264" w:rsidP="00005264">
      <w:pPr>
        <w:spacing w:after="0" w:line="240" w:lineRule="auto"/>
        <w:jc w:val="both"/>
        <w:rPr>
          <w:rFonts w:ascii="Times New Roman" w:hAnsi="Times New Roman"/>
          <w:sz w:val="24"/>
          <w:szCs w:val="24"/>
        </w:rPr>
      </w:pPr>
      <w:r w:rsidRPr="00452E29">
        <w:rPr>
          <w:rFonts w:ascii="Times New Roman" w:hAnsi="Times New Roman"/>
          <w:sz w:val="24"/>
          <w:szCs w:val="24"/>
        </w:rPr>
        <w:t>Ak po podaní žaloby orgán verejnej správy odstránil svoju nečinnosť, správny súd konanie zastaví. Ak sa žalobca okrem odstránenia nečinnosti domáhal aj priznania primeraného zadosťučinenia, súd v tejto časti konanie nezastaví</w:t>
      </w:r>
      <w:r>
        <w:rPr>
          <w:rFonts w:ascii="Times New Roman" w:hAnsi="Times New Roman"/>
          <w:sz w:val="24"/>
          <w:szCs w:val="24"/>
        </w:rPr>
        <w:t>, ale preskúma dôvodnosť žaloby a rozhodne, či prizná žalobcovi primerané zadosťučinenie.</w:t>
      </w:r>
    </w:p>
    <w:p w:rsidR="00005264" w:rsidRDefault="00005264" w:rsidP="00005264">
      <w:pPr>
        <w:spacing w:after="0" w:line="240" w:lineRule="auto"/>
        <w:jc w:val="both"/>
        <w:rPr>
          <w:rFonts w:ascii="Times New Roman" w:hAnsi="Times New Roman"/>
          <w:sz w:val="24"/>
          <w:szCs w:val="24"/>
        </w:rPr>
      </w:pPr>
    </w:p>
    <w:p w:rsidR="00005264" w:rsidRPr="00D00DEE" w:rsidRDefault="00005264" w:rsidP="00005264">
      <w:pPr>
        <w:spacing w:after="0" w:line="240" w:lineRule="auto"/>
        <w:jc w:val="both"/>
        <w:rPr>
          <w:rFonts w:ascii="Times New Roman" w:hAnsi="Times New Roman"/>
          <w:b/>
          <w:sz w:val="24"/>
          <w:szCs w:val="24"/>
        </w:rPr>
      </w:pPr>
      <w:r w:rsidRPr="00D00DEE">
        <w:rPr>
          <w:rFonts w:ascii="Times New Roman" w:hAnsi="Times New Roman"/>
          <w:b/>
          <w:sz w:val="24"/>
          <w:szCs w:val="24"/>
        </w:rPr>
        <w:t xml:space="preserve">K bodu </w:t>
      </w:r>
      <w:r w:rsidR="00774EC4">
        <w:rPr>
          <w:rFonts w:ascii="Times New Roman" w:hAnsi="Times New Roman"/>
          <w:b/>
          <w:sz w:val="24"/>
          <w:szCs w:val="24"/>
        </w:rPr>
        <w:t>5</w:t>
      </w:r>
    </w:p>
    <w:p w:rsidR="00005264" w:rsidRDefault="00005264" w:rsidP="00005264">
      <w:pPr>
        <w:spacing w:after="0" w:line="240" w:lineRule="auto"/>
        <w:jc w:val="both"/>
        <w:rPr>
          <w:rFonts w:ascii="Times New Roman" w:hAnsi="Times New Roman"/>
          <w:sz w:val="24"/>
          <w:szCs w:val="24"/>
        </w:rPr>
      </w:pPr>
      <w:r>
        <w:rPr>
          <w:rFonts w:ascii="Times New Roman" w:hAnsi="Times New Roman"/>
          <w:sz w:val="24"/>
          <w:szCs w:val="24"/>
        </w:rPr>
        <w:t xml:space="preserve">Ustanovenie § 250 sa dopĺňa novými odsekmi. Odsek 3 umožňuje správnemu súdu rozhodnúť o primeranom zadosťučinení, ak ho žalobca požadoval, odsek 4 upravuje kritériá pre správny súd, podľa ktorých by mal určovať výšku primeraného finančného zadosťučinenia a odsek 5 ráta aj s možnosťou, že súd rozhodne, že primerané finančné zadosťučinenie nepriznáva. </w:t>
      </w:r>
      <w:r w:rsidRPr="00391C08">
        <w:rPr>
          <w:rFonts w:ascii="Times New Roman" w:hAnsi="Times New Roman"/>
          <w:sz w:val="24"/>
          <w:szCs w:val="24"/>
        </w:rPr>
        <w:t>Právny inštitút primeraného finančného zadosťučinenia priznávaného v dôsledku nečinnosti orgánu verejnej správy v správnom súdnictve je významovo totožný s právnym inštitútom primeraného finančného zadosťučinenia, ktoré priznáva Ústavný súd Slovenskej republiky v konaní o ústavnej sťažnosti za porušenie práva na prerokovanie veci bez zbytočných prieťahov (čl. 48 ods. 2 Ústavy Slovenskej republiky), resp. práva na prerokovanie veci v primeranej lehote (čl. 6 ods. 1 Dohovoru o ochrane ľudských práv a základných slobôd). To znamená, že nejde o inštitút náhrady skutočnej škody a ušlého zisku</w:t>
      </w:r>
      <w:r>
        <w:rPr>
          <w:rFonts w:ascii="Times New Roman" w:hAnsi="Times New Roman"/>
          <w:sz w:val="24"/>
          <w:szCs w:val="24"/>
        </w:rPr>
        <w:t xml:space="preserve">. </w:t>
      </w:r>
    </w:p>
    <w:p w:rsidR="00005264" w:rsidRDefault="00005264" w:rsidP="00005264">
      <w:pPr>
        <w:spacing w:after="0" w:line="240" w:lineRule="auto"/>
        <w:jc w:val="both"/>
        <w:rPr>
          <w:rFonts w:ascii="Times New Roman" w:hAnsi="Times New Roman"/>
          <w:sz w:val="24"/>
          <w:szCs w:val="24"/>
        </w:rPr>
      </w:pPr>
    </w:p>
    <w:p w:rsidR="00005264" w:rsidRPr="00317ED7" w:rsidRDefault="00005264" w:rsidP="00005264">
      <w:pPr>
        <w:spacing w:after="0" w:line="240" w:lineRule="auto"/>
        <w:jc w:val="both"/>
        <w:rPr>
          <w:rFonts w:ascii="Times New Roman" w:hAnsi="Times New Roman"/>
          <w:b/>
          <w:sz w:val="24"/>
          <w:szCs w:val="24"/>
        </w:rPr>
      </w:pPr>
      <w:r w:rsidRPr="00317ED7">
        <w:rPr>
          <w:rFonts w:ascii="Times New Roman" w:hAnsi="Times New Roman"/>
          <w:b/>
          <w:sz w:val="24"/>
          <w:szCs w:val="24"/>
        </w:rPr>
        <w:t xml:space="preserve">K bodu </w:t>
      </w:r>
      <w:r w:rsidR="00774EC4">
        <w:rPr>
          <w:rFonts w:ascii="Times New Roman" w:hAnsi="Times New Roman"/>
          <w:b/>
          <w:sz w:val="24"/>
          <w:szCs w:val="24"/>
        </w:rPr>
        <w:t>6</w:t>
      </w:r>
    </w:p>
    <w:p w:rsidR="00005264" w:rsidRDefault="00005264" w:rsidP="00005264">
      <w:pPr>
        <w:spacing w:after="0" w:line="240" w:lineRule="auto"/>
        <w:jc w:val="both"/>
        <w:rPr>
          <w:rFonts w:ascii="Times New Roman" w:hAnsi="Times New Roman"/>
          <w:sz w:val="24"/>
          <w:szCs w:val="24"/>
        </w:rPr>
      </w:pPr>
      <w:r>
        <w:rPr>
          <w:rFonts w:ascii="Times New Roman" w:hAnsi="Times New Roman"/>
          <w:sz w:val="24"/>
          <w:szCs w:val="24"/>
        </w:rPr>
        <w:t>Ustanovuje sa lehota na plnenie a to dva mesiace, ktorá začne plynúť od právoplatnosti rozhodnutia správneho súdu, ktorým správny súd uložil povinnosť žalovanému (správnemu orgánu) uhradiť primerané zadosťučinenie. Omeškanie správneho orgánu so splnením povinnosti je potrebné vnímať rovnako ako omeškanie s plnením peňažného dlhu podľa Občianskeho zákonníka.</w:t>
      </w:r>
    </w:p>
    <w:p w:rsidR="00005264" w:rsidRDefault="00005264" w:rsidP="00005264">
      <w:pPr>
        <w:spacing w:after="0" w:line="240" w:lineRule="auto"/>
        <w:jc w:val="both"/>
        <w:rPr>
          <w:rFonts w:ascii="Times New Roman" w:hAnsi="Times New Roman"/>
          <w:sz w:val="24"/>
          <w:szCs w:val="24"/>
        </w:rPr>
      </w:pPr>
    </w:p>
    <w:p w:rsidR="00005264" w:rsidRPr="004C0B6D" w:rsidRDefault="00005264" w:rsidP="00005264">
      <w:pPr>
        <w:spacing w:after="0" w:line="240" w:lineRule="auto"/>
        <w:jc w:val="both"/>
        <w:rPr>
          <w:rFonts w:ascii="Times New Roman" w:hAnsi="Times New Roman"/>
          <w:b/>
          <w:sz w:val="24"/>
          <w:szCs w:val="24"/>
        </w:rPr>
      </w:pPr>
      <w:r w:rsidRPr="004C0B6D">
        <w:rPr>
          <w:rFonts w:ascii="Times New Roman" w:hAnsi="Times New Roman"/>
          <w:b/>
          <w:sz w:val="24"/>
          <w:szCs w:val="24"/>
        </w:rPr>
        <w:lastRenderedPageBreak/>
        <w:t xml:space="preserve">K bodu </w:t>
      </w:r>
      <w:r w:rsidR="00774EC4">
        <w:rPr>
          <w:rFonts w:ascii="Times New Roman" w:hAnsi="Times New Roman"/>
          <w:b/>
          <w:sz w:val="24"/>
          <w:szCs w:val="24"/>
        </w:rPr>
        <w:t>7</w:t>
      </w:r>
    </w:p>
    <w:p w:rsidR="00005264" w:rsidRPr="004C0B6D" w:rsidRDefault="00005264" w:rsidP="00005264">
      <w:pPr>
        <w:spacing w:after="0" w:line="240" w:lineRule="auto"/>
        <w:jc w:val="both"/>
        <w:rPr>
          <w:rFonts w:ascii="Times New Roman" w:hAnsi="Times New Roman"/>
          <w:color w:val="FF0000"/>
          <w:sz w:val="24"/>
          <w:szCs w:val="24"/>
        </w:rPr>
      </w:pPr>
      <w:r>
        <w:rPr>
          <w:rFonts w:ascii="Times New Roman" w:hAnsi="Times New Roman"/>
          <w:sz w:val="24"/>
          <w:szCs w:val="24"/>
        </w:rPr>
        <w:t>Ustanovenia tejto novely Správneho súdneho poriadku nebudú platiť spätne pre už podané žaloby</w:t>
      </w:r>
      <w:r w:rsidRPr="00452E29">
        <w:rPr>
          <w:rFonts w:ascii="Times New Roman" w:hAnsi="Times New Roman"/>
          <w:sz w:val="24"/>
          <w:szCs w:val="24"/>
        </w:rPr>
        <w:t>.</w:t>
      </w:r>
    </w:p>
    <w:p w:rsidR="00005264" w:rsidRDefault="00005264" w:rsidP="00005264">
      <w:pPr>
        <w:spacing w:after="0" w:line="240" w:lineRule="auto"/>
        <w:jc w:val="both"/>
        <w:rPr>
          <w:rFonts w:ascii="Times New Roman" w:hAnsi="Times New Roman"/>
          <w:b/>
          <w:sz w:val="24"/>
          <w:szCs w:val="24"/>
        </w:rPr>
      </w:pPr>
    </w:p>
    <w:p w:rsidR="00005264" w:rsidRDefault="00005264" w:rsidP="00005264">
      <w:pPr>
        <w:spacing w:after="0" w:line="240" w:lineRule="auto"/>
        <w:jc w:val="both"/>
        <w:rPr>
          <w:rFonts w:ascii="Times New Roman" w:hAnsi="Times New Roman"/>
          <w:b/>
          <w:sz w:val="24"/>
          <w:szCs w:val="24"/>
        </w:rPr>
      </w:pPr>
      <w:r>
        <w:rPr>
          <w:rFonts w:ascii="Times New Roman" w:hAnsi="Times New Roman"/>
          <w:b/>
          <w:sz w:val="24"/>
          <w:szCs w:val="24"/>
        </w:rPr>
        <w:t>K čl. II</w:t>
      </w:r>
    </w:p>
    <w:p w:rsidR="00005264" w:rsidRDefault="00005264" w:rsidP="00005264">
      <w:pPr>
        <w:spacing w:after="0" w:line="240" w:lineRule="auto"/>
        <w:jc w:val="both"/>
        <w:rPr>
          <w:rFonts w:ascii="Times New Roman" w:hAnsi="Times New Roman"/>
          <w:sz w:val="24"/>
          <w:szCs w:val="24"/>
        </w:rPr>
      </w:pPr>
      <w:r w:rsidRPr="003F7140">
        <w:rPr>
          <w:rFonts w:ascii="Times New Roman" w:hAnsi="Times New Roman"/>
          <w:sz w:val="24"/>
          <w:szCs w:val="24"/>
        </w:rPr>
        <w:t>Na úpravu Správneho súdneho poriadku nadväzuje aj novela zákona č. 514/2003 Z. z. o zodpovednosti za škodu spôsobenú pri výkone verejnej moci a o zmene niektorých zákonov v znení neskorších predpisov</w:t>
      </w:r>
      <w:r>
        <w:rPr>
          <w:rFonts w:ascii="Times New Roman" w:hAnsi="Times New Roman"/>
          <w:sz w:val="24"/>
          <w:szCs w:val="24"/>
        </w:rPr>
        <w:t xml:space="preserve">. </w:t>
      </w:r>
    </w:p>
    <w:p w:rsidR="00005264" w:rsidRDefault="00005264" w:rsidP="00005264">
      <w:pPr>
        <w:spacing w:after="0" w:line="240" w:lineRule="auto"/>
        <w:jc w:val="both"/>
        <w:rPr>
          <w:rFonts w:ascii="Times New Roman" w:hAnsi="Times New Roman"/>
          <w:sz w:val="24"/>
          <w:szCs w:val="24"/>
        </w:rPr>
      </w:pPr>
    </w:p>
    <w:p w:rsidR="00005264" w:rsidRDefault="00005264" w:rsidP="00005264">
      <w:pPr>
        <w:spacing w:after="0" w:line="240" w:lineRule="auto"/>
        <w:jc w:val="both"/>
        <w:rPr>
          <w:rFonts w:ascii="Times New Roman" w:hAnsi="Times New Roman"/>
          <w:sz w:val="24"/>
          <w:szCs w:val="24"/>
        </w:rPr>
      </w:pPr>
      <w:r>
        <w:rPr>
          <w:rFonts w:ascii="Times New Roman" w:hAnsi="Times New Roman"/>
          <w:sz w:val="24"/>
          <w:szCs w:val="24"/>
        </w:rPr>
        <w:t>Navrhovaná</w:t>
      </w:r>
      <w:r w:rsidRPr="0095029D">
        <w:rPr>
          <w:rFonts w:ascii="Times New Roman" w:hAnsi="Times New Roman"/>
          <w:sz w:val="24"/>
          <w:szCs w:val="24"/>
        </w:rPr>
        <w:t xml:space="preserve"> právna úprava</w:t>
      </w:r>
      <w:r>
        <w:rPr>
          <w:rFonts w:ascii="Times New Roman" w:hAnsi="Times New Roman"/>
          <w:sz w:val="24"/>
          <w:szCs w:val="24"/>
        </w:rPr>
        <w:t xml:space="preserve"> </w:t>
      </w:r>
      <w:r w:rsidRPr="0095029D">
        <w:rPr>
          <w:rFonts w:ascii="Times New Roman" w:hAnsi="Times New Roman"/>
          <w:sz w:val="24"/>
          <w:szCs w:val="24"/>
        </w:rPr>
        <w:t>konan</w:t>
      </w:r>
      <w:r>
        <w:rPr>
          <w:rFonts w:ascii="Times New Roman" w:hAnsi="Times New Roman"/>
          <w:sz w:val="24"/>
          <w:szCs w:val="24"/>
        </w:rPr>
        <w:t>ia</w:t>
      </w:r>
      <w:r w:rsidRPr="0095029D">
        <w:rPr>
          <w:rFonts w:ascii="Times New Roman" w:hAnsi="Times New Roman"/>
          <w:sz w:val="24"/>
          <w:szCs w:val="24"/>
        </w:rPr>
        <w:t xml:space="preserve"> o nečinnosti orgánu verejnej moci</w:t>
      </w:r>
      <w:r>
        <w:rPr>
          <w:rFonts w:ascii="Times New Roman" w:hAnsi="Times New Roman"/>
          <w:sz w:val="24"/>
          <w:szCs w:val="24"/>
        </w:rPr>
        <w:t xml:space="preserve"> v čl. I tohto návrhu vyvoláva potrebu zmeny súvisiacej právnej úpravy v § 9 zákona č. 514/2003 Z. z</w:t>
      </w:r>
      <w:r w:rsidRPr="0095029D">
        <w:rPr>
          <w:rFonts w:ascii="Times New Roman" w:hAnsi="Times New Roman"/>
          <w:sz w:val="24"/>
          <w:szCs w:val="24"/>
        </w:rPr>
        <w:t>.</w:t>
      </w:r>
      <w:r>
        <w:rPr>
          <w:rFonts w:ascii="Times New Roman" w:hAnsi="Times New Roman"/>
          <w:sz w:val="24"/>
          <w:szCs w:val="24"/>
        </w:rPr>
        <w:t xml:space="preserve"> </w:t>
      </w:r>
      <w:r w:rsidRPr="00452E29">
        <w:rPr>
          <w:rFonts w:ascii="Times New Roman" w:hAnsi="Times New Roman"/>
          <w:sz w:val="24"/>
          <w:szCs w:val="24"/>
        </w:rPr>
        <w:t xml:space="preserve">Navrhovaná právna úprava zavádza </w:t>
      </w:r>
      <w:r>
        <w:rPr>
          <w:rFonts w:ascii="Times New Roman" w:hAnsi="Times New Roman"/>
          <w:sz w:val="24"/>
          <w:szCs w:val="24"/>
        </w:rPr>
        <w:t>komplexnejšiu</w:t>
      </w:r>
      <w:r w:rsidRPr="00452E29">
        <w:rPr>
          <w:rFonts w:ascii="Times New Roman" w:hAnsi="Times New Roman"/>
          <w:sz w:val="24"/>
          <w:szCs w:val="24"/>
        </w:rPr>
        <w:t xml:space="preserve"> definíciu pojmu nesprávny úradný postup. Cieľom tejto navrhovanej zmeny je zabezpečiť presné vymedzenie toho, čo možno pod tento pojem zahrnúť a tak zabezpečiť jeho lepšiu identifikáciu pri jeho vymedzovaní v praxi, či už prostredníctvom prepracovania jeho pozitívnej definície, ale taktiež zvýraznením toho, čo nemožno považovať za nesprávny úradný postup pomocou determinovania jeho negatívnej definície. Navrhovaná právna úprava týmto reflektuje doterajšiu súdnu prax</w:t>
      </w:r>
      <w:r>
        <w:rPr>
          <w:rFonts w:ascii="Times New Roman" w:hAnsi="Times New Roman"/>
          <w:sz w:val="24"/>
          <w:szCs w:val="24"/>
        </w:rPr>
        <w:t xml:space="preserve"> (napr. rozsudky Najvyššieho súdu Slovenskej republiky 5Cdo/126/2009, 1Cdo/201/2018). teda cieľom pozitívnej definície nesprávneho úradného postupu nie je zmeniť či upraviť spoločenské vzťahy rozdielne oproti súčasnému stavu, ale priamo pred adresátmi právnej normy, teda nielen širokou škálou orgánov verejnej moci, ale aj pred verejnosťou a potenciálnymi poškodenými nesprávnym úradným postupom, priznať, čo nesprávnym úradným postupom je, ale aj čo nesprávnym úradným postupom nie je (viď odôvodnenie k odseku 4). Predmetná definícia je natoľko </w:t>
      </w:r>
      <w:r w:rsidRPr="00A45251">
        <w:rPr>
          <w:rFonts w:ascii="Times New Roman" w:hAnsi="Times New Roman"/>
          <w:sz w:val="24"/>
          <w:szCs w:val="24"/>
        </w:rPr>
        <w:t>široká</w:t>
      </w:r>
      <w:r w:rsidRPr="008B2A44">
        <w:rPr>
          <w:rFonts w:ascii="Times New Roman" w:hAnsi="Times New Roman"/>
          <w:sz w:val="24"/>
          <w:szCs w:val="24"/>
        </w:rPr>
        <w:t>,</w:t>
      </w:r>
      <w:r w:rsidRPr="00A45251">
        <w:rPr>
          <w:rFonts w:ascii="Times New Roman" w:hAnsi="Times New Roman"/>
          <w:sz w:val="24"/>
          <w:szCs w:val="24"/>
        </w:rPr>
        <w:t xml:space="preserve"> že</w:t>
      </w:r>
      <w:r>
        <w:rPr>
          <w:rFonts w:ascii="Times New Roman" w:hAnsi="Times New Roman"/>
          <w:sz w:val="24"/>
          <w:szCs w:val="24"/>
        </w:rPr>
        <w:t xml:space="preserve"> pokrýva všetky možnosti nesprávneho úradného postupu, tak formalizované úkony orgánov verejnej moci v rámci konania, ako aj úkony mimo rámca formalizovaných procesov, tak postup, ktorý je v rozpore s právnymi predpismi, ako aj postup, ktorý nemusí byť vo výslovnom rozpore s právnymi predpismi, vrátane prípadov, ak podrobná úprava postupu absentuje, ale je v rozpore s účelom postupu orgánu verejnej moci. </w:t>
      </w:r>
    </w:p>
    <w:p w:rsidR="00005264" w:rsidRDefault="00005264" w:rsidP="00005264">
      <w:pPr>
        <w:spacing w:after="0" w:line="240" w:lineRule="auto"/>
        <w:jc w:val="both"/>
        <w:rPr>
          <w:rFonts w:ascii="Times New Roman" w:hAnsi="Times New Roman"/>
          <w:sz w:val="24"/>
          <w:szCs w:val="24"/>
        </w:rPr>
      </w:pPr>
    </w:p>
    <w:p w:rsidR="00005264" w:rsidRPr="00ED6F28" w:rsidRDefault="00005264" w:rsidP="00005264">
      <w:pPr>
        <w:spacing w:after="0" w:line="240" w:lineRule="auto"/>
        <w:jc w:val="both"/>
        <w:rPr>
          <w:rFonts w:ascii="Times New Roman" w:hAnsi="Times New Roman"/>
          <w:sz w:val="24"/>
          <w:szCs w:val="24"/>
        </w:rPr>
      </w:pPr>
      <w:r>
        <w:rPr>
          <w:rFonts w:ascii="Times New Roman" w:hAnsi="Times New Roman"/>
          <w:sz w:val="24"/>
          <w:szCs w:val="24"/>
        </w:rPr>
        <w:t>V odseku 3 sa spresňuje v súlade so súdnou praxou, že ak úradný postup je takej povahy, že sa prejaví vo vydanom rozhodnutí a jeho nedostatky je možné odstrániť len uplatnením riadnych či mimoriadnych opravných prostriedkov, vyústi do vydania rozhodnutia, ktoré je nezákonné, je potrebné primárne dosiahnuť zrušenie takéhoto rozhodnutia v rámci prebiehajúceho konania a až následne uplatňovať právo na náhradu škody spôsobenej nezákonným rozhodnutím. N</w:t>
      </w:r>
      <w:r w:rsidRPr="00ED6F28">
        <w:rPr>
          <w:rFonts w:ascii="Times New Roman" w:hAnsi="Times New Roman"/>
          <w:sz w:val="24"/>
          <w:szCs w:val="24"/>
        </w:rPr>
        <w:t>esprávny postup orgánu verejnej moci, ktorý vyústil v nesprávne rozhodnutie, ktoré však nenadobudlo právoplatnosť, ale bolo zrušené odvolacím orgánom, nezakladá žiadnu objektívnu zodpovednosť štátu, keďže pochybenie orgánu verejnej moci bolo napravené ešte predtým, ako rozhodnutie nadobudlo právoplatnosť.</w:t>
      </w:r>
    </w:p>
    <w:p w:rsidR="00005264" w:rsidRDefault="00005264" w:rsidP="00005264">
      <w:pPr>
        <w:spacing w:after="0" w:line="240" w:lineRule="auto"/>
        <w:jc w:val="both"/>
        <w:rPr>
          <w:rFonts w:ascii="Times New Roman" w:hAnsi="Times New Roman"/>
          <w:sz w:val="24"/>
          <w:szCs w:val="24"/>
        </w:rPr>
      </w:pPr>
      <w:r>
        <w:rPr>
          <w:rFonts w:ascii="Times New Roman" w:hAnsi="Times New Roman"/>
          <w:sz w:val="24"/>
          <w:szCs w:val="24"/>
        </w:rPr>
        <w:t>Aj v tomto prípade, obdobne ako pri pozitívnej definícii nesprávneho úradného postupu, nejde v skutočnosti o zmenu usporiadania spoločenských vzťahov, keďže už dnes ustálená judikatúra pracuje s týmito závermi (napr. rozsudok Najvyššieho súdu Slovenskej republiky 3 Cdo/220/2010). I v tomto prípade ide o zmenu, ktorá má adresátom právnej normy otvorene pomenovať, čo nesprávnym úradným postupom nie je a poskytnúť i usmernenie (najprv dosiahnuť zrušenie rozhodnutia, v ktorom úradný postup našiel svoj prejav, až následne si na základe zrušeného rozhodnutia uplatniť právo na náhradu škody za podmienok podľa § 5 a </w:t>
      </w:r>
      <w:r w:rsidRPr="00A45251">
        <w:rPr>
          <w:rFonts w:ascii="Times New Roman" w:hAnsi="Times New Roman"/>
          <w:sz w:val="24"/>
          <w:szCs w:val="24"/>
        </w:rPr>
        <w:t>6</w:t>
      </w:r>
      <w:r w:rsidRPr="008B2A44">
        <w:rPr>
          <w:rFonts w:ascii="Times New Roman" w:hAnsi="Times New Roman"/>
          <w:sz w:val="24"/>
          <w:szCs w:val="24"/>
        </w:rPr>
        <w:t>)</w:t>
      </w:r>
      <w:r w:rsidRPr="00A45251">
        <w:rPr>
          <w:rFonts w:ascii="Times New Roman" w:hAnsi="Times New Roman"/>
          <w:sz w:val="24"/>
          <w:szCs w:val="24"/>
        </w:rPr>
        <w:t xml:space="preserve">. Týmto ustanovením ale nie je dotknuté právo na náhradu škody, ak pri zhromažďovaní alebo pripravovaní podkladov </w:t>
      </w:r>
      <w:r w:rsidRPr="008B2A44">
        <w:rPr>
          <w:rFonts w:ascii="Times New Roman" w:hAnsi="Times New Roman"/>
          <w:sz w:val="24"/>
          <w:szCs w:val="24"/>
        </w:rPr>
        <w:t>p</w:t>
      </w:r>
      <w:r w:rsidRPr="00A45251">
        <w:rPr>
          <w:rFonts w:ascii="Times New Roman" w:hAnsi="Times New Roman"/>
          <w:sz w:val="24"/>
          <w:szCs w:val="24"/>
        </w:rPr>
        <w:t>re vydanie</w:t>
      </w:r>
      <w:r w:rsidRPr="00613993">
        <w:rPr>
          <w:rFonts w:ascii="Times New Roman" w:hAnsi="Times New Roman"/>
          <w:sz w:val="24"/>
          <w:szCs w:val="24"/>
        </w:rPr>
        <w:t xml:space="preserve"> rozhodnutia dôjde k porušeniu povinnosti orgánu verejnej moci urobiť úkon alebo vydať rozhodnutie v zákonom ustanovenej lehote, k nečinnosti orgánu verejnej moci pri výkone verejnej moci, k zbytočným prieťahom v konaní alebo k inému nezákonnému zásahu do práv, právom chránených záujmov fyzických osôb a právnických </w:t>
      </w:r>
      <w:r w:rsidRPr="00613993">
        <w:rPr>
          <w:rFonts w:ascii="Times New Roman" w:hAnsi="Times New Roman"/>
          <w:sz w:val="24"/>
          <w:szCs w:val="24"/>
        </w:rPr>
        <w:lastRenderedPageBreak/>
        <w:t>osôb.</w:t>
      </w:r>
      <w:r>
        <w:rPr>
          <w:rFonts w:ascii="Times New Roman" w:hAnsi="Times New Roman"/>
          <w:sz w:val="24"/>
          <w:szCs w:val="24"/>
        </w:rPr>
        <w:t xml:space="preserve"> Rovnako navrhovaná textácia vyjadruje i snahu predísť situáciám, aby navrhovaný odsek 3 vylučoval možnosť uplatniť si právo na náhradu škody spôsobenej nesprávnym úradným postupom pri vykonávaní dôkazov, ak sa tento neprejaví vo vydanom rozhodnutí (napríklad ak pri domovej prehliadke dôjde k porušeniu právnou normou predpísaného postupu napríklad v podobe nešetrného výkonu domovej prehliadky, odsek 3 nevylučuje uplatnenie si práva na náhradu škody bez ohľadu na to, aký bude výsledok trestného konania, v ktorom bola domová prehliadka vykonaná).  </w:t>
      </w:r>
    </w:p>
    <w:p w:rsidR="00005264" w:rsidRDefault="00005264" w:rsidP="00005264">
      <w:pPr>
        <w:spacing w:after="0" w:line="240" w:lineRule="auto"/>
        <w:jc w:val="both"/>
        <w:rPr>
          <w:rFonts w:ascii="Times New Roman" w:hAnsi="Times New Roman"/>
          <w:sz w:val="24"/>
          <w:szCs w:val="24"/>
        </w:rPr>
      </w:pPr>
      <w:r>
        <w:rPr>
          <w:rFonts w:ascii="Times New Roman" w:hAnsi="Times New Roman"/>
          <w:sz w:val="24"/>
          <w:szCs w:val="24"/>
        </w:rPr>
        <w:t>Odseky 4 a 5 sú ponechané v pôvodnom znení doterajšieho § 9 ods. 2 a 3 zákona č. 514/2003 Z. z.</w:t>
      </w:r>
    </w:p>
    <w:p w:rsidR="00005264" w:rsidRDefault="00005264" w:rsidP="00005264">
      <w:pPr>
        <w:spacing w:after="0" w:line="240" w:lineRule="auto"/>
        <w:jc w:val="both"/>
        <w:rPr>
          <w:rFonts w:ascii="Times New Roman" w:hAnsi="Times New Roman"/>
          <w:b/>
          <w:sz w:val="24"/>
          <w:szCs w:val="24"/>
        </w:rPr>
      </w:pPr>
      <w:r>
        <w:rPr>
          <w:rFonts w:ascii="Times New Roman" w:hAnsi="Times New Roman"/>
          <w:sz w:val="24"/>
          <w:szCs w:val="24"/>
        </w:rPr>
        <w:t>V odseku 6 sa zabraňuje duplicite pri odškodňovaní za nesprávny úradný postup, resp. zabraňuje sa i situácii, aby podľa zákona č. 514/2003 Z. z. mohlo byť priznané zadosťučinenie, ak už súd v správnom súdnictve, Ústavný súd SR o primeranom zadosťučinení alebo Európsky súd pre ľudské práva o spravodlivom zadosťučinení rozhodoval, a to bez ohľadu na to, či toto priznal alebo nepriznal.</w:t>
      </w:r>
    </w:p>
    <w:p w:rsidR="00005264" w:rsidRDefault="00005264" w:rsidP="00005264">
      <w:pPr>
        <w:spacing w:after="0" w:line="240" w:lineRule="auto"/>
        <w:jc w:val="both"/>
        <w:rPr>
          <w:rFonts w:ascii="Times New Roman" w:hAnsi="Times New Roman"/>
          <w:b/>
          <w:sz w:val="24"/>
          <w:szCs w:val="24"/>
        </w:rPr>
      </w:pPr>
      <w:r>
        <w:rPr>
          <w:rFonts w:ascii="Times New Roman" w:hAnsi="Times New Roman"/>
          <w:sz w:val="24"/>
          <w:szCs w:val="24"/>
        </w:rPr>
        <w:t>Vo vzťahu k pojmu „primerané zadosťučinenie“ používanému v čl. I  a pojmu „nemajetková ujma“ používanému v čl. II predkladateľ uvádza, že vychádza z ich ustáleného používania v dotknutých právnych predpisoch. V prípade čl. I podľa vzoru čl. 127 Ústavy a šiestej hlavy zákona č. 314/2018 Z. z. a v prípade čl. II ide o zaužívaný pojem v zákone</w:t>
      </w:r>
      <w:r w:rsidRPr="003F7140">
        <w:rPr>
          <w:rFonts w:ascii="Times New Roman" w:hAnsi="Times New Roman"/>
          <w:sz w:val="24"/>
          <w:szCs w:val="24"/>
        </w:rPr>
        <w:t xml:space="preserve"> č. 514/2003 Z. z</w:t>
      </w:r>
      <w:r>
        <w:rPr>
          <w:rFonts w:ascii="Times New Roman" w:hAnsi="Times New Roman"/>
          <w:sz w:val="24"/>
          <w:szCs w:val="24"/>
        </w:rPr>
        <w:t xml:space="preserve">  (napr. § 17 ods. 2) pričom na účely posudzovania duplicity pri odškodňovaní výrazne presahuje účel tohto návrhu zákona vyriešenie vzťahu pojmov náhrada nemajetkovej ujmy a primerané finančné zadosťučinenie. Je zrejmé, že pri priznaní náhrady nemajetkovej ujmy podľa zákona č. 514/2003 Z. z. a primeraného finančného zadosťučinenia súdom v správnom súdnictve, Ústavným súdom SR a spravodlivým zadosťučinením Európskym súdom pre ľudské práva a  môžu byť zohľadnené rovnaké skutočnosti (tak v zmysle, že pôjde o satisfakciu toho istého obdobia prieťahov v konaní alebo nečinnosti, ako aj tých istých dopadov na poškodeného). Účelom predmetného ustanovenia je stanoviť pravidlo, ak nejaké skutočnosti boli zohľadnené v uvedených konaniach, tieto nemôžu byť opätovne dôvodom na priznanie náhrady nemajetkovej ujmy podľa zákona č. 514/2003 Z. z. Rovnaké pravidlo sa navrhuje aj v prípade, ak nejaké skutočnosti mohli byť zohľadnené v uvedených konaniach, ale neboli z dôvodu na strane poškodeného, teda najmä preto, že ich v správnom súdnictve, v konaní pred Ústavným súdom SR alebo </w:t>
      </w:r>
      <w:r w:rsidRPr="008B2A44">
        <w:rPr>
          <w:rFonts w:ascii="Times New Roman" w:hAnsi="Times New Roman"/>
          <w:sz w:val="24"/>
          <w:szCs w:val="24"/>
        </w:rPr>
        <w:t>v konaní pred Európskym súdom pre ľudské práva</w:t>
      </w:r>
      <w:r>
        <w:rPr>
          <w:rFonts w:ascii="Times New Roman" w:hAnsi="Times New Roman"/>
          <w:sz w:val="24"/>
          <w:szCs w:val="24"/>
        </w:rPr>
        <w:t xml:space="preserve"> neoznačil. </w:t>
      </w:r>
    </w:p>
    <w:p w:rsidR="00005264" w:rsidRDefault="00005264" w:rsidP="00005264">
      <w:pPr>
        <w:spacing w:after="0" w:line="240" w:lineRule="auto"/>
        <w:jc w:val="both"/>
        <w:rPr>
          <w:rFonts w:ascii="Times New Roman" w:hAnsi="Times New Roman"/>
          <w:b/>
          <w:sz w:val="24"/>
          <w:szCs w:val="24"/>
        </w:rPr>
      </w:pPr>
    </w:p>
    <w:p w:rsidR="00005264" w:rsidRDefault="00005264" w:rsidP="00005264">
      <w:pPr>
        <w:spacing w:after="0" w:line="240" w:lineRule="auto"/>
        <w:jc w:val="both"/>
        <w:rPr>
          <w:rFonts w:ascii="Times New Roman" w:hAnsi="Times New Roman"/>
          <w:b/>
          <w:sz w:val="24"/>
          <w:szCs w:val="24"/>
        </w:rPr>
      </w:pPr>
      <w:r>
        <w:rPr>
          <w:rFonts w:ascii="Times New Roman" w:hAnsi="Times New Roman"/>
          <w:b/>
          <w:sz w:val="24"/>
          <w:szCs w:val="24"/>
        </w:rPr>
        <w:t>K čl. II</w:t>
      </w:r>
      <w:r w:rsidRPr="0049623A">
        <w:rPr>
          <w:rFonts w:ascii="Times New Roman" w:hAnsi="Times New Roman"/>
          <w:b/>
          <w:sz w:val="24"/>
          <w:szCs w:val="24"/>
        </w:rPr>
        <w:t>I</w:t>
      </w:r>
    </w:p>
    <w:p w:rsidR="00005264" w:rsidRPr="0049623A" w:rsidRDefault="00005264" w:rsidP="00005264">
      <w:pPr>
        <w:spacing w:after="0" w:line="240" w:lineRule="auto"/>
        <w:jc w:val="both"/>
        <w:rPr>
          <w:rFonts w:ascii="Times New Roman" w:hAnsi="Times New Roman"/>
          <w:sz w:val="24"/>
          <w:szCs w:val="24"/>
        </w:rPr>
      </w:pPr>
      <w:r>
        <w:rPr>
          <w:rFonts w:ascii="Times New Roman" w:hAnsi="Times New Roman"/>
          <w:sz w:val="24"/>
          <w:szCs w:val="24"/>
        </w:rPr>
        <w:t>S ohľadom na dĺžku legislatívneho procesu sa n</w:t>
      </w:r>
      <w:r w:rsidRPr="0049623A">
        <w:rPr>
          <w:rFonts w:ascii="Times New Roman" w:hAnsi="Times New Roman"/>
          <w:sz w:val="24"/>
          <w:szCs w:val="24"/>
        </w:rPr>
        <w:t xml:space="preserve">avrhuje účinnosť zákona </w:t>
      </w:r>
      <w:r>
        <w:rPr>
          <w:rFonts w:ascii="Times New Roman" w:hAnsi="Times New Roman"/>
          <w:sz w:val="24"/>
          <w:szCs w:val="24"/>
        </w:rPr>
        <w:t>1. júla 2023.</w:t>
      </w:r>
    </w:p>
    <w:p w:rsidR="000C166B" w:rsidRDefault="000C166B" w:rsidP="00005264">
      <w:pPr>
        <w:spacing w:after="0" w:line="240" w:lineRule="auto"/>
        <w:jc w:val="both"/>
        <w:rPr>
          <w:rFonts w:ascii="Times New Roman" w:hAnsi="Times New Roman"/>
          <w:sz w:val="24"/>
          <w:szCs w:val="24"/>
        </w:rPr>
      </w:pPr>
    </w:p>
    <w:p w:rsidR="00005264" w:rsidRPr="00005264" w:rsidRDefault="001D6D38" w:rsidP="00005264">
      <w:pPr>
        <w:spacing w:after="0" w:line="240" w:lineRule="auto"/>
        <w:jc w:val="both"/>
        <w:rPr>
          <w:rFonts w:ascii="Times New Roman" w:hAnsi="Times New Roman"/>
          <w:sz w:val="24"/>
          <w:szCs w:val="24"/>
        </w:rPr>
      </w:pPr>
      <w:r>
        <w:rPr>
          <w:rFonts w:ascii="Times New Roman" w:hAnsi="Times New Roman"/>
          <w:sz w:val="24"/>
          <w:szCs w:val="24"/>
        </w:rPr>
        <w:t>V Bratislave dňa</w:t>
      </w:r>
      <w:r w:rsidR="00005264">
        <w:rPr>
          <w:rFonts w:ascii="Times New Roman" w:hAnsi="Times New Roman"/>
          <w:sz w:val="24"/>
          <w:szCs w:val="24"/>
        </w:rPr>
        <w:t xml:space="preserve"> 2</w:t>
      </w:r>
      <w:r w:rsidR="00174850">
        <w:rPr>
          <w:rFonts w:ascii="Times New Roman" w:hAnsi="Times New Roman"/>
          <w:sz w:val="24"/>
          <w:szCs w:val="24"/>
        </w:rPr>
        <w:t>2</w:t>
      </w:r>
      <w:r w:rsidR="00005264" w:rsidRPr="00005264">
        <w:rPr>
          <w:rFonts w:ascii="Times New Roman" w:hAnsi="Times New Roman"/>
          <w:sz w:val="24"/>
          <w:szCs w:val="24"/>
        </w:rPr>
        <w:t xml:space="preserve">. </w:t>
      </w:r>
      <w:r w:rsidR="00005264">
        <w:rPr>
          <w:rFonts w:ascii="Times New Roman" w:hAnsi="Times New Roman"/>
          <w:sz w:val="24"/>
          <w:szCs w:val="24"/>
        </w:rPr>
        <w:t>februára 2023</w:t>
      </w:r>
    </w:p>
    <w:p w:rsidR="00005264" w:rsidRPr="00005264" w:rsidRDefault="00005264" w:rsidP="00005264">
      <w:pPr>
        <w:spacing w:after="0" w:line="240" w:lineRule="auto"/>
        <w:ind w:firstLine="708"/>
        <w:jc w:val="both"/>
        <w:rPr>
          <w:rFonts w:ascii="Times New Roman" w:hAnsi="Times New Roman"/>
          <w:sz w:val="24"/>
          <w:szCs w:val="24"/>
        </w:rPr>
      </w:pPr>
    </w:p>
    <w:p w:rsidR="000C166B" w:rsidRDefault="000C166B" w:rsidP="00005264">
      <w:pPr>
        <w:spacing w:after="0" w:line="240" w:lineRule="auto"/>
        <w:ind w:firstLine="708"/>
        <w:jc w:val="both"/>
        <w:rPr>
          <w:rFonts w:ascii="Times New Roman" w:hAnsi="Times New Roman"/>
          <w:sz w:val="24"/>
          <w:szCs w:val="24"/>
        </w:rPr>
      </w:pPr>
    </w:p>
    <w:p w:rsidR="000C166B" w:rsidRDefault="000C166B" w:rsidP="00005264">
      <w:pPr>
        <w:spacing w:after="0" w:line="240" w:lineRule="auto"/>
        <w:ind w:firstLine="708"/>
        <w:jc w:val="both"/>
        <w:rPr>
          <w:rFonts w:ascii="Times New Roman" w:hAnsi="Times New Roman"/>
          <w:sz w:val="24"/>
          <w:szCs w:val="24"/>
        </w:rPr>
      </w:pPr>
    </w:p>
    <w:p w:rsidR="00005264" w:rsidRPr="00005264" w:rsidRDefault="00005264" w:rsidP="001D6D38">
      <w:pPr>
        <w:spacing w:after="0" w:line="240" w:lineRule="auto"/>
        <w:jc w:val="both"/>
        <w:rPr>
          <w:rFonts w:ascii="Times New Roman" w:hAnsi="Times New Roman"/>
          <w:sz w:val="24"/>
          <w:szCs w:val="24"/>
        </w:rPr>
      </w:pPr>
    </w:p>
    <w:p w:rsidR="00DC5907" w:rsidRDefault="00DC5907" w:rsidP="00DC5907">
      <w:pPr>
        <w:spacing w:after="0" w:line="240" w:lineRule="auto"/>
        <w:ind w:firstLine="708"/>
        <w:jc w:val="center"/>
        <w:rPr>
          <w:rFonts w:ascii="Times New Roman" w:hAnsi="Times New Roman"/>
          <w:b/>
          <w:sz w:val="24"/>
          <w:szCs w:val="24"/>
        </w:rPr>
      </w:pPr>
      <w:r>
        <w:rPr>
          <w:rFonts w:ascii="Times New Roman" w:hAnsi="Times New Roman"/>
          <w:b/>
          <w:sz w:val="24"/>
          <w:szCs w:val="24"/>
        </w:rPr>
        <w:t>Eduard Heger, v. r.</w:t>
      </w:r>
    </w:p>
    <w:p w:rsidR="00DC5907" w:rsidRDefault="00DC5907" w:rsidP="00DC5907">
      <w:pPr>
        <w:spacing w:after="0" w:line="240" w:lineRule="auto"/>
        <w:ind w:firstLine="708"/>
        <w:jc w:val="center"/>
        <w:rPr>
          <w:rFonts w:ascii="Times New Roman" w:hAnsi="Times New Roman"/>
          <w:sz w:val="24"/>
          <w:szCs w:val="24"/>
        </w:rPr>
      </w:pPr>
      <w:r>
        <w:rPr>
          <w:rFonts w:ascii="Times New Roman" w:hAnsi="Times New Roman"/>
          <w:sz w:val="24"/>
          <w:szCs w:val="24"/>
        </w:rPr>
        <w:t>predseda vlády Slovenskej republiky</w:t>
      </w:r>
    </w:p>
    <w:p w:rsidR="00DC5907" w:rsidRDefault="00DC5907" w:rsidP="00DC5907">
      <w:pPr>
        <w:spacing w:after="0" w:line="240" w:lineRule="auto"/>
        <w:ind w:firstLine="708"/>
        <w:jc w:val="center"/>
        <w:rPr>
          <w:rFonts w:ascii="Times New Roman" w:hAnsi="Times New Roman"/>
          <w:sz w:val="24"/>
          <w:szCs w:val="24"/>
        </w:rPr>
      </w:pPr>
    </w:p>
    <w:p w:rsidR="00DC5907" w:rsidRDefault="00DC5907" w:rsidP="00DC5907">
      <w:pPr>
        <w:spacing w:after="0" w:line="240" w:lineRule="auto"/>
        <w:rPr>
          <w:rFonts w:ascii="Times New Roman" w:hAnsi="Times New Roman"/>
          <w:sz w:val="24"/>
          <w:szCs w:val="24"/>
        </w:rPr>
      </w:pPr>
    </w:p>
    <w:p w:rsidR="00DC5907" w:rsidRDefault="00DC5907" w:rsidP="00DC5907">
      <w:pPr>
        <w:spacing w:after="0" w:line="240" w:lineRule="auto"/>
        <w:ind w:firstLine="708"/>
        <w:jc w:val="center"/>
        <w:rPr>
          <w:rFonts w:ascii="Times New Roman" w:hAnsi="Times New Roman"/>
          <w:sz w:val="24"/>
          <w:szCs w:val="24"/>
        </w:rPr>
      </w:pPr>
    </w:p>
    <w:p w:rsidR="00DC5907" w:rsidRDefault="00DC5907" w:rsidP="00DC5907">
      <w:pPr>
        <w:spacing w:after="0" w:line="240" w:lineRule="auto"/>
        <w:ind w:firstLine="708"/>
        <w:jc w:val="center"/>
        <w:rPr>
          <w:rFonts w:ascii="Times New Roman" w:hAnsi="Times New Roman"/>
          <w:b/>
          <w:sz w:val="24"/>
          <w:szCs w:val="24"/>
        </w:rPr>
      </w:pPr>
      <w:r>
        <w:rPr>
          <w:rFonts w:ascii="Times New Roman" w:hAnsi="Times New Roman"/>
          <w:b/>
          <w:sz w:val="24"/>
          <w:szCs w:val="24"/>
        </w:rPr>
        <w:t>Viliam Karas, v. r.</w:t>
      </w:r>
    </w:p>
    <w:p w:rsidR="00DC5907" w:rsidRDefault="00DC5907" w:rsidP="00DC5907">
      <w:pPr>
        <w:spacing w:after="0" w:line="240" w:lineRule="auto"/>
        <w:ind w:firstLine="708"/>
        <w:jc w:val="center"/>
        <w:rPr>
          <w:rFonts w:ascii="Times New Roman" w:hAnsi="Times New Roman"/>
          <w:sz w:val="24"/>
          <w:szCs w:val="24"/>
        </w:rPr>
      </w:pPr>
      <w:r>
        <w:rPr>
          <w:rFonts w:ascii="Times New Roman" w:hAnsi="Times New Roman"/>
          <w:sz w:val="24"/>
          <w:szCs w:val="24"/>
        </w:rPr>
        <w:t>minister spravodlivosti Slovenskej republiky</w:t>
      </w:r>
    </w:p>
    <w:p w:rsidR="00005264" w:rsidRPr="001D6D38" w:rsidRDefault="00005264" w:rsidP="00005264">
      <w:pPr>
        <w:spacing w:after="0" w:line="240" w:lineRule="auto"/>
        <w:ind w:firstLine="708"/>
        <w:jc w:val="center"/>
        <w:rPr>
          <w:rFonts w:ascii="Times New Roman" w:hAnsi="Times New Roman"/>
          <w:sz w:val="24"/>
          <w:szCs w:val="24"/>
        </w:rPr>
      </w:pPr>
      <w:bookmarkStart w:id="0" w:name="_GoBack"/>
      <w:bookmarkEnd w:id="0"/>
    </w:p>
    <w:sectPr w:rsidR="00005264" w:rsidRPr="001D6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7E" w:rsidRDefault="00E8797E" w:rsidP="00B64C7A">
      <w:pPr>
        <w:spacing w:after="0" w:line="240" w:lineRule="auto"/>
      </w:pPr>
      <w:r>
        <w:separator/>
      </w:r>
    </w:p>
  </w:endnote>
  <w:endnote w:type="continuationSeparator" w:id="0">
    <w:p w:rsidR="00E8797E" w:rsidRDefault="00E8797E" w:rsidP="00B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AA" w:rsidRPr="001D6749" w:rsidRDefault="00E844AA">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DC5907">
      <w:rPr>
        <w:rFonts w:ascii="Times New Roman" w:hAnsi="Times New Roman"/>
        <w:noProof/>
      </w:rPr>
      <w:t>7</w:t>
    </w:r>
    <w:r w:rsidRPr="001D6749">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AA" w:rsidRPr="001D6749" w:rsidRDefault="00E844AA">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DC5907">
      <w:rPr>
        <w:rFonts w:ascii="Times New Roman" w:hAnsi="Times New Roman"/>
        <w:noProof/>
      </w:rPr>
      <w:t>14</w:t>
    </w:r>
    <w:r w:rsidRPr="001D674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7E" w:rsidRDefault="00E8797E" w:rsidP="00B64C7A">
      <w:pPr>
        <w:spacing w:after="0" w:line="240" w:lineRule="auto"/>
      </w:pPr>
      <w:r>
        <w:separator/>
      </w:r>
    </w:p>
  </w:footnote>
  <w:footnote w:type="continuationSeparator" w:id="0">
    <w:p w:rsidR="00E8797E" w:rsidRDefault="00E8797E" w:rsidP="00B6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AA" w:rsidRPr="00CD4982" w:rsidRDefault="00E844AA" w:rsidP="00FE3377">
    <w:pPr>
      <w:tabs>
        <w:tab w:val="center" w:pos="4536"/>
        <w:tab w:val="right" w:pos="9072"/>
      </w:tabs>
      <w:spacing w:after="0" w:line="240" w:lineRule="auto"/>
      <w:jc w:val="right"/>
      <w:rPr>
        <w:rFonts w:ascii="Times New Roman" w:hAnsi="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AA" w:rsidRPr="00433C47" w:rsidRDefault="00E844AA"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D5"/>
    <w:multiLevelType w:val="hybridMultilevel"/>
    <w:tmpl w:val="B33C9D6A"/>
    <w:lvl w:ilvl="0" w:tplc="08BA2C52">
      <w:start w:val="813"/>
      <w:numFmt w:val="bullet"/>
      <w:lvlText w:val="-"/>
      <w:lvlJc w:val="left"/>
      <w:pPr>
        <w:ind w:left="360" w:hanging="360"/>
      </w:pPr>
      <w:rPr>
        <w:rFonts w:ascii="Times New Roman" w:eastAsia="Times New Roman" w:hAnsi="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1B121D"/>
    <w:multiLevelType w:val="hybridMultilevel"/>
    <w:tmpl w:val="2976D824"/>
    <w:lvl w:ilvl="0" w:tplc="08BA2C52">
      <w:start w:val="813"/>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732" w:hanging="360"/>
      </w:pPr>
      <w:rPr>
        <w:rFonts w:ascii="Courier New" w:hAnsi="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3" w15:restartNumberingAfterBreak="0">
    <w:nsid w:val="138D3FA1"/>
    <w:multiLevelType w:val="hybridMultilevel"/>
    <w:tmpl w:val="121E8452"/>
    <w:lvl w:ilvl="0" w:tplc="AB404164">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2177276"/>
    <w:multiLevelType w:val="hybridMultilevel"/>
    <w:tmpl w:val="E5603150"/>
    <w:lvl w:ilvl="0" w:tplc="041B0003">
      <w:start w:val="1"/>
      <w:numFmt w:val="bullet"/>
      <w:lvlText w:val="o"/>
      <w:lvlJc w:val="left"/>
      <w:pPr>
        <w:ind w:left="1848" w:hanging="360"/>
      </w:pPr>
      <w:rPr>
        <w:rFonts w:ascii="Courier New" w:hAnsi="Courier New" w:hint="default"/>
      </w:rPr>
    </w:lvl>
    <w:lvl w:ilvl="1" w:tplc="041B0003" w:tentative="1">
      <w:start w:val="1"/>
      <w:numFmt w:val="bullet"/>
      <w:lvlText w:val="o"/>
      <w:lvlJc w:val="left"/>
      <w:pPr>
        <w:ind w:left="2568" w:hanging="360"/>
      </w:pPr>
      <w:rPr>
        <w:rFonts w:ascii="Courier New" w:hAnsi="Courier New" w:hint="default"/>
      </w:rPr>
    </w:lvl>
    <w:lvl w:ilvl="2" w:tplc="041B0005" w:tentative="1">
      <w:start w:val="1"/>
      <w:numFmt w:val="bullet"/>
      <w:lvlText w:val=""/>
      <w:lvlJc w:val="left"/>
      <w:pPr>
        <w:ind w:left="3288" w:hanging="360"/>
      </w:pPr>
      <w:rPr>
        <w:rFonts w:ascii="Wingdings" w:hAnsi="Wingdings" w:hint="default"/>
      </w:rPr>
    </w:lvl>
    <w:lvl w:ilvl="3" w:tplc="041B0001" w:tentative="1">
      <w:start w:val="1"/>
      <w:numFmt w:val="bullet"/>
      <w:lvlText w:val=""/>
      <w:lvlJc w:val="left"/>
      <w:pPr>
        <w:ind w:left="4008" w:hanging="360"/>
      </w:pPr>
      <w:rPr>
        <w:rFonts w:ascii="Symbol" w:hAnsi="Symbol" w:hint="default"/>
      </w:rPr>
    </w:lvl>
    <w:lvl w:ilvl="4" w:tplc="041B0003" w:tentative="1">
      <w:start w:val="1"/>
      <w:numFmt w:val="bullet"/>
      <w:lvlText w:val="o"/>
      <w:lvlJc w:val="left"/>
      <w:pPr>
        <w:ind w:left="4728" w:hanging="360"/>
      </w:pPr>
      <w:rPr>
        <w:rFonts w:ascii="Courier New" w:hAnsi="Courier New" w:hint="default"/>
      </w:rPr>
    </w:lvl>
    <w:lvl w:ilvl="5" w:tplc="041B0005" w:tentative="1">
      <w:start w:val="1"/>
      <w:numFmt w:val="bullet"/>
      <w:lvlText w:val=""/>
      <w:lvlJc w:val="left"/>
      <w:pPr>
        <w:ind w:left="5448" w:hanging="360"/>
      </w:pPr>
      <w:rPr>
        <w:rFonts w:ascii="Wingdings" w:hAnsi="Wingdings" w:hint="default"/>
      </w:rPr>
    </w:lvl>
    <w:lvl w:ilvl="6" w:tplc="041B0001" w:tentative="1">
      <w:start w:val="1"/>
      <w:numFmt w:val="bullet"/>
      <w:lvlText w:val=""/>
      <w:lvlJc w:val="left"/>
      <w:pPr>
        <w:ind w:left="6168" w:hanging="360"/>
      </w:pPr>
      <w:rPr>
        <w:rFonts w:ascii="Symbol" w:hAnsi="Symbol" w:hint="default"/>
      </w:rPr>
    </w:lvl>
    <w:lvl w:ilvl="7" w:tplc="041B0003" w:tentative="1">
      <w:start w:val="1"/>
      <w:numFmt w:val="bullet"/>
      <w:lvlText w:val="o"/>
      <w:lvlJc w:val="left"/>
      <w:pPr>
        <w:ind w:left="6888" w:hanging="360"/>
      </w:pPr>
      <w:rPr>
        <w:rFonts w:ascii="Courier New" w:hAnsi="Courier New" w:hint="default"/>
      </w:rPr>
    </w:lvl>
    <w:lvl w:ilvl="8" w:tplc="041B0005" w:tentative="1">
      <w:start w:val="1"/>
      <w:numFmt w:val="bullet"/>
      <w:lvlText w:val=""/>
      <w:lvlJc w:val="left"/>
      <w:pPr>
        <w:ind w:left="7608" w:hanging="360"/>
      </w:pPr>
      <w:rPr>
        <w:rFonts w:ascii="Wingdings" w:hAnsi="Wingdings" w:hint="default"/>
      </w:rPr>
    </w:lvl>
  </w:abstractNum>
  <w:abstractNum w:abstractNumId="5" w15:restartNumberingAfterBreak="0">
    <w:nsid w:val="23982616"/>
    <w:multiLevelType w:val="hybridMultilevel"/>
    <w:tmpl w:val="EA32053E"/>
    <w:lvl w:ilvl="0" w:tplc="08BA2C52">
      <w:start w:val="813"/>
      <w:numFmt w:val="bullet"/>
      <w:lvlText w:val="-"/>
      <w:lvlJc w:val="left"/>
      <w:pPr>
        <w:ind w:left="1428"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53449F"/>
    <w:multiLevelType w:val="hybridMultilevel"/>
    <w:tmpl w:val="82A2F9E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EB6482E"/>
    <w:multiLevelType w:val="hybridMultilevel"/>
    <w:tmpl w:val="B5F4F244"/>
    <w:lvl w:ilvl="0" w:tplc="08BA2C52">
      <w:start w:val="813"/>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F8B13E2"/>
    <w:multiLevelType w:val="hybridMultilevel"/>
    <w:tmpl w:val="F94C775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8722AF6"/>
    <w:multiLevelType w:val="hybridMultilevel"/>
    <w:tmpl w:val="FD344A78"/>
    <w:lvl w:ilvl="0" w:tplc="ECD2D6DA">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FCA71C7"/>
    <w:multiLevelType w:val="hybridMultilevel"/>
    <w:tmpl w:val="7DACA4B6"/>
    <w:lvl w:ilvl="0" w:tplc="08BA2C52">
      <w:start w:val="813"/>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732" w:hanging="360"/>
      </w:pPr>
      <w:rPr>
        <w:rFonts w:ascii="Courier New" w:hAnsi="Courier New" w:hint="default"/>
      </w:rPr>
    </w:lvl>
    <w:lvl w:ilvl="2" w:tplc="041B0005" w:tentative="1">
      <w:start w:val="1"/>
      <w:numFmt w:val="bullet"/>
      <w:lvlText w:val=""/>
      <w:lvlJc w:val="left"/>
      <w:pPr>
        <w:ind w:left="1452" w:hanging="360"/>
      </w:pPr>
      <w:rPr>
        <w:rFonts w:ascii="Wingdings" w:hAnsi="Wingdings" w:hint="default"/>
      </w:rPr>
    </w:lvl>
    <w:lvl w:ilvl="3" w:tplc="041B0001" w:tentative="1">
      <w:start w:val="1"/>
      <w:numFmt w:val="bullet"/>
      <w:lvlText w:val=""/>
      <w:lvlJc w:val="left"/>
      <w:pPr>
        <w:ind w:left="2172" w:hanging="360"/>
      </w:pPr>
      <w:rPr>
        <w:rFonts w:ascii="Symbol" w:hAnsi="Symbol" w:hint="default"/>
      </w:rPr>
    </w:lvl>
    <w:lvl w:ilvl="4" w:tplc="041B0003" w:tentative="1">
      <w:start w:val="1"/>
      <w:numFmt w:val="bullet"/>
      <w:lvlText w:val="o"/>
      <w:lvlJc w:val="left"/>
      <w:pPr>
        <w:ind w:left="2892" w:hanging="360"/>
      </w:pPr>
      <w:rPr>
        <w:rFonts w:ascii="Courier New" w:hAnsi="Courier New" w:hint="default"/>
      </w:rPr>
    </w:lvl>
    <w:lvl w:ilvl="5" w:tplc="041B0005" w:tentative="1">
      <w:start w:val="1"/>
      <w:numFmt w:val="bullet"/>
      <w:lvlText w:val=""/>
      <w:lvlJc w:val="left"/>
      <w:pPr>
        <w:ind w:left="3612" w:hanging="360"/>
      </w:pPr>
      <w:rPr>
        <w:rFonts w:ascii="Wingdings" w:hAnsi="Wingdings" w:hint="default"/>
      </w:rPr>
    </w:lvl>
    <w:lvl w:ilvl="6" w:tplc="041B0001" w:tentative="1">
      <w:start w:val="1"/>
      <w:numFmt w:val="bullet"/>
      <w:lvlText w:val=""/>
      <w:lvlJc w:val="left"/>
      <w:pPr>
        <w:ind w:left="4332" w:hanging="360"/>
      </w:pPr>
      <w:rPr>
        <w:rFonts w:ascii="Symbol" w:hAnsi="Symbol" w:hint="default"/>
      </w:rPr>
    </w:lvl>
    <w:lvl w:ilvl="7" w:tplc="041B0003" w:tentative="1">
      <w:start w:val="1"/>
      <w:numFmt w:val="bullet"/>
      <w:lvlText w:val="o"/>
      <w:lvlJc w:val="left"/>
      <w:pPr>
        <w:ind w:left="5052" w:hanging="360"/>
      </w:pPr>
      <w:rPr>
        <w:rFonts w:ascii="Courier New" w:hAnsi="Courier New" w:hint="default"/>
      </w:rPr>
    </w:lvl>
    <w:lvl w:ilvl="8" w:tplc="041B0005" w:tentative="1">
      <w:start w:val="1"/>
      <w:numFmt w:val="bullet"/>
      <w:lvlText w:val=""/>
      <w:lvlJc w:val="left"/>
      <w:pPr>
        <w:ind w:left="5772" w:hanging="360"/>
      </w:pPr>
      <w:rPr>
        <w:rFonts w:ascii="Wingdings" w:hAnsi="Wingdings" w:hint="default"/>
      </w:rPr>
    </w:lvl>
  </w:abstractNum>
  <w:abstractNum w:abstractNumId="11" w15:restartNumberingAfterBreak="0">
    <w:nsid w:val="451F6C06"/>
    <w:multiLevelType w:val="hybridMultilevel"/>
    <w:tmpl w:val="3230AAE6"/>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6A74286"/>
    <w:multiLevelType w:val="hybridMultilevel"/>
    <w:tmpl w:val="93E43A7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E0267A8"/>
    <w:multiLevelType w:val="hybridMultilevel"/>
    <w:tmpl w:val="D73C9F54"/>
    <w:lvl w:ilvl="0" w:tplc="041B000F">
      <w:start w:val="1"/>
      <w:numFmt w:val="decimal"/>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4" w15:restartNumberingAfterBreak="0">
    <w:nsid w:val="536226A9"/>
    <w:multiLevelType w:val="hybridMultilevel"/>
    <w:tmpl w:val="96247EB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4BA28C8"/>
    <w:multiLevelType w:val="hybridMultilevel"/>
    <w:tmpl w:val="A0C2CA8C"/>
    <w:lvl w:ilvl="0" w:tplc="AB40416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BE7BD2"/>
    <w:multiLevelType w:val="hybridMultilevel"/>
    <w:tmpl w:val="EAD6A190"/>
    <w:lvl w:ilvl="0" w:tplc="08BA2C52">
      <w:start w:val="813"/>
      <w:numFmt w:val="bullet"/>
      <w:lvlText w:val="-"/>
      <w:lvlJc w:val="left"/>
      <w:pPr>
        <w:ind w:left="1428" w:hanging="360"/>
      </w:pPr>
      <w:rPr>
        <w:rFonts w:ascii="Times New Roman" w:eastAsia="Times New Roman" w:hAnsi="Times New Roman" w:hint="default"/>
        <w:color w:val="auto"/>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6FDF0B12"/>
    <w:multiLevelType w:val="hybridMultilevel"/>
    <w:tmpl w:val="B45824F4"/>
    <w:lvl w:ilvl="0" w:tplc="CCC099DA">
      <w:start w:val="4"/>
      <w:numFmt w:val="bullet"/>
      <w:lvlText w:val="-"/>
      <w:lvlJc w:val="left"/>
      <w:pPr>
        <w:ind w:left="170" w:hanging="17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7B5F3824"/>
    <w:multiLevelType w:val="hybridMultilevel"/>
    <w:tmpl w:val="E506AAC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BDE54EF"/>
    <w:multiLevelType w:val="hybridMultilevel"/>
    <w:tmpl w:val="CD2A7C0E"/>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6"/>
  </w:num>
  <w:num w:numId="2">
    <w:abstractNumId w:val="7"/>
  </w:num>
  <w:num w:numId="3">
    <w:abstractNumId w:val="3"/>
  </w:num>
  <w:num w:numId="4">
    <w:abstractNumId w:val="13"/>
  </w:num>
  <w:num w:numId="5">
    <w:abstractNumId w:val="16"/>
  </w:num>
  <w:num w:numId="6">
    <w:abstractNumId w:val="4"/>
  </w:num>
  <w:num w:numId="7">
    <w:abstractNumId w:val="8"/>
  </w:num>
  <w:num w:numId="8">
    <w:abstractNumId w:val="10"/>
  </w:num>
  <w:num w:numId="9">
    <w:abstractNumId w:val="5"/>
  </w:num>
  <w:num w:numId="10">
    <w:abstractNumId w:val="0"/>
  </w:num>
  <w:num w:numId="11">
    <w:abstractNumId w:val="14"/>
  </w:num>
  <w:num w:numId="12">
    <w:abstractNumId w:val="2"/>
  </w:num>
  <w:num w:numId="13">
    <w:abstractNumId w:val="15"/>
  </w:num>
  <w:num w:numId="14">
    <w:abstractNumId w:val="12"/>
  </w:num>
  <w:num w:numId="15">
    <w:abstractNumId w:val="18"/>
  </w:num>
  <w:num w:numId="16">
    <w:abstractNumId w:val="19"/>
  </w:num>
  <w:num w:numId="17">
    <w:abstractNumId w:val="9"/>
  </w:num>
  <w:num w:numId="18">
    <w:abstractNumId w:val="11"/>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6E"/>
    <w:rsid w:val="000040B0"/>
    <w:rsid w:val="00005264"/>
    <w:rsid w:val="000124A8"/>
    <w:rsid w:val="0002525D"/>
    <w:rsid w:val="00033EB7"/>
    <w:rsid w:val="0005626D"/>
    <w:rsid w:val="00061E52"/>
    <w:rsid w:val="00076FCD"/>
    <w:rsid w:val="00082EA3"/>
    <w:rsid w:val="000929B9"/>
    <w:rsid w:val="00093913"/>
    <w:rsid w:val="000A27F8"/>
    <w:rsid w:val="000A3301"/>
    <w:rsid w:val="000B289A"/>
    <w:rsid w:val="000B328D"/>
    <w:rsid w:val="000C166B"/>
    <w:rsid w:val="000C25CD"/>
    <w:rsid w:val="000C3A7F"/>
    <w:rsid w:val="000C76F6"/>
    <w:rsid w:val="000F0FCF"/>
    <w:rsid w:val="001079B9"/>
    <w:rsid w:val="00132721"/>
    <w:rsid w:val="00136406"/>
    <w:rsid w:val="001379F7"/>
    <w:rsid w:val="00144A35"/>
    <w:rsid w:val="00151A22"/>
    <w:rsid w:val="00174850"/>
    <w:rsid w:val="0018477E"/>
    <w:rsid w:val="001A5DF4"/>
    <w:rsid w:val="001B66C5"/>
    <w:rsid w:val="001C028B"/>
    <w:rsid w:val="001D6D38"/>
    <w:rsid w:val="00201910"/>
    <w:rsid w:val="0020465D"/>
    <w:rsid w:val="00212653"/>
    <w:rsid w:val="002412A3"/>
    <w:rsid w:val="002515F3"/>
    <w:rsid w:val="00273CEB"/>
    <w:rsid w:val="002D38C9"/>
    <w:rsid w:val="002D4E5D"/>
    <w:rsid w:val="002D6C32"/>
    <w:rsid w:val="00303860"/>
    <w:rsid w:val="00303936"/>
    <w:rsid w:val="003052A6"/>
    <w:rsid w:val="00322721"/>
    <w:rsid w:val="00340DDC"/>
    <w:rsid w:val="0034286E"/>
    <w:rsid w:val="00346431"/>
    <w:rsid w:val="00353873"/>
    <w:rsid w:val="0036347F"/>
    <w:rsid w:val="003761AE"/>
    <w:rsid w:val="00385B59"/>
    <w:rsid w:val="003A23A0"/>
    <w:rsid w:val="003C71F2"/>
    <w:rsid w:val="003D4707"/>
    <w:rsid w:val="003D5B60"/>
    <w:rsid w:val="003E5397"/>
    <w:rsid w:val="003F003C"/>
    <w:rsid w:val="003F2EEF"/>
    <w:rsid w:val="00400C0B"/>
    <w:rsid w:val="00401C40"/>
    <w:rsid w:val="00411FA7"/>
    <w:rsid w:val="00412B44"/>
    <w:rsid w:val="00423A8C"/>
    <w:rsid w:val="00426DA6"/>
    <w:rsid w:val="00456119"/>
    <w:rsid w:val="00486822"/>
    <w:rsid w:val="00493B19"/>
    <w:rsid w:val="004B434A"/>
    <w:rsid w:val="004B703E"/>
    <w:rsid w:val="004E020D"/>
    <w:rsid w:val="004E168D"/>
    <w:rsid w:val="004F4C2F"/>
    <w:rsid w:val="00503438"/>
    <w:rsid w:val="005054EB"/>
    <w:rsid w:val="005128C3"/>
    <w:rsid w:val="00513BDA"/>
    <w:rsid w:val="0052313B"/>
    <w:rsid w:val="005241D8"/>
    <w:rsid w:val="00524D72"/>
    <w:rsid w:val="00532991"/>
    <w:rsid w:val="0053461F"/>
    <w:rsid w:val="00553264"/>
    <w:rsid w:val="0055484C"/>
    <w:rsid w:val="0056107C"/>
    <w:rsid w:val="005702F4"/>
    <w:rsid w:val="005806B3"/>
    <w:rsid w:val="00582B7D"/>
    <w:rsid w:val="00586FAC"/>
    <w:rsid w:val="005A18EC"/>
    <w:rsid w:val="005A6A65"/>
    <w:rsid w:val="005B2B75"/>
    <w:rsid w:val="005C335F"/>
    <w:rsid w:val="005D2908"/>
    <w:rsid w:val="005D7A50"/>
    <w:rsid w:val="005E0224"/>
    <w:rsid w:val="005F2C65"/>
    <w:rsid w:val="00606836"/>
    <w:rsid w:val="006454DB"/>
    <w:rsid w:val="00652157"/>
    <w:rsid w:val="00652E3F"/>
    <w:rsid w:val="0068387A"/>
    <w:rsid w:val="006A5A3B"/>
    <w:rsid w:val="006C0D25"/>
    <w:rsid w:val="006F1AE9"/>
    <w:rsid w:val="007016ED"/>
    <w:rsid w:val="007255CC"/>
    <w:rsid w:val="007258E2"/>
    <w:rsid w:val="00731890"/>
    <w:rsid w:val="00745CA2"/>
    <w:rsid w:val="00747BF0"/>
    <w:rsid w:val="00747DA9"/>
    <w:rsid w:val="007565E9"/>
    <w:rsid w:val="00773C16"/>
    <w:rsid w:val="00774EC4"/>
    <w:rsid w:val="007974BA"/>
    <w:rsid w:val="007B31F1"/>
    <w:rsid w:val="007D7296"/>
    <w:rsid w:val="007E5198"/>
    <w:rsid w:val="007F3A2F"/>
    <w:rsid w:val="007F4E5B"/>
    <w:rsid w:val="007F58EE"/>
    <w:rsid w:val="00802BE0"/>
    <w:rsid w:val="0081441B"/>
    <w:rsid w:val="0082078B"/>
    <w:rsid w:val="00823B98"/>
    <w:rsid w:val="00832C3E"/>
    <w:rsid w:val="00861D0E"/>
    <w:rsid w:val="00876A20"/>
    <w:rsid w:val="00877C85"/>
    <w:rsid w:val="00884688"/>
    <w:rsid w:val="008872F7"/>
    <w:rsid w:val="00895841"/>
    <w:rsid w:val="008D4EBA"/>
    <w:rsid w:val="008E1B5A"/>
    <w:rsid w:val="008F26A3"/>
    <w:rsid w:val="0091472F"/>
    <w:rsid w:val="00925F28"/>
    <w:rsid w:val="009450F1"/>
    <w:rsid w:val="00946065"/>
    <w:rsid w:val="00974364"/>
    <w:rsid w:val="009B1EAC"/>
    <w:rsid w:val="009B5B84"/>
    <w:rsid w:val="009B79F2"/>
    <w:rsid w:val="009C228F"/>
    <w:rsid w:val="009D4C2C"/>
    <w:rsid w:val="009E4576"/>
    <w:rsid w:val="009F0EAB"/>
    <w:rsid w:val="009F737B"/>
    <w:rsid w:val="00A07FDB"/>
    <w:rsid w:val="00A11F7D"/>
    <w:rsid w:val="00A44BEF"/>
    <w:rsid w:val="00A530E5"/>
    <w:rsid w:val="00A54ED3"/>
    <w:rsid w:val="00A56A43"/>
    <w:rsid w:val="00A611DB"/>
    <w:rsid w:val="00AE0C73"/>
    <w:rsid w:val="00B01BA2"/>
    <w:rsid w:val="00B172E2"/>
    <w:rsid w:val="00B2039E"/>
    <w:rsid w:val="00B64C7A"/>
    <w:rsid w:val="00B90001"/>
    <w:rsid w:val="00B91042"/>
    <w:rsid w:val="00B91485"/>
    <w:rsid w:val="00B97C4D"/>
    <w:rsid w:val="00BA0CEB"/>
    <w:rsid w:val="00BA6F4E"/>
    <w:rsid w:val="00BC2DD7"/>
    <w:rsid w:val="00BD6389"/>
    <w:rsid w:val="00BD6C37"/>
    <w:rsid w:val="00BE4B82"/>
    <w:rsid w:val="00C043E1"/>
    <w:rsid w:val="00C053C9"/>
    <w:rsid w:val="00C1142A"/>
    <w:rsid w:val="00C13224"/>
    <w:rsid w:val="00C62C36"/>
    <w:rsid w:val="00C7297A"/>
    <w:rsid w:val="00C7369E"/>
    <w:rsid w:val="00C75C49"/>
    <w:rsid w:val="00C80ADD"/>
    <w:rsid w:val="00C844C8"/>
    <w:rsid w:val="00C84787"/>
    <w:rsid w:val="00C9520B"/>
    <w:rsid w:val="00CA48D2"/>
    <w:rsid w:val="00CB06E6"/>
    <w:rsid w:val="00CD0E6E"/>
    <w:rsid w:val="00CD2DA9"/>
    <w:rsid w:val="00CD7E39"/>
    <w:rsid w:val="00CF5826"/>
    <w:rsid w:val="00CF5CEC"/>
    <w:rsid w:val="00D20E16"/>
    <w:rsid w:val="00D2199D"/>
    <w:rsid w:val="00D30B50"/>
    <w:rsid w:val="00D45FB4"/>
    <w:rsid w:val="00D549B3"/>
    <w:rsid w:val="00D6100C"/>
    <w:rsid w:val="00D81672"/>
    <w:rsid w:val="00D92EFE"/>
    <w:rsid w:val="00DB3482"/>
    <w:rsid w:val="00DC243F"/>
    <w:rsid w:val="00DC5907"/>
    <w:rsid w:val="00DC7588"/>
    <w:rsid w:val="00DC7AFD"/>
    <w:rsid w:val="00DE13F4"/>
    <w:rsid w:val="00DF2389"/>
    <w:rsid w:val="00DF4FF8"/>
    <w:rsid w:val="00DF7146"/>
    <w:rsid w:val="00E41726"/>
    <w:rsid w:val="00E44775"/>
    <w:rsid w:val="00E67C71"/>
    <w:rsid w:val="00E844AA"/>
    <w:rsid w:val="00E8797E"/>
    <w:rsid w:val="00EB32EF"/>
    <w:rsid w:val="00EC1258"/>
    <w:rsid w:val="00EC4AFF"/>
    <w:rsid w:val="00EE0897"/>
    <w:rsid w:val="00EE19F7"/>
    <w:rsid w:val="00EE4951"/>
    <w:rsid w:val="00F062BF"/>
    <w:rsid w:val="00F07DAB"/>
    <w:rsid w:val="00F17639"/>
    <w:rsid w:val="00F27A3E"/>
    <w:rsid w:val="00F36C26"/>
    <w:rsid w:val="00F52F40"/>
    <w:rsid w:val="00F57E2F"/>
    <w:rsid w:val="00F57F13"/>
    <w:rsid w:val="00F73905"/>
    <w:rsid w:val="00F83762"/>
    <w:rsid w:val="00F92512"/>
    <w:rsid w:val="00FA149A"/>
    <w:rsid w:val="00FA45DF"/>
    <w:rsid w:val="00FA6A77"/>
    <w:rsid w:val="00FC0B57"/>
    <w:rsid w:val="00FD0CCA"/>
    <w:rsid w:val="00FD1E83"/>
    <w:rsid w:val="00FD6461"/>
    <w:rsid w:val="00FF51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C0DE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0E6E"/>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0E6E"/>
    <w:pPr>
      <w:ind w:left="720"/>
      <w:contextualSpacing/>
    </w:pPr>
  </w:style>
  <w:style w:type="paragraph" w:styleId="Normlnywebov">
    <w:name w:val="Normal (Web)"/>
    <w:basedOn w:val="Normlny"/>
    <w:uiPriority w:val="99"/>
    <w:unhideWhenUsed/>
    <w:rsid w:val="0056107C"/>
    <w:pPr>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B64C7A"/>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B64C7A"/>
    <w:rPr>
      <w:rFonts w:cs="Times New Roman"/>
    </w:rPr>
  </w:style>
  <w:style w:type="paragraph" w:styleId="Pta">
    <w:name w:val="footer"/>
    <w:basedOn w:val="Normlny"/>
    <w:link w:val="PtaChar"/>
    <w:uiPriority w:val="99"/>
    <w:unhideWhenUsed/>
    <w:rsid w:val="00B64C7A"/>
    <w:pPr>
      <w:tabs>
        <w:tab w:val="center" w:pos="4536"/>
        <w:tab w:val="right" w:pos="9072"/>
      </w:tabs>
      <w:spacing w:after="0" w:line="240" w:lineRule="auto"/>
    </w:pPr>
  </w:style>
  <w:style w:type="character" w:customStyle="1" w:styleId="PtaChar">
    <w:name w:val="Päta Char"/>
    <w:basedOn w:val="Predvolenpsmoodseku"/>
    <w:link w:val="Pta"/>
    <w:uiPriority w:val="99"/>
    <w:locked/>
    <w:rsid w:val="00B64C7A"/>
    <w:rPr>
      <w:rFonts w:cs="Times New Roman"/>
    </w:rPr>
  </w:style>
  <w:style w:type="paragraph" w:styleId="Textbubliny">
    <w:name w:val="Balloon Text"/>
    <w:basedOn w:val="Normlny"/>
    <w:link w:val="TextbublinyChar"/>
    <w:uiPriority w:val="99"/>
    <w:semiHidden/>
    <w:unhideWhenUsed/>
    <w:rsid w:val="00CF582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F5826"/>
    <w:rPr>
      <w:rFonts w:ascii="Tahoma" w:hAnsi="Tahoma" w:cs="Tahoma"/>
      <w:sz w:val="16"/>
      <w:szCs w:val="16"/>
    </w:rPr>
  </w:style>
  <w:style w:type="paragraph" w:styleId="Textpoznmkypodiarou">
    <w:name w:val="footnote text"/>
    <w:basedOn w:val="Normlny"/>
    <w:link w:val="TextpoznmkypodiarouChar"/>
    <w:uiPriority w:val="99"/>
    <w:semiHidden/>
    <w:unhideWhenUsed/>
    <w:rsid w:val="00FA6A7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FA6A77"/>
    <w:rPr>
      <w:rFonts w:cs="Times New Roman"/>
      <w:sz w:val="20"/>
      <w:szCs w:val="20"/>
    </w:rPr>
  </w:style>
  <w:style w:type="character" w:styleId="Odkaznapoznmkupodiarou">
    <w:name w:val="footnote reference"/>
    <w:basedOn w:val="Predvolenpsmoodseku"/>
    <w:uiPriority w:val="99"/>
    <w:semiHidden/>
    <w:unhideWhenUsed/>
    <w:rsid w:val="00FA6A77"/>
    <w:rPr>
      <w:rFonts w:cs="Times New Roman"/>
      <w:vertAlign w:val="superscript"/>
    </w:rPr>
  </w:style>
  <w:style w:type="table" w:customStyle="1" w:styleId="Mriekatabuky1">
    <w:name w:val="Mriežka tabuľky1"/>
    <w:basedOn w:val="Normlnatabuka"/>
    <w:next w:val="Mriekatabuky"/>
    <w:uiPriority w:val="59"/>
    <w:rsid w:val="00E844A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844AA"/>
    <w:rPr>
      <w:rFonts w:cs="Times New Roman"/>
      <w:color w:val="0563C1" w:themeColor="hyperlink"/>
      <w:u w:val="single"/>
    </w:rPr>
  </w:style>
  <w:style w:type="table" w:styleId="Mriekatabuky">
    <w:name w:val="Table Grid"/>
    <w:basedOn w:val="Normlnatabuka"/>
    <w:uiPriority w:val="39"/>
    <w:rsid w:val="00E8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rusnakova@justice.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legislativne-procesy/SK/PI/2022/27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5696</Words>
  <Characters>32473</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2023-02-22T12:31:00Z</dcterms:created>
  <dcterms:modified xsi:type="dcterms:W3CDTF">2023-02-22T12:31:00Z</dcterms:modified>
</cp:coreProperties>
</file>