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10" w:rsidRDefault="00832310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E01E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814133" w:rsidRDefault="00996A58" w:rsidP="00CD0AF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33B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na aktualizáciu vojenského zastúpenia Slovenskej republiky pri orgánoch NATO/EÚ a n</w:t>
            </w:r>
            <w:r w:rsidR="00E321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ávrh na vyslanie príslušníkov Ozbrojených síl Slovenskej republiky</w:t>
            </w:r>
            <w:r w:rsidRPr="00833B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do orgánov vojenského zastúpenia pri NATO/EÚ a do vojenských štruktúr NATO/EÚ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814133" w:rsidP="00CD0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F37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Ministerstvo obrany Slovenskej republiky</w:t>
            </w:r>
          </w:p>
        </w:tc>
      </w:tr>
      <w:tr w:rsidR="001B23B7" w:rsidRPr="00B043B4" w:rsidTr="00E01ED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814133" w:rsidP="00E01E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E01E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E01E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E01E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CD0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996A58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 2022 – január 2023</w:t>
            </w: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996A58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C41410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</w:t>
            </w:r>
            <w:r w:rsidR="00996A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2023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E01EDD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54984" w:rsidRDefault="00996A58" w:rsidP="0008755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833BA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Návrh bol spracovaný v súlade s čl. 86 písm. l) Ústavy Slovenskej republiky, na základe ktorého podlieha súhlasu Národnej rady Slovenskej republ</w:t>
            </w:r>
            <w:r w:rsidR="00E3215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iky každé vyslanie príslušníka O</w:t>
            </w:r>
            <w:r w:rsidRPr="00833BA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zbrojených síl Slovenskej republiky na plnenie úloh mimo územia Slovenskej republiky, ak toto vyslanie nepatrí podľa Ústavy Slovenskej republiky do vymedzenej právomoci vlády Slovenskej republiky.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E01EDD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996A58" w:rsidP="003734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14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Cieľom materiálu je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realizácia rozšírenia vojenského zastúpenia Slovenskej republiky pri orgánoch NATO a EÚ. Tieto opatrenia reflektujú požiadavky partnerov Slovenskej republiky a súčasne majú prispieť k implementácii opatrení v oblasti odstrašenia a obrany na východnom krídle NATO súvislosti so zhoršeným bezpečnostným prostredím v Európe.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33" w:rsidRPr="00B043B4" w:rsidRDefault="00814133" w:rsidP="00CD0AF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14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sa týka výhradne a priamo pôsobnosti Ministerstva obrany SR a Ozbroje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ných síl Slovenskej republiky.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814133">
        <w:trPr>
          <w:trHeight w:val="72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4D1E05" w:rsidP="0008755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33BA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Alternatívne riešenia neboli zvažované, keďže predmetom tohto návrhu nie je odstránenie identifikovaného problému, ale aktuálne zabezpečenie vojenského zastúpenia Slovenskej republiky pri orgánoch NATO/EÚ a n</w:t>
            </w:r>
            <w:r w:rsidR="00E3215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ávrh na vyslanie príslušníkov Ozbrojených síl Slovenskej republiky</w:t>
            </w:r>
            <w:r w:rsidRPr="00833BA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 do orgánov vojenského zastúpenia pri NATO/EÚ a do vojenských štruktúr NATO/EÚ.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 Nulový variant by znamenal, že by nedošlo k naplneniu vojenského zastúpenia Slovenskej republiky pri orgánoch NATO/EÚ.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E01EDD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C93E48" w:rsidP="00E01E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C93E4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413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CD0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E01EDD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1B23B7" w:rsidRPr="00B043B4" w:rsidTr="00E01EDD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E01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295867" w:rsidP="00CD0AF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B15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Účelnosť predkladaného návrhu bude preskúmaná v hodnotiacich správach po skončení mandátu, prípadne v iných hodnotiacich materiáloch MO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SR najneskôr do jedného roka od schválenia materiálu v NR SR.</w:t>
            </w:r>
          </w:p>
        </w:tc>
      </w:tr>
      <w:tr w:rsidR="001B23B7" w:rsidRPr="003C2604" w:rsidTr="00E01EDD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60BA0" w:rsidRDefault="00860BA0" w:rsidP="00E01EDD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3C2604" w:rsidRDefault="001B23B7" w:rsidP="00E01EDD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83129D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3C26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860BA0" w:rsidRDefault="00860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60BA0" w:rsidRDefault="00860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60BA0" w:rsidRPr="003C2604" w:rsidRDefault="00860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3129D" w:rsidRPr="003C2604" w:rsidRDefault="00831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3129D" w:rsidRPr="003C2604" w:rsidRDefault="00831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D0AF4" w:rsidRPr="003C2604" w:rsidRDefault="00CD0A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3C260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E01ED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E01ED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814133" w:rsidP="00E01ED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E01ED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81413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556F9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556F9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8141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8141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81413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E01ED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295867" w:rsidRPr="00295867" w:rsidRDefault="00295867" w:rsidP="0029586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958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295867" w:rsidRPr="00295867" w:rsidRDefault="00295867" w:rsidP="0029586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958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1B23B7" w:rsidRPr="00B043B4" w:rsidRDefault="00295867" w:rsidP="0029586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958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E01EDD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4D1E05" w:rsidRDefault="004D1E05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14133" w:rsidRDefault="00860BA0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Mgr. Tomáš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Tatinec</w:t>
            </w:r>
            <w:proofErr w:type="spellEnd"/>
            <w:r w:rsidR="00814133" w:rsidRPr="00814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</w:t>
            </w:r>
            <w:hyperlink r:id="rId9" w:history="1">
              <w:r w:rsidRPr="000F5F57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tomas.tatinec@mod.gov.sk</w:t>
              </w:r>
            </w:hyperlink>
          </w:p>
          <w:p w:rsidR="00926962" w:rsidRDefault="00CD0AF4" w:rsidP="008556F9">
            <w:pP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Mgr. Pavla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Obertová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</w:t>
            </w:r>
            <w:hyperlink r:id="rId10" w:history="1">
              <w:r w:rsidR="008556F9" w:rsidRPr="003D655F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pavla.obertova@mod.gov.sk</w:t>
              </w:r>
            </w:hyperlink>
          </w:p>
          <w:p w:rsidR="00C60936" w:rsidRPr="00C60936" w:rsidRDefault="00C60936" w:rsidP="008556F9">
            <w:pPr>
              <w:rPr>
                <w:rFonts w:ascii="Times New Roman" w:eastAsia="Times New Roman" w:hAnsi="Times New Roman" w:cs="Times New Roman"/>
                <w:i/>
                <w:color w:val="0563C1" w:themeColor="hyperlink"/>
                <w:sz w:val="20"/>
                <w:szCs w:val="20"/>
                <w:u w:val="single"/>
                <w:lang w:eastAsia="sk-SK"/>
              </w:rPr>
            </w:pP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E01EDD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4D1E05" w:rsidP="008141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 bol spracovaný na základe podkladov Generálneho štábu OS SR</w:t>
            </w:r>
            <w:r w:rsidR="002714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</w:t>
            </w:r>
            <w:r w:rsidR="00083D03">
              <w:rPr>
                <w:rFonts w:ascii="Times New Roman" w:eastAsia="Calibri" w:hAnsi="Times New Roman" w:cs="Times New Roman"/>
                <w:b/>
              </w:rPr>
              <w:t>vybraných vplyvov z </w:t>
            </w:r>
            <w:r w:rsidR="00083D03" w:rsidRPr="004D1E05">
              <w:rPr>
                <w:rFonts w:ascii="Times New Roman" w:eastAsia="Calibri" w:hAnsi="Times New Roman" w:cs="Times New Roman"/>
                <w:b/>
              </w:rPr>
              <w:t>PPK č.</w:t>
            </w:r>
            <w:r w:rsidR="0037341A">
              <w:rPr>
                <w:rFonts w:ascii="Times New Roman" w:eastAsia="Calibri" w:hAnsi="Times New Roman" w:cs="Times New Roman"/>
                <w:b/>
              </w:rPr>
              <w:t xml:space="preserve"> 308</w:t>
            </w:r>
            <w:r w:rsidR="00A41121" w:rsidRPr="004D1E05">
              <w:rPr>
                <w:rFonts w:ascii="Times New Roman" w:eastAsia="Calibri" w:hAnsi="Times New Roman" w:cs="Times New Roman"/>
                <w:b/>
              </w:rPr>
              <w:t>/2022</w:t>
            </w:r>
          </w:p>
          <w:p w:rsidR="001B23B7" w:rsidRPr="00B043B4" w:rsidRDefault="001B23B7" w:rsidP="00E01EDD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F6A0E" w:rsidRDefault="001B23B7" w:rsidP="00E01ED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1F6A0E" w:rsidTr="00E01EDD">
              <w:trPr>
                <w:trHeight w:val="396"/>
              </w:trPr>
              <w:tc>
                <w:tcPr>
                  <w:tcW w:w="2552" w:type="dxa"/>
                </w:tcPr>
                <w:p w:rsidR="001B23B7" w:rsidRPr="001B44A7" w:rsidRDefault="00C93E48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60BA0" w:rsidRPr="001B44A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1B44A7" w:rsidRDefault="00C93E48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1B44A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1B44A7" w:rsidRDefault="00C93E48" w:rsidP="00E01E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7341A" w:rsidRPr="001B44A7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B4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9D7C04" w:rsidRPr="001F6A0E" w:rsidRDefault="001B23B7" w:rsidP="00E01ED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1F6A0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F6A0E" w:rsidRPr="001F6A0E" w:rsidRDefault="001F6A0E" w:rsidP="00E01ED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 xml:space="preserve">Podľa doložky vybraných vplyvov má materiál negatívny vplyv na rozpočet verejnej správy, ktorý je rozpočtovo zabezpečený.  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 xml:space="preserve">V analýze vplyvov v tabuľke č. 1 je uvedené, že financovanie je zabezpečené v rozpočte v sume 867 940 eur a zároveň v časti 2.1.1. Financovanie návrhu sa uvádza, že financovanie návrhu je zabezpečené v rámci rozpočtu kapitoly MO SR v programe 096 Obrana. Komisia upozorňuje, že v tabuľke č. 1 v riadku „Výdavky verejnej </w:t>
            </w: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lastRenderedPageBreak/>
              <w:t xml:space="preserve">správy celkom“ (aj v riadkoch „v tom: MO SR/program 096 Obrana“, „vplyv na ŠR“ a „Rozpočtové prostriedky“) a takisto v tabuľke č. 4  je uvedená suma 867 941 eur.  Uvedené sumy žiada Komisia navzájom zosúladiť. 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 xml:space="preserve">Komisia žiada zosúladiť tabuľku č. 5 s tabuľkou č. 1 (v tabuľke č. 1 doplniť vplyv na počet zamestnancov, vplyv na ŠR, v rámci mzdových výdavkov doplniť vplyv na ŠR). 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V tabuľke č. 5 žiada Komisia uviesť priemerný mzdový výdavok v prepočte na jeden mesiac, nie na celý rok.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V predkladacej správe v treťom odseku zdola žiada Komisia prvú vetu doplniť o konštatovanie, že negatívny vplyv na rozpočet verejnej správy bude v plnom rozsahu zabezpečený v rámci limitov výdavkov a počtu zamestnancov stanovených kapitole MO SR v rozpočte verejnej správy 2023 a roky nasledujúce.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>Keďže z materiálu nevyplýva, že navýšenie počtu skutočne vyslaných profesionálnych vojakov do orgánov vojenského zastúpenia o 13 osôb by sa malo uskutočniť iba v roku 2023, žiada Komisia analýzu vplyvov na rozpočet verejnej správy upraviť tak, aby obsahovala údaje o vplyve na rozpočet verejnej správy aj na roky 2024 a nasledujúce. Ak by sa vyslanie týchto 13 profesionálnych vojakov týkalo iba roku 2023 a tým aj uvedená kvantifikácia, Komisia žiada tieto skutočnosti výslovne uviesť v celom materiáli.</w:t>
            </w: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</w:p>
          <w:p w:rsidR="001F6A0E" w:rsidRPr="001F6A0E" w:rsidRDefault="001F6A0E" w:rsidP="001F6A0E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</w:pPr>
            <w:r w:rsidRPr="001F6A0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ar-SA"/>
              </w:rPr>
              <w:t xml:space="preserve">Vyhodnotenie: Pripomienky Komisie boli akceptovaná a údaje boli doplnené a upravené v súlade so znesenými pripomienkami. </w:t>
            </w:r>
          </w:p>
          <w:p w:rsidR="001F6A0E" w:rsidRPr="001F6A0E" w:rsidRDefault="001F6A0E" w:rsidP="00E01ED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  <w:p w:rsidR="001B23B7" w:rsidRPr="001F6A0E" w:rsidRDefault="001B23B7" w:rsidP="00BC5AA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E01E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E01EDD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C93E48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C93E48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C93E48" w:rsidP="00E01E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8141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814133" w:rsidRPr="00B043B4" w:rsidRDefault="00814133" w:rsidP="008141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D54984" w:rsidRDefault="00D54984" w:rsidP="00271494">
      <w:pPr>
        <w:tabs>
          <w:tab w:val="num" w:pos="1080"/>
          <w:tab w:val="left" w:pos="13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41410" w:rsidRDefault="00C41410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D0AF4" w:rsidRPr="000652F4" w:rsidRDefault="00CD0AF4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Analýza vplyvov na rozpočet verejnej správy, </w:t>
      </w:r>
    </w:p>
    <w:p w:rsidR="00CD0AF4" w:rsidRPr="000652F4" w:rsidRDefault="00CD0AF4" w:rsidP="00CD0AF4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zamestnanosť vo verejnej správe a financovanie návrhu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CD0AF4" w:rsidRPr="00CD0AF4" w:rsidRDefault="00CD0AF4" w:rsidP="00CD0AF4">
      <w:pPr>
        <w:tabs>
          <w:tab w:val="num" w:pos="7797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1 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779"/>
        <w:gridCol w:w="1068"/>
        <w:gridCol w:w="1134"/>
        <w:gridCol w:w="1115"/>
      </w:tblGrid>
      <w:tr w:rsidR="00CD0AF4" w:rsidRPr="00CD0AF4" w:rsidTr="00CD0AF4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96" w:type="dxa"/>
            <w:gridSpan w:val="4"/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D0AF4" w:rsidRPr="00CD0AF4" w:rsidTr="00970E6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79" w:type="dxa"/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068" w:type="dxa"/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15" w:type="dxa"/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779" w:type="dxa"/>
            <w:shd w:val="clear" w:color="auto" w:fill="C0C0C0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shd w:val="clear" w:color="auto" w:fill="C0C0C0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C0C0C0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79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CD0AF4" w:rsidRPr="00E4238A" w:rsidRDefault="00295867" w:rsidP="00C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C0C0C0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AF4" w:rsidRPr="004D1E05" w:rsidRDefault="00295867" w:rsidP="004D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AF4" w:rsidRPr="004C4748" w:rsidRDefault="00295867" w:rsidP="00C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AF4" w:rsidRPr="004C4748" w:rsidRDefault="00483542" w:rsidP="004D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2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2958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779" w:type="dxa"/>
            <w:shd w:val="clear" w:color="auto" w:fill="BFBFBF"/>
            <w:noWrap/>
          </w:tcPr>
          <w:p w:rsidR="00CD0AF4" w:rsidRPr="00C41410" w:rsidRDefault="00C41410" w:rsidP="00C4141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41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68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79" w:type="dxa"/>
            <w:noWrap/>
          </w:tcPr>
          <w:p w:rsidR="00CD0AF4" w:rsidRPr="00CD0AF4" w:rsidRDefault="00C41410" w:rsidP="00C4141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779" w:type="dxa"/>
            <w:shd w:val="clear" w:color="auto" w:fill="BFBFBF"/>
            <w:noWrap/>
          </w:tcPr>
          <w:p w:rsidR="00CD0AF4" w:rsidRPr="00295867" w:rsidRDefault="00295867" w:rsidP="00295867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9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469 410</w:t>
            </w:r>
          </w:p>
        </w:tc>
        <w:tc>
          <w:tcPr>
            <w:tcW w:w="1068" w:type="dxa"/>
            <w:shd w:val="clear" w:color="auto" w:fill="BFBFBF"/>
            <w:noWrap/>
            <w:vAlign w:val="center"/>
          </w:tcPr>
          <w:p w:rsidR="00CD0AF4" w:rsidRPr="00295867" w:rsidRDefault="00CD0AF4" w:rsidP="00295867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79" w:type="dxa"/>
            <w:noWrap/>
          </w:tcPr>
          <w:p w:rsidR="00CD0AF4" w:rsidRPr="00CD0AF4" w:rsidRDefault="00C33074" w:rsidP="00C3307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469 410</w:t>
            </w: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D0AF4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79" w:type="dxa"/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904A8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779" w:type="dxa"/>
            <w:shd w:val="clear" w:color="auto" w:fill="C0C0C0"/>
            <w:noWrap/>
          </w:tcPr>
          <w:p w:rsidR="005904A8" w:rsidRPr="004C4748" w:rsidRDefault="00C33074" w:rsidP="005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shd w:val="clear" w:color="auto" w:fill="C0C0C0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C0C0C0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C0C0C0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904A8" w:rsidRPr="00CD0AF4" w:rsidTr="00970E6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779" w:type="dxa"/>
            <w:noWrap/>
          </w:tcPr>
          <w:p w:rsidR="005904A8" w:rsidRPr="004C4748" w:rsidRDefault="00C33074" w:rsidP="004C474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867 941</w:t>
            </w:r>
          </w:p>
        </w:tc>
        <w:tc>
          <w:tcPr>
            <w:tcW w:w="1068" w:type="dxa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904A8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BFBFBF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779" w:type="dxa"/>
            <w:shd w:val="clear" w:color="auto" w:fill="BFBFBF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shd w:val="clear" w:color="auto" w:fill="BFBFBF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BFBFBF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904A8" w:rsidRPr="00CD0AF4" w:rsidTr="00970E6D">
        <w:trPr>
          <w:trHeight w:val="70"/>
          <w:jc w:val="center"/>
        </w:trPr>
        <w:tc>
          <w:tcPr>
            <w:tcW w:w="4661" w:type="dxa"/>
            <w:shd w:val="clear" w:color="auto" w:fill="A6A6A6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779" w:type="dxa"/>
            <w:shd w:val="clear" w:color="auto" w:fill="A6A6A6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68" w:type="dxa"/>
            <w:shd w:val="clear" w:color="auto" w:fill="A6A6A6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A6A6A6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5" w:type="dxa"/>
            <w:shd w:val="clear" w:color="auto" w:fill="A6A6A6"/>
            <w:noWrap/>
            <w:vAlign w:val="center"/>
          </w:tcPr>
          <w:p w:rsidR="005904A8" w:rsidRPr="00CD0AF4" w:rsidRDefault="005904A8" w:rsidP="005904A8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Default="00CD0AF4" w:rsidP="00CD0AF4">
      <w:pPr>
        <w:tabs>
          <w:tab w:val="num" w:pos="1080"/>
          <w:tab w:val="left" w:pos="1304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CD0AF4" w:rsidRPr="00CD0AF4" w:rsidRDefault="00CD0AF4" w:rsidP="008F2B09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Mriekatabuky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D0AF4" w:rsidRPr="00CD0AF4" w:rsidTr="008F2B09">
        <w:trPr>
          <w:trHeight w:val="1105"/>
        </w:trPr>
        <w:tc>
          <w:tcPr>
            <w:tcW w:w="9356" w:type="dxa"/>
          </w:tcPr>
          <w:p w:rsidR="00CD0AF4" w:rsidRPr="00CD0AF4" w:rsidRDefault="00CD0AF4" w:rsidP="00D75AC0">
            <w:pPr>
              <w:tabs>
                <w:tab w:val="num" w:pos="1080"/>
                <w:tab w:val="left" w:pos="13041"/>
              </w:tabs>
              <w:jc w:val="both"/>
              <w:rPr>
                <w:b/>
                <w:bCs/>
                <w:sz w:val="24"/>
                <w:szCs w:val="24"/>
                <w:lang w:eastAsia="cs-CZ"/>
              </w:rPr>
            </w:pPr>
            <w:r w:rsidRPr="00CD0AF4">
              <w:rPr>
                <w:bCs/>
                <w:i/>
                <w:sz w:val="24"/>
                <w:szCs w:val="24"/>
                <w:lang w:eastAsia="cs-CZ"/>
              </w:rPr>
              <w:t>Financovanie návrhu je zabezpečené v rámci rozpočtu kapit</w:t>
            </w:r>
            <w:r w:rsidR="00483542">
              <w:rPr>
                <w:bCs/>
                <w:i/>
                <w:sz w:val="24"/>
                <w:szCs w:val="24"/>
                <w:lang w:eastAsia="cs-CZ"/>
              </w:rPr>
              <w:t>o</w:t>
            </w:r>
            <w:r w:rsidR="00D75AC0">
              <w:rPr>
                <w:bCs/>
                <w:i/>
                <w:sz w:val="24"/>
                <w:szCs w:val="24"/>
                <w:lang w:eastAsia="cs-CZ"/>
              </w:rPr>
              <w:t>ly MO SR v programe 096 Obrana.</w:t>
            </w:r>
          </w:p>
        </w:tc>
      </w:tr>
    </w:tbl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CD0AF4" w:rsidRPr="00E3215D" w:rsidRDefault="00C60936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930CD2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Návrhom sa dopĺňa určenie orgánov a vojenských štruktúr NATO a EÚ na účel vojen</w:t>
      </w:r>
      <w:r w:rsidR="00A508BC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ského zastúpenia SR. </w:t>
      </w:r>
      <w:r w:rsidR="00874318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Súčasne sa materiálom zabezpečuje i</w:t>
      </w:r>
      <w:r w:rsidR="00E3215D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 krátkodobé vyslanie personálu Ozbrojených síl Slovenskej republiky</w:t>
      </w:r>
      <w:r w:rsidR="00874318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do veliteľských štruktúr NATO a EÚ v roku 2023.</w:t>
      </w:r>
      <w:r w:rsidRPr="00C60936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Následná realizácia v súlade s návrhom je v pôsob</w:t>
      </w:r>
      <w:r w:rsidR="00E3215D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nosti Ministerstva obrany SR a Ozbrojených síl Slovenskej republiky</w:t>
      </w:r>
      <w:r w:rsidR="00271494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.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4238A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E4238A" w:rsidRDefault="00CD0AF4" w:rsidP="00CD0AF4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:rsidR="00CD0AF4" w:rsidRPr="00CD0AF4" w:rsidRDefault="00E4238A" w:rsidP="00CD0AF4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CD0AF4"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2 </w:t>
      </w:r>
    </w:p>
    <w:p w:rsidR="00CD0AF4" w:rsidRPr="00CD0AF4" w:rsidRDefault="00CD0AF4" w:rsidP="00CD0AF4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3"/>
        <w:gridCol w:w="1134"/>
        <w:gridCol w:w="1134"/>
        <w:gridCol w:w="1134"/>
        <w:gridCol w:w="1134"/>
      </w:tblGrid>
      <w:tr w:rsidR="00CD0AF4" w:rsidRPr="00CD0AF4" w:rsidTr="008F2B09">
        <w:trPr>
          <w:cantSplit/>
          <w:trHeight w:val="70"/>
        </w:trPr>
        <w:tc>
          <w:tcPr>
            <w:tcW w:w="4613" w:type="dxa"/>
            <w:vMerge w:val="restart"/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CD0AF4" w:rsidRPr="00CD0AF4" w:rsidTr="008F2B09">
        <w:trPr>
          <w:cantSplit/>
          <w:trHeight w:val="70"/>
        </w:trPr>
        <w:tc>
          <w:tcPr>
            <w:tcW w:w="4613" w:type="dxa"/>
            <w:vMerge/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CD0AF4" w:rsidRPr="00CD0AF4" w:rsidRDefault="00C60936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AF4" w:rsidRPr="00CD0AF4" w:rsidRDefault="00C60936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AF4" w:rsidRPr="00CD0AF4" w:rsidRDefault="00C60936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AF4" w:rsidRPr="00CD0AF4" w:rsidRDefault="00C60936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</w:tr>
      <w:tr w:rsidR="00CD0AF4" w:rsidRPr="00CD0AF4" w:rsidTr="008F2B09">
        <w:trPr>
          <w:trHeight w:val="70"/>
        </w:trPr>
        <w:tc>
          <w:tcPr>
            <w:tcW w:w="4613" w:type="dxa"/>
          </w:tcPr>
          <w:p w:rsidR="00CD0AF4" w:rsidRPr="00CD0AF4" w:rsidRDefault="0079156F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Krátkodobé vyslanie personálu</w:t>
            </w:r>
            <w:r w:rsidR="00BF2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OS SR</w:t>
            </w:r>
          </w:p>
        </w:tc>
        <w:tc>
          <w:tcPr>
            <w:tcW w:w="1134" w:type="dxa"/>
          </w:tcPr>
          <w:p w:rsidR="00CD0AF4" w:rsidRPr="00CD0AF4" w:rsidRDefault="00BF20A4" w:rsidP="002C5B4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134" w:type="dxa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238A" w:rsidRPr="00CD0AF4" w:rsidTr="008F2B09">
        <w:trPr>
          <w:trHeight w:val="70"/>
        </w:trPr>
        <w:tc>
          <w:tcPr>
            <w:tcW w:w="4613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238A" w:rsidRPr="00CD0AF4" w:rsidTr="008F2B09">
        <w:trPr>
          <w:trHeight w:val="70"/>
        </w:trPr>
        <w:tc>
          <w:tcPr>
            <w:tcW w:w="4613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Indikátor XYZ </w:t>
            </w: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E4238A" w:rsidRPr="00CD0AF4" w:rsidRDefault="00E4238A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:rsidR="00CD0AF4" w:rsidRDefault="00E4238A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:rsidR="00E4238A" w:rsidRDefault="00E4238A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60936" w:rsidRDefault="00C60936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 Výpočty vplyvov na verejné financie</w:t>
      </w:r>
      <w:bookmarkStart w:id="1" w:name="_GoBack"/>
      <w:bookmarkEnd w:id="1"/>
    </w:p>
    <w:p w:rsidR="00C60936" w:rsidRDefault="00C60936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80360" w:rsidRPr="00423034" w:rsidRDefault="00880360" w:rsidP="00880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034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C60936" w:rsidRPr="00C60936" w:rsidRDefault="00C60936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97F2D" w:rsidRPr="00CD0AF4" w:rsidRDefault="00C97F2D" w:rsidP="00C97F2D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C97F2D" w:rsidRPr="00CD0AF4" w:rsidSect="00CD0A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1276" w:left="1418" w:header="709" w:footer="709" w:gutter="0"/>
          <w:cols w:space="708"/>
          <w:docGrid w:linePitch="360"/>
        </w:sectPr>
      </w:pPr>
    </w:p>
    <w:p w:rsidR="00CD0AF4" w:rsidRPr="00CD0AF4" w:rsidRDefault="00CD0AF4" w:rsidP="00CD0AF4">
      <w:pPr>
        <w:tabs>
          <w:tab w:val="num" w:pos="12616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2056"/>
        <w:tblW w:w="145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819"/>
        <w:gridCol w:w="3260"/>
      </w:tblGrid>
      <w:tr w:rsidR="00CD0AF4" w:rsidRPr="00CD0AF4" w:rsidTr="00CD0AF4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D0AF4" w:rsidRPr="00CD0AF4" w:rsidTr="00CD0AF4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Poplatky a platby (223)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 predaj výrobkov, tovar (223001)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–  príjmy rozpísať až do položiek platnej ekonomickej klasifikácie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2333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1404" w:tblpY="2"/>
        <w:tblW w:w="146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5"/>
        <w:gridCol w:w="1540"/>
        <w:gridCol w:w="1540"/>
        <w:gridCol w:w="1540"/>
        <w:gridCol w:w="1540"/>
        <w:gridCol w:w="2220"/>
      </w:tblGrid>
      <w:tr w:rsidR="00CD0AF4" w:rsidRPr="00CD0AF4" w:rsidTr="008F2B09">
        <w:trPr>
          <w:cantSplit/>
          <w:trHeight w:val="255"/>
        </w:trPr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D0AF4" w:rsidRPr="00CD0AF4" w:rsidTr="008F2B09">
        <w:trPr>
          <w:cantSplit/>
          <w:trHeight w:val="255"/>
        </w:trPr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295867" w:rsidRDefault="00295867" w:rsidP="004C474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867 941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4C4748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469 410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4C4748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96 021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Tovary a služby (630)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0537F5" w:rsidRDefault="004C4748" w:rsidP="00BC120D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53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301 964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631 Cestovné náhrady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0537F5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633 Materiál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634 Dopravné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636 Prenájom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0537F5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273 000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637 Služby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0537F5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2964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4C4748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48" w:rsidRPr="00CD0AF4" w:rsidRDefault="000537F5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4C4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transfery (640)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748" w:rsidRDefault="000537F5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748" w:rsidRPr="00CD0AF4" w:rsidRDefault="004C4748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748" w:rsidRPr="00CD0AF4" w:rsidRDefault="004C4748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4748" w:rsidRPr="00CD0AF4" w:rsidRDefault="004C4748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748" w:rsidRPr="00CD0AF4" w:rsidRDefault="004C4748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4" w:rsidRPr="00CD0AF4" w:rsidRDefault="000537F5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CD0AF4"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Splácanie úrokov a ostatné platby súvisiace s  úverom, pôžičkou, návratnou finančnou výpomocou a finančným prenájmom (650)</w:t>
            </w:r>
            <w:r w:rsidR="00CD0AF4"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Kapitálové transfery (720)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854BA0">
        <w:trPr>
          <w:trHeight w:val="25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0AF4" w:rsidRPr="00E4238A" w:rsidRDefault="00295867" w:rsidP="00CC0715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867 941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0AF4" w:rsidRPr="00CD0AF4" w:rsidRDefault="00CD0AF4" w:rsidP="008F2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D0AF4" w:rsidRPr="00CD0AF4" w:rsidRDefault="00CD0AF4" w:rsidP="008F2B09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 –  výdavky rozpísať až do položiek platnej ekonomickej klasifikácie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Poznámka: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</w:t>
      </w:r>
    </w:p>
    <w:p w:rsidR="00CD0AF4" w:rsidRPr="00CD0AF4" w:rsidRDefault="00CD0AF4" w:rsidP="00CD0AF4">
      <w:pPr>
        <w:tabs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5 </w:t>
      </w:r>
    </w:p>
    <w:p w:rsidR="00CD0AF4" w:rsidRPr="00CD0AF4" w:rsidRDefault="00CD0AF4" w:rsidP="00CD0AF4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45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1698"/>
        <w:gridCol w:w="1788"/>
        <w:gridCol w:w="720"/>
        <w:gridCol w:w="1698"/>
        <w:gridCol w:w="1722"/>
        <w:gridCol w:w="630"/>
        <w:gridCol w:w="727"/>
      </w:tblGrid>
      <w:tr w:rsidR="00CD0AF4" w:rsidRPr="00CD0AF4" w:rsidTr="00CD0AF4">
        <w:trPr>
          <w:cantSplit/>
          <w:trHeight w:val="255"/>
        </w:trPr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D0AF4" w:rsidRPr="00CD0AF4" w:rsidTr="00CD0AF4">
        <w:trPr>
          <w:cantSplit/>
          <w:trHeight w:val="255"/>
        </w:trPr>
        <w:tc>
          <w:tcPr>
            <w:tcW w:w="5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970E6D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164833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4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164833" w:rsidRDefault="00B34AF6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164833" w:rsidRDefault="00B34AF6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565 431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469 410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469 410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96 021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F3334E" w:rsidP="00F3334E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96 021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131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D0AF4" w:rsidRPr="00CD0AF4" w:rsidTr="00CD0AF4">
        <w:trPr>
          <w:trHeight w:val="255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0AF4" w:rsidRPr="00CD0AF4" w:rsidRDefault="00CD0AF4" w:rsidP="00CD0AF4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:rsidR="00CD0AF4" w:rsidRPr="00CD0AF4" w:rsidRDefault="00CD0AF4" w:rsidP="00C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1EDD" w:rsidRPr="00CD0AF4" w:rsidRDefault="00E01EDD" w:rsidP="00CD0AF4">
      <w:pPr>
        <w:spacing w:after="0" w:line="240" w:lineRule="auto"/>
        <w:jc w:val="center"/>
        <w:rPr>
          <w:sz w:val="24"/>
          <w:szCs w:val="24"/>
        </w:rPr>
      </w:pPr>
    </w:p>
    <w:sectPr w:rsidR="00E01EDD" w:rsidRPr="00CD0AF4" w:rsidSect="00CD0AF4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48" w:rsidRDefault="00C93E48" w:rsidP="001B23B7">
      <w:pPr>
        <w:spacing w:after="0" w:line="240" w:lineRule="auto"/>
      </w:pPr>
      <w:r>
        <w:separator/>
      </w:r>
    </w:p>
  </w:endnote>
  <w:endnote w:type="continuationSeparator" w:id="0">
    <w:p w:rsidR="00C93E48" w:rsidRDefault="00C93E4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48" w:rsidRDefault="00C93E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8</w:t>
    </w:r>
    <w:r>
      <w:rPr>
        <w:rStyle w:val="slostrany"/>
      </w:rPr>
      <w:fldChar w:fldCharType="end"/>
    </w:r>
  </w:p>
  <w:p w:rsidR="00C93E48" w:rsidRDefault="00C93E4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474957"/>
      <w:docPartObj>
        <w:docPartGallery w:val="Page Numbers (Bottom of Page)"/>
        <w:docPartUnique/>
      </w:docPartObj>
    </w:sdtPr>
    <w:sdtContent>
      <w:p w:rsidR="00C93E48" w:rsidRDefault="00C93E48">
        <w:pPr>
          <w:pStyle w:val="Pta"/>
          <w:jc w:val="right"/>
        </w:pPr>
        <w:r w:rsidRPr="000652F4">
          <w:rPr>
            <w:rFonts w:ascii="Times New Roman" w:hAnsi="Times New Roman" w:cs="Times New Roman"/>
          </w:rPr>
          <w:fldChar w:fldCharType="begin"/>
        </w:r>
        <w:r w:rsidRPr="000652F4">
          <w:rPr>
            <w:rFonts w:ascii="Times New Roman" w:hAnsi="Times New Roman" w:cs="Times New Roman"/>
          </w:rPr>
          <w:instrText>PAGE   \* MERGEFORMAT</w:instrText>
        </w:r>
        <w:r w:rsidRPr="000652F4">
          <w:rPr>
            <w:rFonts w:ascii="Times New Roman" w:hAnsi="Times New Roman" w:cs="Times New Roman"/>
          </w:rPr>
          <w:fldChar w:fldCharType="separate"/>
        </w:r>
        <w:r w:rsidR="006C726F">
          <w:rPr>
            <w:rFonts w:ascii="Times New Roman" w:hAnsi="Times New Roman" w:cs="Times New Roman"/>
            <w:noProof/>
          </w:rPr>
          <w:t>5</w:t>
        </w:r>
        <w:r w:rsidRPr="000652F4">
          <w:rPr>
            <w:rFonts w:ascii="Times New Roman" w:hAnsi="Times New Roman" w:cs="Times New Roman"/>
          </w:rPr>
          <w:fldChar w:fldCharType="end"/>
        </w:r>
      </w:p>
    </w:sdtContent>
  </w:sdt>
  <w:p w:rsidR="00C93E48" w:rsidRDefault="00C93E4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48" w:rsidRDefault="00C93E4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C93E48" w:rsidRDefault="00C93E4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3E48" w:rsidRPr="006045CB" w:rsidRDefault="00C93E48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726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3E48" w:rsidRDefault="00C93E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48" w:rsidRDefault="00C93E48" w:rsidP="001B23B7">
      <w:pPr>
        <w:spacing w:after="0" w:line="240" w:lineRule="auto"/>
      </w:pPr>
      <w:r>
        <w:separator/>
      </w:r>
    </w:p>
  </w:footnote>
  <w:footnote w:type="continuationSeparator" w:id="0">
    <w:p w:rsidR="00C93E48" w:rsidRDefault="00C93E4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48" w:rsidRDefault="00C93E48" w:rsidP="00CD0AF4">
    <w:pPr>
      <w:pStyle w:val="Hlavika"/>
      <w:jc w:val="right"/>
    </w:pPr>
    <w:r>
      <w:t>Príloha č. 2</w:t>
    </w:r>
  </w:p>
  <w:p w:rsidR="00C93E48" w:rsidRPr="00EB59C8" w:rsidRDefault="00C93E48" w:rsidP="00CD0AF4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48" w:rsidRDefault="00C93E48" w:rsidP="00CD0AF4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48" w:rsidRPr="000A15AE" w:rsidRDefault="00C93E48" w:rsidP="00CD0AF4">
    <w:pPr>
      <w:pStyle w:val="Hlavika"/>
      <w:jc w:val="right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4224"/>
    <w:rsid w:val="00043706"/>
    <w:rsid w:val="000537F5"/>
    <w:rsid w:val="000578FF"/>
    <w:rsid w:val="000652F4"/>
    <w:rsid w:val="00083D03"/>
    <w:rsid w:val="00087559"/>
    <w:rsid w:val="00097069"/>
    <w:rsid w:val="000A4FEC"/>
    <w:rsid w:val="000B04F9"/>
    <w:rsid w:val="000D348F"/>
    <w:rsid w:val="000F2BE9"/>
    <w:rsid w:val="00137425"/>
    <w:rsid w:val="00164833"/>
    <w:rsid w:val="00175A38"/>
    <w:rsid w:val="001B23B7"/>
    <w:rsid w:val="001B44A7"/>
    <w:rsid w:val="001C042B"/>
    <w:rsid w:val="001E3562"/>
    <w:rsid w:val="001F6A0E"/>
    <w:rsid w:val="001F73D3"/>
    <w:rsid w:val="00203EE3"/>
    <w:rsid w:val="0023360B"/>
    <w:rsid w:val="00243652"/>
    <w:rsid w:val="00262087"/>
    <w:rsid w:val="00271494"/>
    <w:rsid w:val="00295867"/>
    <w:rsid w:val="002C5B4C"/>
    <w:rsid w:val="003145AE"/>
    <w:rsid w:val="00333477"/>
    <w:rsid w:val="003551E4"/>
    <w:rsid w:val="00364A73"/>
    <w:rsid w:val="0037341A"/>
    <w:rsid w:val="003A057B"/>
    <w:rsid w:val="003C2604"/>
    <w:rsid w:val="00423034"/>
    <w:rsid w:val="00474CAF"/>
    <w:rsid w:val="00483542"/>
    <w:rsid w:val="0049476D"/>
    <w:rsid w:val="004A4383"/>
    <w:rsid w:val="004C4748"/>
    <w:rsid w:val="004C6831"/>
    <w:rsid w:val="004D1E05"/>
    <w:rsid w:val="004E4256"/>
    <w:rsid w:val="005904A8"/>
    <w:rsid w:val="00591C9D"/>
    <w:rsid w:val="00591EC6"/>
    <w:rsid w:val="00654540"/>
    <w:rsid w:val="00670F69"/>
    <w:rsid w:val="006A655B"/>
    <w:rsid w:val="006C726F"/>
    <w:rsid w:val="006E238B"/>
    <w:rsid w:val="006F678E"/>
    <w:rsid w:val="006F6B62"/>
    <w:rsid w:val="00720322"/>
    <w:rsid w:val="0075197E"/>
    <w:rsid w:val="00761208"/>
    <w:rsid w:val="0079156F"/>
    <w:rsid w:val="007B40C1"/>
    <w:rsid w:val="007C5D71"/>
    <w:rsid w:val="007D54AD"/>
    <w:rsid w:val="007E6659"/>
    <w:rsid w:val="00814133"/>
    <w:rsid w:val="0083129D"/>
    <w:rsid w:val="00832310"/>
    <w:rsid w:val="00843361"/>
    <w:rsid w:val="008508FD"/>
    <w:rsid w:val="00854BA0"/>
    <w:rsid w:val="008556F9"/>
    <w:rsid w:val="00860BA0"/>
    <w:rsid w:val="00865E81"/>
    <w:rsid w:val="00874318"/>
    <w:rsid w:val="008801B5"/>
    <w:rsid w:val="00880360"/>
    <w:rsid w:val="00881BF2"/>
    <w:rsid w:val="008B222D"/>
    <w:rsid w:val="008C79B7"/>
    <w:rsid w:val="008F2B09"/>
    <w:rsid w:val="008F37A4"/>
    <w:rsid w:val="00926962"/>
    <w:rsid w:val="00930CD2"/>
    <w:rsid w:val="009431E3"/>
    <w:rsid w:val="009475F5"/>
    <w:rsid w:val="00957336"/>
    <w:rsid w:val="00970E6D"/>
    <w:rsid w:val="009717F5"/>
    <w:rsid w:val="00996A58"/>
    <w:rsid w:val="009C424C"/>
    <w:rsid w:val="009D7C04"/>
    <w:rsid w:val="009E09F7"/>
    <w:rsid w:val="009F4832"/>
    <w:rsid w:val="00A340BB"/>
    <w:rsid w:val="00A4078A"/>
    <w:rsid w:val="00A41121"/>
    <w:rsid w:val="00A508BC"/>
    <w:rsid w:val="00AA0F97"/>
    <w:rsid w:val="00AC30D6"/>
    <w:rsid w:val="00B27760"/>
    <w:rsid w:val="00B34AF6"/>
    <w:rsid w:val="00B547F5"/>
    <w:rsid w:val="00B84F87"/>
    <w:rsid w:val="00BA2BF4"/>
    <w:rsid w:val="00BC120D"/>
    <w:rsid w:val="00BC5AA3"/>
    <w:rsid w:val="00BF20A4"/>
    <w:rsid w:val="00C33074"/>
    <w:rsid w:val="00C41410"/>
    <w:rsid w:val="00C42F5A"/>
    <w:rsid w:val="00C60936"/>
    <w:rsid w:val="00C8181C"/>
    <w:rsid w:val="00C86D48"/>
    <w:rsid w:val="00C93E48"/>
    <w:rsid w:val="00C97F2D"/>
    <w:rsid w:val="00CA51B0"/>
    <w:rsid w:val="00CC0715"/>
    <w:rsid w:val="00CD0AF4"/>
    <w:rsid w:val="00CE6AAE"/>
    <w:rsid w:val="00CF1A25"/>
    <w:rsid w:val="00D2313B"/>
    <w:rsid w:val="00D50F1E"/>
    <w:rsid w:val="00D54984"/>
    <w:rsid w:val="00D61E58"/>
    <w:rsid w:val="00D66441"/>
    <w:rsid w:val="00D75AC0"/>
    <w:rsid w:val="00DD7566"/>
    <w:rsid w:val="00DF357C"/>
    <w:rsid w:val="00E01EDD"/>
    <w:rsid w:val="00E3215D"/>
    <w:rsid w:val="00E4238A"/>
    <w:rsid w:val="00E90557"/>
    <w:rsid w:val="00ED1AC0"/>
    <w:rsid w:val="00F16F7B"/>
    <w:rsid w:val="00F3334E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C86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D0AF4"/>
    <w:rPr>
      <w:color w:val="0563C1" w:themeColor="hyperlink"/>
      <w:u w:val="single"/>
    </w:rPr>
  </w:style>
  <w:style w:type="table" w:customStyle="1" w:styleId="Mriekatabuky2">
    <w:name w:val="Mriežka tabuľky2"/>
    <w:basedOn w:val="Normlnatabuka"/>
    <w:next w:val="Mriekatabuky"/>
    <w:rsid w:val="00CD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CD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avla.obertova@mod.gov.s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tomas.tatinec@mod.go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2D1B2BF-2890-4CC6-B9C6-F2705765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OBERTOVA Pavla</cp:lastModifiedBy>
  <cp:revision>5</cp:revision>
  <cp:lastPrinted>2023-01-30T12:48:00Z</cp:lastPrinted>
  <dcterms:created xsi:type="dcterms:W3CDTF">2023-01-10T09:35:00Z</dcterms:created>
  <dcterms:modified xsi:type="dcterms:W3CDTF">2023-01-30T13:06:00Z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