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DE5F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NÁRODNÁ RADA SLOVENSKEJ REPUBLIKY</w:t>
      </w:r>
    </w:p>
    <w:p w14:paraId="07DBB9F5" w14:textId="77777777" w:rsidR="00336D42" w:rsidRPr="00A46492" w:rsidRDefault="00336D42" w:rsidP="00D5238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VIII. volebné obdobie</w:t>
      </w:r>
    </w:p>
    <w:p w14:paraId="3BC2A50A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A65E5E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Návrh</w:t>
      </w:r>
    </w:p>
    <w:p w14:paraId="547F0F51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B8818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4"/>
          <w:szCs w:val="24"/>
        </w:rPr>
      </w:pPr>
      <w:r w:rsidRPr="00A4649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4"/>
          <w:szCs w:val="24"/>
        </w:rPr>
        <w:t>Zákon</w:t>
      </w:r>
    </w:p>
    <w:p w14:paraId="0320C941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56F7F" w14:textId="3527E042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z ... 202</w:t>
      </w:r>
      <w:r w:rsidR="0066499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6232D69" w14:textId="77777777" w:rsidR="00336D42" w:rsidRPr="00A46492" w:rsidRDefault="00336D42" w:rsidP="00D5238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C66880" w14:textId="4FF403F7" w:rsidR="00336D42" w:rsidRDefault="000218A3" w:rsidP="00254D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mení a dopĺňa zákon č. 385/2000 Z. z. o sudcoch a prísediacich a o zmene a doplnení niektorých zákonov v znení neskorších predpisov a ktorým sa menia niektoré zákony</w:t>
      </w:r>
      <w:bookmarkStart w:id="0" w:name="_GoBack"/>
      <w:bookmarkEnd w:id="0"/>
    </w:p>
    <w:p w14:paraId="342EDC86" w14:textId="77777777" w:rsidR="00254D56" w:rsidRPr="00254D56" w:rsidRDefault="00254D56" w:rsidP="00254D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438022" w14:textId="04CECB76" w:rsidR="00B267AC" w:rsidRDefault="00336D42" w:rsidP="00664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0C602BFC" w14:textId="77777777" w:rsidR="00254D56" w:rsidRPr="00A46492" w:rsidRDefault="00254D56" w:rsidP="00664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3C992" w14:textId="733BB31B" w:rsidR="00025C06" w:rsidRPr="00A46492" w:rsidRDefault="00025C06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9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4724916" w14:textId="608FD349" w:rsidR="00336D42" w:rsidRPr="00A46492" w:rsidRDefault="00664992" w:rsidP="006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>Zákon č. 385/2000 Z. z. o sudcoch a prísediacich a o zmene a doplnení niektorých zákonov v znení zákona č.185/2002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33/2011 Z. z., zákona č. 100/2011 Z. z., zákona č. 467/2011 Z. z., zákona č. 503/2011 Z. z., zákona č. 79/2012 Z. z., zákona č. 335/2012 Z. z., zákona č. 392/2012 Z. z., zákona č. 462/2013 Z. z., zákona č. 195/2014 Z. z., nálezu Ústavného súdu Slovenskej republiky č. 216/2014 Z. z., zákona č. 307/2014 Z. z., zákona č. 322/2014 Z. z., zákona č. 362/2014 Z. z., zákona č. 401/2015 Z. z., nálezu Ústavného súdu Slovenskej republiky č. 443/2015 Z. z., zákona č. 125/2016 Z. z.,  zákona č. 152/2017 Z. z., zákona č. 177/2018 Z. z., zákona č. 314/2018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4992">
        <w:rPr>
          <w:rFonts w:ascii="Times New Roman" w:hAnsi="Times New Roman" w:cs="Times New Roman"/>
          <w:sz w:val="24"/>
          <w:szCs w:val="24"/>
        </w:rPr>
        <w:t>nálezu Ústavného súdu Slovenskej republiky č. 40/2019 Z. z.</w:t>
      </w:r>
      <w:r>
        <w:rPr>
          <w:rFonts w:ascii="Times New Roman" w:hAnsi="Times New Roman" w:cs="Times New Roman"/>
          <w:sz w:val="24"/>
          <w:szCs w:val="24"/>
        </w:rPr>
        <w:t xml:space="preserve">, zákona č. 282/2019 Z. z., zákona č. 397/2019 Z. z., zákona č. 459/2019 Z. z., </w:t>
      </w:r>
      <w:r w:rsidRPr="00664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241/2020 Z. z., zákona č. 423/2020 Z. z., zákona č. 71/2021 Z. z., zákona č. 432/2021 Z. z., zákona č. 150/2022 Z. z., zákona č. 151/2022 Z. z. a zákona č. 398/2022 Z. z. s</w:t>
      </w:r>
      <w:r w:rsidRPr="00664992">
        <w:rPr>
          <w:rFonts w:ascii="Times New Roman" w:hAnsi="Times New Roman" w:cs="Times New Roman"/>
          <w:sz w:val="24"/>
          <w:szCs w:val="24"/>
        </w:rPr>
        <w:t>a mení a dopĺňa takto</w:t>
      </w:r>
      <w:r w:rsidR="00336D42" w:rsidRPr="00A46492">
        <w:rPr>
          <w:rFonts w:ascii="Times New Roman" w:hAnsi="Times New Roman" w:cs="Times New Roman"/>
          <w:sz w:val="24"/>
          <w:szCs w:val="24"/>
        </w:rPr>
        <w:t>:</w:t>
      </w:r>
    </w:p>
    <w:p w14:paraId="395AE0A2" w14:textId="105F5D8A" w:rsidR="00F121F1" w:rsidRDefault="00F121F1" w:rsidP="00D5238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492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664992">
        <w:rPr>
          <w:rFonts w:ascii="Times New Roman" w:hAnsi="Times New Roman" w:cs="Times New Roman"/>
          <w:sz w:val="24"/>
          <w:szCs w:val="24"/>
        </w:rPr>
        <w:t>19 znie:</w:t>
      </w:r>
    </w:p>
    <w:p w14:paraId="071F2244" w14:textId="77777777" w:rsidR="00C27DE6" w:rsidRDefault="00C27DE6" w:rsidP="00C27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4954682" w14:textId="1BE1C2C0" w:rsid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Sudca sa môže funkcie sudcu vzdať písomným oznámením prezidentovi. Funkcia sudcu v takom prípade zaniká uplynutím kalendárneho mesiaca, v ktorom bolo písomné oznámenie o vzdaní sa funkcie doručené prezidentovi. Za vzdanie sa funkcie sudcu sa považuje aj podpísanie vyhlásenia, v ktorom sudca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 vo voľbách do európskeho parlamentu podľa osobitného predpisu.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V prípade podľa predchádzajúcej vety je Štátna komisia pre voľby a kontrolu financovania politických strán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6c) 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povinná doručiť prezidentovi kópiu vyhlásenia sudcu, v ktorom sudca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alebo vo voľbách do európskeho parlamentu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do piatich dní odo dňa, keď jej bola doručená kandidátna listina, ktorej prílohou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je takéto vyhlásenie sudcu; vyhlásenie môže prezidentovi doručiť aj dotknutý sudca bez toho, aby tým bola dotknutá povinnosť Štátnej komisie pre voľby a kontrolu financovania politických strán podľa tejto vety; doručenie vyhlásenia sudcu prezidentovi Štátnou komisiou pre voľby a kontrolu financovania politických strán alebo dotknutým sudcom podľa tejto vety sa považuje za doručenie vzdania sa funkcie sudcu prezidentovi pre účely prvej vety.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F4A3120" w14:textId="1C4B7D8E" w:rsid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1C7DC4" w14:textId="2B5408E9" w:rsid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</w:t>
      </w:r>
      <w:r w:rsidRPr="00664992">
        <w:rPr>
          <w:rFonts w:ascii="Times New Roman" w:hAnsi="Times New Roman" w:cs="Times New Roman"/>
          <w:sz w:val="24"/>
          <w:szCs w:val="24"/>
          <w:vertAlign w:val="superscript"/>
        </w:rPr>
        <w:t>6b)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51E6AEBB" w14:textId="30AE219B" w:rsid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sz w:val="24"/>
          <w:szCs w:val="24"/>
          <w:vertAlign w:val="superscript"/>
        </w:rPr>
        <w:t xml:space="preserve">6b)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§ 103 ods. 1 písm. e), 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§ 50 ods. 4 písm. a) a § 80 ods. 4 písm. d) zákona č. 180/2014 Z. z. o podmienkach výkonu volebného práva a o zmene a doplnení niektorých zákonov.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34C14BF" w14:textId="77777777" w:rsidR="00664992" w:rsidRPr="00A46492" w:rsidRDefault="00664992" w:rsidP="00664992">
      <w:pPr>
        <w:pStyle w:val="Odsekzoznamu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2B4ED5" w14:textId="7E25FD96" w:rsidR="00316330" w:rsidRDefault="00316330" w:rsidP="006649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20 sa vkladá nový odsek 3:</w:t>
      </w:r>
    </w:p>
    <w:p w14:paraId="127E5B02" w14:textId="6CF9A04F" w:rsidR="00316330" w:rsidRDefault="00316330" w:rsidP="0031633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16330">
        <w:rPr>
          <w:rFonts w:ascii="Times New Roman" w:hAnsi="Times New Roman" w:cs="Times New Roman"/>
          <w:i/>
          <w:iCs/>
          <w:sz w:val="24"/>
          <w:szCs w:val="24"/>
        </w:rPr>
        <w:t>Funkcia sudcu zaniká dňom vymenovania za člena vlády.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470F5D" w14:textId="77777777" w:rsidR="00316330" w:rsidRDefault="00316330" w:rsidP="0031633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56F6294" w14:textId="573F9500" w:rsidR="00E11245" w:rsidRDefault="00664992" w:rsidP="006649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24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3163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 písmeno a) sa vypúšťa</w:t>
      </w:r>
      <w:r w:rsidR="00316330">
        <w:rPr>
          <w:rFonts w:ascii="Times New Roman" w:hAnsi="Times New Roman" w:cs="Times New Roman"/>
          <w:sz w:val="24"/>
          <w:szCs w:val="24"/>
        </w:rPr>
        <w:t xml:space="preserve">jú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316330" w:rsidRPr="00316330">
        <w:rPr>
          <w:rFonts w:ascii="Times New Roman" w:hAnsi="Times New Roman" w:cs="Times New Roman"/>
          <w:i/>
          <w:iCs/>
          <w:sz w:val="24"/>
          <w:szCs w:val="24"/>
        </w:rPr>
        <w:t>prezidentom, členom vlády,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BC4EC76" w14:textId="77777777" w:rsid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4E57177" w14:textId="287B58C0" w:rsidR="00664992" w:rsidRPr="00664992" w:rsidRDefault="00664992" w:rsidP="006649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24 ods. 2 sa vypúšťajú slová 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vo voľbách na prezidenta Slovenskej republiky, alebo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9C28EBB" w14:textId="5EE770E2" w:rsidR="00664992" w:rsidRDefault="00664992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6FE2786C" w14:textId="236C3191" w:rsidR="00664992" w:rsidRDefault="00664992" w:rsidP="006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 xml:space="preserve">Zákon č. 154/2001 Z. z. o prokurátoroch a právnych čakateľoch prokuratúry znení zákona č. 154/2001 Z. z., zákona 311/2001 Z. z., zákona č. 669/2002 Z. z. zákona č. 458/2003 Z. z., zákona č. 462/2003 Z. z., zákona č. 548/2003 Z. z., zákona č. 561/2003 Z. z., zákona č. 595/2003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 zákona č. 335/2012 Z. z., zákona č. 392/2012 Z. z., zákona č. 462/2013 Z. z., zákona č. 195/2014 Z. z., zákona č. </w:t>
      </w:r>
      <w:r w:rsidRPr="00664992">
        <w:rPr>
          <w:rFonts w:ascii="Times New Roman" w:hAnsi="Times New Roman" w:cs="Times New Roman"/>
          <w:sz w:val="24"/>
          <w:szCs w:val="24"/>
        </w:rPr>
        <w:lastRenderedPageBreak/>
        <w:t>307/2014 Z. z., zákona č. 322/2014 Z. z., zákona č. 362/2014 Z. z., zákona č. 401/2015 Z. z., zákona č. 125/2016 Z. z., zákona č. 177/2018 Z. z., zákona č. 242/2019 Z. z., zákona č. 459/2019 Z. z., zákona č. 241/2020 Z. z., zákona č. 312/2020 Z. z., zákona č. 423/2020 Z. z., zákona č. 310/2021 Z. z., zákona č. 412/2021 Z. z., zákona č. 432/2021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992">
        <w:rPr>
          <w:rFonts w:ascii="Times New Roman" w:hAnsi="Times New Roman" w:cs="Times New Roman"/>
          <w:sz w:val="24"/>
          <w:szCs w:val="24"/>
        </w:rPr>
        <w:t xml:space="preserve"> zákona č. 151/2022 Z. z. </w:t>
      </w:r>
      <w:r>
        <w:rPr>
          <w:rFonts w:ascii="Times New Roman" w:hAnsi="Times New Roman" w:cs="Times New Roman"/>
          <w:sz w:val="24"/>
          <w:szCs w:val="24"/>
        </w:rPr>
        <w:t xml:space="preserve">a zákona č. 11/2023 Z. z. </w:t>
      </w:r>
      <w:r w:rsidRPr="00664992">
        <w:rPr>
          <w:rFonts w:ascii="Times New Roman" w:hAnsi="Times New Roman" w:cs="Times New Roman"/>
          <w:sz w:val="24"/>
          <w:szCs w:val="24"/>
        </w:rPr>
        <w:t>sa mení a dopĺňa 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3C4830" w14:textId="053BDDA2" w:rsidR="00664992" w:rsidRDefault="00664992" w:rsidP="0066499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sa v odseku 1 vypúšťajú slová 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prezidentom Slovenskej republiky, poslancom národnej rady,</w:t>
      </w:r>
      <w:r w:rsidR="003163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6330" w:rsidRPr="00316330">
        <w:rPr>
          <w:rFonts w:ascii="Times New Roman" w:hAnsi="Times New Roman" w:cs="Times New Roman"/>
          <w:i/>
          <w:iCs/>
          <w:sz w:val="24"/>
          <w:szCs w:val="24"/>
        </w:rPr>
        <w:t>členom vlády Slovenskej republiky,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C8B2E4F" w14:textId="77777777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5F55668" w14:textId="19A5CE23" w:rsidR="00664992" w:rsidRPr="00664992" w:rsidRDefault="00664992" w:rsidP="0066499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sa v odseku 2 vypúšťajú slová 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vo voľbách prezidenta Slovenskej republiky, vo voľbách do Národnej rady Slovenskej republiky (ďalej len „národná rada“),</w:t>
      </w:r>
      <w:r>
        <w:rPr>
          <w:rFonts w:ascii="Times New Roman" w:hAnsi="Times New Roman" w:cs="Times New Roman"/>
          <w:sz w:val="24"/>
          <w:szCs w:val="24"/>
        </w:rPr>
        <w:t>“ a 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alebo vo voľbách do Európskeho parlamentu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BF5F644" w14:textId="77777777" w:rsidR="00664992" w:rsidRP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AA27044" w14:textId="0AB1AD30" w:rsidR="00664992" w:rsidRDefault="00664992" w:rsidP="00664992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sa vkladá nový odsek 3, ktorý znie:</w:t>
      </w:r>
    </w:p>
    <w:p w14:paraId="5DCB3968" w14:textId="6AA6004E" w:rsidR="00664992" w:rsidRP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(3) Za vzdanie sa funkcie prokurátora sa považuje aj podpísanie vyhlásenia, v ktorom prokurátor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 vo voľbách do európskeho parlamentu podľa osobitného predpisu.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V prípade podľa predchádzajúcej vety je Štátna komisia pre voľby a kontrolu financovania politických strán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povinná doručiť generálnemu prokurátorovi kópiu vyhlásenia prokurátora, v ktorom prokurátor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alebo vo voľbách do európskeho parlamentu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do piatich dní odo dňa, keď jej bola doručená kandidátna listina, ktorej prílohou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je takéto vyhlásenie prokurátora; vyhlásenie môže generálnemu prokurátorovi doručiť aj dotknutý prokurátor bez toho, aby tým bola dotknutá povinnosť Štátnej komisie pre voľby a kontrolu financovania politických strán podľa tejto vety; doručenie vyhlásenia  prokurátora Štátnou komisiou pre voľby a kontrolu financovania politických strán alebo dotknutým prokurátorom podľa tejto vety sa považuje za doručenie vzdania sa funkcie prokurátora generálnemu prokurátorovi. </w:t>
      </w:r>
      <w:r w:rsidR="00D970B8" w:rsidRPr="00D970B8">
        <w:rPr>
          <w:rFonts w:ascii="Times New Roman" w:hAnsi="Times New Roman" w:cs="Times New Roman"/>
          <w:i/>
          <w:iCs/>
          <w:sz w:val="24"/>
          <w:szCs w:val="24"/>
        </w:rPr>
        <w:t>Služobný pomer prokurátora zaniká vzdaním sa funkcie prokurátora</w:t>
      </w:r>
      <w:r w:rsidR="00D97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v takom prípade zaniká uplynutím kalendárneho mesiaca, v ktorom bolo písomné oznámenie o vzdaní sa funkcie doručené generálnemu prokurátorovi.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7555C52" w14:textId="30C3928D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9DA001D" w14:textId="7CB04B12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12a) a 12b) znejú:</w:t>
      </w:r>
    </w:p>
    <w:p w14:paraId="123CFA70" w14:textId="77777777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43A7C0F" w14:textId="593A6A27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§ 103 ods. 1 písm. e), 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§ 50 ods. 4 písm. a) a § 80 ods. 4 písm. d) zákona č. 180/2014 Z. z. o podmienkach výkonu volebného práva a o zmene a doplnení niektorých zákonov.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BF98743" w14:textId="6EC6F1F3" w:rsid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E4CF191" w14:textId="1D711514" w:rsidR="00664992" w:rsidRPr="00664992" w:rsidRDefault="00664992" w:rsidP="00664992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§ 13 a </w:t>
      </w:r>
      <w:proofErr w:type="spellStart"/>
      <w:r w:rsidRPr="00664992">
        <w:rPr>
          <w:rFonts w:ascii="Times New Roman" w:hAnsi="Times New Roman" w:cs="Times New Roman"/>
          <w:i/>
          <w:iCs/>
          <w:sz w:val="24"/>
          <w:szCs w:val="24"/>
        </w:rPr>
        <w:t>nasl</w:t>
      </w:r>
      <w:proofErr w:type="spellEnd"/>
      <w:r w:rsidRPr="00664992">
        <w:rPr>
          <w:rFonts w:ascii="Times New Roman" w:hAnsi="Times New Roman" w:cs="Times New Roman"/>
          <w:i/>
          <w:iCs/>
          <w:sz w:val="24"/>
          <w:szCs w:val="24"/>
        </w:rPr>
        <w:t>. zákona č. 180/2014 Z. z. v znení neskorších predpisov.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EF84E5A" w14:textId="1F21A586" w:rsidR="00025C06" w:rsidRDefault="00025C06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664992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09B03068" w14:textId="1A19DC03" w:rsidR="00664992" w:rsidRDefault="00664992" w:rsidP="006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>Zákon č. 153/2001 Z. z. o prokuratúre v znení zákona č. 458/2003 Z. z., zákona č. 36/2005 Z. z., zákona č. 59/2009 Z. z., zákona č. 290/2009 Z. z., zákona č. 291/2009 Z. z., zákona č. 102/2010 Z. z., zákona č. 403/2010 Z. z., zákona č. 192/2011 Z. z., zákona č. 220/2011 Z. z., zákona č. 436/2013 Z. z., zákona č. 401/2015 Z. z., zákona č. 125/2016 Z. z., zákona č. 18/2018 Z. z., zákona č. 314/2018 Z. z., zákona č. 6/2019 Z. z., zákona č. 54/2019 Z. z., zákona č. 242/2019 Z. z., zákona č. 241/2020 Z. z., zákona č. 312/2020 Z. z., zákona č. 423/2020 Z. z., zákona č. 150/2022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992">
        <w:rPr>
          <w:rFonts w:ascii="Times New Roman" w:hAnsi="Times New Roman" w:cs="Times New Roman"/>
          <w:sz w:val="24"/>
          <w:szCs w:val="24"/>
        </w:rPr>
        <w:t xml:space="preserve"> zákona č. 151/2022 Z. z. </w:t>
      </w:r>
      <w:r>
        <w:rPr>
          <w:rFonts w:ascii="Times New Roman" w:hAnsi="Times New Roman" w:cs="Times New Roman"/>
          <w:sz w:val="24"/>
          <w:szCs w:val="24"/>
        </w:rPr>
        <w:t xml:space="preserve">a zákona č. 398/2022 Z. z. </w:t>
      </w:r>
      <w:r w:rsidRPr="00664992">
        <w:rPr>
          <w:rFonts w:ascii="Times New Roman" w:hAnsi="Times New Roman" w:cs="Times New Roman"/>
          <w:sz w:val="24"/>
          <w:szCs w:val="24"/>
        </w:rPr>
        <w:t>sa mení a dopĺňa 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7A7057" w14:textId="693488EA" w:rsidR="00664992" w:rsidRPr="00664992" w:rsidRDefault="00664992" w:rsidP="00664992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sa </w:t>
      </w:r>
      <w:r w:rsidR="00316330">
        <w:rPr>
          <w:rFonts w:ascii="Times New Roman" w:hAnsi="Times New Roman" w:cs="Times New Roman"/>
          <w:sz w:val="24"/>
          <w:szCs w:val="24"/>
        </w:rPr>
        <w:t xml:space="preserve">vkladá nový </w:t>
      </w:r>
      <w:r>
        <w:rPr>
          <w:rFonts w:ascii="Times New Roman" w:hAnsi="Times New Roman" w:cs="Times New Roman"/>
          <w:sz w:val="24"/>
          <w:szCs w:val="24"/>
        </w:rPr>
        <w:t xml:space="preserve">odsek </w:t>
      </w:r>
      <w:r w:rsidR="003163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9B61AA" w14:textId="76733869" w:rsidR="00664992" w:rsidRDefault="00664992" w:rsidP="0066499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1633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) Za vzdanie sa funkcie generálneho prokurátora sa považuje aj podpísanie vyhlásenia, v ktorom generálny prokurátor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 vo voľbách do európskeho parlamentu podľa osobitného predpisu.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V prípade podľa predchádzajúcej vety je Štátna komisia pre voľby a kontrolu financovania politických strán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povinná doručiť prezidentovi kópiu vyhlásenia generálneho prokurátora, v ktorom generálny prokurátor vyjadrí súhlas so svojou kandidatúrou na prezidenta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Slovenskej republiky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, kandidatúrou na kandidátnej listine politickej strany alebo politického hnutia vo voľbách do národnej rady alebo vo voľbách do európskeho parlamentu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do piatich dní odo dňa, keď jej bola doručená kandidátna listina, ktorej prílohou podľa osobitného predpisu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je takéto vyhlásenie generálneho prokurátora; vyhlásenie môže prezidentovi doručiť aj generálny prokurátor bez toho, aby tým bola dotknutá povinnosť Štátnej komisie pre voľby a kontrolu financovania politických strán podľa tejto vety; doručenie vyhlásenia  generálneho prokurátora Štátnou komisiou pre voľby a kontrolu financovania politických strán alebo generálnym prokurátorom podľa tejto vety sa považuje za doručenie vzdania sa funkcie generálneho prokurátora prezidentovi. Funkcia generálneho prokurátora v takom prípade zaniká uplynutím kalendárneho mesiaca, v ktorom bolo písomné oznámenie o vzdaní sa funkcie doručené prezidentovi.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07D2E4B" w14:textId="7B9E2083" w:rsidR="00664992" w:rsidRDefault="00664992" w:rsidP="0066499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3 a 4 sa označujú ako odseky 4 a 5. </w:t>
      </w:r>
    </w:p>
    <w:p w14:paraId="79262C56" w14:textId="65E36376" w:rsidR="00664992" w:rsidRPr="00664992" w:rsidRDefault="00664992" w:rsidP="006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>Poznámky pod čiarou 2a) a 2b) znejú:</w:t>
      </w:r>
    </w:p>
    <w:p w14:paraId="2EAF11FF" w14:textId="516718C3" w:rsidR="00664992" w:rsidRDefault="00664992" w:rsidP="0066499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2a)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§ 103 ods. 1 písm. e), 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§ 50 ods. 4 písm. a) a § 80 ods. 4 písm. d) zákona č. 180/2014 Z. z. o podmienkach výkonu volebného práva a o zmene a doplnení niektorých zákonov.</w:t>
      </w:r>
      <w:r w:rsidRPr="00664992">
        <w:rPr>
          <w:rFonts w:ascii="Times New Roman" w:hAnsi="Times New Roman" w:cs="Times New Roman"/>
          <w:sz w:val="24"/>
          <w:szCs w:val="24"/>
        </w:rPr>
        <w:t>“</w:t>
      </w:r>
    </w:p>
    <w:p w14:paraId="3DB63379" w14:textId="24C2DD60" w:rsidR="00664992" w:rsidRPr="00664992" w:rsidRDefault="00664992" w:rsidP="0066499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>„</w:t>
      </w:r>
      <w:r w:rsidRPr="006649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2b)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 xml:space="preserve"> § 13 a </w:t>
      </w:r>
      <w:proofErr w:type="spellStart"/>
      <w:r w:rsidRPr="00664992">
        <w:rPr>
          <w:rFonts w:ascii="Times New Roman" w:hAnsi="Times New Roman" w:cs="Times New Roman"/>
          <w:i/>
          <w:iCs/>
          <w:sz w:val="24"/>
          <w:szCs w:val="24"/>
        </w:rPr>
        <w:t>nasl</w:t>
      </w:r>
      <w:proofErr w:type="spellEnd"/>
      <w:r w:rsidRPr="00664992">
        <w:rPr>
          <w:rFonts w:ascii="Times New Roman" w:hAnsi="Times New Roman" w:cs="Times New Roman"/>
          <w:i/>
          <w:iCs/>
          <w:sz w:val="24"/>
          <w:szCs w:val="24"/>
        </w:rPr>
        <w:t>. zákona č. 180/2014 Z. z. v znení neskorších predpisov.</w:t>
      </w:r>
      <w:r w:rsidRPr="00664992">
        <w:rPr>
          <w:rFonts w:ascii="Times New Roman" w:hAnsi="Times New Roman" w:cs="Times New Roman"/>
          <w:sz w:val="24"/>
          <w:szCs w:val="24"/>
        </w:rPr>
        <w:t>“</w:t>
      </w:r>
    </w:p>
    <w:p w14:paraId="788ECDD8" w14:textId="68BE5CBF" w:rsidR="00664992" w:rsidRPr="00A46492" w:rsidRDefault="00664992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14:paraId="08E1666C" w14:textId="0F58D2E6" w:rsidR="00B267AC" w:rsidRPr="00B267AC" w:rsidRDefault="00B267AC" w:rsidP="00D5238B">
      <w:pPr>
        <w:jc w:val="both"/>
        <w:rPr>
          <w:rFonts w:ascii="Times New Roman" w:hAnsi="Times New Roman" w:cs="Times New Roman"/>
          <w:sz w:val="24"/>
          <w:szCs w:val="24"/>
        </w:rPr>
      </w:pPr>
      <w:r w:rsidRPr="00A4649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F1E79" w:rsidRPr="00A46492">
        <w:rPr>
          <w:rFonts w:ascii="Times New Roman" w:hAnsi="Times New Roman" w:cs="Times New Roman"/>
          <w:sz w:val="24"/>
          <w:szCs w:val="24"/>
        </w:rPr>
        <w:t xml:space="preserve">1. </w:t>
      </w:r>
      <w:r w:rsidR="00664992">
        <w:rPr>
          <w:rFonts w:ascii="Times New Roman" w:hAnsi="Times New Roman" w:cs="Times New Roman"/>
          <w:sz w:val="24"/>
          <w:szCs w:val="24"/>
        </w:rPr>
        <w:t>júna</w:t>
      </w:r>
      <w:r w:rsidR="00CF1E79" w:rsidRPr="00A46492">
        <w:rPr>
          <w:rFonts w:ascii="Times New Roman" w:hAnsi="Times New Roman" w:cs="Times New Roman"/>
          <w:sz w:val="24"/>
          <w:szCs w:val="24"/>
        </w:rPr>
        <w:t xml:space="preserve"> 202</w:t>
      </w:r>
      <w:r w:rsidR="00664992">
        <w:rPr>
          <w:rFonts w:ascii="Times New Roman" w:hAnsi="Times New Roman" w:cs="Times New Roman"/>
          <w:sz w:val="24"/>
          <w:szCs w:val="24"/>
        </w:rPr>
        <w:t>3</w:t>
      </w:r>
      <w:r w:rsidRPr="00A46492">
        <w:rPr>
          <w:rFonts w:ascii="Times New Roman" w:hAnsi="Times New Roman" w:cs="Times New Roman"/>
          <w:sz w:val="24"/>
          <w:szCs w:val="24"/>
        </w:rPr>
        <w:t>.</w:t>
      </w:r>
    </w:p>
    <w:sectPr w:rsidR="00B267AC" w:rsidRPr="00B267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0B0BC" w14:textId="77777777" w:rsidR="0012104C" w:rsidRDefault="0012104C" w:rsidP="001576A0">
      <w:pPr>
        <w:spacing w:after="0" w:line="240" w:lineRule="auto"/>
      </w:pPr>
      <w:r>
        <w:separator/>
      </w:r>
    </w:p>
  </w:endnote>
  <w:endnote w:type="continuationSeparator" w:id="0">
    <w:p w14:paraId="62B1F51C" w14:textId="77777777" w:rsidR="0012104C" w:rsidRDefault="0012104C" w:rsidP="0015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26393774"/>
      <w:docPartObj>
        <w:docPartGallery w:val="Page Numbers (Bottom of Page)"/>
        <w:docPartUnique/>
      </w:docPartObj>
    </w:sdtPr>
    <w:sdtEndPr/>
    <w:sdtContent>
      <w:p w14:paraId="4052ADCF" w14:textId="1DAC52A9" w:rsidR="001576A0" w:rsidRPr="001576A0" w:rsidRDefault="001576A0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7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6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8A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76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409F31" w14:textId="77777777" w:rsidR="001576A0" w:rsidRPr="001576A0" w:rsidRDefault="001576A0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177A7" w14:textId="77777777" w:rsidR="0012104C" w:rsidRDefault="0012104C" w:rsidP="001576A0">
      <w:pPr>
        <w:spacing w:after="0" w:line="240" w:lineRule="auto"/>
      </w:pPr>
      <w:r>
        <w:separator/>
      </w:r>
    </w:p>
  </w:footnote>
  <w:footnote w:type="continuationSeparator" w:id="0">
    <w:p w14:paraId="1DDE2019" w14:textId="77777777" w:rsidR="0012104C" w:rsidRDefault="0012104C" w:rsidP="0015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EDE"/>
    <w:multiLevelType w:val="hybridMultilevel"/>
    <w:tmpl w:val="60A65F0E"/>
    <w:lvl w:ilvl="0" w:tplc="CA00D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7B3F"/>
    <w:multiLevelType w:val="hybridMultilevel"/>
    <w:tmpl w:val="7A50C846"/>
    <w:lvl w:ilvl="0" w:tplc="A608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9B1"/>
    <w:multiLevelType w:val="hybridMultilevel"/>
    <w:tmpl w:val="608AEC78"/>
    <w:lvl w:ilvl="0" w:tplc="4BC09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352B"/>
    <w:multiLevelType w:val="hybridMultilevel"/>
    <w:tmpl w:val="8A903AA0"/>
    <w:lvl w:ilvl="0" w:tplc="3D00B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70B3"/>
    <w:multiLevelType w:val="hybridMultilevel"/>
    <w:tmpl w:val="A4C6D4D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E5797"/>
    <w:multiLevelType w:val="hybridMultilevel"/>
    <w:tmpl w:val="097E88EC"/>
    <w:lvl w:ilvl="0" w:tplc="3E92D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51D73"/>
    <w:multiLevelType w:val="hybridMultilevel"/>
    <w:tmpl w:val="641611D4"/>
    <w:lvl w:ilvl="0" w:tplc="5FCA4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E47502"/>
    <w:multiLevelType w:val="hybridMultilevel"/>
    <w:tmpl w:val="0916E052"/>
    <w:lvl w:ilvl="0" w:tplc="961EA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CF"/>
    <w:rsid w:val="00010624"/>
    <w:rsid w:val="000218A3"/>
    <w:rsid w:val="00025C06"/>
    <w:rsid w:val="00080985"/>
    <w:rsid w:val="000B4267"/>
    <w:rsid w:val="00103C89"/>
    <w:rsid w:val="0010799B"/>
    <w:rsid w:val="0012104C"/>
    <w:rsid w:val="00127625"/>
    <w:rsid w:val="00154380"/>
    <w:rsid w:val="001576A0"/>
    <w:rsid w:val="00183E3A"/>
    <w:rsid w:val="001C1EC8"/>
    <w:rsid w:val="001F50EA"/>
    <w:rsid w:val="002129E8"/>
    <w:rsid w:val="00244C1C"/>
    <w:rsid w:val="00254D56"/>
    <w:rsid w:val="00257589"/>
    <w:rsid w:val="00264434"/>
    <w:rsid w:val="0027097F"/>
    <w:rsid w:val="002D1308"/>
    <w:rsid w:val="00304F8E"/>
    <w:rsid w:val="00316330"/>
    <w:rsid w:val="0032500C"/>
    <w:rsid w:val="00336D42"/>
    <w:rsid w:val="003762AA"/>
    <w:rsid w:val="003E2FB8"/>
    <w:rsid w:val="00424F41"/>
    <w:rsid w:val="00437FF0"/>
    <w:rsid w:val="00440C33"/>
    <w:rsid w:val="0044147C"/>
    <w:rsid w:val="004831E3"/>
    <w:rsid w:val="00492AB5"/>
    <w:rsid w:val="004F06B8"/>
    <w:rsid w:val="004F49BD"/>
    <w:rsid w:val="0053540F"/>
    <w:rsid w:val="0053552E"/>
    <w:rsid w:val="005408DF"/>
    <w:rsid w:val="00573031"/>
    <w:rsid w:val="005C41C2"/>
    <w:rsid w:val="005E0F02"/>
    <w:rsid w:val="006036C4"/>
    <w:rsid w:val="006204E5"/>
    <w:rsid w:val="00664992"/>
    <w:rsid w:val="006713F9"/>
    <w:rsid w:val="006C620F"/>
    <w:rsid w:val="006D10CE"/>
    <w:rsid w:val="006E587D"/>
    <w:rsid w:val="00720EB2"/>
    <w:rsid w:val="00725BFC"/>
    <w:rsid w:val="00763726"/>
    <w:rsid w:val="00787271"/>
    <w:rsid w:val="007A3578"/>
    <w:rsid w:val="007C130F"/>
    <w:rsid w:val="007E5CCF"/>
    <w:rsid w:val="00823498"/>
    <w:rsid w:val="008248E4"/>
    <w:rsid w:val="00824F09"/>
    <w:rsid w:val="00880224"/>
    <w:rsid w:val="00891D0B"/>
    <w:rsid w:val="00893E92"/>
    <w:rsid w:val="008B4C58"/>
    <w:rsid w:val="008F4101"/>
    <w:rsid w:val="008F444A"/>
    <w:rsid w:val="00903C48"/>
    <w:rsid w:val="00915A05"/>
    <w:rsid w:val="00931D19"/>
    <w:rsid w:val="009455FB"/>
    <w:rsid w:val="009A0870"/>
    <w:rsid w:val="009B2D47"/>
    <w:rsid w:val="00A143F6"/>
    <w:rsid w:val="00A25EA1"/>
    <w:rsid w:val="00A46492"/>
    <w:rsid w:val="00A75CC1"/>
    <w:rsid w:val="00A916DB"/>
    <w:rsid w:val="00AA5C93"/>
    <w:rsid w:val="00B267AC"/>
    <w:rsid w:val="00B45E45"/>
    <w:rsid w:val="00B533BC"/>
    <w:rsid w:val="00B91E8A"/>
    <w:rsid w:val="00BD5D72"/>
    <w:rsid w:val="00C27DE6"/>
    <w:rsid w:val="00C62699"/>
    <w:rsid w:val="00C9008F"/>
    <w:rsid w:val="00C95F50"/>
    <w:rsid w:val="00CA2263"/>
    <w:rsid w:val="00CB598C"/>
    <w:rsid w:val="00CC641C"/>
    <w:rsid w:val="00CF1E79"/>
    <w:rsid w:val="00D14021"/>
    <w:rsid w:val="00D16DAA"/>
    <w:rsid w:val="00D35DA2"/>
    <w:rsid w:val="00D5238B"/>
    <w:rsid w:val="00D970B8"/>
    <w:rsid w:val="00DA0C14"/>
    <w:rsid w:val="00DC0A26"/>
    <w:rsid w:val="00DD06CC"/>
    <w:rsid w:val="00DD7228"/>
    <w:rsid w:val="00E11245"/>
    <w:rsid w:val="00ED1F81"/>
    <w:rsid w:val="00F121F1"/>
    <w:rsid w:val="00F314DF"/>
    <w:rsid w:val="00F5443B"/>
    <w:rsid w:val="00F84C94"/>
    <w:rsid w:val="00FA1E72"/>
    <w:rsid w:val="00FA4482"/>
    <w:rsid w:val="00FB7A80"/>
    <w:rsid w:val="00FC16F3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475F"/>
  <w15:chartTrackingRefBased/>
  <w15:docId w15:val="{73801B41-6877-4C9D-8903-9929A4A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59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5C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48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802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02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02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02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022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5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6A0"/>
  </w:style>
  <w:style w:type="paragraph" w:styleId="Pta">
    <w:name w:val="footer"/>
    <w:basedOn w:val="Normlny"/>
    <w:link w:val="PtaChar"/>
    <w:uiPriority w:val="99"/>
    <w:unhideWhenUsed/>
    <w:rsid w:val="0015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8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5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D1E8-1D7E-4013-8692-51148FE8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2023-02-23T13:30:00Z</cp:lastPrinted>
  <dcterms:created xsi:type="dcterms:W3CDTF">2023-02-22T20:18:00Z</dcterms:created>
  <dcterms:modified xsi:type="dcterms:W3CDTF">2023-02-23T13:34:00Z</dcterms:modified>
</cp:coreProperties>
</file>