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7BCB5" w14:textId="77777777" w:rsidR="004651DD" w:rsidRPr="00063E1B" w:rsidRDefault="004651DD" w:rsidP="00063E1B">
      <w:pPr>
        <w:spacing w:after="120" w:line="276" w:lineRule="auto"/>
        <w:ind w:firstLine="709"/>
        <w:jc w:val="center"/>
        <w:rPr>
          <w:b/>
          <w:color w:val="000000" w:themeColor="text1"/>
          <w:sz w:val="24"/>
          <w:szCs w:val="24"/>
        </w:rPr>
      </w:pPr>
      <w:r w:rsidRPr="00063E1B">
        <w:rPr>
          <w:b/>
          <w:color w:val="000000" w:themeColor="text1"/>
          <w:sz w:val="24"/>
          <w:szCs w:val="24"/>
        </w:rPr>
        <w:t>Dôvodová správa</w:t>
      </w:r>
    </w:p>
    <w:p w14:paraId="6CDF3328" w14:textId="77777777" w:rsidR="004651DD" w:rsidRPr="00063E1B" w:rsidRDefault="004651DD" w:rsidP="00063E1B">
      <w:pPr>
        <w:spacing w:after="120" w:line="276" w:lineRule="auto"/>
        <w:ind w:firstLine="709"/>
        <w:rPr>
          <w:rFonts w:eastAsia="Calibri"/>
          <w:b/>
          <w:color w:val="000000" w:themeColor="text1"/>
          <w:sz w:val="24"/>
          <w:szCs w:val="24"/>
          <w:lang w:eastAsia="en-US"/>
        </w:rPr>
      </w:pPr>
    </w:p>
    <w:p w14:paraId="49BA89B4" w14:textId="77777777" w:rsidR="004651DD" w:rsidRPr="00063E1B" w:rsidRDefault="004651DD" w:rsidP="00063E1B">
      <w:pPr>
        <w:spacing w:line="276" w:lineRule="auto"/>
        <w:rPr>
          <w:rFonts w:eastAsia="Calibri"/>
          <w:color w:val="000000" w:themeColor="text1"/>
          <w:sz w:val="24"/>
          <w:szCs w:val="24"/>
          <w:lang w:eastAsia="en-US"/>
        </w:rPr>
      </w:pPr>
      <w:r w:rsidRPr="00063E1B">
        <w:rPr>
          <w:rFonts w:eastAsia="Calibri"/>
          <w:b/>
          <w:color w:val="000000" w:themeColor="text1"/>
          <w:sz w:val="24"/>
          <w:szCs w:val="24"/>
          <w:lang w:eastAsia="en-US"/>
        </w:rPr>
        <w:t>A. Všeobecná časť</w:t>
      </w:r>
    </w:p>
    <w:p w14:paraId="466E3461" w14:textId="77777777" w:rsidR="003F5587" w:rsidRPr="00063E1B" w:rsidRDefault="003F5587" w:rsidP="00063E1B">
      <w:pPr>
        <w:spacing w:line="276" w:lineRule="auto"/>
        <w:ind w:firstLine="708"/>
        <w:jc w:val="both"/>
        <w:rPr>
          <w:color w:val="000000" w:themeColor="text1"/>
          <w:sz w:val="24"/>
          <w:szCs w:val="24"/>
          <w:shd w:val="clear" w:color="auto" w:fill="FFFFFF"/>
        </w:rPr>
      </w:pPr>
    </w:p>
    <w:p w14:paraId="1441A81E" w14:textId="47295815" w:rsidR="00B74C1A" w:rsidRPr="00063E1B" w:rsidRDefault="00185858"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t>Návrh ústavného zákona, ktorým sa dopĺňa Ústava Slovenskej republiky č. 460/1992 Zb. v znení neskorších predpisov</w:t>
      </w:r>
      <w:r w:rsidR="00B74C1A" w:rsidRPr="00063E1B">
        <w:rPr>
          <w:color w:val="000000" w:themeColor="text1"/>
          <w:sz w:val="24"/>
          <w:szCs w:val="24"/>
          <w:shd w:val="clear" w:color="auto" w:fill="FFFFFF"/>
        </w:rPr>
        <w:t xml:space="preserve"> predklad</w:t>
      </w:r>
      <w:r w:rsidRPr="00063E1B">
        <w:rPr>
          <w:color w:val="000000" w:themeColor="text1"/>
          <w:sz w:val="24"/>
          <w:szCs w:val="24"/>
          <w:shd w:val="clear" w:color="auto" w:fill="FFFFFF"/>
        </w:rPr>
        <w:t>ajú</w:t>
      </w:r>
      <w:r w:rsidR="00B74C1A" w:rsidRPr="00063E1B">
        <w:rPr>
          <w:color w:val="000000" w:themeColor="text1"/>
          <w:sz w:val="24"/>
          <w:szCs w:val="24"/>
          <w:shd w:val="clear" w:color="auto" w:fill="FFFFFF"/>
        </w:rPr>
        <w:t xml:space="preserve"> na rokovanie Národnej rady Slovenskej republiky poslan</w:t>
      </w:r>
      <w:r w:rsidRPr="00063E1B">
        <w:rPr>
          <w:color w:val="000000" w:themeColor="text1"/>
          <w:sz w:val="24"/>
          <w:szCs w:val="24"/>
          <w:shd w:val="clear" w:color="auto" w:fill="FFFFFF"/>
        </w:rPr>
        <w:t>ci</w:t>
      </w:r>
      <w:r w:rsidR="00B74C1A" w:rsidRPr="00063E1B">
        <w:rPr>
          <w:color w:val="000000" w:themeColor="text1"/>
          <w:sz w:val="24"/>
          <w:szCs w:val="24"/>
          <w:shd w:val="clear" w:color="auto" w:fill="FFFFFF"/>
        </w:rPr>
        <w:t xml:space="preserve"> Národnej rady Slovenskej republiky Miloš Svrček</w:t>
      </w:r>
      <w:r w:rsidR="00CE55E8" w:rsidRPr="00063E1B">
        <w:rPr>
          <w:color w:val="000000" w:themeColor="text1"/>
          <w:sz w:val="24"/>
          <w:szCs w:val="24"/>
          <w:shd w:val="clear" w:color="auto" w:fill="FFFFFF"/>
        </w:rPr>
        <w:t xml:space="preserve">, Boris Kollár, </w:t>
      </w:r>
      <w:r w:rsidRPr="00063E1B">
        <w:rPr>
          <w:color w:val="000000" w:themeColor="text1"/>
          <w:sz w:val="24"/>
          <w:szCs w:val="24"/>
          <w:shd w:val="clear" w:color="auto" w:fill="FFFFFF"/>
        </w:rPr>
        <w:t>Ľudovít Goga</w:t>
      </w:r>
      <w:r w:rsidR="00CE55E8" w:rsidRPr="00063E1B">
        <w:rPr>
          <w:color w:val="000000" w:themeColor="text1"/>
          <w:sz w:val="24"/>
          <w:szCs w:val="24"/>
          <w:shd w:val="clear" w:color="auto" w:fill="FFFFFF"/>
        </w:rPr>
        <w:t xml:space="preserve"> a Peter Pčolinský.</w:t>
      </w:r>
    </w:p>
    <w:p w14:paraId="1824EA22" w14:textId="77777777" w:rsidR="003F5587" w:rsidRPr="00063E1B" w:rsidRDefault="003F5587" w:rsidP="00063E1B">
      <w:pPr>
        <w:spacing w:line="276" w:lineRule="auto"/>
        <w:ind w:firstLine="708"/>
        <w:jc w:val="both"/>
        <w:rPr>
          <w:color w:val="000000" w:themeColor="text1"/>
          <w:sz w:val="24"/>
          <w:szCs w:val="24"/>
          <w:shd w:val="clear" w:color="auto" w:fill="FFFFFF"/>
        </w:rPr>
      </w:pPr>
    </w:p>
    <w:p w14:paraId="655E0BE7" w14:textId="375AED0F" w:rsidR="0024184C" w:rsidRPr="00063E1B" w:rsidRDefault="007E23F3" w:rsidP="00063E1B">
      <w:pPr>
        <w:spacing w:line="276" w:lineRule="auto"/>
        <w:ind w:firstLine="708"/>
        <w:jc w:val="both"/>
        <w:rPr>
          <w:b/>
          <w:color w:val="000000" w:themeColor="text1"/>
          <w:sz w:val="24"/>
          <w:szCs w:val="24"/>
          <w:u w:val="single"/>
          <w:shd w:val="clear" w:color="auto" w:fill="FFFFFF"/>
        </w:rPr>
      </w:pPr>
      <w:r w:rsidRPr="00063E1B">
        <w:rPr>
          <w:b/>
          <w:color w:val="000000" w:themeColor="text1"/>
          <w:sz w:val="24"/>
          <w:szCs w:val="24"/>
          <w:u w:val="single"/>
          <w:shd w:val="clear" w:color="auto" w:fill="FFFFFF"/>
        </w:rPr>
        <w:t>Cieľom t</w:t>
      </w:r>
      <w:r w:rsidR="00F50927" w:rsidRPr="00063E1B">
        <w:rPr>
          <w:b/>
          <w:color w:val="000000" w:themeColor="text1"/>
          <w:sz w:val="24"/>
          <w:szCs w:val="24"/>
          <w:u w:val="single"/>
          <w:shd w:val="clear" w:color="auto" w:fill="FFFFFF"/>
        </w:rPr>
        <w:t>ohto návrhu ústavného zákona je:</w:t>
      </w:r>
    </w:p>
    <w:p w14:paraId="364516D4" w14:textId="77777777" w:rsidR="00F50927" w:rsidRPr="00063E1B" w:rsidRDefault="00F50927" w:rsidP="00063E1B">
      <w:pPr>
        <w:spacing w:line="276" w:lineRule="auto"/>
        <w:ind w:firstLine="708"/>
        <w:jc w:val="both"/>
        <w:rPr>
          <w:color w:val="000000" w:themeColor="text1"/>
          <w:sz w:val="24"/>
          <w:szCs w:val="24"/>
          <w:u w:val="single"/>
          <w:shd w:val="clear" w:color="auto" w:fill="FFFFFF"/>
        </w:rPr>
      </w:pPr>
    </w:p>
    <w:p w14:paraId="28686460" w14:textId="77777777" w:rsidR="00F50927" w:rsidRPr="00063E1B" w:rsidRDefault="007E23F3" w:rsidP="00063E1B">
      <w:pPr>
        <w:pStyle w:val="Odsekzoznamu"/>
        <w:numPr>
          <w:ilvl w:val="0"/>
          <w:numId w:val="2"/>
        </w:numPr>
        <w:spacing w:line="276" w:lineRule="auto"/>
        <w:jc w:val="both"/>
        <w:rPr>
          <w:i/>
          <w:color w:val="000000" w:themeColor="text1"/>
          <w:sz w:val="24"/>
          <w:szCs w:val="24"/>
          <w:shd w:val="clear" w:color="auto" w:fill="FFFFFF"/>
        </w:rPr>
      </w:pPr>
      <w:r w:rsidRPr="00063E1B">
        <w:rPr>
          <w:i/>
          <w:color w:val="000000" w:themeColor="text1"/>
          <w:sz w:val="24"/>
          <w:szCs w:val="24"/>
          <w:shd w:val="clear" w:color="auto" w:fill="FFFFFF"/>
        </w:rPr>
        <w:t xml:space="preserve">zakotviť v Ústave Slovenskej republiky právo vykonať platbu za nákup tovarov a poskytnutie služieb v hotovosti zákonným platidlom, pričom </w:t>
      </w:r>
      <w:r w:rsidRPr="007366AE">
        <w:rPr>
          <w:b/>
          <w:i/>
          <w:color w:val="000000" w:themeColor="text1"/>
          <w:sz w:val="24"/>
          <w:szCs w:val="24"/>
          <w:shd w:val="clear" w:color="auto" w:fill="FFFFFF"/>
        </w:rPr>
        <w:t>zákon ustanoví podmienky a obmedzenia tohto práva</w:t>
      </w:r>
      <w:r w:rsidRPr="00063E1B">
        <w:rPr>
          <w:i/>
          <w:color w:val="000000" w:themeColor="text1"/>
          <w:sz w:val="24"/>
          <w:szCs w:val="24"/>
          <w:shd w:val="clear" w:color="auto" w:fill="FFFFFF"/>
        </w:rPr>
        <w:t>, čím bude na úrovni Ústavy Slovenskej republiky predpokladaná bližšia zákonná úprava, aktuálne</w:t>
      </w:r>
      <w:r w:rsidR="007C1608" w:rsidRPr="00063E1B">
        <w:rPr>
          <w:i/>
          <w:color w:val="000000" w:themeColor="text1"/>
          <w:sz w:val="24"/>
          <w:szCs w:val="24"/>
          <w:shd w:val="clear" w:color="auto" w:fill="FFFFFF"/>
        </w:rPr>
        <w:t xml:space="preserve"> jej zodpovedá najmä zákon</w:t>
      </w:r>
      <w:r w:rsidRPr="00063E1B">
        <w:rPr>
          <w:i/>
          <w:color w:val="000000" w:themeColor="text1"/>
          <w:sz w:val="24"/>
          <w:szCs w:val="24"/>
          <w:shd w:val="clear" w:color="auto" w:fill="FFFFFF"/>
        </w:rPr>
        <w:t xml:space="preserve"> č. 394/2012 Z. z. o obmedzení platieb v hotovosti.</w:t>
      </w:r>
      <w:r w:rsidR="00B73391" w:rsidRPr="00063E1B">
        <w:rPr>
          <w:i/>
          <w:color w:val="000000" w:themeColor="text1"/>
          <w:sz w:val="24"/>
          <w:szCs w:val="24"/>
          <w:shd w:val="clear" w:color="auto" w:fill="FFFFFF"/>
        </w:rPr>
        <w:t xml:space="preserve"> </w:t>
      </w:r>
    </w:p>
    <w:p w14:paraId="54C48658" w14:textId="77777777" w:rsidR="00F50927" w:rsidRPr="00063E1B" w:rsidRDefault="00B73391" w:rsidP="00063E1B">
      <w:pPr>
        <w:pStyle w:val="Odsekzoznamu"/>
        <w:numPr>
          <w:ilvl w:val="0"/>
          <w:numId w:val="2"/>
        </w:numPr>
        <w:spacing w:line="276" w:lineRule="auto"/>
        <w:jc w:val="both"/>
        <w:rPr>
          <w:i/>
          <w:color w:val="000000" w:themeColor="text1"/>
          <w:sz w:val="24"/>
          <w:szCs w:val="24"/>
          <w:shd w:val="clear" w:color="auto" w:fill="FFFFFF"/>
        </w:rPr>
      </w:pPr>
      <w:r w:rsidRPr="00063E1B">
        <w:rPr>
          <w:i/>
          <w:color w:val="000000" w:themeColor="text1"/>
          <w:sz w:val="24"/>
          <w:szCs w:val="24"/>
          <w:shd w:val="clear" w:color="auto" w:fill="FFFFFF"/>
        </w:rPr>
        <w:t>Pri platbách za nákup tovarov a poskytnutie služieb</w:t>
      </w:r>
      <w:r w:rsidR="001135B3" w:rsidRPr="00063E1B">
        <w:rPr>
          <w:i/>
          <w:color w:val="000000" w:themeColor="text1"/>
          <w:sz w:val="24"/>
          <w:szCs w:val="24"/>
          <w:shd w:val="clear" w:color="auto" w:fill="FFFFFF"/>
        </w:rPr>
        <w:t xml:space="preserve"> sa tak zabezpečí, že</w:t>
      </w:r>
      <w:r w:rsidR="007E23F3" w:rsidRPr="00063E1B">
        <w:rPr>
          <w:i/>
          <w:color w:val="000000" w:themeColor="text1"/>
          <w:sz w:val="24"/>
          <w:szCs w:val="24"/>
          <w:shd w:val="clear" w:color="auto" w:fill="FFFFFF"/>
        </w:rPr>
        <w:t xml:space="preserve"> </w:t>
      </w:r>
      <w:r w:rsidRPr="00063E1B">
        <w:rPr>
          <w:i/>
          <w:color w:val="000000" w:themeColor="text1"/>
          <w:sz w:val="24"/>
          <w:szCs w:val="24"/>
          <w:shd w:val="clear" w:color="auto" w:fill="FFFFFF"/>
        </w:rPr>
        <w:t xml:space="preserve">platba v hotovosti </w:t>
      </w:r>
      <w:r w:rsidR="001135B3" w:rsidRPr="00063E1B">
        <w:rPr>
          <w:i/>
          <w:color w:val="000000" w:themeColor="text1"/>
          <w:sz w:val="24"/>
          <w:szCs w:val="24"/>
          <w:shd w:val="clear" w:color="auto" w:fill="FFFFFF"/>
        </w:rPr>
        <w:t xml:space="preserve">ostane aj v budúcnosti </w:t>
      </w:r>
      <w:r w:rsidRPr="00063E1B">
        <w:rPr>
          <w:i/>
          <w:color w:val="000000" w:themeColor="text1"/>
          <w:sz w:val="24"/>
          <w:szCs w:val="24"/>
          <w:shd w:val="clear" w:color="auto" w:fill="FFFFFF"/>
        </w:rPr>
        <w:t xml:space="preserve">ako jedna z dostupných možností. </w:t>
      </w:r>
    </w:p>
    <w:p w14:paraId="35DB45B0" w14:textId="7947DBB4" w:rsidR="007A6D93" w:rsidRPr="00063E1B" w:rsidRDefault="007E23F3" w:rsidP="00063E1B">
      <w:pPr>
        <w:pStyle w:val="Odsekzoznamu"/>
        <w:numPr>
          <w:ilvl w:val="0"/>
          <w:numId w:val="2"/>
        </w:numPr>
        <w:spacing w:line="276" w:lineRule="auto"/>
        <w:jc w:val="both"/>
        <w:rPr>
          <w:i/>
          <w:color w:val="000000" w:themeColor="text1"/>
          <w:sz w:val="24"/>
          <w:szCs w:val="24"/>
          <w:shd w:val="clear" w:color="auto" w:fill="FFFFFF"/>
        </w:rPr>
      </w:pPr>
      <w:r w:rsidRPr="00063E1B">
        <w:rPr>
          <w:i/>
          <w:color w:val="000000" w:themeColor="text1"/>
          <w:sz w:val="24"/>
          <w:szCs w:val="24"/>
          <w:shd w:val="clear" w:color="auto" w:fill="FFFFFF"/>
        </w:rPr>
        <w:t>Navrhuje sa tiež, aby tomuto právu zodpovedalo ústavné zaručenie vydávania hotovosti ako zákonného platidla, čo zabezpečí praktickú realizáciu tohto práva pri</w:t>
      </w:r>
      <w:r w:rsidR="00B73391" w:rsidRPr="00063E1B">
        <w:rPr>
          <w:i/>
          <w:color w:val="000000" w:themeColor="text1"/>
          <w:sz w:val="24"/>
          <w:szCs w:val="24"/>
          <w:shd w:val="clear" w:color="auto" w:fill="FFFFFF"/>
        </w:rPr>
        <w:t xml:space="preserve"> uvedených</w:t>
      </w:r>
      <w:r w:rsidRPr="00063E1B">
        <w:rPr>
          <w:i/>
          <w:color w:val="000000" w:themeColor="text1"/>
          <w:sz w:val="24"/>
          <w:szCs w:val="24"/>
          <w:shd w:val="clear" w:color="auto" w:fill="FFFFFF"/>
        </w:rPr>
        <w:t xml:space="preserve"> platobných stykoch. </w:t>
      </w:r>
    </w:p>
    <w:p w14:paraId="0EEEED1C" w14:textId="77777777" w:rsidR="003F5587" w:rsidRPr="00063E1B" w:rsidRDefault="003F5587" w:rsidP="00063E1B">
      <w:pPr>
        <w:spacing w:line="276" w:lineRule="auto"/>
        <w:ind w:firstLine="709"/>
        <w:jc w:val="both"/>
        <w:rPr>
          <w:color w:val="000000" w:themeColor="text1"/>
          <w:sz w:val="24"/>
          <w:szCs w:val="24"/>
          <w:shd w:val="clear" w:color="auto" w:fill="FFFFFF"/>
        </w:rPr>
      </w:pPr>
    </w:p>
    <w:p w14:paraId="051B5B2A" w14:textId="7F622EC2" w:rsidR="00063E1B" w:rsidRPr="00063E1B" w:rsidRDefault="00063E1B" w:rsidP="00063E1B">
      <w:pPr>
        <w:keepNext/>
        <w:spacing w:line="276" w:lineRule="auto"/>
        <w:ind w:firstLine="709"/>
        <w:jc w:val="both"/>
        <w:textAlignment w:val="baseline"/>
        <w:outlineLvl w:val="1"/>
        <w:rPr>
          <w:color w:val="000000" w:themeColor="text1"/>
          <w:sz w:val="24"/>
          <w:szCs w:val="24"/>
          <w:shd w:val="clear" w:color="auto" w:fill="FFFFFF"/>
        </w:rPr>
      </w:pPr>
      <w:r w:rsidRPr="00063E1B">
        <w:rPr>
          <w:color w:val="000000" w:themeColor="text1"/>
          <w:sz w:val="24"/>
          <w:szCs w:val="24"/>
          <w:shd w:val="clear" w:color="auto" w:fill="FFFFFF"/>
        </w:rPr>
        <w:t>Na z</w:t>
      </w:r>
      <w:r w:rsidR="00A020C8">
        <w:rPr>
          <w:color w:val="000000" w:themeColor="text1"/>
          <w:sz w:val="24"/>
          <w:szCs w:val="24"/>
          <w:shd w:val="clear" w:color="auto" w:fill="FFFFFF"/>
        </w:rPr>
        <w:t xml:space="preserve">áklade existujúcej legislatívy a </w:t>
      </w:r>
      <w:r w:rsidRPr="00063E1B">
        <w:rPr>
          <w:color w:val="000000" w:themeColor="text1"/>
          <w:sz w:val="24"/>
          <w:szCs w:val="24"/>
          <w:shd w:val="clear" w:color="auto" w:fill="FFFFFF"/>
        </w:rPr>
        <w:t>poznatkov daňovej správy</w:t>
      </w:r>
      <w:r w:rsidR="00A020C8">
        <w:rPr>
          <w:color w:val="000000" w:themeColor="text1"/>
          <w:sz w:val="24"/>
          <w:szCs w:val="24"/>
          <w:shd w:val="clear" w:color="auto" w:fill="FFFFFF"/>
        </w:rPr>
        <w:t xml:space="preserve"> je možné konštatovať,</w:t>
      </w:r>
      <w:r w:rsidRPr="00063E1B">
        <w:rPr>
          <w:color w:val="000000" w:themeColor="text1"/>
          <w:sz w:val="24"/>
          <w:szCs w:val="24"/>
          <w:shd w:val="clear" w:color="auto" w:fill="FFFFFF"/>
        </w:rPr>
        <w:t xml:space="preserve"> že </w:t>
      </w:r>
      <w:r w:rsidR="00D86B5B">
        <w:rPr>
          <w:color w:val="000000" w:themeColor="text1"/>
          <w:sz w:val="24"/>
          <w:szCs w:val="24"/>
          <w:shd w:val="clear" w:color="auto" w:fill="FFFFFF"/>
        </w:rPr>
        <w:t xml:space="preserve">krok ako </w:t>
      </w:r>
      <w:bookmarkStart w:id="0" w:name="_GoBack"/>
      <w:bookmarkEnd w:id="0"/>
      <w:r w:rsidRPr="00063E1B">
        <w:rPr>
          <w:color w:val="000000" w:themeColor="text1"/>
          <w:sz w:val="24"/>
          <w:szCs w:val="24"/>
          <w:shd w:val="clear" w:color="auto" w:fill="FFFFFF"/>
        </w:rPr>
        <w:t xml:space="preserve">zavedenie </w:t>
      </w:r>
      <w:r w:rsidRPr="00A020C8">
        <w:rPr>
          <w:i/>
          <w:color w:val="000000" w:themeColor="text1"/>
          <w:sz w:val="24"/>
          <w:szCs w:val="24"/>
          <w:shd w:val="clear" w:color="auto" w:fill="FFFFFF"/>
        </w:rPr>
        <w:t>povinného bezhotovostného styku nad určitý limit</w:t>
      </w:r>
      <w:r w:rsidRPr="00063E1B">
        <w:rPr>
          <w:color w:val="000000" w:themeColor="text1"/>
          <w:sz w:val="24"/>
          <w:szCs w:val="24"/>
          <w:shd w:val="clear" w:color="auto" w:fill="FFFFFF"/>
        </w:rPr>
        <w:t xml:space="preserve"> </w:t>
      </w:r>
      <w:r w:rsidR="00A020C8">
        <w:rPr>
          <w:color w:val="000000" w:themeColor="text1"/>
          <w:sz w:val="24"/>
          <w:szCs w:val="24"/>
          <w:shd w:val="clear" w:color="auto" w:fill="FFFFFF"/>
        </w:rPr>
        <w:t xml:space="preserve">v právnom poriadku SR </w:t>
      </w:r>
      <w:r w:rsidRPr="00063E1B">
        <w:rPr>
          <w:color w:val="000000" w:themeColor="text1"/>
          <w:sz w:val="24"/>
          <w:szCs w:val="24"/>
          <w:shd w:val="clear" w:color="auto" w:fill="FFFFFF"/>
        </w:rPr>
        <w:t>je možné vnímať ako opatrenie nielen na obmedzenie podvodných konaní v daňovej oblasti, ale aj ako opatrenie na boj proti praniu špinavých peňazí, na boj proti korupcii a trestnej činnosti či pri ochrane pred financovaním terorizmu.</w:t>
      </w:r>
    </w:p>
    <w:p w14:paraId="52C96458" w14:textId="77777777" w:rsidR="00063E1B" w:rsidRPr="00063E1B" w:rsidRDefault="00063E1B" w:rsidP="00063E1B">
      <w:pPr>
        <w:keepNext/>
        <w:spacing w:line="276" w:lineRule="auto"/>
        <w:ind w:firstLine="709"/>
        <w:jc w:val="both"/>
        <w:textAlignment w:val="baseline"/>
        <w:outlineLvl w:val="1"/>
        <w:rPr>
          <w:color w:val="000000" w:themeColor="text1"/>
          <w:sz w:val="24"/>
          <w:szCs w:val="24"/>
          <w:shd w:val="clear" w:color="auto" w:fill="FFFFFF"/>
        </w:rPr>
      </w:pPr>
    </w:p>
    <w:p w14:paraId="2020D183" w14:textId="176C2588" w:rsidR="0096790A" w:rsidRPr="00063E1B" w:rsidRDefault="0096790A" w:rsidP="00063E1B">
      <w:pPr>
        <w:spacing w:line="276" w:lineRule="auto"/>
        <w:ind w:firstLine="709"/>
        <w:jc w:val="both"/>
        <w:rPr>
          <w:color w:val="000000" w:themeColor="text1"/>
          <w:sz w:val="24"/>
          <w:szCs w:val="24"/>
          <w:shd w:val="clear" w:color="auto" w:fill="FFFFFF"/>
        </w:rPr>
      </w:pPr>
      <w:r w:rsidRPr="00063E1B">
        <w:rPr>
          <w:color w:val="000000" w:themeColor="text1"/>
          <w:sz w:val="24"/>
          <w:szCs w:val="24"/>
          <w:shd w:val="clear" w:color="auto" w:fill="FFFFFF"/>
        </w:rPr>
        <w:t>Občan má</w:t>
      </w:r>
      <w:r w:rsidR="00A020C8">
        <w:rPr>
          <w:color w:val="000000" w:themeColor="text1"/>
          <w:sz w:val="24"/>
          <w:szCs w:val="24"/>
          <w:shd w:val="clear" w:color="auto" w:fill="FFFFFF"/>
        </w:rPr>
        <w:t xml:space="preserve"> však</w:t>
      </w:r>
      <w:r w:rsidR="007366AE">
        <w:rPr>
          <w:color w:val="000000" w:themeColor="text1"/>
          <w:sz w:val="24"/>
          <w:szCs w:val="24"/>
          <w:shd w:val="clear" w:color="auto" w:fill="FFFFFF"/>
        </w:rPr>
        <w:t xml:space="preserve"> podľa nášho názoru právo</w:t>
      </w:r>
      <w:r w:rsidR="00A020C8">
        <w:rPr>
          <w:color w:val="000000" w:themeColor="text1"/>
          <w:sz w:val="24"/>
          <w:szCs w:val="24"/>
          <w:shd w:val="clear" w:color="auto" w:fill="FFFFFF"/>
        </w:rPr>
        <w:t xml:space="preserve"> </w:t>
      </w:r>
      <w:r w:rsidRPr="00063E1B">
        <w:rPr>
          <w:color w:val="000000" w:themeColor="text1"/>
          <w:sz w:val="24"/>
          <w:szCs w:val="24"/>
          <w:shd w:val="clear" w:color="auto" w:fill="FFFFFF"/>
        </w:rPr>
        <w:t>na to, aby sa sám na základe svojej vôle rozhodol, že chce platiť v hotovosti. Ako navrhovatelia sme presvedčení, že právo na hotovosť je jednak jedným z kľúčových práv, ktorým môžu občania napĺňať svoju slobodu v </w:t>
      </w:r>
      <w:proofErr w:type="spellStart"/>
      <w:r w:rsidRPr="00063E1B">
        <w:rPr>
          <w:color w:val="000000" w:themeColor="text1"/>
          <w:sz w:val="24"/>
          <w:szCs w:val="24"/>
          <w:shd w:val="clear" w:color="auto" w:fill="FFFFFF"/>
        </w:rPr>
        <w:t>obchodno</w:t>
      </w:r>
      <w:proofErr w:type="spellEnd"/>
      <w:r w:rsidRPr="00063E1B">
        <w:rPr>
          <w:color w:val="000000" w:themeColor="text1"/>
          <w:sz w:val="24"/>
          <w:szCs w:val="24"/>
          <w:shd w:val="clear" w:color="auto" w:fill="FFFFFF"/>
        </w:rPr>
        <w:t xml:space="preserve"> – právnych vzťahoch. V poslednej dobe sme zárov</w:t>
      </w:r>
      <w:r w:rsidR="0024184C" w:rsidRPr="00063E1B">
        <w:rPr>
          <w:color w:val="000000" w:themeColor="text1"/>
          <w:sz w:val="24"/>
          <w:szCs w:val="24"/>
          <w:shd w:val="clear" w:color="auto" w:fill="FFFFFF"/>
        </w:rPr>
        <w:t>eň aj svedkami rôznych iniciatívnych krokov</w:t>
      </w:r>
      <w:r w:rsidRPr="00063E1B">
        <w:rPr>
          <w:color w:val="000000" w:themeColor="text1"/>
          <w:sz w:val="24"/>
          <w:szCs w:val="24"/>
          <w:shd w:val="clear" w:color="auto" w:fill="FFFFFF"/>
        </w:rPr>
        <w:t xml:space="preserve"> vedúcich k</w:t>
      </w:r>
      <w:r w:rsidR="00F50927" w:rsidRPr="00063E1B">
        <w:rPr>
          <w:color w:val="000000" w:themeColor="text1"/>
          <w:sz w:val="24"/>
          <w:szCs w:val="24"/>
          <w:shd w:val="clear" w:color="auto" w:fill="FFFFFF"/>
        </w:rPr>
        <w:t xml:space="preserve"> postupnému </w:t>
      </w:r>
      <w:r w:rsidRPr="00063E1B">
        <w:rPr>
          <w:color w:val="000000" w:themeColor="text1"/>
          <w:sz w:val="24"/>
          <w:szCs w:val="24"/>
          <w:shd w:val="clear" w:color="auto" w:fill="FFFFFF"/>
        </w:rPr>
        <w:t>obmedzeniu predmetného práva formou všeobecne záväzných právnych noriem. I z uvedeného dôvodu je zavedenie práva na hotovosť do ústavy je</w:t>
      </w:r>
      <w:r w:rsidR="00CE55E8" w:rsidRPr="00063E1B">
        <w:rPr>
          <w:color w:val="000000" w:themeColor="text1"/>
          <w:sz w:val="24"/>
          <w:szCs w:val="24"/>
          <w:shd w:val="clear" w:color="auto" w:fill="FFFFFF"/>
        </w:rPr>
        <w:t>dným zo</w:t>
      </w:r>
      <w:r w:rsidRPr="00063E1B">
        <w:rPr>
          <w:color w:val="000000" w:themeColor="text1"/>
          <w:sz w:val="24"/>
          <w:szCs w:val="24"/>
          <w:shd w:val="clear" w:color="auto" w:fill="FFFFFF"/>
        </w:rPr>
        <w:t xml:space="preserve"> spôsobo</w:t>
      </w:r>
      <w:r w:rsidR="00CE55E8" w:rsidRPr="00063E1B">
        <w:rPr>
          <w:color w:val="000000" w:themeColor="text1"/>
          <w:sz w:val="24"/>
          <w:szCs w:val="24"/>
          <w:shd w:val="clear" w:color="auto" w:fill="FFFFFF"/>
        </w:rPr>
        <w:t>v</w:t>
      </w:r>
      <w:r w:rsidRPr="00063E1B">
        <w:rPr>
          <w:color w:val="000000" w:themeColor="text1"/>
          <w:sz w:val="24"/>
          <w:szCs w:val="24"/>
          <w:shd w:val="clear" w:color="auto" w:fill="FFFFFF"/>
        </w:rPr>
        <w:t xml:space="preserve">, ako  </w:t>
      </w:r>
      <w:r w:rsidR="00CE55E8" w:rsidRPr="00063E1B">
        <w:rPr>
          <w:color w:val="000000" w:themeColor="text1"/>
          <w:sz w:val="24"/>
          <w:szCs w:val="24"/>
          <w:shd w:val="clear" w:color="auto" w:fill="FFFFFF"/>
        </w:rPr>
        <w:t xml:space="preserve">riešiť v prospech spoločnosti </w:t>
      </w:r>
      <w:r w:rsidRPr="00063E1B">
        <w:rPr>
          <w:color w:val="000000" w:themeColor="text1"/>
          <w:sz w:val="24"/>
          <w:szCs w:val="24"/>
          <w:shd w:val="clear" w:color="auto" w:fill="FFFFFF"/>
        </w:rPr>
        <w:t>akékoľvek pokusy o</w:t>
      </w:r>
      <w:r w:rsidR="0024184C" w:rsidRPr="00063E1B">
        <w:rPr>
          <w:color w:val="000000" w:themeColor="text1"/>
          <w:sz w:val="24"/>
          <w:szCs w:val="24"/>
          <w:shd w:val="clear" w:color="auto" w:fill="FFFFFF"/>
        </w:rPr>
        <w:t xml:space="preserve"> striktné </w:t>
      </w:r>
      <w:r w:rsidRPr="00063E1B">
        <w:rPr>
          <w:color w:val="000000" w:themeColor="text1"/>
          <w:sz w:val="24"/>
          <w:szCs w:val="24"/>
          <w:shd w:val="clear" w:color="auto" w:fill="FFFFFF"/>
        </w:rPr>
        <w:t xml:space="preserve">obmedzenie a konečnú likvidáciu práva platiť v hotovosti vrátane súvisiaceho práva na súkromie. </w:t>
      </w:r>
    </w:p>
    <w:p w14:paraId="379860C8" w14:textId="77777777" w:rsidR="0096790A" w:rsidRPr="00063E1B" w:rsidRDefault="0096790A" w:rsidP="00063E1B">
      <w:pPr>
        <w:spacing w:line="276" w:lineRule="auto"/>
        <w:jc w:val="both"/>
        <w:rPr>
          <w:color w:val="000000" w:themeColor="text1"/>
          <w:sz w:val="24"/>
          <w:szCs w:val="24"/>
          <w:shd w:val="clear" w:color="auto" w:fill="FFFFFF"/>
        </w:rPr>
      </w:pPr>
    </w:p>
    <w:p w14:paraId="26125E77" w14:textId="15995F08" w:rsidR="0096790A" w:rsidRPr="00063E1B" w:rsidRDefault="0096790A"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t xml:space="preserve">Cieľom uvedeného návrhu je zaviesť pre právo na hotovosť ústavný rámec s ohľadom na právo na súkromie. Pri kreovaní a schválení Ústavy SR pred viac ako tridsiatimi rokmi nemohol nikto z tvorcov predvídať zahrnutie tejto zásadnej témy do ustanovení Ústavy SR. Ide však rozhodne o mimoriadne závažnú tému, keďže v prípade odklonu od hotovosti by došlo ešte k väčšiemu ohrozeniu práva na súkromie a väčšiemu rozvoju </w:t>
      </w:r>
      <w:proofErr w:type="spellStart"/>
      <w:r w:rsidRPr="00063E1B">
        <w:rPr>
          <w:color w:val="000000" w:themeColor="text1"/>
          <w:sz w:val="24"/>
          <w:szCs w:val="24"/>
          <w:shd w:val="clear" w:color="auto" w:fill="FFFFFF"/>
        </w:rPr>
        <w:t>kryptomien</w:t>
      </w:r>
      <w:proofErr w:type="spellEnd"/>
      <w:r w:rsidRPr="00063E1B">
        <w:rPr>
          <w:color w:val="000000" w:themeColor="text1"/>
          <w:sz w:val="24"/>
          <w:szCs w:val="24"/>
          <w:shd w:val="clear" w:color="auto" w:fill="FFFFFF"/>
        </w:rPr>
        <w:t xml:space="preserve">. </w:t>
      </w:r>
    </w:p>
    <w:p w14:paraId="5C7582A3" w14:textId="77777777" w:rsidR="0096790A" w:rsidRPr="00063E1B" w:rsidRDefault="0096790A" w:rsidP="00063E1B">
      <w:pPr>
        <w:spacing w:line="276" w:lineRule="auto"/>
        <w:jc w:val="both"/>
        <w:rPr>
          <w:color w:val="000000" w:themeColor="text1"/>
          <w:sz w:val="24"/>
          <w:szCs w:val="24"/>
          <w:shd w:val="clear" w:color="auto" w:fill="FFFFFF"/>
        </w:rPr>
      </w:pPr>
    </w:p>
    <w:p w14:paraId="66427019" w14:textId="39BFDA37" w:rsidR="0096790A" w:rsidRPr="00063E1B" w:rsidRDefault="0096790A"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lastRenderedPageBreak/>
        <w:t xml:space="preserve">Úplné zrušenie hotovosti v budúcnosti by podľa nášho názoru výrazne ohrozilo nízkopríjmové skupiny obyvateľstva, ale napríklad aj občianske zduženia, ktoré svoju charitatívnu činnosť financujú z finančných zbierok, ktoré organizujú. Netreba zabúdať aj na fakt, že zachovanie práva na hotovosť je významným krokom pri budovaní finančnej gramotnosti našej mladšej generácie. Deti do 15 rokov sa učia finančnej gramotnosti pri zachovanom práve na hotovosť a postupným zrušením bankoviek a mincí a výlučnou existenciou </w:t>
      </w:r>
      <w:proofErr w:type="spellStart"/>
      <w:r w:rsidRPr="00063E1B">
        <w:rPr>
          <w:color w:val="000000" w:themeColor="text1"/>
          <w:sz w:val="24"/>
          <w:szCs w:val="24"/>
          <w:shd w:val="clear" w:color="auto" w:fill="FFFFFF"/>
        </w:rPr>
        <w:t>kryptomeny</w:t>
      </w:r>
      <w:proofErr w:type="spellEnd"/>
      <w:r w:rsidRPr="00063E1B">
        <w:rPr>
          <w:color w:val="000000" w:themeColor="text1"/>
          <w:sz w:val="24"/>
          <w:szCs w:val="24"/>
          <w:shd w:val="clear" w:color="auto" w:fill="FFFFFF"/>
        </w:rPr>
        <w:t xml:space="preserve"> nebude mladšia generácia finančne gramotná v požadovanej miere.</w:t>
      </w:r>
      <w:r w:rsidR="005C12CB" w:rsidRPr="00063E1B">
        <w:rPr>
          <w:color w:val="000000" w:themeColor="text1"/>
          <w:sz w:val="24"/>
          <w:szCs w:val="24"/>
          <w:shd w:val="clear" w:color="auto" w:fill="FFFFFF"/>
        </w:rPr>
        <w:t xml:space="preserve"> Na margo uvedeného je preto potrebné podotknúť, že právo platiť v hotovosti má byť charakterizované a ponímané, ako výraz </w:t>
      </w:r>
      <w:r w:rsidR="003F5587" w:rsidRPr="00063E1B">
        <w:rPr>
          <w:color w:val="000000" w:themeColor="text1"/>
          <w:sz w:val="24"/>
          <w:szCs w:val="24"/>
          <w:shd w:val="clear" w:color="auto" w:fill="FFFFFF"/>
        </w:rPr>
        <w:t xml:space="preserve">slobodnej voľby človeka takto platiť v hotovosti nie preto, že elektronicky platiť nemôže, ale preto, že elektronickou formou platiť nechce, a to z akýchkoľvek dôvodov, v reakcii na konkrétnu situáciu alebo ako prejav jeho osobnosti. </w:t>
      </w:r>
    </w:p>
    <w:p w14:paraId="42E9A8F8" w14:textId="77777777" w:rsidR="003F5587" w:rsidRPr="00063E1B" w:rsidRDefault="003F5587" w:rsidP="00063E1B">
      <w:pPr>
        <w:spacing w:line="276" w:lineRule="auto"/>
        <w:ind w:firstLine="708"/>
        <w:jc w:val="both"/>
        <w:rPr>
          <w:color w:val="000000" w:themeColor="text1"/>
          <w:sz w:val="24"/>
          <w:szCs w:val="24"/>
          <w:shd w:val="clear" w:color="auto" w:fill="FFFFFF"/>
        </w:rPr>
      </w:pPr>
    </w:p>
    <w:p w14:paraId="380D5305" w14:textId="50843EEC" w:rsidR="00957ADB" w:rsidRPr="00063E1B" w:rsidRDefault="00957ADB"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t>Návrh</w:t>
      </w:r>
      <w:r w:rsidR="007E23F3" w:rsidRPr="00063E1B">
        <w:rPr>
          <w:color w:val="000000" w:themeColor="text1"/>
          <w:sz w:val="24"/>
          <w:szCs w:val="24"/>
          <w:shd w:val="clear" w:color="auto" w:fill="FFFFFF"/>
        </w:rPr>
        <w:t xml:space="preserve"> ústavného</w:t>
      </w:r>
      <w:r w:rsidRPr="00063E1B">
        <w:rPr>
          <w:color w:val="000000" w:themeColor="text1"/>
          <w:sz w:val="24"/>
          <w:szCs w:val="24"/>
          <w:shd w:val="clear" w:color="auto" w:fill="FFFFFF"/>
        </w:rPr>
        <w:t xml:space="preserve"> zákona je v súlade s Ústavou Slovenskej republiky,</w:t>
      </w:r>
      <w:r w:rsidR="007E23F3" w:rsidRPr="00063E1B">
        <w:rPr>
          <w:color w:val="000000" w:themeColor="text1"/>
          <w:sz w:val="24"/>
          <w:szCs w:val="24"/>
          <w:shd w:val="clear" w:color="auto" w:fill="FFFFFF"/>
        </w:rPr>
        <w:t xml:space="preserve"> inými</w:t>
      </w:r>
      <w:r w:rsidRPr="00063E1B">
        <w:rPr>
          <w:color w:val="000000" w:themeColor="text1"/>
          <w:sz w:val="24"/>
          <w:szCs w:val="24"/>
          <w:shd w:val="clear" w:color="auto" w:fill="FFFFFF"/>
        </w:rPr>
        <w:t xml:space="preserve"> ústavnými zákonmi, medzinárodnými zmluvami a inými medzinárodnými dokumentmi, ktorými je Slovenská republika viazaná, </w:t>
      </w:r>
      <w:r w:rsidR="007E23F3" w:rsidRPr="00063E1B">
        <w:rPr>
          <w:color w:val="000000" w:themeColor="text1"/>
          <w:sz w:val="24"/>
          <w:szCs w:val="24"/>
          <w:shd w:val="clear" w:color="auto" w:fill="FFFFFF"/>
        </w:rPr>
        <w:t>ako aj</w:t>
      </w:r>
      <w:r w:rsidRPr="00063E1B">
        <w:rPr>
          <w:color w:val="000000" w:themeColor="text1"/>
          <w:sz w:val="24"/>
          <w:szCs w:val="24"/>
          <w:shd w:val="clear" w:color="auto" w:fill="FFFFFF"/>
        </w:rPr>
        <w:t xml:space="preserve"> s právom Európskej únie</w:t>
      </w:r>
      <w:r w:rsidR="007E23F3" w:rsidRPr="00063E1B">
        <w:rPr>
          <w:color w:val="000000" w:themeColor="text1"/>
          <w:sz w:val="24"/>
          <w:szCs w:val="24"/>
          <w:shd w:val="clear" w:color="auto" w:fill="FFFFFF"/>
        </w:rPr>
        <w:t>.</w:t>
      </w:r>
    </w:p>
    <w:p w14:paraId="7C6EBFF8" w14:textId="77777777" w:rsidR="003F5587" w:rsidRPr="00063E1B" w:rsidRDefault="003F5587" w:rsidP="00063E1B">
      <w:pPr>
        <w:spacing w:line="276" w:lineRule="auto"/>
        <w:ind w:firstLine="708"/>
        <w:jc w:val="both"/>
        <w:rPr>
          <w:color w:val="000000" w:themeColor="text1"/>
          <w:sz w:val="24"/>
          <w:szCs w:val="24"/>
          <w:shd w:val="clear" w:color="auto" w:fill="FFFFFF"/>
        </w:rPr>
      </w:pPr>
    </w:p>
    <w:p w14:paraId="7236B7BC" w14:textId="492786C3" w:rsidR="00B74C1A" w:rsidRPr="00063E1B" w:rsidRDefault="00957ADB"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t>Návrh</w:t>
      </w:r>
      <w:r w:rsidR="007E23F3" w:rsidRPr="00063E1B">
        <w:rPr>
          <w:color w:val="000000" w:themeColor="text1"/>
          <w:sz w:val="24"/>
          <w:szCs w:val="24"/>
          <w:shd w:val="clear" w:color="auto" w:fill="FFFFFF"/>
        </w:rPr>
        <w:t xml:space="preserve"> ústavného</w:t>
      </w:r>
      <w:r w:rsidRPr="00063E1B">
        <w:rPr>
          <w:color w:val="000000" w:themeColor="text1"/>
          <w:sz w:val="24"/>
          <w:szCs w:val="24"/>
          <w:shd w:val="clear" w:color="auto" w:fill="FFFFFF"/>
        </w:rPr>
        <w:t xml:space="preserve"> zákona nemá vplyv na podnikateľské prostredie, na životné prostredie, na manželstvo, rodičovstvo a rodinu, na služby verejnej správy pre občana, na informatizáciu spoločnosti a ani žiadne sociálne vplyvy, predpokladá sa nulový vplyv na rozpočet verejnej správy (štátny rozpočet).</w:t>
      </w:r>
    </w:p>
    <w:p w14:paraId="0C69C2DB" w14:textId="77777777" w:rsidR="003F5587" w:rsidRPr="00063E1B" w:rsidRDefault="003F5587" w:rsidP="00063E1B">
      <w:pPr>
        <w:spacing w:line="276" w:lineRule="auto"/>
        <w:ind w:firstLine="708"/>
        <w:jc w:val="both"/>
        <w:rPr>
          <w:color w:val="000000" w:themeColor="text1"/>
          <w:sz w:val="24"/>
          <w:szCs w:val="24"/>
          <w:shd w:val="clear" w:color="auto" w:fill="FFFFFF"/>
        </w:rPr>
      </w:pPr>
    </w:p>
    <w:p w14:paraId="3833AE18" w14:textId="77777777" w:rsidR="00957ADB" w:rsidRPr="00063E1B" w:rsidRDefault="00957ADB" w:rsidP="00063E1B">
      <w:pPr>
        <w:spacing w:line="276" w:lineRule="auto"/>
        <w:ind w:firstLine="708"/>
        <w:jc w:val="both"/>
        <w:rPr>
          <w:color w:val="000000" w:themeColor="text1"/>
          <w:sz w:val="24"/>
          <w:szCs w:val="24"/>
          <w:shd w:val="clear" w:color="auto" w:fill="FFFFFF"/>
        </w:rPr>
      </w:pPr>
      <w:r w:rsidRPr="00063E1B">
        <w:rPr>
          <w:color w:val="000000" w:themeColor="text1"/>
          <w:sz w:val="24"/>
          <w:szCs w:val="24"/>
          <w:shd w:val="clear" w:color="auto" w:fill="FFFFFF"/>
        </w:rPr>
        <w:t>Účinnosť návrhu</w:t>
      </w:r>
      <w:r w:rsidR="004A249E" w:rsidRPr="00063E1B">
        <w:rPr>
          <w:color w:val="000000" w:themeColor="text1"/>
          <w:sz w:val="24"/>
          <w:szCs w:val="24"/>
          <w:shd w:val="clear" w:color="auto" w:fill="FFFFFF"/>
        </w:rPr>
        <w:t xml:space="preserve"> ústavného</w:t>
      </w:r>
      <w:r w:rsidRPr="00063E1B">
        <w:rPr>
          <w:color w:val="000000" w:themeColor="text1"/>
          <w:sz w:val="24"/>
          <w:szCs w:val="24"/>
          <w:shd w:val="clear" w:color="auto" w:fill="FFFFFF"/>
        </w:rPr>
        <w:t xml:space="preserve"> zákona sa vzhľadom na dĺžku le</w:t>
      </w:r>
      <w:r w:rsidR="00185858" w:rsidRPr="00063E1B">
        <w:rPr>
          <w:color w:val="000000" w:themeColor="text1"/>
          <w:sz w:val="24"/>
          <w:szCs w:val="24"/>
          <w:shd w:val="clear" w:color="auto" w:fill="FFFFFF"/>
        </w:rPr>
        <w:t>gislatívneho procesu navrhuje 1</w:t>
      </w:r>
      <w:r w:rsidRPr="00063E1B">
        <w:rPr>
          <w:color w:val="000000" w:themeColor="text1"/>
          <w:sz w:val="24"/>
          <w:szCs w:val="24"/>
          <w:shd w:val="clear" w:color="auto" w:fill="FFFFFF"/>
        </w:rPr>
        <w:t xml:space="preserve">. </w:t>
      </w:r>
      <w:r w:rsidR="00185858" w:rsidRPr="00063E1B">
        <w:rPr>
          <w:color w:val="000000" w:themeColor="text1"/>
          <w:sz w:val="24"/>
          <w:szCs w:val="24"/>
          <w:shd w:val="clear" w:color="auto" w:fill="FFFFFF"/>
        </w:rPr>
        <w:t>júla</w:t>
      </w:r>
      <w:r w:rsidRPr="00063E1B">
        <w:rPr>
          <w:color w:val="000000" w:themeColor="text1"/>
          <w:sz w:val="24"/>
          <w:szCs w:val="24"/>
          <w:shd w:val="clear" w:color="auto" w:fill="FFFFFF"/>
        </w:rPr>
        <w:t xml:space="preserve"> 202</w:t>
      </w:r>
      <w:r w:rsidR="00185858" w:rsidRPr="00063E1B">
        <w:rPr>
          <w:color w:val="000000" w:themeColor="text1"/>
          <w:sz w:val="24"/>
          <w:szCs w:val="24"/>
          <w:shd w:val="clear" w:color="auto" w:fill="FFFFFF"/>
        </w:rPr>
        <w:t>3</w:t>
      </w:r>
      <w:r w:rsidRPr="00063E1B">
        <w:rPr>
          <w:color w:val="000000" w:themeColor="text1"/>
          <w:sz w:val="24"/>
          <w:szCs w:val="24"/>
          <w:shd w:val="clear" w:color="auto" w:fill="FFFFFF"/>
        </w:rPr>
        <w:t xml:space="preserve">. </w:t>
      </w:r>
    </w:p>
    <w:p w14:paraId="31AA9FDE" w14:textId="77777777" w:rsidR="001A15DF" w:rsidRPr="00063E1B" w:rsidRDefault="001A15DF" w:rsidP="00063E1B">
      <w:pPr>
        <w:spacing w:line="276" w:lineRule="auto"/>
        <w:ind w:firstLine="708"/>
        <w:rPr>
          <w:color w:val="000000" w:themeColor="text1"/>
        </w:rPr>
        <w:sectPr w:rsidR="001A15DF" w:rsidRPr="00063E1B">
          <w:footerReference w:type="default" r:id="rId8"/>
          <w:pgSz w:w="11906" w:h="16838"/>
          <w:pgMar w:top="1417" w:right="1417" w:bottom="1417" w:left="1417" w:header="708" w:footer="708" w:gutter="0"/>
          <w:cols w:space="708"/>
          <w:docGrid w:linePitch="360"/>
        </w:sectPr>
      </w:pPr>
    </w:p>
    <w:p w14:paraId="79C3D69F" w14:textId="77777777" w:rsidR="001A15DF" w:rsidRPr="00063E1B" w:rsidRDefault="001A15DF" w:rsidP="00063E1B">
      <w:pPr>
        <w:spacing w:line="276" w:lineRule="auto"/>
        <w:jc w:val="both"/>
        <w:rPr>
          <w:rFonts w:eastAsia="Calibri"/>
          <w:color w:val="000000" w:themeColor="text1"/>
          <w:sz w:val="24"/>
          <w:szCs w:val="24"/>
          <w:lang w:eastAsia="en-US"/>
        </w:rPr>
      </w:pPr>
      <w:r w:rsidRPr="00063E1B">
        <w:rPr>
          <w:rFonts w:eastAsia="Calibri"/>
          <w:b/>
          <w:color w:val="000000" w:themeColor="text1"/>
          <w:sz w:val="24"/>
          <w:szCs w:val="24"/>
          <w:lang w:eastAsia="en-US"/>
        </w:rPr>
        <w:lastRenderedPageBreak/>
        <w:t>B. Osobitná časť</w:t>
      </w:r>
    </w:p>
    <w:p w14:paraId="4476F440" w14:textId="77777777" w:rsidR="003F5587" w:rsidRPr="00063E1B" w:rsidRDefault="003F5587" w:rsidP="00063E1B">
      <w:pPr>
        <w:spacing w:line="276" w:lineRule="auto"/>
        <w:jc w:val="both"/>
        <w:outlineLvl w:val="0"/>
        <w:rPr>
          <w:rFonts w:eastAsia="Calibri"/>
          <w:b/>
          <w:color w:val="000000" w:themeColor="text1"/>
          <w:sz w:val="24"/>
          <w:szCs w:val="24"/>
          <w:lang w:eastAsia="en-US"/>
        </w:rPr>
      </w:pPr>
    </w:p>
    <w:p w14:paraId="690D7CD5" w14:textId="3D42BDC5" w:rsidR="001A15DF" w:rsidRPr="00063E1B" w:rsidRDefault="001A15DF" w:rsidP="00063E1B">
      <w:pPr>
        <w:spacing w:line="276" w:lineRule="auto"/>
        <w:jc w:val="both"/>
        <w:outlineLvl w:val="0"/>
        <w:rPr>
          <w:rFonts w:eastAsia="Calibri"/>
          <w:b/>
          <w:color w:val="000000" w:themeColor="text1"/>
          <w:sz w:val="24"/>
          <w:szCs w:val="24"/>
          <w:lang w:eastAsia="en-US"/>
        </w:rPr>
      </w:pPr>
      <w:r w:rsidRPr="00063E1B">
        <w:rPr>
          <w:rFonts w:eastAsia="Calibri"/>
          <w:b/>
          <w:color w:val="000000" w:themeColor="text1"/>
          <w:sz w:val="24"/>
          <w:szCs w:val="24"/>
          <w:lang w:eastAsia="en-US"/>
        </w:rPr>
        <w:t>K Čl. I</w:t>
      </w:r>
    </w:p>
    <w:p w14:paraId="2AFE8C03" w14:textId="77777777" w:rsidR="003F5587" w:rsidRPr="00063E1B" w:rsidRDefault="003F5587" w:rsidP="00063E1B">
      <w:pPr>
        <w:keepNext/>
        <w:spacing w:line="276" w:lineRule="auto"/>
        <w:jc w:val="both"/>
        <w:textAlignment w:val="baseline"/>
        <w:outlineLvl w:val="1"/>
        <w:rPr>
          <w:color w:val="000000" w:themeColor="text1"/>
          <w:sz w:val="24"/>
          <w:szCs w:val="24"/>
        </w:rPr>
      </w:pPr>
    </w:p>
    <w:p w14:paraId="0E585F0F" w14:textId="43D9423B" w:rsidR="003F5587" w:rsidRPr="00063E1B" w:rsidRDefault="004A249E" w:rsidP="00063E1B">
      <w:pPr>
        <w:keepNext/>
        <w:spacing w:line="276" w:lineRule="auto"/>
        <w:ind w:firstLine="708"/>
        <w:jc w:val="both"/>
        <w:textAlignment w:val="baseline"/>
        <w:outlineLvl w:val="1"/>
        <w:rPr>
          <w:color w:val="000000" w:themeColor="text1"/>
          <w:sz w:val="24"/>
          <w:szCs w:val="24"/>
          <w:shd w:val="clear" w:color="auto" w:fill="FFFFFF"/>
        </w:rPr>
      </w:pPr>
      <w:r w:rsidRPr="00063E1B">
        <w:rPr>
          <w:color w:val="000000" w:themeColor="text1"/>
          <w:sz w:val="24"/>
          <w:szCs w:val="24"/>
        </w:rPr>
        <w:t xml:space="preserve">Navrhuje sa </w:t>
      </w:r>
      <w:r w:rsidR="00000585" w:rsidRPr="00063E1B">
        <w:rPr>
          <w:color w:val="000000" w:themeColor="text1"/>
          <w:sz w:val="24"/>
          <w:szCs w:val="24"/>
        </w:rPr>
        <w:t xml:space="preserve">do piateho oddielu druhej hlavy Ústavy Slovenskej republiky, teda medzi hospodárske, sociálne a kultúrne práva ako súčasť základných práv a slobôd, zakotviť právo vykonať platbu za nákup tovarov a poskytnutie služieb v hotovosti zákonným platidlom. Navrhuje sa, aby tomuto právu zodpovedalo ústavné zaručenie vydávania hotovosti </w:t>
      </w:r>
      <w:r w:rsidR="007C1608" w:rsidRPr="00063E1B">
        <w:rPr>
          <w:color w:val="000000" w:themeColor="text1"/>
          <w:sz w:val="24"/>
          <w:szCs w:val="24"/>
        </w:rPr>
        <w:t>ako zákonného platidla</w:t>
      </w:r>
      <w:r w:rsidR="007C1608" w:rsidRPr="00063E1B">
        <w:rPr>
          <w:color w:val="000000" w:themeColor="text1"/>
          <w:sz w:val="24"/>
          <w:szCs w:val="24"/>
          <w:shd w:val="clear" w:color="auto" w:fill="FFFFFF"/>
        </w:rPr>
        <w:t>, čo zabezpečí praktickú realizáciu tohto práva pri</w:t>
      </w:r>
      <w:r w:rsidR="00B73391" w:rsidRPr="00063E1B">
        <w:rPr>
          <w:color w:val="000000" w:themeColor="text1"/>
          <w:sz w:val="24"/>
          <w:szCs w:val="24"/>
          <w:shd w:val="clear" w:color="auto" w:fill="FFFFFF"/>
        </w:rPr>
        <w:t xml:space="preserve"> uvedených</w:t>
      </w:r>
      <w:r w:rsidR="007C1608" w:rsidRPr="00063E1B">
        <w:rPr>
          <w:color w:val="000000" w:themeColor="text1"/>
          <w:sz w:val="24"/>
          <w:szCs w:val="24"/>
          <w:shd w:val="clear" w:color="auto" w:fill="FFFFFF"/>
        </w:rPr>
        <w:t xml:space="preserve"> platobných stykoch. </w:t>
      </w:r>
    </w:p>
    <w:p w14:paraId="1C3E8340" w14:textId="72A563F1" w:rsidR="003F5587" w:rsidRPr="00063E1B" w:rsidRDefault="003F5587" w:rsidP="00063E1B">
      <w:pPr>
        <w:keepNext/>
        <w:spacing w:before="240" w:after="120" w:line="276" w:lineRule="auto"/>
        <w:ind w:firstLine="708"/>
        <w:jc w:val="both"/>
        <w:textAlignment w:val="baseline"/>
        <w:outlineLvl w:val="1"/>
        <w:rPr>
          <w:color w:val="000000" w:themeColor="text1"/>
          <w:sz w:val="24"/>
          <w:szCs w:val="24"/>
          <w:shd w:val="clear" w:color="auto" w:fill="FFFFFF"/>
        </w:rPr>
      </w:pPr>
      <w:r w:rsidRPr="00063E1B">
        <w:rPr>
          <w:color w:val="000000" w:themeColor="text1"/>
          <w:sz w:val="24"/>
          <w:szCs w:val="24"/>
          <w:shd w:val="clear" w:color="auto" w:fill="FFFFFF"/>
        </w:rPr>
        <w:t>Taktiež sa navrhuje, že zákon ustanoví podmienky a ob</w:t>
      </w:r>
      <w:r w:rsidR="00063E1B" w:rsidRPr="00063E1B">
        <w:rPr>
          <w:color w:val="000000" w:themeColor="text1"/>
          <w:sz w:val="24"/>
          <w:szCs w:val="24"/>
          <w:shd w:val="clear" w:color="auto" w:fill="FFFFFF"/>
        </w:rPr>
        <w:t>medzenia vyššie uvedeného práva z dôvodu kontroly pôvodu peňazí v rámci stabilného a transparentného ekonomického prostredia.</w:t>
      </w:r>
      <w:r w:rsidRPr="00063E1B">
        <w:rPr>
          <w:color w:val="000000" w:themeColor="text1"/>
          <w:sz w:val="24"/>
          <w:szCs w:val="24"/>
          <w:shd w:val="clear" w:color="auto" w:fill="FFFFFF"/>
        </w:rPr>
        <w:t xml:space="preserve"> Týmto bude v Ústave Slovenskej republiky predpokladaná zákonná úprava, ktorej aktuálne zodpovedá najmä zákon č. 394/2012 Z. z. o obmedzení platieb v hotovosti.</w:t>
      </w:r>
    </w:p>
    <w:p w14:paraId="60DFA3B9" w14:textId="77777777" w:rsidR="003F5587" w:rsidRPr="00063E1B" w:rsidRDefault="003F5587" w:rsidP="00063E1B">
      <w:pPr>
        <w:spacing w:line="276" w:lineRule="auto"/>
        <w:jc w:val="both"/>
        <w:outlineLvl w:val="0"/>
        <w:rPr>
          <w:rFonts w:eastAsia="Calibri"/>
          <w:b/>
          <w:color w:val="000000" w:themeColor="text1"/>
          <w:sz w:val="24"/>
          <w:szCs w:val="24"/>
          <w:lang w:eastAsia="en-US"/>
        </w:rPr>
      </w:pPr>
    </w:p>
    <w:p w14:paraId="2C451E23" w14:textId="3726A6F4" w:rsidR="001A15DF" w:rsidRPr="00063E1B" w:rsidRDefault="006A764A" w:rsidP="00063E1B">
      <w:pPr>
        <w:spacing w:line="276" w:lineRule="auto"/>
        <w:jc w:val="both"/>
        <w:outlineLvl w:val="0"/>
        <w:rPr>
          <w:rFonts w:eastAsia="Calibri"/>
          <w:b/>
          <w:i/>
          <w:color w:val="000000" w:themeColor="text1"/>
          <w:sz w:val="24"/>
          <w:szCs w:val="24"/>
          <w:lang w:eastAsia="en-US"/>
        </w:rPr>
      </w:pPr>
      <w:r w:rsidRPr="00063E1B">
        <w:rPr>
          <w:rFonts w:eastAsia="Calibri"/>
          <w:b/>
          <w:color w:val="000000" w:themeColor="text1"/>
          <w:sz w:val="24"/>
          <w:szCs w:val="24"/>
          <w:lang w:eastAsia="en-US"/>
        </w:rPr>
        <w:t>K Čl. II</w:t>
      </w:r>
    </w:p>
    <w:p w14:paraId="782B1668" w14:textId="77777777" w:rsidR="003F5587" w:rsidRPr="00063E1B" w:rsidRDefault="003F5587" w:rsidP="00063E1B">
      <w:pPr>
        <w:spacing w:line="276" w:lineRule="auto"/>
        <w:jc w:val="both"/>
        <w:rPr>
          <w:bCs/>
          <w:color w:val="000000" w:themeColor="text1"/>
          <w:sz w:val="24"/>
          <w:szCs w:val="24"/>
        </w:rPr>
      </w:pPr>
    </w:p>
    <w:p w14:paraId="72A1EC7E" w14:textId="78D400AE" w:rsidR="001A15DF" w:rsidRPr="00063E1B" w:rsidRDefault="004070FE" w:rsidP="00063E1B">
      <w:pPr>
        <w:spacing w:line="276" w:lineRule="auto"/>
        <w:ind w:firstLine="708"/>
        <w:jc w:val="both"/>
        <w:rPr>
          <w:bCs/>
          <w:color w:val="000000" w:themeColor="text1"/>
          <w:sz w:val="24"/>
          <w:szCs w:val="24"/>
        </w:rPr>
      </w:pPr>
      <w:r w:rsidRPr="00063E1B">
        <w:rPr>
          <w:bCs/>
          <w:color w:val="000000" w:themeColor="text1"/>
          <w:sz w:val="24"/>
          <w:szCs w:val="24"/>
        </w:rPr>
        <w:t>Vzhľadom na dĺžku legislatívneho procesu sa d</w:t>
      </w:r>
      <w:r w:rsidR="001A15DF" w:rsidRPr="00063E1B">
        <w:rPr>
          <w:bCs/>
          <w:color w:val="000000" w:themeColor="text1"/>
          <w:sz w:val="24"/>
          <w:szCs w:val="24"/>
        </w:rPr>
        <w:t>átum účinnosti</w:t>
      </w:r>
      <w:r w:rsidR="004A249E" w:rsidRPr="00063E1B">
        <w:rPr>
          <w:bCs/>
          <w:color w:val="000000" w:themeColor="text1"/>
          <w:sz w:val="24"/>
          <w:szCs w:val="24"/>
        </w:rPr>
        <w:t xml:space="preserve"> ústavného</w:t>
      </w:r>
      <w:r w:rsidR="001A15DF" w:rsidRPr="00063E1B">
        <w:rPr>
          <w:bCs/>
          <w:color w:val="000000" w:themeColor="text1"/>
          <w:sz w:val="24"/>
          <w:szCs w:val="24"/>
        </w:rPr>
        <w:t xml:space="preserve"> zákona navrhuje </w:t>
      </w:r>
      <w:r w:rsidRPr="00063E1B">
        <w:rPr>
          <w:bCs/>
          <w:color w:val="000000" w:themeColor="text1"/>
          <w:sz w:val="24"/>
          <w:szCs w:val="24"/>
        </w:rPr>
        <w:t xml:space="preserve">od </w:t>
      </w:r>
      <w:r w:rsidR="004A249E" w:rsidRPr="00063E1B">
        <w:rPr>
          <w:bCs/>
          <w:color w:val="000000" w:themeColor="text1"/>
          <w:sz w:val="24"/>
          <w:szCs w:val="24"/>
        </w:rPr>
        <w:t>1</w:t>
      </w:r>
      <w:r w:rsidR="001A15DF" w:rsidRPr="00063E1B">
        <w:rPr>
          <w:bCs/>
          <w:color w:val="000000" w:themeColor="text1"/>
          <w:sz w:val="24"/>
          <w:szCs w:val="24"/>
        </w:rPr>
        <w:t xml:space="preserve">. </w:t>
      </w:r>
      <w:r w:rsidR="004A249E" w:rsidRPr="00063E1B">
        <w:rPr>
          <w:bCs/>
          <w:color w:val="000000" w:themeColor="text1"/>
          <w:sz w:val="24"/>
          <w:szCs w:val="24"/>
        </w:rPr>
        <w:t>júla</w:t>
      </w:r>
      <w:r w:rsidR="001A15DF" w:rsidRPr="00063E1B">
        <w:rPr>
          <w:bCs/>
          <w:color w:val="000000" w:themeColor="text1"/>
          <w:sz w:val="24"/>
          <w:szCs w:val="24"/>
        </w:rPr>
        <w:t xml:space="preserve"> 202</w:t>
      </w:r>
      <w:r w:rsidR="004A249E" w:rsidRPr="00063E1B">
        <w:rPr>
          <w:bCs/>
          <w:color w:val="000000" w:themeColor="text1"/>
          <w:sz w:val="24"/>
          <w:szCs w:val="24"/>
        </w:rPr>
        <w:t>3</w:t>
      </w:r>
      <w:r w:rsidR="001A15DF" w:rsidRPr="00063E1B">
        <w:rPr>
          <w:bCs/>
          <w:color w:val="000000" w:themeColor="text1"/>
          <w:sz w:val="24"/>
          <w:szCs w:val="24"/>
        </w:rPr>
        <w:t>.</w:t>
      </w:r>
    </w:p>
    <w:p w14:paraId="48FA9E6D" w14:textId="77777777" w:rsidR="002B3576" w:rsidRPr="00063E1B" w:rsidRDefault="002B3576" w:rsidP="00063E1B">
      <w:pPr>
        <w:spacing w:line="276" w:lineRule="auto"/>
        <w:jc w:val="both"/>
        <w:rPr>
          <w:bCs/>
          <w:color w:val="000000" w:themeColor="text1"/>
          <w:sz w:val="24"/>
          <w:szCs w:val="24"/>
        </w:rPr>
      </w:pPr>
    </w:p>
    <w:p w14:paraId="519C90CA" w14:textId="77777777" w:rsidR="002B3576" w:rsidRPr="00063E1B" w:rsidRDefault="002B3576" w:rsidP="00063E1B">
      <w:pPr>
        <w:spacing w:line="276" w:lineRule="auto"/>
        <w:jc w:val="both"/>
        <w:rPr>
          <w:bCs/>
          <w:color w:val="000000" w:themeColor="text1"/>
          <w:sz w:val="24"/>
          <w:szCs w:val="24"/>
        </w:rPr>
      </w:pPr>
    </w:p>
    <w:p w14:paraId="7E6B8360" w14:textId="77777777" w:rsidR="002B3576" w:rsidRPr="00063E1B" w:rsidRDefault="002B3576" w:rsidP="00063E1B">
      <w:pPr>
        <w:spacing w:line="276" w:lineRule="auto"/>
        <w:jc w:val="both"/>
        <w:rPr>
          <w:color w:val="000000" w:themeColor="text1"/>
        </w:rPr>
      </w:pPr>
    </w:p>
    <w:sectPr w:rsidR="002B3576" w:rsidRPr="00063E1B" w:rsidSect="00D27A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3DD92" w14:textId="77777777" w:rsidR="008A1032" w:rsidRDefault="008A1032" w:rsidP="00A56627">
      <w:r>
        <w:separator/>
      </w:r>
    </w:p>
  </w:endnote>
  <w:endnote w:type="continuationSeparator" w:id="0">
    <w:p w14:paraId="3DEB0952" w14:textId="77777777" w:rsidR="008A1032" w:rsidRDefault="008A1032" w:rsidP="00A5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370013"/>
      <w:docPartObj>
        <w:docPartGallery w:val="Page Numbers (Bottom of Page)"/>
        <w:docPartUnique/>
      </w:docPartObj>
    </w:sdtPr>
    <w:sdtEndPr/>
    <w:sdtContent>
      <w:p w14:paraId="09EAC479" w14:textId="753E04A7" w:rsidR="00A56627" w:rsidRDefault="00A56627">
        <w:pPr>
          <w:pStyle w:val="Pta"/>
          <w:jc w:val="center"/>
        </w:pPr>
        <w:r>
          <w:fldChar w:fldCharType="begin"/>
        </w:r>
        <w:r>
          <w:instrText>PAGE   \* MERGEFORMAT</w:instrText>
        </w:r>
        <w:r>
          <w:fldChar w:fldCharType="separate"/>
        </w:r>
        <w:r w:rsidR="00D86B5B">
          <w:rPr>
            <w:noProof/>
          </w:rPr>
          <w:t>3</w:t>
        </w:r>
        <w:r>
          <w:fldChar w:fldCharType="end"/>
        </w:r>
      </w:p>
    </w:sdtContent>
  </w:sdt>
  <w:p w14:paraId="0E801D98" w14:textId="77777777" w:rsidR="00A56627" w:rsidRDefault="00A5662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6AF0" w14:textId="77777777" w:rsidR="008A1032" w:rsidRDefault="008A1032" w:rsidP="00A56627">
      <w:r>
        <w:separator/>
      </w:r>
    </w:p>
  </w:footnote>
  <w:footnote w:type="continuationSeparator" w:id="0">
    <w:p w14:paraId="24F65404" w14:textId="77777777" w:rsidR="008A1032" w:rsidRDefault="008A1032" w:rsidP="00A5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4697"/>
    <w:multiLevelType w:val="hybridMultilevel"/>
    <w:tmpl w:val="C36C8D7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7F14081B"/>
    <w:multiLevelType w:val="hybridMultilevel"/>
    <w:tmpl w:val="381CF8EA"/>
    <w:lvl w:ilvl="0" w:tplc="3914146A">
      <w:start w:val="1"/>
      <w:numFmt w:val="bullet"/>
      <w:lvlText w:val="-"/>
      <w:lvlJc w:val="left"/>
      <w:pPr>
        <w:ind w:left="720" w:hanging="360"/>
      </w:pPr>
      <w:rPr>
        <w:rFonts w:ascii="Arial" w:eastAsiaTheme="minorHAnsi" w:hAnsi="Arial" w:cs="Arial" w:hint="default"/>
      </w:rPr>
    </w:lvl>
    <w:lvl w:ilvl="1" w:tplc="AE6C0BC6">
      <w:start w:val="1"/>
      <w:numFmt w:val="bullet"/>
      <w:lvlText w:val="o"/>
      <w:lvlJc w:val="left"/>
      <w:pPr>
        <w:ind w:left="1440" w:hanging="360"/>
      </w:pPr>
      <w:rPr>
        <w:rFonts w:ascii="Courier New" w:hAnsi="Courier New" w:cs="Courier New" w:hint="default"/>
      </w:rPr>
    </w:lvl>
    <w:lvl w:ilvl="2" w:tplc="E7961D4C" w:tentative="1">
      <w:start w:val="1"/>
      <w:numFmt w:val="bullet"/>
      <w:lvlText w:val=""/>
      <w:lvlJc w:val="left"/>
      <w:pPr>
        <w:ind w:left="2160" w:hanging="360"/>
      </w:pPr>
      <w:rPr>
        <w:rFonts w:ascii="Wingdings" w:hAnsi="Wingdings" w:hint="default"/>
      </w:rPr>
    </w:lvl>
    <w:lvl w:ilvl="3" w:tplc="6C5C6082" w:tentative="1">
      <w:start w:val="1"/>
      <w:numFmt w:val="bullet"/>
      <w:lvlText w:val=""/>
      <w:lvlJc w:val="left"/>
      <w:pPr>
        <w:ind w:left="2880" w:hanging="360"/>
      </w:pPr>
      <w:rPr>
        <w:rFonts w:ascii="Symbol" w:hAnsi="Symbol" w:hint="default"/>
      </w:rPr>
    </w:lvl>
    <w:lvl w:ilvl="4" w:tplc="D076BE4A" w:tentative="1">
      <w:start w:val="1"/>
      <w:numFmt w:val="bullet"/>
      <w:lvlText w:val="o"/>
      <w:lvlJc w:val="left"/>
      <w:pPr>
        <w:ind w:left="3600" w:hanging="360"/>
      </w:pPr>
      <w:rPr>
        <w:rFonts w:ascii="Courier New" w:hAnsi="Courier New" w:cs="Courier New" w:hint="default"/>
      </w:rPr>
    </w:lvl>
    <w:lvl w:ilvl="5" w:tplc="9B80F7E8" w:tentative="1">
      <w:start w:val="1"/>
      <w:numFmt w:val="bullet"/>
      <w:lvlText w:val=""/>
      <w:lvlJc w:val="left"/>
      <w:pPr>
        <w:ind w:left="4320" w:hanging="360"/>
      </w:pPr>
      <w:rPr>
        <w:rFonts w:ascii="Wingdings" w:hAnsi="Wingdings" w:hint="default"/>
      </w:rPr>
    </w:lvl>
    <w:lvl w:ilvl="6" w:tplc="463276E4" w:tentative="1">
      <w:start w:val="1"/>
      <w:numFmt w:val="bullet"/>
      <w:lvlText w:val=""/>
      <w:lvlJc w:val="left"/>
      <w:pPr>
        <w:ind w:left="5040" w:hanging="360"/>
      </w:pPr>
      <w:rPr>
        <w:rFonts w:ascii="Symbol" w:hAnsi="Symbol" w:hint="default"/>
      </w:rPr>
    </w:lvl>
    <w:lvl w:ilvl="7" w:tplc="84C27AC6" w:tentative="1">
      <w:start w:val="1"/>
      <w:numFmt w:val="bullet"/>
      <w:lvlText w:val="o"/>
      <w:lvlJc w:val="left"/>
      <w:pPr>
        <w:ind w:left="5760" w:hanging="360"/>
      </w:pPr>
      <w:rPr>
        <w:rFonts w:ascii="Courier New" w:hAnsi="Courier New" w:cs="Courier New" w:hint="default"/>
      </w:rPr>
    </w:lvl>
    <w:lvl w:ilvl="8" w:tplc="655298D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DD"/>
    <w:rsid w:val="00000585"/>
    <w:rsid w:val="00063E1B"/>
    <w:rsid w:val="00091008"/>
    <w:rsid w:val="000C67BA"/>
    <w:rsid w:val="000E195C"/>
    <w:rsid w:val="001135B3"/>
    <w:rsid w:val="0011731E"/>
    <w:rsid w:val="00121317"/>
    <w:rsid w:val="001538B7"/>
    <w:rsid w:val="00170DDC"/>
    <w:rsid w:val="00172264"/>
    <w:rsid w:val="00185858"/>
    <w:rsid w:val="001A15DF"/>
    <w:rsid w:val="001B7A40"/>
    <w:rsid w:val="001C5AB2"/>
    <w:rsid w:val="00216F88"/>
    <w:rsid w:val="0022258B"/>
    <w:rsid w:val="0024184C"/>
    <w:rsid w:val="002B3576"/>
    <w:rsid w:val="00390AD1"/>
    <w:rsid w:val="003F5587"/>
    <w:rsid w:val="004070FE"/>
    <w:rsid w:val="0044220C"/>
    <w:rsid w:val="004651DD"/>
    <w:rsid w:val="004841F2"/>
    <w:rsid w:val="0048449C"/>
    <w:rsid w:val="00494317"/>
    <w:rsid w:val="004A249E"/>
    <w:rsid w:val="004B7602"/>
    <w:rsid w:val="004C0F69"/>
    <w:rsid w:val="005050BC"/>
    <w:rsid w:val="00540571"/>
    <w:rsid w:val="00580B5C"/>
    <w:rsid w:val="005C12CB"/>
    <w:rsid w:val="005F159A"/>
    <w:rsid w:val="006032C3"/>
    <w:rsid w:val="006333E9"/>
    <w:rsid w:val="0064788B"/>
    <w:rsid w:val="006762C0"/>
    <w:rsid w:val="006A764A"/>
    <w:rsid w:val="006B4C32"/>
    <w:rsid w:val="006C3BE0"/>
    <w:rsid w:val="006F5C65"/>
    <w:rsid w:val="007366AE"/>
    <w:rsid w:val="00784C2D"/>
    <w:rsid w:val="007942AD"/>
    <w:rsid w:val="007A6D93"/>
    <w:rsid w:val="007C1608"/>
    <w:rsid w:val="007E23F3"/>
    <w:rsid w:val="0083361B"/>
    <w:rsid w:val="008468BF"/>
    <w:rsid w:val="00860038"/>
    <w:rsid w:val="008944F6"/>
    <w:rsid w:val="008A1032"/>
    <w:rsid w:val="008A5783"/>
    <w:rsid w:val="008C6B39"/>
    <w:rsid w:val="009164F6"/>
    <w:rsid w:val="00930AC2"/>
    <w:rsid w:val="009370C6"/>
    <w:rsid w:val="00940599"/>
    <w:rsid w:val="00957ADB"/>
    <w:rsid w:val="00957FBD"/>
    <w:rsid w:val="0096790A"/>
    <w:rsid w:val="009E672A"/>
    <w:rsid w:val="00A020C8"/>
    <w:rsid w:val="00A279CC"/>
    <w:rsid w:val="00A56627"/>
    <w:rsid w:val="00AC19C9"/>
    <w:rsid w:val="00AC549F"/>
    <w:rsid w:val="00B32B47"/>
    <w:rsid w:val="00B67C26"/>
    <w:rsid w:val="00B73391"/>
    <w:rsid w:val="00B74C1A"/>
    <w:rsid w:val="00B9793B"/>
    <w:rsid w:val="00BB54D4"/>
    <w:rsid w:val="00C3779F"/>
    <w:rsid w:val="00C923C5"/>
    <w:rsid w:val="00CB5FC2"/>
    <w:rsid w:val="00CE216B"/>
    <w:rsid w:val="00CE55E8"/>
    <w:rsid w:val="00D27A67"/>
    <w:rsid w:val="00D86B5B"/>
    <w:rsid w:val="00DC37BF"/>
    <w:rsid w:val="00DF6217"/>
    <w:rsid w:val="00E0286E"/>
    <w:rsid w:val="00E05717"/>
    <w:rsid w:val="00E30A33"/>
    <w:rsid w:val="00E47F2A"/>
    <w:rsid w:val="00E6007A"/>
    <w:rsid w:val="00E70EB2"/>
    <w:rsid w:val="00E7683C"/>
    <w:rsid w:val="00EB0EE7"/>
    <w:rsid w:val="00ED767F"/>
    <w:rsid w:val="00F205D6"/>
    <w:rsid w:val="00F31B68"/>
    <w:rsid w:val="00F5092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9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4651D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F5C65"/>
    <w:rPr>
      <w:rFonts w:ascii="Tahoma" w:hAnsi="Tahoma" w:cs="Tahoma"/>
      <w:sz w:val="16"/>
      <w:szCs w:val="16"/>
    </w:rPr>
  </w:style>
  <w:style w:type="character" w:customStyle="1" w:styleId="TextbublinyChar">
    <w:name w:val="Text bubliny Char"/>
    <w:basedOn w:val="Predvolenpsmoodseku"/>
    <w:link w:val="Textbubliny"/>
    <w:uiPriority w:val="99"/>
    <w:semiHidden/>
    <w:rsid w:val="006F5C65"/>
    <w:rPr>
      <w:rFonts w:ascii="Tahoma" w:eastAsia="Times New Roman" w:hAnsi="Tahoma" w:cs="Tahoma"/>
      <w:sz w:val="16"/>
      <w:szCs w:val="16"/>
      <w:lang w:eastAsia="sk-SK"/>
    </w:rPr>
  </w:style>
  <w:style w:type="paragraph" w:styleId="Hlavika">
    <w:name w:val="header"/>
    <w:basedOn w:val="Normlny"/>
    <w:link w:val="HlavikaChar"/>
    <w:uiPriority w:val="99"/>
    <w:unhideWhenUsed/>
    <w:rsid w:val="00A56627"/>
    <w:pPr>
      <w:tabs>
        <w:tab w:val="center" w:pos="4536"/>
        <w:tab w:val="right" w:pos="9072"/>
      </w:tabs>
    </w:pPr>
  </w:style>
  <w:style w:type="character" w:customStyle="1" w:styleId="HlavikaChar">
    <w:name w:val="Hlavička Char"/>
    <w:basedOn w:val="Predvolenpsmoodseku"/>
    <w:link w:val="Hlavika"/>
    <w:uiPriority w:val="99"/>
    <w:rsid w:val="00A56627"/>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56627"/>
    <w:pPr>
      <w:tabs>
        <w:tab w:val="center" w:pos="4536"/>
        <w:tab w:val="right" w:pos="9072"/>
      </w:tabs>
    </w:pPr>
  </w:style>
  <w:style w:type="character" w:customStyle="1" w:styleId="PtaChar">
    <w:name w:val="Päta Char"/>
    <w:basedOn w:val="Predvolenpsmoodseku"/>
    <w:link w:val="Pta"/>
    <w:uiPriority w:val="99"/>
    <w:rsid w:val="00A56627"/>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241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0B43-8F9B-4BBF-9C29-968E5085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2023-02-17T11:45:00Z</dcterms:created>
  <dcterms:modified xsi:type="dcterms:W3CDTF">2023-02-23T09:27:00Z</dcterms:modified>
</cp:coreProperties>
</file>