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7E9" w14:textId="77777777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14:paraId="185EAFB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D6B483" w14:textId="4927D68D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14:paraId="7162F61A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8AB66D" w14:textId="0657E3F6" w:rsidR="008879C5" w:rsidRDefault="00556A5F" w:rsidP="00887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6A5F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súčasnej právnej úpravy</w:t>
      </w:r>
      <w:r w:rsidR="00AE0E9E" w:rsidRPr="00AE0E9E">
        <w:t xml:space="preserve"> </w:t>
      </w:r>
      <w:r w:rsidR="00AE0E9E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AE0E9E" w:rsidRPr="00AE0E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nároku na náhradu trov konania rozhodne aj bez návrhu súd v rozhodnutí, ktorým sa konanie končí.</w:t>
      </w:r>
      <w:r w:rsidR="00AE0E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Pokiaľ bol v takomto rozhodnutí nárok priznaný, o</w:t>
      </w:r>
      <w:r w:rsidR="00AE0E9E" w:rsidRPr="00AE0E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výške náhrady trov konania rozhodne súd prvej inštancie po právoplatnosti rozhodnutia, ktorým sa konanie končí, samostatným uznesením, ktoré vydá súdny úradník.</w:t>
      </w:r>
      <w:r w:rsidR="00AE0E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súčasnej právnej úprave tak absentuje lehota, do ktorej má byť uznesenie obsahujúce výšku náhrady trov konania vydané, po tom, ako bol už nárok súdnym rozhodnutím priznaný.</w:t>
      </w:r>
    </w:p>
    <w:p w14:paraId="3FB45981" w14:textId="04DA8222" w:rsidR="008A7EEA" w:rsidRDefault="008A7EEA" w:rsidP="00887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A01E76" w14:textId="147BD643" w:rsidR="008A7EEA" w:rsidRDefault="008A7EEA" w:rsidP="008A7E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predchádzajúcej právnej úpravy obsiahnutej v Občianskom súdnom poriadku, o povinnosti nahradiť trovy konania rozhodol súd spravidla na návrh v rozhodnutí, ktorým sa konanie končilo, pričom účastník, ktorému bol nárok na náhradu trov priznaný bol povinný trovy konania vyčísliť najneskôr do troch pracovných dní odo dňa vyhlásenia takéhoto rozhodnutia.</w:t>
      </w:r>
      <w:r w:rsidR="001440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bolo vyhlásené rozhodnutie, ktorým súd priznal nárok na náhradu trov konania, účastník konania následne v lehote zaslal vyčíslenie trov konania</w:t>
      </w:r>
      <w:r w:rsidR="00EA14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440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149E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144024">
        <w:rPr>
          <w:rFonts w:ascii="Times New Roman" w:eastAsia="Times New Roman" w:hAnsi="Times New Roman" w:cs="Times New Roman"/>
          <w:sz w:val="24"/>
          <w:szCs w:val="24"/>
          <w:lang w:eastAsia="sk-SK"/>
        </w:rPr>
        <w:t>o vyhotovenia písomného znenia rozhodnutia súd mohol ustáliť presnú výšku náhrady, ktorá bola priznaná a účastníkovi bolo doručené rozhodnutie už s vymedzením výšky priznanej náhrady trov konania, pričom uplynutím lehoty na prípadne podanie opravného prostriedku účastník konania disponoval exekučným titulom nielen k nároku, ktorý bol predmetom súdneho konania, ale aj k nároku na náhradu trov konania, čo umožňovalo zača</w:t>
      </w:r>
      <w:r w:rsidR="00C571B3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1440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vymáhaním oboch nárokov</w:t>
      </w:r>
      <w:r w:rsidR="00E410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súčasne v rámci jedného vykonávacieho konania</w:t>
      </w:r>
      <w:r w:rsidR="001440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445B7E6" w14:textId="21ACBDC9" w:rsidR="002B7D09" w:rsidRDefault="002B7D09" w:rsidP="008A7E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F98994" w14:textId="1269DFA4" w:rsidR="002B7D09" w:rsidRDefault="002B7D09" w:rsidP="008A7E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Okrem toho Občiansky súdny poriadok </w:t>
      </w:r>
      <w:r w:rsidR="00EA149E">
        <w:rPr>
          <w:rFonts w:ascii="Times New Roman" w:eastAsia="Times New Roman" w:hAnsi="Times New Roman" w:cs="Times New Roman"/>
          <w:sz w:val="24"/>
          <w:szCs w:val="24"/>
          <w:lang w:eastAsia="sk-SK"/>
        </w:rPr>
        <w:t>zakotvoval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ustanovenie, podľa ktorého v</w:t>
      </w:r>
      <w:r w:rsidRPr="002B7D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zložitých prípadoch, najmä z dôvodu väčšieho počtu účastníkov konania alebo väčšieho počtu nárokov uplatňovaných v konaní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mohol </w:t>
      </w:r>
      <w:r w:rsidRPr="002B7D09">
        <w:rPr>
          <w:rFonts w:ascii="Times New Roman" w:eastAsia="Times New Roman" w:hAnsi="Times New Roman" w:cs="Times New Roman"/>
          <w:sz w:val="24"/>
          <w:szCs w:val="24"/>
          <w:lang w:eastAsia="sk-SK"/>
        </w:rPr>
        <w:t>súd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B7D09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rozhodnúť, že o trovách konania rozhodne do 30 dní po právoplatnosti rozhodnutia vo veci samej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Teda aj pre prípady považované za „zložité“ bola zakotvená zákonná lehota 30 dní odo dňa právoplatnosti rozhodnutia vo veci samej.</w:t>
      </w:r>
    </w:p>
    <w:p w14:paraId="6D10E6E2" w14:textId="3C764DCF" w:rsidR="002B7D09" w:rsidRDefault="002B7D09" w:rsidP="008A7E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386059" w14:textId="7AC31B8C" w:rsidR="00197FF9" w:rsidRDefault="002B7D09" w:rsidP="00887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Nezakotvenie žiadnej lehoty pre vydanie uznesenia k náhrade trov konania vedie k tomu, že v </w:t>
      </w:r>
      <w:r w:rsidRPr="002B7D09">
        <w:rPr>
          <w:rFonts w:ascii="Times New Roman" w:eastAsia="Times New Roman" w:hAnsi="Times New Roman" w:cs="Times New Roman"/>
          <w:sz w:val="24"/>
          <w:szCs w:val="24"/>
          <w:lang w:eastAsia="sk-SK"/>
        </w:rPr>
        <w:t>praxi dochádza k situáciám, kedy bol síce účastníkovi súdneho konania nárok na náhradu trov konania priznaný súdnym rozhodnutím, ale ani po niekoľkých mesiaco</w:t>
      </w:r>
      <w:r w:rsidR="00E41067">
        <w:rPr>
          <w:rFonts w:ascii="Times New Roman" w:eastAsia="Times New Roman" w:hAnsi="Times New Roman" w:cs="Times New Roman"/>
          <w:sz w:val="24"/>
          <w:szCs w:val="24"/>
          <w:lang w:eastAsia="sk-SK"/>
        </w:rPr>
        <w:t>ch</w:t>
      </w:r>
      <w:r w:rsidRPr="002B7D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vydania takéhoto rozhodnutia nie je výška nároku ustálená a nie je ju možné vymáhať.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praxi tak nastávajú situácie, kedy si účastník konania, ktorému bol priznaný nárok na náhradu trov konania musí v samostatnom vykonávacom konaní uplatňovať nárok, ktorý bol predmetom súdneho konania a až následne</w:t>
      </w:r>
      <w:r w:rsidR="00EA149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časovým odstupom</w:t>
      </w:r>
      <w:r w:rsidR="00EA149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nárok na náhradu trov konania. To vedie jednak k zvýšenej administratívnej, časovej, ale aj finančnej záťaži účastníka konania, ale aj k</w:t>
      </w:r>
      <w:r w:rsidR="009D44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zhoršeniu jeho situácie v prípadnom </w:t>
      </w:r>
      <w:r w:rsidR="00E41067">
        <w:rPr>
          <w:rFonts w:ascii="Times New Roman" w:eastAsia="Times New Roman" w:hAnsi="Times New Roman" w:cs="Times New Roman"/>
          <w:sz w:val="24"/>
          <w:szCs w:val="24"/>
          <w:lang w:eastAsia="sk-SK"/>
        </w:rPr>
        <w:t>exekučnom</w:t>
      </w:r>
      <w:r w:rsidR="009D44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konaní, keďže medzi časom si môžu nároky voči tomu istému dlžníkovi začať vymáhať aj </w:t>
      </w:r>
      <w:r w:rsidR="00E41067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ďalší</w:t>
      </w:r>
      <w:r w:rsidR="009D44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veritelia</w:t>
      </w:r>
      <w:r w:rsidR="00EA1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plynutím času sa tiež zvyšujú možnosti dlžníka účelovo sa zbavovať majetku</w:t>
      </w:r>
      <w:r w:rsidR="009D44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3BD2D7F7" w14:textId="22B3E5D7" w:rsidR="004516CF" w:rsidRDefault="004516CF" w:rsidP="00887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52B0A" w14:textId="4884DD44" w:rsidR="004516CF" w:rsidRDefault="004516CF" w:rsidP="00887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Zakotvením lehoty na vydanie uznesenia k náhrade trov konania dôjde k posilneniu právnej istoty účastníkov konania a zvýšeniu kvality fungovania súdneho systému. Predpokladá sa, že ubudnú prípady, kedy vydanie uznesenia o náhrade trov konania trvá neprimerane dlho a zároveň bude určená </w:t>
      </w:r>
      <w:r w:rsidR="00EA14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objektívna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hranica, od ktorej sa bude možné odraziť pri posúdení, či nedochádza k prieťahom v konaní. </w:t>
      </w:r>
    </w:p>
    <w:p w14:paraId="109E265C" w14:textId="1E323ED6" w:rsidR="007E7D9A" w:rsidRDefault="007E7D9A" w:rsidP="00887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7AB008" w14:textId="2C2408A8" w:rsidR="00197FF9" w:rsidRPr="00E41067" w:rsidRDefault="007E7D9A" w:rsidP="008879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Taktiež je potrebné zdôrazniť, že navrhovaná lehota je pomerne dlhá a aj vzhľadom na minulú prax by jej dodržiavanie nemalo súdy neprimerane zaťažovať ani im spôsobovať problém</w:t>
      </w:r>
    </w:p>
    <w:p w14:paraId="623E1901" w14:textId="77777777" w:rsidR="00556A5F" w:rsidRDefault="00556A5F" w:rsidP="008879C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12FD18" w14:textId="1697D53B" w:rsidR="00CA4B22" w:rsidRPr="00CA4B22" w:rsidRDefault="00CA4B22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Osobitná časť</w:t>
      </w:r>
    </w:p>
    <w:p w14:paraId="7F6A7087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84793C" w14:textId="53304F99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</w:t>
      </w:r>
    </w:p>
    <w:p w14:paraId="12A17BF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15CE42" w14:textId="661B3528" w:rsidR="00CA4B22" w:rsidRDefault="00F6709C" w:rsidP="00C64C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sa zakotvenie lehoty na vydanie uznesenia k náhrade trov konania, a to v trvaní 60 dní odo dňa právoplatnosti rozhodnutia súdu prvej inštancie, ktorým bol nárok na náhradu trov konania účastníkovi priznaný.</w:t>
      </w:r>
    </w:p>
    <w:p w14:paraId="517C1AB8" w14:textId="77777777" w:rsidR="00350A47" w:rsidRDefault="00350A47" w:rsidP="00C64C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F8AFB9" w14:textId="316BE3FA" w:rsidR="00CA4B22" w:rsidRPr="00CA4B22" w:rsidRDefault="00CA4B22" w:rsidP="00C64C7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II</w:t>
      </w:r>
    </w:p>
    <w:p w14:paraId="1D9E8794" w14:textId="65C40B7C" w:rsidR="00A81714" w:rsidRDefault="00A81714" w:rsidP="00C64C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F98245" w14:textId="5636101D" w:rsidR="00A81714" w:rsidRDefault="00A81714" w:rsidP="00C64C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Účinnosť zmeny sa navrhuje </w:t>
      </w:r>
      <w:r w:rsidR="002525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dňa </w:t>
      </w:r>
      <w:r w:rsidR="00C64C7E">
        <w:rPr>
          <w:rFonts w:ascii="Times New Roman" w:eastAsia="Times New Roman" w:hAnsi="Times New Roman" w:cs="Times New Roman"/>
          <w:sz w:val="24"/>
          <w:szCs w:val="24"/>
          <w:lang w:eastAsia="sk-SK"/>
        </w:rPr>
        <w:t>01.05.2023. Pri rozhodnutiach, ktorými bol nárok na náhradu trov konania priznaný a ktoré nadobudli právoplatnosť pre</w:t>
      </w:r>
      <w:r w:rsidR="00D1692B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C64C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navrhovaným dňom účinnosti sa navrhuje začatie plynutia uvedenej lehoty odo dňa účinnosti tejto zmeny.</w:t>
      </w:r>
    </w:p>
    <w:p w14:paraId="366AAC80" w14:textId="35686CED" w:rsidR="005A04DC" w:rsidRDefault="005A04DC" w:rsidP="00C64C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2787BC" w14:textId="418EDD4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CC16E2" w14:textId="5096B305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5E9544" w14:textId="0791325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5D966" w14:textId="5AB2000F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B92FC3" w14:textId="506A56C2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7634AA" w14:textId="28CF3C18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0C24" w14:textId="77777777" w:rsidR="005A04DC" w:rsidRPr="005A04DC" w:rsidRDefault="005A04DC" w:rsidP="005A04DC">
      <w:pPr>
        <w:pageBreakBefore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14:paraId="210B97D9" w14:textId="77777777" w:rsidR="005A04DC" w:rsidRPr="005A04DC" w:rsidRDefault="005A04DC" w:rsidP="005A04DC">
      <w:pPr>
        <w:widowControl w:val="0"/>
        <w:pBdr>
          <w:bottom w:val="single" w:sz="4" w:space="1" w:color="00000A"/>
        </w:pBdr>
        <w:spacing w:line="36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vybraných vplyvov</w:t>
      </w:r>
    </w:p>
    <w:p w14:paraId="54CD2058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</w:pPr>
    </w:p>
    <w:p w14:paraId="5C5EB8DE" w14:textId="77777777" w:rsidR="005A04DC" w:rsidRPr="005A04DC" w:rsidRDefault="005A04DC" w:rsidP="005A04DC">
      <w:pPr>
        <w:pStyle w:val="Odsekzoznamu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4ED2B2AB" w14:textId="06AE55AB" w:rsidR="005A639F" w:rsidRPr="00CA4B22" w:rsidRDefault="005A639F" w:rsidP="005A63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20434865"/>
      <w:bookmarkEnd w:id="0"/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D70F99" w:rsidRPr="00D70F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360008" w:rsidRPr="00360008">
        <w:rPr>
          <w:rFonts w:ascii="Times New Roman" w:eastAsia="Times New Roman" w:hAnsi="Times New Roman" w:cs="Times New Roman"/>
          <w:sz w:val="24"/>
          <w:szCs w:val="24"/>
          <w:lang w:eastAsia="sk-SK"/>
        </w:rPr>
        <w:t>160/2015 Z. z. Civilný sporový poriadok v znení neskorších predpisov</w:t>
      </w:r>
    </w:p>
    <w:p w14:paraId="113FD76D" w14:textId="77777777" w:rsidR="005A04DC" w:rsidRPr="005A04DC" w:rsidRDefault="005A04DC" w:rsidP="005A04DC">
      <w:pPr>
        <w:pStyle w:val="Odsekzoznamu1"/>
        <w:spacing w:after="0" w:line="276" w:lineRule="auto"/>
        <w:ind w:left="0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9383D66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A.2. Vplyvy: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4"/>
        <w:gridCol w:w="1065"/>
        <w:gridCol w:w="1065"/>
        <w:gridCol w:w="850"/>
      </w:tblGrid>
      <w:tr w:rsidR="005A04DC" w:rsidRPr="005A04DC" w14:paraId="1FC1A50C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nil"/>
            </w:tcBorders>
            <w:vAlign w:val="center"/>
          </w:tcPr>
          <w:p w14:paraId="5D9852DC" w14:textId="77777777" w:rsidR="005A04DC" w:rsidRPr="005A04DC" w:rsidRDefault="005A04DC">
            <w:pPr>
              <w:widowControl w:val="0"/>
              <w:snapToGrid w:val="0"/>
              <w:spacing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7AFB5D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Pozitívne 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FAC8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1E9C1EF" w14:textId="77777777" w:rsidR="005A04DC" w:rsidRPr="005A04DC" w:rsidRDefault="005A04DC">
            <w:pPr>
              <w:widowControl w:val="0"/>
              <w:spacing w:line="360" w:lineRule="auto"/>
              <w:ind w:left="-17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5A04DC" w:rsidRPr="005A04DC" w14:paraId="4961E6B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62E5922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</w:tcPr>
          <w:p w14:paraId="1C25B9DE" w14:textId="6919345F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6E58343D" w14:textId="4E656338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48D90A03" w14:textId="06FB03A5" w:rsidR="005A04DC" w:rsidRPr="005A04DC" w:rsidRDefault="00360008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4F430C5E" w14:textId="77777777" w:rsidTr="005A04DC">
        <w:tc>
          <w:tcPr>
            <w:tcW w:w="636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4BDBC05C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14:paraId="486F5BC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73205FF1" w14:textId="66C79054" w:rsidR="005A04DC" w:rsidRPr="005A04DC" w:rsidRDefault="00360008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3C0D966A" w14:textId="10F8D9FC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70502FB4" w14:textId="4EC0EED8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49CB7501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5A3E5547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45A6A8C" w14:textId="38443AB9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3BB649F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B4038AF" w14:textId="0FBDADFB" w:rsidR="005A04DC" w:rsidRPr="005A04DC" w:rsidRDefault="00360008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30BDB22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D5482A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E24171B" w14:textId="2C8DAE5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973EA0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1A4A5579" w14:textId="7AC8333F" w:rsidR="005A04DC" w:rsidRPr="005A04DC" w:rsidRDefault="00360008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5EA47819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868B95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sociálnu exklúziu,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9C2942" w14:textId="5265FEFE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E7A8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32CF44A" w14:textId="2DF449BD" w:rsidR="005A04DC" w:rsidRPr="005A04DC" w:rsidRDefault="00360008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5F17AA0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6A04048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CEE4E5" w14:textId="35CF4880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2FFDC2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426C9C8" w14:textId="6C1D39ED" w:rsidR="005A04DC" w:rsidRPr="005A04DC" w:rsidRDefault="00360008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7589155E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9E22350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3716EF4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A7E0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A80AD67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F38D09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705A5E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EBA07A7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453C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3CDF4E5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1CD0FC7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1A794D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06B1DC" w14:textId="6D62F983" w:rsidR="005A04DC" w:rsidRPr="005A04DC" w:rsidRDefault="00360008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E21B05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93336FA" w14:textId="090AF9B9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</w:p>
        </w:tc>
      </w:tr>
      <w:tr w:rsidR="005A04DC" w:rsidRPr="005A04DC" w14:paraId="236B1A4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71834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7. Vplyvy na manželstvo, rodičovstvo a  rodinu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5C5D072" w14:textId="051AEDAD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A92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7C27F190" w14:textId="751CB38D" w:rsidR="005A04DC" w:rsidRPr="005A04DC" w:rsidRDefault="00360008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</w:tbl>
    <w:p w14:paraId="5EDAC351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983F1DD" w14:textId="77777777" w:rsidR="005A04DC" w:rsidRPr="005A04DC" w:rsidRDefault="005A04DC" w:rsidP="005A04DC">
      <w:pPr>
        <w:widowControl w:val="0"/>
        <w:spacing w:line="276" w:lineRule="auto"/>
        <w:ind w:left="-17" w:right="-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A.3. Poznámky:</w:t>
      </w:r>
    </w:p>
    <w:p w14:paraId="25E2734B" w14:textId="781F67F6" w:rsidR="005A04DC" w:rsidRPr="005A04DC" w:rsidRDefault="005A04DC" w:rsidP="005A04DC">
      <w:pPr>
        <w:spacing w:line="276" w:lineRule="auto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7A6479">
        <w:rPr>
          <w:rFonts w:ascii="Times New Roman" w:hAnsi="Times New Roman" w:cs="Times New Roman"/>
          <w:color w:val="00000A"/>
          <w:sz w:val="24"/>
          <w:szCs w:val="24"/>
        </w:rPr>
        <w:t>Predkladaný návrh zákona nemá žiadne vplyvy na</w:t>
      </w:r>
      <w:r w:rsidR="00360008">
        <w:rPr>
          <w:rFonts w:ascii="Times New Roman" w:hAnsi="Times New Roman" w:cs="Times New Roman"/>
          <w:color w:val="00000A"/>
          <w:sz w:val="24"/>
          <w:szCs w:val="24"/>
        </w:rPr>
        <w:t xml:space="preserve"> rozpočet verejnej správy, žiadny sociálny vplyv, ani vplyv na životné prostredie, informatizáciou spoločnosti a manželstvo, rodičovstvo a rodinu. Predkladaný návrh zákona má pozitívny vplyv na podnikateľské prostredie a služby verejnej správy pre občana</w:t>
      </w:r>
      <w:r w:rsidR="00076398">
        <w:rPr>
          <w:rFonts w:ascii="Times New Roman" w:hAnsi="Times New Roman" w:cs="Times New Roman"/>
          <w:color w:val="00000A"/>
          <w:sz w:val="24"/>
          <w:szCs w:val="24"/>
        </w:rPr>
        <w:t xml:space="preserve">, preto výsledný vplyv </w:t>
      </w:r>
      <w:r w:rsidR="00360008">
        <w:rPr>
          <w:rFonts w:ascii="Times New Roman" w:hAnsi="Times New Roman" w:cs="Times New Roman"/>
          <w:color w:val="00000A"/>
          <w:sz w:val="24"/>
          <w:szCs w:val="24"/>
        </w:rPr>
        <w:t>j</w:t>
      </w:r>
      <w:r w:rsidR="00076398">
        <w:rPr>
          <w:rFonts w:ascii="Times New Roman" w:hAnsi="Times New Roman" w:cs="Times New Roman"/>
          <w:color w:val="00000A"/>
          <w:sz w:val="24"/>
          <w:szCs w:val="24"/>
        </w:rPr>
        <w:t>e pozitívny.</w:t>
      </w:r>
    </w:p>
    <w:p w14:paraId="7B6DCD13" w14:textId="77777777" w:rsidR="005A04DC" w:rsidRPr="005A04DC" w:rsidRDefault="005A04DC" w:rsidP="005A04DC">
      <w:pPr>
        <w:spacing w:line="264" w:lineRule="auto"/>
        <w:ind w:left="-1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3E614105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A.4. Alternatívne riešenia</w:t>
      </w:r>
    </w:p>
    <w:p w14:paraId="3408450B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 </w:t>
      </w:r>
    </w:p>
    <w:p w14:paraId="3C4D83E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4C8E9CB" w14:textId="77777777" w:rsidR="005A04DC" w:rsidRPr="005A04DC" w:rsidRDefault="005A04DC" w:rsidP="005A04DC">
      <w:pPr>
        <w:widowControl w:val="0"/>
        <w:spacing w:line="276" w:lineRule="auto"/>
        <w:ind w:left="567" w:right="-427" w:hanging="56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A.5. </w:t>
      </w: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ab/>
        <w:t>Stanovisko gestorov</w:t>
      </w:r>
    </w:p>
    <w:p w14:paraId="2ABDB3D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</w:t>
      </w:r>
    </w:p>
    <w:p w14:paraId="41312887" w14:textId="77777777" w:rsidR="005A04DC" w:rsidRDefault="005A04DC" w:rsidP="005A04DC">
      <w:pPr>
        <w:spacing w:line="256" w:lineRule="auto"/>
        <w:rPr>
          <w:b/>
          <w:bCs/>
          <w:color w:val="00000A"/>
          <w:sz w:val="24"/>
          <w:szCs w:val="24"/>
        </w:rPr>
      </w:pPr>
    </w:p>
    <w:p w14:paraId="4AA6A5C1" w14:textId="6E68A51C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30AB9" w14:textId="070F3640" w:rsidR="00DE27CF" w:rsidRDefault="00DE27CF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A0DCF6" w14:textId="4F49AD8C" w:rsidR="00DE27CF" w:rsidRDefault="00DE27CF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93A827" w14:textId="77777777" w:rsidR="00DE27CF" w:rsidRDefault="00DE27CF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B8CD83" w14:textId="082AE83B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DOLOŽKA ZLUČITEĽNOSTI</w:t>
      </w:r>
    </w:p>
    <w:p w14:paraId="25B0E67E" w14:textId="77777777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14:paraId="0FE3EBEC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749B1" w14:textId="75515CA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Navrhovateľ zákona:</w:t>
      </w:r>
    </w:p>
    <w:p w14:paraId="7722BD93" w14:textId="2BF56677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ec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Martin Čepček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ACFAC0A" w14:textId="321632B2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7A405" w14:textId="4D5BE8B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návrhu zákona:</w:t>
      </w:r>
    </w:p>
    <w:p w14:paraId="57E596FF" w14:textId="7FC8313A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DE27CF" w:rsidRPr="00DE27CF">
        <w:rPr>
          <w:rFonts w:ascii="Times New Roman" w:eastAsia="Times New Roman" w:hAnsi="Times New Roman" w:cs="Times New Roman"/>
          <w:sz w:val="24"/>
          <w:szCs w:val="24"/>
          <w:lang w:eastAsia="sk-SK"/>
        </w:rPr>
        <w:t>160/2015 Z. z. Civilný sporový poriadok v znení neskorších predpisov</w:t>
      </w:r>
      <w:r w:rsidR="00DE27C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E1577FB" w14:textId="77777777" w:rsidR="00DE27CF" w:rsidRDefault="00DE27CF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537E0B" w14:textId="2EA67486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únie:</w:t>
      </w:r>
    </w:p>
    <w:p w14:paraId="15F46683" w14:textId="77777777" w:rsidR="0034185A" w:rsidRDefault="0034185A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172923" w14:textId="797EF11A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a) v primárnom práve:</w:t>
      </w:r>
    </w:p>
    <w:p w14:paraId="7AFAF3C5" w14:textId="5BCFEAE7" w:rsidR="00CA4B22" w:rsidRDefault="00CA4B22" w:rsidP="00DB70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BDECA5" w14:textId="6816FF8C" w:rsidR="00E66FF7" w:rsidRDefault="00DE27CF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upravené.</w:t>
      </w:r>
    </w:p>
    <w:p w14:paraId="6CEA0463" w14:textId="77777777" w:rsidR="009936FA" w:rsidRDefault="009936FA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66CB20" w14:textId="33AF7360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b) v sekundárnom práve:</w:t>
      </w:r>
    </w:p>
    <w:p w14:paraId="067589D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B3628" w14:textId="1F2C6D9B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upravené.</w:t>
      </w:r>
    </w:p>
    <w:p w14:paraId="52DBBB3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98AD3" w14:textId="52A9BDD7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E66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judikatúre Súdneho dvora Európskej únie:</w:t>
      </w:r>
    </w:p>
    <w:p w14:paraId="65241040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3FA8E0" w14:textId="54E4B5EC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obsiahnuté. </w:t>
      </w:r>
    </w:p>
    <w:p w14:paraId="412EF4BE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3E8CB1" w14:textId="416FEE8C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14:paraId="0F599F88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A82AC2" w14:textId="29AC7887" w:rsidR="00CA4B22" w:rsidRPr="00992B5B" w:rsidRDefault="00CA4B22" w:rsidP="00992B5B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lehotu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prebranie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únie, príp.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osobitnú lehotu účinnosti jeho ustanovení:</w:t>
      </w:r>
    </w:p>
    <w:p w14:paraId="0AB99CE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7D20C2" w14:textId="3B7821E8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2AB20013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E6282" w14:textId="66D9FF39" w:rsidR="00CA4B22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začatí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dvora Európskej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258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260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fungovaní Európskej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jej platnom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znení,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konkrétnych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vytýkaných nedostatkov a požiadaviek na zabezpečenie nápravy</w:t>
      </w:r>
    </w:p>
    <w:p w14:paraId="54211B67" w14:textId="77777777" w:rsidR="00992B5B" w:rsidRPr="00992B5B" w:rsidRDefault="00992B5B" w:rsidP="00992B5B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F5D943" w14:textId="77777777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nezačalo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žiaden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konanie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 dvora Európskej únie podľa čl. 258 a 260 Zmluvy o fungovaní Európskej únie.</w:t>
      </w:r>
    </w:p>
    <w:p w14:paraId="5B0961FB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9CB67B" w14:textId="7B1AC710" w:rsidR="00CA4B22" w:rsidRPr="00992B5B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právnych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predpisoch,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ktorých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uvádzané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akty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únie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prebrané,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prebrania príp.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potreby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prijatia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ďalších úprav </w:t>
      </w:r>
    </w:p>
    <w:p w14:paraId="28B97E42" w14:textId="77777777" w:rsidR="00992B5B" w:rsidRDefault="00992B5B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11700A" w14:textId="0B5721D4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3F240612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403ED" w14:textId="613AAFB2" w:rsidR="00CA4B22" w:rsidRPr="00E66FF7" w:rsidRDefault="00CA4B22" w:rsidP="00E66FF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zákona je zlučiteľný s právom Európskej únie:</w:t>
      </w:r>
    </w:p>
    <w:p w14:paraId="01178234" w14:textId="46519EEF" w:rsidR="00CA4B22" w:rsidRPr="00992B5B" w:rsidRDefault="00CA4B22" w:rsidP="00992B5B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úplne</w:t>
      </w:r>
    </w:p>
    <w:p w14:paraId="09CB5E61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B7"/>
    <w:multiLevelType w:val="hybridMultilevel"/>
    <w:tmpl w:val="A82AE44E"/>
    <w:lvl w:ilvl="0" w:tplc="DB2E3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62A3"/>
    <w:multiLevelType w:val="hybridMultilevel"/>
    <w:tmpl w:val="1452D480"/>
    <w:lvl w:ilvl="0" w:tplc="2EEE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40670"/>
    <w:multiLevelType w:val="hybridMultilevel"/>
    <w:tmpl w:val="52CE39A2"/>
    <w:lvl w:ilvl="0" w:tplc="798C9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7C1E"/>
    <w:multiLevelType w:val="hybridMultilevel"/>
    <w:tmpl w:val="1FE605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4B9B"/>
    <w:multiLevelType w:val="hybridMultilevel"/>
    <w:tmpl w:val="9954D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E1E7C"/>
    <w:multiLevelType w:val="hybridMultilevel"/>
    <w:tmpl w:val="6EF8B1CE"/>
    <w:lvl w:ilvl="0" w:tplc="2FA4F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42311">
    <w:abstractNumId w:val="5"/>
  </w:num>
  <w:num w:numId="2" w16cid:durableId="576865432">
    <w:abstractNumId w:val="2"/>
  </w:num>
  <w:num w:numId="3" w16cid:durableId="845053267">
    <w:abstractNumId w:val="3"/>
  </w:num>
  <w:num w:numId="4" w16cid:durableId="1770466272">
    <w:abstractNumId w:val="4"/>
  </w:num>
  <w:num w:numId="5" w16cid:durableId="975649762">
    <w:abstractNumId w:val="6"/>
  </w:num>
  <w:num w:numId="6" w16cid:durableId="1227912630">
    <w:abstractNumId w:val="1"/>
  </w:num>
  <w:num w:numId="7" w16cid:durableId="155419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B"/>
    <w:rsid w:val="000576F3"/>
    <w:rsid w:val="00076398"/>
    <w:rsid w:val="00101429"/>
    <w:rsid w:val="00117033"/>
    <w:rsid w:val="00131D97"/>
    <w:rsid w:val="00144024"/>
    <w:rsid w:val="00197FF9"/>
    <w:rsid w:val="001A37D3"/>
    <w:rsid w:val="002067C7"/>
    <w:rsid w:val="00252598"/>
    <w:rsid w:val="002B6C9C"/>
    <w:rsid w:val="002B7D09"/>
    <w:rsid w:val="002C28B2"/>
    <w:rsid w:val="002F79AE"/>
    <w:rsid w:val="0034185A"/>
    <w:rsid w:val="00350A47"/>
    <w:rsid w:val="00360008"/>
    <w:rsid w:val="003D6A9A"/>
    <w:rsid w:val="00420E02"/>
    <w:rsid w:val="004516CF"/>
    <w:rsid w:val="00467E85"/>
    <w:rsid w:val="00556A5F"/>
    <w:rsid w:val="005878F7"/>
    <w:rsid w:val="005A04DC"/>
    <w:rsid w:val="005A639F"/>
    <w:rsid w:val="006073B0"/>
    <w:rsid w:val="00645351"/>
    <w:rsid w:val="00674459"/>
    <w:rsid w:val="007A6479"/>
    <w:rsid w:val="007E7D9A"/>
    <w:rsid w:val="008258E3"/>
    <w:rsid w:val="00835A25"/>
    <w:rsid w:val="008879C5"/>
    <w:rsid w:val="008A5793"/>
    <w:rsid w:val="008A7EEA"/>
    <w:rsid w:val="008E0344"/>
    <w:rsid w:val="008F1B02"/>
    <w:rsid w:val="0091294C"/>
    <w:rsid w:val="00974DAC"/>
    <w:rsid w:val="00992B5B"/>
    <w:rsid w:val="009936FA"/>
    <w:rsid w:val="009D44AC"/>
    <w:rsid w:val="009F5DC2"/>
    <w:rsid w:val="00A81714"/>
    <w:rsid w:val="00A9128A"/>
    <w:rsid w:val="00AE0E9E"/>
    <w:rsid w:val="00AE20C8"/>
    <w:rsid w:val="00C03667"/>
    <w:rsid w:val="00C571B3"/>
    <w:rsid w:val="00C64C7E"/>
    <w:rsid w:val="00C978BA"/>
    <w:rsid w:val="00CA4B22"/>
    <w:rsid w:val="00D04102"/>
    <w:rsid w:val="00D1692B"/>
    <w:rsid w:val="00D5759F"/>
    <w:rsid w:val="00D70F99"/>
    <w:rsid w:val="00DB5E5D"/>
    <w:rsid w:val="00DB7047"/>
    <w:rsid w:val="00DE27CF"/>
    <w:rsid w:val="00E00705"/>
    <w:rsid w:val="00E41067"/>
    <w:rsid w:val="00E62F09"/>
    <w:rsid w:val="00E66FF7"/>
    <w:rsid w:val="00EA149E"/>
    <w:rsid w:val="00EF77BB"/>
    <w:rsid w:val="00F52BEC"/>
    <w:rsid w:val="00F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E93E"/>
  <w15:chartTrackingRefBased/>
  <w15:docId w15:val="{30CCD5BC-1238-40DD-9BB7-389B21A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3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A4B22"/>
  </w:style>
  <w:style w:type="paragraph" w:styleId="Odsekzoznamu">
    <w:name w:val="List Paragraph"/>
    <w:basedOn w:val="Normlny"/>
    <w:uiPriority w:val="34"/>
    <w:qFormat/>
    <w:rsid w:val="00CA4B22"/>
    <w:pPr>
      <w:ind w:left="720"/>
      <w:contextualSpacing/>
    </w:pPr>
  </w:style>
  <w:style w:type="paragraph" w:customStyle="1" w:styleId="Odsekzoznamu1">
    <w:name w:val="Odsek zoznamu1"/>
    <w:basedOn w:val="Normlny"/>
    <w:rsid w:val="005A04DC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989</Words>
  <Characters>5642</Characters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2022-05-23T15:46:00Z</dcterms:created>
  <dcterms:modified xsi:type="dcterms:W3CDTF">2023-02-13T13:32:00Z</dcterms:modified>
</cp:coreProperties>
</file>