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0C3CB" w14:textId="77777777" w:rsidR="00A164C1" w:rsidRPr="00295C6B" w:rsidRDefault="00A164C1" w:rsidP="00A164C1">
      <w:pPr>
        <w:jc w:val="center"/>
        <w:rPr>
          <w:b/>
          <w:sz w:val="20"/>
          <w:szCs w:val="20"/>
        </w:rPr>
      </w:pPr>
    </w:p>
    <w:p w14:paraId="38841817" w14:textId="77777777" w:rsidR="00A164C1" w:rsidRPr="00295C6B" w:rsidRDefault="00A164C1" w:rsidP="00A164C1">
      <w:pPr>
        <w:jc w:val="center"/>
        <w:rPr>
          <w:b/>
          <w:sz w:val="20"/>
          <w:szCs w:val="20"/>
        </w:rPr>
      </w:pPr>
    </w:p>
    <w:p w14:paraId="3E9CFFED" w14:textId="77777777" w:rsidR="00A164C1" w:rsidRPr="00295C6B" w:rsidRDefault="00A164C1" w:rsidP="00A164C1">
      <w:pPr>
        <w:jc w:val="center"/>
        <w:rPr>
          <w:b/>
          <w:sz w:val="20"/>
          <w:szCs w:val="20"/>
        </w:rPr>
      </w:pPr>
    </w:p>
    <w:p w14:paraId="2812EB36" w14:textId="77777777" w:rsidR="00A164C1" w:rsidRPr="00295C6B" w:rsidRDefault="00A164C1" w:rsidP="00A164C1">
      <w:pPr>
        <w:jc w:val="center"/>
        <w:rPr>
          <w:b/>
          <w:sz w:val="20"/>
          <w:szCs w:val="20"/>
        </w:rPr>
      </w:pPr>
    </w:p>
    <w:p w14:paraId="78D62E5C" w14:textId="77777777" w:rsidR="00A164C1" w:rsidRPr="00295C6B" w:rsidRDefault="00A164C1" w:rsidP="00A164C1">
      <w:pPr>
        <w:jc w:val="center"/>
        <w:rPr>
          <w:b/>
          <w:sz w:val="20"/>
          <w:szCs w:val="20"/>
        </w:rPr>
      </w:pPr>
    </w:p>
    <w:p w14:paraId="4BBD8505" w14:textId="77777777" w:rsidR="00A164C1" w:rsidRPr="00295C6B" w:rsidRDefault="00A164C1" w:rsidP="00A164C1">
      <w:pPr>
        <w:jc w:val="center"/>
        <w:rPr>
          <w:b/>
          <w:sz w:val="20"/>
          <w:szCs w:val="20"/>
        </w:rPr>
      </w:pPr>
    </w:p>
    <w:p w14:paraId="40A4E590" w14:textId="77777777" w:rsidR="00A164C1" w:rsidRPr="00295C6B" w:rsidRDefault="00A164C1" w:rsidP="00A164C1">
      <w:pPr>
        <w:jc w:val="center"/>
        <w:rPr>
          <w:b/>
          <w:sz w:val="20"/>
          <w:szCs w:val="20"/>
        </w:rPr>
      </w:pPr>
    </w:p>
    <w:p w14:paraId="11078980" w14:textId="77777777" w:rsidR="00A164C1" w:rsidRPr="00295C6B" w:rsidRDefault="00A164C1" w:rsidP="00A164C1">
      <w:pPr>
        <w:jc w:val="center"/>
        <w:rPr>
          <w:b/>
          <w:sz w:val="20"/>
          <w:szCs w:val="20"/>
        </w:rPr>
      </w:pPr>
    </w:p>
    <w:p w14:paraId="6932B236" w14:textId="65E4C7BB" w:rsidR="00A164C1" w:rsidRPr="00295C6B" w:rsidRDefault="00007948" w:rsidP="00A164C1">
      <w:pPr>
        <w:jc w:val="center"/>
        <w:rPr>
          <w:b/>
          <w:sz w:val="20"/>
          <w:szCs w:val="20"/>
        </w:rPr>
      </w:pPr>
      <w:r w:rsidRPr="002C1769">
        <w:rPr>
          <w:noProof/>
          <w:lang w:eastAsia="sk-SK"/>
        </w:rPr>
        <w:drawing>
          <wp:inline distT="0" distB="0" distL="0" distR="0" wp14:anchorId="14CF37E3" wp14:editId="56701627">
            <wp:extent cx="757392" cy="944088"/>
            <wp:effectExtent l="0" t="0" r="5080" b="8890"/>
            <wp:docPr id="4" name="Obrázok 56" descr="Popis: štátny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6" descr="Popis: štátny 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6040" cy="979798"/>
                    </a:xfrm>
                    <a:prstGeom prst="rect">
                      <a:avLst/>
                    </a:prstGeom>
                    <a:noFill/>
                    <a:ln>
                      <a:noFill/>
                    </a:ln>
                  </pic:spPr>
                </pic:pic>
              </a:graphicData>
            </a:graphic>
          </wp:inline>
        </w:drawing>
      </w:r>
    </w:p>
    <w:p w14:paraId="58EBC318" w14:textId="77777777" w:rsidR="00A164C1" w:rsidRPr="00295C6B" w:rsidRDefault="00A164C1" w:rsidP="00A164C1">
      <w:pPr>
        <w:jc w:val="center"/>
        <w:rPr>
          <w:b/>
          <w:sz w:val="20"/>
          <w:szCs w:val="20"/>
        </w:rPr>
      </w:pPr>
    </w:p>
    <w:p w14:paraId="67A844C3" w14:textId="1899AAF9" w:rsidR="00A164C1" w:rsidRPr="00A23BA8" w:rsidRDefault="00A164C1" w:rsidP="00A164C1">
      <w:pPr>
        <w:jc w:val="center"/>
        <w:rPr>
          <w:rFonts w:ascii="Times New Roman" w:hAnsi="Times New Roman"/>
          <w:b/>
          <w:sz w:val="28"/>
          <w:szCs w:val="20"/>
        </w:rPr>
      </w:pPr>
      <w:r w:rsidRPr="00A23BA8">
        <w:rPr>
          <w:rFonts w:ascii="Times New Roman" w:hAnsi="Times New Roman"/>
          <w:b/>
          <w:sz w:val="28"/>
          <w:szCs w:val="20"/>
        </w:rPr>
        <w:t xml:space="preserve">Zdôvodnenie výšky </w:t>
      </w:r>
      <w:r w:rsidR="00624449" w:rsidRPr="00A23BA8">
        <w:rPr>
          <w:rFonts w:ascii="Times New Roman" w:hAnsi="Times New Roman"/>
          <w:b/>
          <w:sz w:val="28"/>
          <w:szCs w:val="20"/>
        </w:rPr>
        <w:t xml:space="preserve">hrubého </w:t>
      </w:r>
      <w:r w:rsidRPr="00A23BA8">
        <w:rPr>
          <w:rFonts w:ascii="Times New Roman" w:hAnsi="Times New Roman"/>
          <w:b/>
          <w:sz w:val="28"/>
          <w:szCs w:val="20"/>
        </w:rPr>
        <w:t xml:space="preserve">dlhu </w:t>
      </w:r>
      <w:r w:rsidR="00624449" w:rsidRPr="00A23BA8">
        <w:rPr>
          <w:rFonts w:ascii="Times New Roman" w:hAnsi="Times New Roman"/>
          <w:b/>
          <w:sz w:val="28"/>
          <w:szCs w:val="20"/>
        </w:rPr>
        <w:t xml:space="preserve">SR </w:t>
      </w:r>
      <w:r w:rsidRPr="00A23BA8">
        <w:rPr>
          <w:rFonts w:ascii="Times New Roman" w:hAnsi="Times New Roman"/>
          <w:b/>
          <w:sz w:val="28"/>
          <w:szCs w:val="20"/>
        </w:rPr>
        <w:t>a návrh opatrení na jeho zníženie</w:t>
      </w:r>
    </w:p>
    <w:p w14:paraId="3D62CCE6" w14:textId="77777777" w:rsidR="00A164C1" w:rsidRPr="00295C6B" w:rsidRDefault="00A164C1" w:rsidP="00A164C1">
      <w:pPr>
        <w:jc w:val="center"/>
        <w:rPr>
          <w:b/>
          <w:sz w:val="20"/>
          <w:szCs w:val="20"/>
        </w:rPr>
      </w:pPr>
    </w:p>
    <w:p w14:paraId="125B6827" w14:textId="77777777" w:rsidR="00A164C1" w:rsidRPr="00295C6B" w:rsidRDefault="00A164C1" w:rsidP="00A164C1">
      <w:pPr>
        <w:jc w:val="center"/>
        <w:rPr>
          <w:b/>
          <w:sz w:val="20"/>
          <w:szCs w:val="20"/>
        </w:rPr>
      </w:pPr>
    </w:p>
    <w:p w14:paraId="57B7566A" w14:textId="77777777" w:rsidR="00A164C1" w:rsidRPr="00295C6B" w:rsidRDefault="00A164C1" w:rsidP="00A164C1">
      <w:pPr>
        <w:jc w:val="center"/>
        <w:rPr>
          <w:b/>
          <w:sz w:val="20"/>
          <w:szCs w:val="20"/>
        </w:rPr>
      </w:pPr>
    </w:p>
    <w:p w14:paraId="2F7B0DD4" w14:textId="77777777" w:rsidR="00A164C1" w:rsidRPr="00295C6B" w:rsidRDefault="00A164C1" w:rsidP="00A164C1">
      <w:pPr>
        <w:jc w:val="center"/>
        <w:rPr>
          <w:b/>
          <w:sz w:val="20"/>
          <w:szCs w:val="20"/>
        </w:rPr>
      </w:pPr>
    </w:p>
    <w:p w14:paraId="1ECE5862" w14:textId="77777777" w:rsidR="00A164C1" w:rsidRPr="00295C6B" w:rsidRDefault="00A164C1" w:rsidP="00A164C1">
      <w:pPr>
        <w:jc w:val="center"/>
        <w:rPr>
          <w:b/>
          <w:sz w:val="20"/>
          <w:szCs w:val="20"/>
        </w:rPr>
      </w:pPr>
    </w:p>
    <w:p w14:paraId="6D215D53" w14:textId="77777777" w:rsidR="00A164C1" w:rsidRPr="00295C6B" w:rsidRDefault="00A164C1" w:rsidP="00A164C1">
      <w:pPr>
        <w:jc w:val="center"/>
        <w:rPr>
          <w:b/>
          <w:sz w:val="20"/>
          <w:szCs w:val="20"/>
        </w:rPr>
      </w:pPr>
    </w:p>
    <w:p w14:paraId="34061C0F" w14:textId="77777777" w:rsidR="0047783D" w:rsidRPr="00295C6B" w:rsidRDefault="0047783D" w:rsidP="00A164C1">
      <w:pPr>
        <w:jc w:val="center"/>
        <w:rPr>
          <w:b/>
          <w:sz w:val="20"/>
          <w:szCs w:val="20"/>
        </w:rPr>
      </w:pPr>
    </w:p>
    <w:p w14:paraId="696F3C4B" w14:textId="77777777" w:rsidR="00A164C1" w:rsidRPr="00295C6B" w:rsidRDefault="00A164C1" w:rsidP="00A164C1">
      <w:pPr>
        <w:jc w:val="center"/>
        <w:rPr>
          <w:b/>
          <w:sz w:val="20"/>
          <w:szCs w:val="20"/>
        </w:rPr>
      </w:pPr>
    </w:p>
    <w:p w14:paraId="6B690912" w14:textId="77777777" w:rsidR="00A164C1" w:rsidRPr="00295C6B" w:rsidRDefault="00A164C1" w:rsidP="00A164C1">
      <w:pPr>
        <w:jc w:val="center"/>
        <w:rPr>
          <w:b/>
          <w:sz w:val="20"/>
          <w:szCs w:val="20"/>
        </w:rPr>
      </w:pPr>
    </w:p>
    <w:p w14:paraId="378DF319" w14:textId="77777777" w:rsidR="0047783D" w:rsidRPr="00295C6B" w:rsidRDefault="0047783D" w:rsidP="00A164C1">
      <w:pPr>
        <w:jc w:val="center"/>
        <w:rPr>
          <w:b/>
          <w:sz w:val="20"/>
          <w:szCs w:val="20"/>
        </w:rPr>
      </w:pPr>
    </w:p>
    <w:p w14:paraId="5BB3CDC9" w14:textId="77777777" w:rsidR="0047783D" w:rsidRPr="00295C6B" w:rsidRDefault="0047783D" w:rsidP="00A164C1">
      <w:pPr>
        <w:jc w:val="center"/>
        <w:rPr>
          <w:b/>
          <w:sz w:val="20"/>
          <w:szCs w:val="20"/>
        </w:rPr>
      </w:pPr>
    </w:p>
    <w:p w14:paraId="1BEA91B5" w14:textId="77777777" w:rsidR="0047783D" w:rsidRPr="00295C6B" w:rsidRDefault="0047783D" w:rsidP="00A164C1">
      <w:pPr>
        <w:jc w:val="center"/>
        <w:rPr>
          <w:b/>
          <w:sz w:val="20"/>
          <w:szCs w:val="20"/>
        </w:rPr>
      </w:pPr>
    </w:p>
    <w:p w14:paraId="10E47FA2" w14:textId="77777777" w:rsidR="0047783D" w:rsidRPr="00295C6B" w:rsidRDefault="0047783D" w:rsidP="00A164C1">
      <w:pPr>
        <w:jc w:val="center"/>
        <w:rPr>
          <w:b/>
          <w:sz w:val="20"/>
          <w:szCs w:val="20"/>
        </w:rPr>
      </w:pPr>
    </w:p>
    <w:p w14:paraId="29012A24" w14:textId="77777777" w:rsidR="0047783D" w:rsidRPr="00295C6B" w:rsidRDefault="0047783D" w:rsidP="00A164C1">
      <w:pPr>
        <w:jc w:val="center"/>
        <w:rPr>
          <w:b/>
          <w:sz w:val="20"/>
          <w:szCs w:val="20"/>
        </w:rPr>
      </w:pPr>
    </w:p>
    <w:p w14:paraId="2CBA7B13" w14:textId="77777777" w:rsidR="0047783D" w:rsidRPr="00295C6B" w:rsidRDefault="0047783D" w:rsidP="00A164C1">
      <w:pPr>
        <w:jc w:val="center"/>
        <w:rPr>
          <w:b/>
          <w:sz w:val="20"/>
          <w:szCs w:val="20"/>
        </w:rPr>
      </w:pPr>
      <w:bookmarkStart w:id="0" w:name="_GoBack"/>
      <w:bookmarkEnd w:id="0"/>
    </w:p>
    <w:p w14:paraId="09105322" w14:textId="355C1506" w:rsidR="00A164C1" w:rsidRPr="00A23BA8" w:rsidRDefault="006A19E3" w:rsidP="00C440EE">
      <w:pPr>
        <w:jc w:val="center"/>
        <w:rPr>
          <w:rFonts w:ascii="Times New Roman" w:hAnsi="Times New Roman"/>
          <w:sz w:val="20"/>
          <w:szCs w:val="20"/>
        </w:rPr>
      </w:pPr>
      <w:r w:rsidRPr="00A23BA8">
        <w:rPr>
          <w:rFonts w:ascii="Times New Roman" w:hAnsi="Times New Roman"/>
          <w:sz w:val="20"/>
          <w:szCs w:val="20"/>
        </w:rPr>
        <w:t>December</w:t>
      </w:r>
      <w:r w:rsidR="00055FAD" w:rsidRPr="00A23BA8">
        <w:rPr>
          <w:rFonts w:ascii="Times New Roman" w:hAnsi="Times New Roman"/>
          <w:sz w:val="20"/>
          <w:szCs w:val="20"/>
        </w:rPr>
        <w:t xml:space="preserve"> 2022</w:t>
      </w:r>
    </w:p>
    <w:p w14:paraId="5061EC3B" w14:textId="77777777" w:rsidR="00A164C1" w:rsidRPr="00A23BA8" w:rsidRDefault="00A164C1" w:rsidP="00D82B56">
      <w:pPr>
        <w:pStyle w:val="Nadpis2"/>
        <w:numPr>
          <w:ilvl w:val="0"/>
          <w:numId w:val="1"/>
        </w:numPr>
        <w:spacing w:before="0" w:after="120"/>
        <w:ind w:left="357" w:hanging="357"/>
        <w:rPr>
          <w:rFonts w:ascii="Times New Roman" w:hAnsi="Times New Roman"/>
          <w:sz w:val="24"/>
          <w:szCs w:val="20"/>
        </w:rPr>
      </w:pPr>
      <w:bookmarkStart w:id="1" w:name="_Toc24112330"/>
      <w:r w:rsidRPr="00A23BA8">
        <w:rPr>
          <w:rFonts w:ascii="Times New Roman" w:hAnsi="Times New Roman"/>
          <w:sz w:val="24"/>
          <w:szCs w:val="20"/>
        </w:rPr>
        <w:lastRenderedPageBreak/>
        <w:t>Zhrnutie</w:t>
      </w:r>
      <w:bookmarkEnd w:id="1"/>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003F1" w:rsidRPr="0095304C" w14:paraId="4FD94459" w14:textId="77777777" w:rsidTr="00E91A08">
        <w:tc>
          <w:tcPr>
            <w:tcW w:w="9062" w:type="dxa"/>
            <w:shd w:val="clear" w:color="auto" w:fill="auto"/>
          </w:tcPr>
          <w:p w14:paraId="7170C377" w14:textId="4A7F4470" w:rsidR="009A31E1" w:rsidRPr="00A23BA8" w:rsidRDefault="002A3884" w:rsidP="003C6D3B">
            <w:pPr>
              <w:spacing w:line="276" w:lineRule="auto"/>
              <w:jc w:val="both"/>
              <w:rPr>
                <w:rFonts w:ascii="Times New Roman" w:hAnsi="Times New Roman"/>
                <w:sz w:val="20"/>
                <w:szCs w:val="20"/>
                <w:highlight w:val="yellow"/>
              </w:rPr>
            </w:pPr>
            <w:r w:rsidRPr="00A23BA8">
              <w:rPr>
                <w:rFonts w:ascii="Times New Roman" w:hAnsi="Times New Roman"/>
                <w:b/>
                <w:sz w:val="20"/>
                <w:szCs w:val="20"/>
              </w:rPr>
              <w:t>H</w:t>
            </w:r>
            <w:r w:rsidR="008F33D9" w:rsidRPr="00A23BA8">
              <w:rPr>
                <w:rFonts w:ascii="Times New Roman" w:hAnsi="Times New Roman"/>
                <w:b/>
                <w:sz w:val="20"/>
                <w:szCs w:val="20"/>
              </w:rPr>
              <w:t>rubý dlh</w:t>
            </w:r>
            <w:r w:rsidR="000037B1" w:rsidRPr="00A23BA8">
              <w:rPr>
                <w:rFonts w:ascii="Times New Roman" w:hAnsi="Times New Roman"/>
                <w:b/>
                <w:sz w:val="20"/>
                <w:szCs w:val="20"/>
              </w:rPr>
              <w:t xml:space="preserve"> </w:t>
            </w:r>
            <w:r w:rsidR="00563098" w:rsidRPr="00A23BA8">
              <w:rPr>
                <w:rFonts w:ascii="Times New Roman" w:hAnsi="Times New Roman"/>
                <w:b/>
                <w:sz w:val="20"/>
                <w:szCs w:val="20"/>
              </w:rPr>
              <w:t xml:space="preserve">vplyvom pandémie COVID-19 </w:t>
            </w:r>
            <w:r w:rsidR="000037B1" w:rsidRPr="00A23BA8">
              <w:rPr>
                <w:rFonts w:ascii="Times New Roman" w:hAnsi="Times New Roman"/>
                <w:b/>
                <w:sz w:val="20"/>
                <w:szCs w:val="20"/>
              </w:rPr>
              <w:t xml:space="preserve">po </w:t>
            </w:r>
            <w:r w:rsidR="003444F9" w:rsidRPr="00A23BA8">
              <w:rPr>
                <w:rFonts w:ascii="Times New Roman" w:hAnsi="Times New Roman"/>
                <w:b/>
                <w:sz w:val="20"/>
                <w:szCs w:val="20"/>
              </w:rPr>
              <w:t>prvýkrát</w:t>
            </w:r>
            <w:r w:rsidR="008F33D9" w:rsidRPr="00A23BA8">
              <w:rPr>
                <w:rFonts w:ascii="Times New Roman" w:hAnsi="Times New Roman"/>
                <w:b/>
                <w:sz w:val="20"/>
                <w:szCs w:val="20"/>
              </w:rPr>
              <w:t xml:space="preserve"> presiahol </w:t>
            </w:r>
            <w:r w:rsidR="002A181B" w:rsidRPr="00A23BA8">
              <w:rPr>
                <w:rFonts w:ascii="Times New Roman" w:hAnsi="Times New Roman"/>
                <w:b/>
                <w:sz w:val="20"/>
                <w:szCs w:val="20"/>
              </w:rPr>
              <w:t xml:space="preserve">hranicu </w:t>
            </w:r>
            <w:r w:rsidR="008F33D9" w:rsidRPr="00A23BA8">
              <w:rPr>
                <w:rFonts w:ascii="Times New Roman" w:hAnsi="Times New Roman"/>
                <w:b/>
                <w:sz w:val="20"/>
                <w:szCs w:val="20"/>
              </w:rPr>
              <w:t>60 %</w:t>
            </w:r>
            <w:r w:rsidR="002A181B" w:rsidRPr="00A23BA8">
              <w:rPr>
                <w:rFonts w:ascii="Times New Roman" w:hAnsi="Times New Roman"/>
                <w:b/>
                <w:sz w:val="20"/>
                <w:szCs w:val="20"/>
              </w:rPr>
              <w:t xml:space="preserve"> HDP</w:t>
            </w:r>
            <w:r w:rsidR="008F33D9" w:rsidRPr="00A23BA8">
              <w:rPr>
                <w:rFonts w:ascii="Times New Roman" w:hAnsi="Times New Roman"/>
                <w:b/>
                <w:sz w:val="20"/>
                <w:szCs w:val="20"/>
              </w:rPr>
              <w:t xml:space="preserve"> </w:t>
            </w:r>
            <w:r w:rsidR="00563098" w:rsidRPr="00A23BA8">
              <w:rPr>
                <w:rFonts w:ascii="Times New Roman" w:hAnsi="Times New Roman"/>
                <w:b/>
                <w:sz w:val="20"/>
                <w:szCs w:val="20"/>
              </w:rPr>
              <w:t>a</w:t>
            </w:r>
            <w:r w:rsidR="003444F9" w:rsidRPr="00A23BA8">
              <w:rPr>
                <w:rFonts w:ascii="Times New Roman" w:hAnsi="Times New Roman"/>
                <w:b/>
                <w:sz w:val="20"/>
                <w:szCs w:val="20"/>
              </w:rPr>
              <w:t xml:space="preserve"> naďalej </w:t>
            </w:r>
            <w:r w:rsidR="008F33D9" w:rsidRPr="00A23BA8">
              <w:rPr>
                <w:rFonts w:ascii="Times New Roman" w:hAnsi="Times New Roman"/>
                <w:b/>
                <w:sz w:val="20"/>
                <w:szCs w:val="20"/>
              </w:rPr>
              <w:t xml:space="preserve">ostáva v najvyššom sankčnom pásme dlhovej brzdy. </w:t>
            </w:r>
            <w:r w:rsidR="002A181B" w:rsidRPr="00A23BA8">
              <w:rPr>
                <w:rFonts w:ascii="Times New Roman" w:hAnsi="Times New Roman"/>
                <w:sz w:val="20"/>
                <w:szCs w:val="20"/>
              </w:rPr>
              <w:t xml:space="preserve">Dlh verejnej správy </w:t>
            </w:r>
            <w:r w:rsidR="009923A5" w:rsidRPr="00A23BA8">
              <w:rPr>
                <w:rFonts w:ascii="Times New Roman" w:hAnsi="Times New Roman"/>
                <w:sz w:val="20"/>
                <w:szCs w:val="20"/>
              </w:rPr>
              <w:t xml:space="preserve">narástol </w:t>
            </w:r>
            <w:r w:rsidR="002A181B" w:rsidRPr="00A23BA8">
              <w:rPr>
                <w:rFonts w:ascii="Times New Roman" w:hAnsi="Times New Roman"/>
                <w:sz w:val="20"/>
                <w:szCs w:val="20"/>
              </w:rPr>
              <w:t>na historicky najvyššiu úroveň 62,2 % HDP</w:t>
            </w:r>
            <w:r w:rsidR="004671EF" w:rsidRPr="00A23BA8">
              <w:rPr>
                <w:rFonts w:ascii="Times New Roman" w:hAnsi="Times New Roman"/>
                <w:sz w:val="20"/>
                <w:szCs w:val="20"/>
              </w:rPr>
              <w:t>. Druhý rok po sebe preto ostáva v najprísnejšom sankčnom pásme ústavného zákona o rozpočtovej zodpovednosti</w:t>
            </w:r>
            <w:r w:rsidR="002A181B" w:rsidRPr="00A23BA8">
              <w:rPr>
                <w:rFonts w:ascii="Times New Roman" w:hAnsi="Times New Roman"/>
                <w:sz w:val="20"/>
                <w:szCs w:val="20"/>
              </w:rPr>
              <w:t xml:space="preserve">. </w:t>
            </w:r>
            <w:r w:rsidR="008F33D9" w:rsidRPr="00A23BA8">
              <w:rPr>
                <w:rFonts w:ascii="Times New Roman" w:hAnsi="Times New Roman"/>
                <w:sz w:val="20"/>
                <w:szCs w:val="20"/>
              </w:rPr>
              <w:t>Na</w:t>
            </w:r>
            <w:r w:rsidR="007E3323" w:rsidRPr="00A23BA8">
              <w:rPr>
                <w:rFonts w:ascii="Times New Roman" w:hAnsi="Times New Roman"/>
                <w:sz w:val="20"/>
                <w:szCs w:val="20"/>
              </w:rPr>
              <w:t xml:space="preserve"> rast zadlženia </w:t>
            </w:r>
            <w:r w:rsidR="008F33D9" w:rsidRPr="00A23BA8">
              <w:rPr>
                <w:rFonts w:ascii="Times New Roman" w:hAnsi="Times New Roman"/>
                <w:sz w:val="20"/>
                <w:szCs w:val="20"/>
              </w:rPr>
              <w:t>vplýval</w:t>
            </w:r>
            <w:r w:rsidR="009923A5" w:rsidRPr="00A23BA8">
              <w:rPr>
                <w:rFonts w:ascii="Times New Roman" w:hAnsi="Times New Roman"/>
                <w:sz w:val="20"/>
                <w:szCs w:val="20"/>
              </w:rPr>
              <w:t>i</w:t>
            </w:r>
            <w:r w:rsidR="008F33D9" w:rsidRPr="00A23BA8">
              <w:rPr>
                <w:rFonts w:ascii="Times New Roman" w:hAnsi="Times New Roman"/>
                <w:sz w:val="20"/>
                <w:szCs w:val="20"/>
              </w:rPr>
              <w:t xml:space="preserve"> predovšetkým </w:t>
            </w:r>
            <w:r w:rsidR="004552AE" w:rsidRPr="00A23BA8">
              <w:rPr>
                <w:rFonts w:ascii="Times New Roman" w:hAnsi="Times New Roman"/>
                <w:sz w:val="20"/>
                <w:szCs w:val="20"/>
              </w:rPr>
              <w:t>nadpriemern</w:t>
            </w:r>
            <w:r w:rsidR="009923A5" w:rsidRPr="00A23BA8">
              <w:rPr>
                <w:rFonts w:ascii="Times New Roman" w:hAnsi="Times New Roman"/>
                <w:sz w:val="20"/>
                <w:szCs w:val="20"/>
              </w:rPr>
              <w:t>é</w:t>
            </w:r>
            <w:r w:rsidR="004552AE" w:rsidRPr="00A23BA8">
              <w:rPr>
                <w:rFonts w:ascii="Times New Roman" w:hAnsi="Times New Roman"/>
                <w:sz w:val="20"/>
                <w:szCs w:val="20"/>
              </w:rPr>
              <w:t xml:space="preserve"> </w:t>
            </w:r>
            <w:r w:rsidR="008F33D9" w:rsidRPr="00A23BA8">
              <w:rPr>
                <w:rFonts w:ascii="Times New Roman" w:hAnsi="Times New Roman"/>
                <w:sz w:val="20"/>
                <w:szCs w:val="20"/>
              </w:rPr>
              <w:t>deficit</w:t>
            </w:r>
            <w:r w:rsidR="009923A5" w:rsidRPr="00A23BA8">
              <w:rPr>
                <w:rFonts w:ascii="Times New Roman" w:hAnsi="Times New Roman"/>
                <w:sz w:val="20"/>
                <w:szCs w:val="20"/>
              </w:rPr>
              <w:t>y</w:t>
            </w:r>
            <w:r w:rsidR="008F33D9" w:rsidRPr="00A23BA8">
              <w:rPr>
                <w:rFonts w:ascii="Times New Roman" w:hAnsi="Times New Roman"/>
                <w:sz w:val="20"/>
                <w:szCs w:val="20"/>
              </w:rPr>
              <w:t xml:space="preserve"> </w:t>
            </w:r>
            <w:r w:rsidR="004552AE" w:rsidRPr="00A23BA8">
              <w:rPr>
                <w:rFonts w:ascii="Times New Roman" w:hAnsi="Times New Roman"/>
                <w:sz w:val="20"/>
                <w:szCs w:val="20"/>
              </w:rPr>
              <w:t xml:space="preserve">hospodárenia </w:t>
            </w:r>
            <w:r w:rsidR="008F33D9" w:rsidRPr="00A23BA8">
              <w:rPr>
                <w:rFonts w:ascii="Times New Roman" w:hAnsi="Times New Roman"/>
                <w:sz w:val="20"/>
                <w:szCs w:val="20"/>
              </w:rPr>
              <w:t>verejnej správy</w:t>
            </w:r>
            <w:r w:rsidR="00F23358" w:rsidRPr="00A23BA8">
              <w:rPr>
                <w:rFonts w:ascii="Times New Roman" w:hAnsi="Times New Roman"/>
                <w:sz w:val="20"/>
                <w:szCs w:val="20"/>
              </w:rPr>
              <w:t xml:space="preserve"> v posledných dvoch rokoch</w:t>
            </w:r>
            <w:r w:rsidR="004552AE" w:rsidRPr="00A23BA8">
              <w:rPr>
                <w:rFonts w:ascii="Times New Roman" w:hAnsi="Times New Roman"/>
                <w:sz w:val="20"/>
                <w:szCs w:val="20"/>
              </w:rPr>
              <w:t>,</w:t>
            </w:r>
            <w:r w:rsidR="008F33D9" w:rsidRPr="00A23BA8">
              <w:rPr>
                <w:rFonts w:ascii="Times New Roman" w:hAnsi="Times New Roman"/>
                <w:sz w:val="20"/>
                <w:szCs w:val="20"/>
              </w:rPr>
              <w:t xml:space="preserve"> poznačen</w:t>
            </w:r>
            <w:r w:rsidR="009923A5" w:rsidRPr="00A23BA8">
              <w:rPr>
                <w:rFonts w:ascii="Times New Roman" w:hAnsi="Times New Roman"/>
                <w:sz w:val="20"/>
                <w:szCs w:val="20"/>
              </w:rPr>
              <w:t>é</w:t>
            </w:r>
            <w:r w:rsidR="008F33D9" w:rsidRPr="00A23BA8">
              <w:rPr>
                <w:rFonts w:ascii="Times New Roman" w:hAnsi="Times New Roman"/>
                <w:sz w:val="20"/>
                <w:szCs w:val="20"/>
              </w:rPr>
              <w:t xml:space="preserve"> </w:t>
            </w:r>
            <w:r w:rsidR="007177BE" w:rsidRPr="00A23BA8">
              <w:rPr>
                <w:rFonts w:ascii="Times New Roman" w:hAnsi="Times New Roman"/>
                <w:sz w:val="20"/>
                <w:szCs w:val="20"/>
              </w:rPr>
              <w:t>výdavkami</w:t>
            </w:r>
            <w:r w:rsidR="008F33D9" w:rsidRPr="00A23BA8">
              <w:rPr>
                <w:rFonts w:ascii="Times New Roman" w:hAnsi="Times New Roman"/>
                <w:sz w:val="20"/>
                <w:szCs w:val="20"/>
              </w:rPr>
              <w:t xml:space="preserve"> na priamu pomoc v boji s pandémiou COVID-19 v</w:t>
            </w:r>
            <w:r w:rsidR="0090019D" w:rsidRPr="00A23BA8">
              <w:rPr>
                <w:rFonts w:ascii="Times New Roman" w:hAnsi="Times New Roman"/>
                <w:sz w:val="20"/>
                <w:szCs w:val="20"/>
              </w:rPr>
              <w:t xml:space="preserve"> celkovej</w:t>
            </w:r>
            <w:r w:rsidR="008F33D9" w:rsidRPr="00A23BA8">
              <w:rPr>
                <w:rFonts w:ascii="Times New Roman" w:hAnsi="Times New Roman"/>
                <w:sz w:val="20"/>
                <w:szCs w:val="20"/>
              </w:rPr>
              <w:t xml:space="preserve"> výške </w:t>
            </w:r>
            <w:r w:rsidR="00C978ED" w:rsidRPr="00A23BA8">
              <w:rPr>
                <w:rFonts w:ascii="Times New Roman" w:hAnsi="Times New Roman"/>
                <w:sz w:val="20"/>
                <w:szCs w:val="20"/>
              </w:rPr>
              <w:t>takmer</w:t>
            </w:r>
            <w:r w:rsidR="00767677" w:rsidRPr="00A23BA8">
              <w:rPr>
                <w:rFonts w:ascii="Times New Roman" w:hAnsi="Times New Roman"/>
                <w:sz w:val="20"/>
                <w:szCs w:val="20"/>
              </w:rPr>
              <w:t xml:space="preserve"> 5 </w:t>
            </w:r>
            <w:r w:rsidR="008F33D9" w:rsidRPr="00A23BA8">
              <w:rPr>
                <w:rFonts w:ascii="Times New Roman" w:hAnsi="Times New Roman"/>
                <w:sz w:val="20"/>
                <w:szCs w:val="20"/>
              </w:rPr>
              <w:t>% HD</w:t>
            </w:r>
            <w:r w:rsidR="0005169C" w:rsidRPr="00A23BA8">
              <w:rPr>
                <w:rFonts w:ascii="Times New Roman" w:hAnsi="Times New Roman"/>
                <w:sz w:val="20"/>
                <w:szCs w:val="20"/>
              </w:rPr>
              <w:t>P</w:t>
            </w:r>
            <w:r w:rsidR="008F33D9" w:rsidRPr="00A23BA8">
              <w:rPr>
                <w:rFonts w:ascii="Times New Roman" w:hAnsi="Times New Roman"/>
                <w:sz w:val="20"/>
                <w:szCs w:val="20"/>
              </w:rPr>
              <w:t>.</w:t>
            </w:r>
            <w:r w:rsidR="002A181B" w:rsidRPr="00A23BA8">
              <w:rPr>
                <w:rFonts w:ascii="Times New Roman" w:hAnsi="Times New Roman"/>
                <w:sz w:val="20"/>
                <w:szCs w:val="20"/>
              </w:rPr>
              <w:t xml:space="preserve"> </w:t>
            </w:r>
            <w:r w:rsidR="009A31E1" w:rsidRPr="00A23BA8">
              <w:rPr>
                <w:rFonts w:ascii="Times New Roman" w:hAnsi="Times New Roman"/>
                <w:sz w:val="20"/>
                <w:szCs w:val="20"/>
              </w:rPr>
              <w:t xml:space="preserve">Hrubý dlh </w:t>
            </w:r>
            <w:r w:rsidR="00F23358" w:rsidRPr="00A23BA8">
              <w:rPr>
                <w:rFonts w:ascii="Times New Roman" w:hAnsi="Times New Roman"/>
                <w:sz w:val="20"/>
                <w:szCs w:val="20"/>
              </w:rPr>
              <w:t>v tomto období</w:t>
            </w:r>
            <w:r w:rsidR="009923A5" w:rsidRPr="00A23BA8">
              <w:rPr>
                <w:rFonts w:ascii="Times New Roman" w:hAnsi="Times New Roman"/>
                <w:sz w:val="20"/>
                <w:szCs w:val="20"/>
              </w:rPr>
              <w:t xml:space="preserve"> </w:t>
            </w:r>
            <w:r w:rsidR="004552AE" w:rsidRPr="00A23BA8">
              <w:rPr>
                <w:rFonts w:ascii="Times New Roman" w:hAnsi="Times New Roman"/>
                <w:sz w:val="20"/>
                <w:szCs w:val="20"/>
              </w:rPr>
              <w:t>rástol aj v dôsledku</w:t>
            </w:r>
            <w:r w:rsidR="009A31E1" w:rsidRPr="00A23BA8">
              <w:rPr>
                <w:rFonts w:ascii="Times New Roman" w:hAnsi="Times New Roman"/>
                <w:sz w:val="20"/>
                <w:szCs w:val="20"/>
              </w:rPr>
              <w:t xml:space="preserve"> </w:t>
            </w:r>
            <w:r w:rsidR="009923A5" w:rsidRPr="00A23BA8">
              <w:rPr>
                <w:rFonts w:ascii="Times New Roman" w:hAnsi="Times New Roman"/>
                <w:sz w:val="20"/>
                <w:szCs w:val="20"/>
              </w:rPr>
              <w:t>zvyšovania</w:t>
            </w:r>
            <w:r w:rsidR="009A31E1" w:rsidRPr="00A23BA8">
              <w:rPr>
                <w:rFonts w:ascii="Times New Roman" w:hAnsi="Times New Roman"/>
                <w:sz w:val="20"/>
                <w:szCs w:val="20"/>
              </w:rPr>
              <w:t xml:space="preserve"> likvidity verejnej správy</w:t>
            </w:r>
            <w:r w:rsidR="00A35D9B" w:rsidRPr="00A23BA8">
              <w:rPr>
                <w:rFonts w:ascii="Times New Roman" w:hAnsi="Times New Roman"/>
                <w:sz w:val="20"/>
                <w:szCs w:val="20"/>
              </w:rPr>
              <w:t>, ktorá dosiahla t</w:t>
            </w:r>
            <w:r w:rsidR="00E43F98" w:rsidRPr="00A23BA8">
              <w:rPr>
                <w:rFonts w:ascii="Times New Roman" w:hAnsi="Times New Roman"/>
                <w:sz w:val="20"/>
                <w:szCs w:val="20"/>
              </w:rPr>
              <w:t>akmer 12 % HDP</w:t>
            </w:r>
            <w:r w:rsidR="004552AE" w:rsidRPr="00A23BA8">
              <w:rPr>
                <w:rFonts w:ascii="Times New Roman" w:hAnsi="Times New Roman"/>
                <w:sz w:val="20"/>
                <w:szCs w:val="20"/>
              </w:rPr>
              <w:t xml:space="preserve">, keďže ekonomická neistota </w:t>
            </w:r>
            <w:r w:rsidR="00FC2A88" w:rsidRPr="00A23BA8">
              <w:rPr>
                <w:rFonts w:ascii="Times New Roman" w:hAnsi="Times New Roman"/>
                <w:sz w:val="20"/>
                <w:szCs w:val="20"/>
              </w:rPr>
              <w:t>vyvolávala potrebu</w:t>
            </w:r>
            <w:r w:rsidR="004552AE" w:rsidRPr="00A23BA8">
              <w:rPr>
                <w:rFonts w:ascii="Times New Roman" w:hAnsi="Times New Roman"/>
                <w:sz w:val="20"/>
                <w:szCs w:val="20"/>
              </w:rPr>
              <w:t xml:space="preserve"> predzásobenia sa hotovosťou</w:t>
            </w:r>
            <w:r w:rsidR="009A31E1" w:rsidRPr="00A23BA8">
              <w:rPr>
                <w:rFonts w:ascii="Times New Roman" w:hAnsi="Times New Roman"/>
                <w:sz w:val="20"/>
                <w:szCs w:val="20"/>
              </w:rPr>
              <w:t>.</w:t>
            </w:r>
          </w:p>
          <w:p w14:paraId="0C52C460" w14:textId="77777777" w:rsidR="009A31E1" w:rsidRPr="00A23BA8" w:rsidRDefault="009A31E1" w:rsidP="003C6D3B">
            <w:pPr>
              <w:spacing w:line="276" w:lineRule="auto"/>
              <w:jc w:val="both"/>
              <w:rPr>
                <w:rFonts w:ascii="Times New Roman" w:hAnsi="Times New Roman"/>
                <w:sz w:val="20"/>
                <w:szCs w:val="20"/>
                <w:highlight w:val="yellow"/>
              </w:rPr>
            </w:pPr>
          </w:p>
          <w:p w14:paraId="42BDF0C4" w14:textId="18A586AD" w:rsidR="0055529E" w:rsidRPr="00A23BA8" w:rsidRDefault="002A181B" w:rsidP="003C6D3B">
            <w:pPr>
              <w:spacing w:line="276" w:lineRule="auto"/>
              <w:jc w:val="both"/>
              <w:rPr>
                <w:rFonts w:ascii="Times New Roman" w:hAnsi="Times New Roman"/>
                <w:sz w:val="20"/>
                <w:szCs w:val="20"/>
              </w:rPr>
            </w:pPr>
            <w:r w:rsidRPr="00A23BA8">
              <w:rPr>
                <w:rFonts w:ascii="Times New Roman" w:hAnsi="Times New Roman"/>
                <w:b/>
                <w:sz w:val="20"/>
                <w:szCs w:val="20"/>
              </w:rPr>
              <w:t xml:space="preserve">Súčasná úroveň </w:t>
            </w:r>
            <w:r w:rsidR="00A35D9B" w:rsidRPr="00A23BA8">
              <w:rPr>
                <w:rFonts w:ascii="Times New Roman" w:hAnsi="Times New Roman"/>
                <w:b/>
                <w:sz w:val="20"/>
                <w:szCs w:val="20"/>
              </w:rPr>
              <w:t xml:space="preserve">historického </w:t>
            </w:r>
            <w:r w:rsidRPr="00A23BA8">
              <w:rPr>
                <w:rFonts w:ascii="Times New Roman" w:hAnsi="Times New Roman"/>
                <w:b/>
                <w:sz w:val="20"/>
                <w:szCs w:val="20"/>
              </w:rPr>
              <w:t>hrubého dlhu</w:t>
            </w:r>
            <w:r w:rsidR="004552AE" w:rsidRPr="00A23BA8">
              <w:rPr>
                <w:rFonts w:ascii="Times New Roman" w:hAnsi="Times New Roman"/>
                <w:b/>
                <w:sz w:val="20"/>
                <w:szCs w:val="20"/>
              </w:rPr>
              <w:t xml:space="preserve"> </w:t>
            </w:r>
            <w:r w:rsidRPr="00A23BA8">
              <w:rPr>
                <w:rFonts w:ascii="Times New Roman" w:hAnsi="Times New Roman"/>
                <w:b/>
                <w:sz w:val="20"/>
                <w:szCs w:val="20"/>
              </w:rPr>
              <w:t xml:space="preserve">je </w:t>
            </w:r>
            <w:r w:rsidR="005B00AB" w:rsidRPr="00A23BA8">
              <w:rPr>
                <w:rFonts w:ascii="Times New Roman" w:hAnsi="Times New Roman"/>
                <w:b/>
                <w:sz w:val="20"/>
                <w:szCs w:val="20"/>
              </w:rPr>
              <w:t xml:space="preserve">tiež </w:t>
            </w:r>
            <w:r w:rsidR="006A1CA7" w:rsidRPr="00A23BA8">
              <w:rPr>
                <w:rFonts w:ascii="Times New Roman" w:hAnsi="Times New Roman"/>
                <w:b/>
                <w:sz w:val="20"/>
                <w:szCs w:val="20"/>
              </w:rPr>
              <w:t>dôsledkom</w:t>
            </w:r>
            <w:r w:rsidRPr="00A23BA8">
              <w:rPr>
                <w:rFonts w:ascii="Times New Roman" w:hAnsi="Times New Roman"/>
                <w:b/>
                <w:sz w:val="20"/>
                <w:szCs w:val="20"/>
              </w:rPr>
              <w:t xml:space="preserve"> hospodárenia v poslednom desaťročí</w:t>
            </w:r>
            <w:r w:rsidR="005628B1" w:rsidRPr="00A23BA8">
              <w:rPr>
                <w:rFonts w:ascii="Times New Roman" w:hAnsi="Times New Roman"/>
                <w:b/>
                <w:sz w:val="20"/>
                <w:szCs w:val="20"/>
              </w:rPr>
              <w:t xml:space="preserve">, ktoré mohlo </w:t>
            </w:r>
            <w:r w:rsidR="00767677" w:rsidRPr="00A23BA8">
              <w:rPr>
                <w:rFonts w:ascii="Times New Roman" w:hAnsi="Times New Roman"/>
                <w:b/>
                <w:sz w:val="20"/>
                <w:szCs w:val="20"/>
              </w:rPr>
              <w:t xml:space="preserve">popri priaznivom ekonomickom prostredí vytvoriť </w:t>
            </w:r>
            <w:r w:rsidR="005628B1" w:rsidRPr="00A23BA8">
              <w:rPr>
                <w:rFonts w:ascii="Times New Roman" w:hAnsi="Times New Roman"/>
                <w:b/>
                <w:sz w:val="20"/>
                <w:szCs w:val="20"/>
              </w:rPr>
              <w:t xml:space="preserve">väčší fiškálny priestor pre </w:t>
            </w:r>
            <w:r w:rsidR="00767677" w:rsidRPr="00A23BA8">
              <w:rPr>
                <w:rFonts w:ascii="Times New Roman" w:hAnsi="Times New Roman"/>
                <w:b/>
                <w:sz w:val="20"/>
                <w:szCs w:val="20"/>
              </w:rPr>
              <w:t xml:space="preserve">súčasné a </w:t>
            </w:r>
            <w:r w:rsidR="005628B1" w:rsidRPr="00A23BA8">
              <w:rPr>
                <w:rFonts w:ascii="Times New Roman" w:hAnsi="Times New Roman"/>
                <w:b/>
                <w:sz w:val="20"/>
                <w:szCs w:val="20"/>
              </w:rPr>
              <w:t>budúce krízy</w:t>
            </w:r>
            <w:r w:rsidRPr="00A23BA8">
              <w:rPr>
                <w:rFonts w:ascii="Times New Roman" w:hAnsi="Times New Roman"/>
                <w:b/>
                <w:sz w:val="20"/>
                <w:szCs w:val="20"/>
              </w:rPr>
              <w:t>.</w:t>
            </w:r>
            <w:r w:rsidR="009E681D" w:rsidRPr="00A23BA8">
              <w:rPr>
                <w:rFonts w:ascii="Times New Roman" w:hAnsi="Times New Roman"/>
                <w:b/>
                <w:sz w:val="20"/>
                <w:szCs w:val="20"/>
              </w:rPr>
              <w:t xml:space="preserve"> </w:t>
            </w:r>
            <w:r w:rsidRPr="00A23BA8">
              <w:rPr>
                <w:rFonts w:ascii="Times New Roman" w:hAnsi="Times New Roman"/>
                <w:sz w:val="20"/>
                <w:szCs w:val="20"/>
              </w:rPr>
              <w:t xml:space="preserve">Ekonomický vývoj </w:t>
            </w:r>
            <w:r w:rsidR="00B13626" w:rsidRPr="00A23BA8">
              <w:rPr>
                <w:rFonts w:ascii="Times New Roman" w:hAnsi="Times New Roman"/>
                <w:sz w:val="20"/>
                <w:szCs w:val="20"/>
              </w:rPr>
              <w:t xml:space="preserve">od roku 2012 </w:t>
            </w:r>
            <w:r w:rsidRPr="00A23BA8">
              <w:rPr>
                <w:rFonts w:ascii="Times New Roman" w:hAnsi="Times New Roman"/>
                <w:sz w:val="20"/>
                <w:szCs w:val="20"/>
              </w:rPr>
              <w:t xml:space="preserve">vytvoril vhodné predpoklady pre ambicióznejšie </w:t>
            </w:r>
            <w:r w:rsidR="006A1CA7" w:rsidRPr="00A23BA8">
              <w:rPr>
                <w:rFonts w:ascii="Times New Roman" w:hAnsi="Times New Roman"/>
                <w:sz w:val="20"/>
                <w:szCs w:val="20"/>
              </w:rPr>
              <w:t>zníženie dlhu</w:t>
            </w:r>
            <w:r w:rsidR="000C7659" w:rsidRPr="00A23BA8">
              <w:rPr>
                <w:rFonts w:ascii="Times New Roman" w:hAnsi="Times New Roman"/>
                <w:sz w:val="20"/>
                <w:szCs w:val="20"/>
              </w:rPr>
              <w:t xml:space="preserve">. </w:t>
            </w:r>
            <w:r w:rsidR="0055529E" w:rsidRPr="00A23BA8">
              <w:rPr>
                <w:rFonts w:ascii="Times New Roman" w:hAnsi="Times New Roman"/>
                <w:sz w:val="20"/>
                <w:szCs w:val="20"/>
              </w:rPr>
              <w:t xml:space="preserve">Daňovo-odvodové príjmy </w:t>
            </w:r>
            <w:r w:rsidR="00B13626" w:rsidRPr="00A23BA8">
              <w:rPr>
                <w:rFonts w:ascii="Times New Roman" w:hAnsi="Times New Roman"/>
                <w:sz w:val="20"/>
                <w:szCs w:val="20"/>
              </w:rPr>
              <w:t xml:space="preserve">medzi rokmi 2012 a 2019 </w:t>
            </w:r>
            <w:r w:rsidR="0055529E" w:rsidRPr="00A23BA8">
              <w:rPr>
                <w:rFonts w:ascii="Times New Roman" w:hAnsi="Times New Roman"/>
                <w:sz w:val="20"/>
                <w:szCs w:val="20"/>
              </w:rPr>
              <w:t>boli v skutočnosti v priemere každý rok vyššie o 0,7 % HDP</w:t>
            </w:r>
            <w:r w:rsidR="003677DA" w:rsidRPr="00A23BA8">
              <w:rPr>
                <w:rFonts w:ascii="Times New Roman" w:hAnsi="Times New Roman"/>
                <w:sz w:val="20"/>
                <w:szCs w:val="20"/>
              </w:rPr>
              <w:t xml:space="preserve"> ako predpokladal rozpočet a mohli byť využité na razantnejšie zníženie zadlženia</w:t>
            </w:r>
            <w:r w:rsidR="002B152A" w:rsidRPr="00A23BA8">
              <w:rPr>
                <w:rFonts w:ascii="Times New Roman" w:hAnsi="Times New Roman"/>
                <w:sz w:val="20"/>
                <w:szCs w:val="20"/>
              </w:rPr>
              <w:t xml:space="preserve"> v pomere k HDP</w:t>
            </w:r>
            <w:r w:rsidR="003677DA" w:rsidRPr="00A23BA8">
              <w:rPr>
                <w:rFonts w:ascii="Times New Roman" w:hAnsi="Times New Roman"/>
                <w:sz w:val="20"/>
                <w:szCs w:val="20"/>
              </w:rPr>
              <w:t>.</w:t>
            </w:r>
            <w:r w:rsidR="0055529E" w:rsidRPr="00A23BA8">
              <w:rPr>
                <w:rFonts w:ascii="Times New Roman" w:hAnsi="Times New Roman"/>
                <w:sz w:val="20"/>
                <w:szCs w:val="20"/>
              </w:rPr>
              <w:t xml:space="preserve"> </w:t>
            </w:r>
            <w:r w:rsidR="002B152A" w:rsidRPr="00A23BA8">
              <w:rPr>
                <w:rFonts w:ascii="Times New Roman" w:hAnsi="Times New Roman"/>
                <w:sz w:val="20"/>
                <w:szCs w:val="20"/>
              </w:rPr>
              <w:t xml:space="preserve">Od implementácie dlhovej brzdy do národného rámca fiškálnych pravidiel sa </w:t>
            </w:r>
            <w:r w:rsidR="005628B1" w:rsidRPr="00A23BA8">
              <w:rPr>
                <w:rFonts w:ascii="Times New Roman" w:hAnsi="Times New Roman"/>
                <w:sz w:val="20"/>
                <w:szCs w:val="20"/>
              </w:rPr>
              <w:t xml:space="preserve">však </w:t>
            </w:r>
            <w:r w:rsidR="002B152A" w:rsidRPr="00A23BA8">
              <w:rPr>
                <w:rFonts w:ascii="Times New Roman" w:hAnsi="Times New Roman"/>
                <w:sz w:val="20"/>
                <w:szCs w:val="20"/>
              </w:rPr>
              <w:t xml:space="preserve">hrubý dlh kontinuálne pohyboval v prvom, resp. druhom sankčnom pásme a do pandemického roku 2020 Slovensko vstupovalo s dlhom </w:t>
            </w:r>
            <w:r w:rsidR="00767677" w:rsidRPr="00A23BA8">
              <w:rPr>
                <w:rFonts w:ascii="Times New Roman" w:hAnsi="Times New Roman"/>
                <w:sz w:val="20"/>
                <w:szCs w:val="20"/>
              </w:rPr>
              <w:t xml:space="preserve">blízko úrovne </w:t>
            </w:r>
            <w:r w:rsidR="002B152A" w:rsidRPr="00A23BA8">
              <w:rPr>
                <w:rFonts w:ascii="Times New Roman" w:hAnsi="Times New Roman"/>
                <w:sz w:val="20"/>
                <w:szCs w:val="20"/>
              </w:rPr>
              <w:t>50 % HDP.</w:t>
            </w:r>
          </w:p>
          <w:p w14:paraId="6892E148" w14:textId="7D29E7C9" w:rsidR="0055529E" w:rsidRPr="00A23BA8" w:rsidRDefault="0055529E" w:rsidP="003C6D3B">
            <w:pPr>
              <w:spacing w:line="276" w:lineRule="auto"/>
              <w:jc w:val="both"/>
              <w:rPr>
                <w:rFonts w:ascii="Times New Roman" w:hAnsi="Times New Roman"/>
                <w:sz w:val="20"/>
                <w:szCs w:val="20"/>
                <w:highlight w:val="yellow"/>
              </w:rPr>
            </w:pPr>
          </w:p>
          <w:p w14:paraId="39564C65" w14:textId="50267A33" w:rsidR="003B19D9" w:rsidRPr="00A23BA8" w:rsidRDefault="00767677" w:rsidP="006F6E80">
            <w:pPr>
              <w:spacing w:line="264" w:lineRule="auto"/>
              <w:jc w:val="both"/>
              <w:rPr>
                <w:rFonts w:ascii="Times New Roman" w:hAnsi="Times New Roman"/>
                <w:sz w:val="20"/>
                <w:szCs w:val="20"/>
              </w:rPr>
            </w:pPr>
            <w:r w:rsidRPr="00A23BA8">
              <w:rPr>
                <w:rFonts w:ascii="Times New Roman" w:hAnsi="Times New Roman"/>
                <w:b/>
                <w:sz w:val="20"/>
                <w:szCs w:val="20"/>
              </w:rPr>
              <w:t xml:space="preserve">Najmä vplyvom inflačného šoku </w:t>
            </w:r>
            <w:r w:rsidR="006A1CA7" w:rsidRPr="00A23BA8">
              <w:rPr>
                <w:rFonts w:ascii="Times New Roman" w:hAnsi="Times New Roman"/>
                <w:b/>
                <w:sz w:val="20"/>
                <w:szCs w:val="20"/>
              </w:rPr>
              <w:t xml:space="preserve">bude dlh </w:t>
            </w:r>
            <w:r w:rsidRPr="00A23BA8">
              <w:rPr>
                <w:rFonts w:ascii="Times New Roman" w:hAnsi="Times New Roman"/>
                <w:b/>
                <w:sz w:val="20"/>
                <w:szCs w:val="20"/>
              </w:rPr>
              <w:t xml:space="preserve">na horizonte rozpočtu </w:t>
            </w:r>
            <w:r w:rsidR="006A1CA7" w:rsidRPr="00A23BA8">
              <w:rPr>
                <w:rFonts w:ascii="Times New Roman" w:hAnsi="Times New Roman"/>
                <w:b/>
                <w:sz w:val="20"/>
                <w:szCs w:val="20"/>
              </w:rPr>
              <w:t>dočasne stabilizovaný pod 60 % HDP</w:t>
            </w:r>
            <w:r w:rsidR="009A31E1" w:rsidRPr="00A23BA8">
              <w:rPr>
                <w:rFonts w:ascii="Times New Roman" w:hAnsi="Times New Roman"/>
                <w:b/>
                <w:sz w:val="20"/>
                <w:szCs w:val="20"/>
              </w:rPr>
              <w:t xml:space="preserve"> aj bez dodatočných úsporných opatrení vlády</w:t>
            </w:r>
            <w:r w:rsidR="006A1CA7" w:rsidRPr="00A23BA8">
              <w:rPr>
                <w:rFonts w:ascii="Times New Roman" w:hAnsi="Times New Roman"/>
                <w:sz w:val="20"/>
                <w:szCs w:val="20"/>
              </w:rPr>
              <w:t xml:space="preserve">. </w:t>
            </w:r>
            <w:r w:rsidR="003B19D9" w:rsidRPr="00A23BA8">
              <w:rPr>
                <w:rFonts w:ascii="Times New Roman" w:hAnsi="Times New Roman"/>
                <w:sz w:val="20"/>
                <w:szCs w:val="20"/>
              </w:rPr>
              <w:t>V</w:t>
            </w:r>
            <w:r w:rsidR="006524C8" w:rsidRPr="00A23BA8">
              <w:rPr>
                <w:rFonts w:ascii="Times New Roman" w:hAnsi="Times New Roman"/>
                <w:sz w:val="20"/>
                <w:szCs w:val="20"/>
              </w:rPr>
              <w:t> roku 2022 sa dlh v pomere k HDP zníži</w:t>
            </w:r>
            <w:r w:rsidR="000965DB" w:rsidRPr="00A23BA8">
              <w:rPr>
                <w:rFonts w:ascii="Times New Roman" w:hAnsi="Times New Roman"/>
                <w:sz w:val="20"/>
                <w:szCs w:val="20"/>
              </w:rPr>
              <w:t>l</w:t>
            </w:r>
            <w:r w:rsidR="006524C8" w:rsidRPr="00A23BA8">
              <w:rPr>
                <w:rFonts w:ascii="Times New Roman" w:hAnsi="Times New Roman"/>
                <w:sz w:val="20"/>
                <w:szCs w:val="20"/>
              </w:rPr>
              <w:t xml:space="preserve"> </w:t>
            </w:r>
            <w:r w:rsidR="00635F7F" w:rsidRPr="00A23BA8">
              <w:rPr>
                <w:rFonts w:ascii="Times New Roman" w:hAnsi="Times New Roman"/>
                <w:sz w:val="20"/>
                <w:szCs w:val="20"/>
              </w:rPr>
              <w:t>o 3,6</w:t>
            </w:r>
            <w:r w:rsidR="003847BD" w:rsidRPr="00A23BA8">
              <w:rPr>
                <w:rFonts w:ascii="Times New Roman" w:hAnsi="Times New Roman"/>
                <w:sz w:val="20"/>
                <w:szCs w:val="20"/>
              </w:rPr>
              <w:t xml:space="preserve"> p. b. </w:t>
            </w:r>
            <w:r w:rsidR="006524C8" w:rsidRPr="00A23BA8">
              <w:rPr>
                <w:rFonts w:ascii="Times New Roman" w:hAnsi="Times New Roman"/>
                <w:sz w:val="20"/>
                <w:szCs w:val="20"/>
              </w:rPr>
              <w:t>a do roku 2025 stabilizuje pod hranicou 59 % HDP.</w:t>
            </w:r>
            <w:r w:rsidR="003847BD" w:rsidRPr="00A23BA8">
              <w:rPr>
                <w:rFonts w:ascii="Times New Roman" w:hAnsi="Times New Roman"/>
                <w:b/>
                <w:sz w:val="20"/>
                <w:szCs w:val="20"/>
              </w:rPr>
              <w:t xml:space="preserve"> </w:t>
            </w:r>
            <w:r w:rsidR="003847BD" w:rsidRPr="00A23BA8">
              <w:rPr>
                <w:rFonts w:ascii="Times New Roman" w:hAnsi="Times New Roman"/>
                <w:sz w:val="20"/>
                <w:szCs w:val="20"/>
              </w:rPr>
              <w:t>Medziročný pokles dlhu v tomto a budúcom roku bude ťahaný predovšetkým vysokou očakávanou infláciou a rozpúšťaním naakumulovanej hotovostnej rezervy z posledných dvoch rokov</w:t>
            </w:r>
            <w:r w:rsidR="00B321A5" w:rsidRPr="00A23BA8">
              <w:rPr>
                <w:rFonts w:ascii="Times New Roman" w:hAnsi="Times New Roman"/>
                <w:sz w:val="20"/>
                <w:szCs w:val="20"/>
              </w:rPr>
              <w:t>, ktorých vplyv najmä ku koncu horizontu vykompenzujú očakávané deficity verejnej správy</w:t>
            </w:r>
            <w:r w:rsidR="003847BD" w:rsidRPr="00A23BA8">
              <w:rPr>
                <w:rFonts w:ascii="Times New Roman" w:hAnsi="Times New Roman"/>
                <w:sz w:val="20"/>
                <w:szCs w:val="20"/>
              </w:rPr>
              <w:t>.</w:t>
            </w:r>
            <w:r w:rsidR="00CD1C09" w:rsidRPr="00A23BA8">
              <w:rPr>
                <w:rFonts w:ascii="Times New Roman" w:hAnsi="Times New Roman"/>
                <w:sz w:val="20"/>
                <w:szCs w:val="20"/>
              </w:rPr>
              <w:t xml:space="preserve"> </w:t>
            </w:r>
            <w:r w:rsidR="00D45E69" w:rsidRPr="00A23BA8">
              <w:rPr>
                <w:rFonts w:ascii="Times New Roman" w:hAnsi="Times New Roman"/>
                <w:sz w:val="20"/>
                <w:szCs w:val="20"/>
              </w:rPr>
              <w:t xml:space="preserve">Vplyv inflácie </w:t>
            </w:r>
            <w:r w:rsidR="00B321A5" w:rsidRPr="00A23BA8">
              <w:rPr>
                <w:rFonts w:ascii="Times New Roman" w:hAnsi="Times New Roman"/>
                <w:sz w:val="20"/>
                <w:szCs w:val="20"/>
              </w:rPr>
              <w:t>do roku 2025</w:t>
            </w:r>
            <w:r w:rsidR="00D45E69" w:rsidRPr="00A23BA8">
              <w:rPr>
                <w:rFonts w:ascii="Times New Roman" w:hAnsi="Times New Roman"/>
                <w:sz w:val="20"/>
                <w:szCs w:val="20"/>
              </w:rPr>
              <w:t xml:space="preserve"> zvoľní, pomerové znižovanie dlhu k HDP bude však podporovať rast ekonomiky a využívanie hotovosti verejnej správy na úkor nových emisií dlhopisov. Hrubý dlh sa </w:t>
            </w:r>
            <w:r w:rsidR="00512DB6" w:rsidRPr="00A23BA8">
              <w:rPr>
                <w:rFonts w:ascii="Times New Roman" w:hAnsi="Times New Roman"/>
                <w:sz w:val="20"/>
                <w:szCs w:val="20"/>
              </w:rPr>
              <w:t xml:space="preserve">v základnom scenári </w:t>
            </w:r>
            <w:r w:rsidR="00D45E69" w:rsidRPr="00A23BA8">
              <w:rPr>
                <w:rFonts w:ascii="Times New Roman" w:hAnsi="Times New Roman"/>
                <w:sz w:val="20"/>
                <w:szCs w:val="20"/>
              </w:rPr>
              <w:t xml:space="preserve">do roku 2025 už výrazne nezníži, </w:t>
            </w:r>
            <w:r w:rsidR="006A1CA7" w:rsidRPr="00A23BA8">
              <w:rPr>
                <w:rFonts w:ascii="Times New Roman" w:hAnsi="Times New Roman"/>
                <w:sz w:val="20"/>
                <w:szCs w:val="20"/>
              </w:rPr>
              <w:t xml:space="preserve">no </w:t>
            </w:r>
            <w:r w:rsidR="007E0B53" w:rsidRPr="00A23BA8">
              <w:rPr>
                <w:rFonts w:ascii="Times New Roman" w:hAnsi="Times New Roman"/>
                <w:sz w:val="20"/>
                <w:szCs w:val="20"/>
              </w:rPr>
              <w:t xml:space="preserve">mal by sa však </w:t>
            </w:r>
            <w:r w:rsidR="00AB3150" w:rsidRPr="00A23BA8">
              <w:rPr>
                <w:rFonts w:ascii="Times New Roman" w:hAnsi="Times New Roman"/>
                <w:sz w:val="20"/>
                <w:szCs w:val="20"/>
              </w:rPr>
              <w:t>stabilizovať</w:t>
            </w:r>
            <w:r w:rsidR="00D45E69" w:rsidRPr="00A23BA8">
              <w:rPr>
                <w:rFonts w:ascii="Times New Roman" w:hAnsi="Times New Roman"/>
                <w:sz w:val="20"/>
                <w:szCs w:val="20"/>
              </w:rPr>
              <w:t xml:space="preserve"> pod 59 % HDP.</w:t>
            </w:r>
          </w:p>
          <w:p w14:paraId="1B9CB614" w14:textId="4952C3C9" w:rsidR="00B20E1B" w:rsidRPr="00A23BA8" w:rsidRDefault="00B20E1B" w:rsidP="006F6E80">
            <w:pPr>
              <w:spacing w:line="264" w:lineRule="auto"/>
              <w:jc w:val="both"/>
              <w:rPr>
                <w:rFonts w:ascii="Times New Roman" w:hAnsi="Times New Roman"/>
                <w:sz w:val="20"/>
                <w:szCs w:val="20"/>
              </w:rPr>
            </w:pPr>
          </w:p>
          <w:p w14:paraId="7E6789CC" w14:textId="5CDA11EE" w:rsidR="006B0661" w:rsidRPr="00A23BA8" w:rsidRDefault="00B922D2" w:rsidP="006F6E80">
            <w:pPr>
              <w:spacing w:line="264" w:lineRule="auto"/>
              <w:jc w:val="both"/>
              <w:rPr>
                <w:rFonts w:ascii="Times New Roman" w:hAnsi="Times New Roman"/>
                <w:sz w:val="20"/>
                <w:szCs w:val="20"/>
              </w:rPr>
            </w:pPr>
            <w:r w:rsidRPr="00A23BA8">
              <w:rPr>
                <w:rFonts w:ascii="Times New Roman" w:hAnsi="Times New Roman"/>
                <w:b/>
                <w:sz w:val="20"/>
                <w:szCs w:val="20"/>
              </w:rPr>
              <w:t>Ďalší pokles dlhu najmä za horizontom budúceho roka</w:t>
            </w:r>
            <w:r w:rsidR="007F5D5A" w:rsidRPr="00A23BA8">
              <w:rPr>
                <w:rFonts w:ascii="Times New Roman" w:hAnsi="Times New Roman"/>
                <w:b/>
                <w:sz w:val="20"/>
                <w:szCs w:val="20"/>
              </w:rPr>
              <w:t xml:space="preserve"> nebude možný</w:t>
            </w:r>
            <w:r w:rsidRPr="00A23BA8">
              <w:rPr>
                <w:rFonts w:ascii="Times New Roman" w:hAnsi="Times New Roman"/>
                <w:b/>
                <w:sz w:val="20"/>
                <w:szCs w:val="20"/>
              </w:rPr>
              <w:t xml:space="preserve"> </w:t>
            </w:r>
            <w:r w:rsidR="007F5D5A" w:rsidRPr="00A23BA8">
              <w:rPr>
                <w:rFonts w:ascii="Times New Roman" w:hAnsi="Times New Roman"/>
                <w:b/>
                <w:sz w:val="20"/>
                <w:szCs w:val="20"/>
              </w:rPr>
              <w:t>bez aktívnej</w:t>
            </w:r>
            <w:r w:rsidRPr="00A23BA8">
              <w:rPr>
                <w:rFonts w:ascii="Times New Roman" w:hAnsi="Times New Roman"/>
                <w:b/>
                <w:sz w:val="20"/>
                <w:szCs w:val="20"/>
              </w:rPr>
              <w:t xml:space="preserve"> </w:t>
            </w:r>
            <w:r w:rsidR="00767677" w:rsidRPr="00A23BA8">
              <w:rPr>
                <w:rFonts w:ascii="Times New Roman" w:hAnsi="Times New Roman"/>
                <w:b/>
                <w:sz w:val="20"/>
                <w:szCs w:val="20"/>
              </w:rPr>
              <w:t>konsolidácie</w:t>
            </w:r>
            <w:r w:rsidRPr="00A23BA8">
              <w:rPr>
                <w:rFonts w:ascii="Times New Roman" w:hAnsi="Times New Roman"/>
                <w:b/>
                <w:sz w:val="20"/>
                <w:szCs w:val="20"/>
              </w:rPr>
              <w:t xml:space="preserve">, ktorej </w:t>
            </w:r>
            <w:r w:rsidR="00743ADA" w:rsidRPr="00A23BA8">
              <w:rPr>
                <w:rFonts w:ascii="Times New Roman" w:hAnsi="Times New Roman"/>
                <w:b/>
                <w:sz w:val="20"/>
                <w:szCs w:val="20"/>
              </w:rPr>
              <w:t>začatie</w:t>
            </w:r>
            <w:r w:rsidRPr="00A23BA8">
              <w:rPr>
                <w:rFonts w:ascii="Times New Roman" w:hAnsi="Times New Roman"/>
                <w:b/>
                <w:sz w:val="20"/>
                <w:szCs w:val="20"/>
              </w:rPr>
              <w:t xml:space="preserve"> si vyžiadajú domáce, ale aj európske fiškálne pravidlá. </w:t>
            </w:r>
            <w:r w:rsidR="008730F5" w:rsidRPr="00A23BA8">
              <w:rPr>
                <w:rFonts w:ascii="Times New Roman" w:hAnsi="Times New Roman"/>
                <w:sz w:val="20"/>
                <w:szCs w:val="20"/>
              </w:rPr>
              <w:t xml:space="preserve">Stabilizácia a znižovanie zadlženia si bude vyžadovať aktívnu konsolidáciu. V scenári konsolidácie by dlh klesol pod najvyššie sankčné pásmo dlhovej brzdy v úvode nasledujúcej dekády a v priebehu </w:t>
            </w:r>
            <w:r w:rsidR="00D75766" w:rsidRPr="00A23BA8">
              <w:rPr>
                <w:rFonts w:ascii="Times New Roman" w:hAnsi="Times New Roman"/>
                <w:sz w:val="20"/>
                <w:szCs w:val="20"/>
              </w:rPr>
              <w:t>ďalších piatich</w:t>
            </w:r>
            <w:r w:rsidR="008730F5" w:rsidRPr="00A23BA8">
              <w:rPr>
                <w:rFonts w:ascii="Times New Roman" w:hAnsi="Times New Roman"/>
                <w:sz w:val="20"/>
                <w:szCs w:val="20"/>
              </w:rPr>
              <w:t xml:space="preserve"> rokov by dosiahol úroveň pod najnižším pásmom.</w:t>
            </w:r>
            <w:r w:rsidR="009A31E1" w:rsidRPr="00A23BA8">
              <w:rPr>
                <w:rFonts w:ascii="Times New Roman" w:hAnsi="Times New Roman"/>
                <w:sz w:val="20"/>
                <w:szCs w:val="20"/>
              </w:rPr>
              <w:t xml:space="preserve"> </w:t>
            </w:r>
            <w:r w:rsidR="00B240EF" w:rsidRPr="00B240EF">
              <w:rPr>
                <w:rFonts w:ascii="Times New Roman" w:hAnsi="Times New Roman"/>
                <w:sz w:val="20"/>
                <w:szCs w:val="20"/>
              </w:rPr>
              <w:t>V Parlamente je aktuálne predložených niekoľko opatrení, ktoré majú za cieľ zvýšiť príjmy rozpočtu verejnej správy o trištvrte miliardy eur už v roku 2023. Ministerstvo financií ďalej očakáva, že konsolidačný plán bude bližšie špecifikovaný do konkrétnych opatrení v nadchádzajúcom Programe stability</w:t>
            </w:r>
            <w:r w:rsidR="004552AE" w:rsidRPr="00A23BA8">
              <w:rPr>
                <w:rFonts w:ascii="Times New Roman" w:hAnsi="Times New Roman"/>
                <w:sz w:val="20"/>
                <w:szCs w:val="20"/>
              </w:rPr>
              <w:t>, zohľadňujúc finálnu podobu národných výdavkových limitov resp. reformu európskych fiškálnych pravidiel</w:t>
            </w:r>
            <w:r w:rsidR="009A31E1" w:rsidRPr="00A23BA8">
              <w:rPr>
                <w:rFonts w:ascii="Times New Roman" w:hAnsi="Times New Roman"/>
                <w:sz w:val="20"/>
                <w:szCs w:val="20"/>
              </w:rPr>
              <w:t xml:space="preserve">. </w:t>
            </w:r>
          </w:p>
          <w:tbl>
            <w:tblPr>
              <w:tblpPr w:leftFromText="141" w:rightFromText="141" w:vertAnchor="text" w:tblpY="192"/>
              <w:tblOverlap w:val="never"/>
              <w:tblW w:w="8856" w:type="dxa"/>
              <w:tblCellMar>
                <w:left w:w="70" w:type="dxa"/>
                <w:right w:w="70" w:type="dxa"/>
              </w:tblCellMar>
              <w:tblLook w:val="04A0" w:firstRow="1" w:lastRow="0" w:firstColumn="1" w:lastColumn="0" w:noHBand="0" w:noVBand="1"/>
            </w:tblPr>
            <w:tblGrid>
              <w:gridCol w:w="8856"/>
            </w:tblGrid>
            <w:tr w:rsidR="00B2419B" w:rsidRPr="004B7392" w14:paraId="0D4DDF79" w14:textId="77777777" w:rsidTr="006F6E80">
              <w:trPr>
                <w:trHeight w:val="203"/>
              </w:trPr>
              <w:tc>
                <w:tcPr>
                  <w:tcW w:w="8856" w:type="dxa"/>
                  <w:tcBorders>
                    <w:top w:val="nil"/>
                    <w:left w:val="nil"/>
                    <w:bottom w:val="single" w:sz="4" w:space="0" w:color="auto"/>
                    <w:right w:val="nil"/>
                  </w:tcBorders>
                  <w:shd w:val="clear" w:color="auto" w:fill="auto"/>
                </w:tcPr>
                <w:p w14:paraId="57D1238E" w14:textId="44305CDA" w:rsidR="00B2419B" w:rsidRPr="00A23BA8" w:rsidRDefault="00B2419B" w:rsidP="00B2419B">
                  <w:pPr>
                    <w:pStyle w:val="Nadpis2"/>
                    <w:spacing w:before="120"/>
                    <w:rPr>
                      <w:rFonts w:ascii="Times New Roman" w:hAnsi="Times New Roman"/>
                      <w:color w:val="2C9ADC"/>
                      <w:sz w:val="20"/>
                      <w:szCs w:val="20"/>
                    </w:rPr>
                  </w:pPr>
                  <w:r w:rsidRPr="00A23BA8">
                    <w:rPr>
                      <w:rFonts w:ascii="Times New Roman" w:hAnsi="Times New Roman"/>
                      <w:color w:val="2C9ADC"/>
                      <w:sz w:val="20"/>
                      <w:szCs w:val="20"/>
                    </w:rPr>
                    <w:t>GRAF 1 – Vývoj hrubého</w:t>
                  </w:r>
                  <w:r w:rsidR="000C62CD" w:rsidRPr="00A23BA8">
                    <w:rPr>
                      <w:rFonts w:ascii="Times New Roman" w:hAnsi="Times New Roman"/>
                      <w:color w:val="2C9ADC"/>
                      <w:sz w:val="20"/>
                      <w:szCs w:val="20"/>
                    </w:rPr>
                    <w:t xml:space="preserve"> a čistého</w:t>
                  </w:r>
                  <w:r w:rsidRPr="00A23BA8">
                    <w:rPr>
                      <w:rFonts w:ascii="Times New Roman" w:hAnsi="Times New Roman"/>
                      <w:color w:val="2C9ADC"/>
                      <w:sz w:val="20"/>
                      <w:szCs w:val="20"/>
                    </w:rPr>
                    <w:t xml:space="preserve"> dlhu verejnej správy (% HDP)</w:t>
                  </w:r>
                </w:p>
              </w:tc>
            </w:tr>
            <w:tr w:rsidR="00B2419B" w:rsidRPr="004B7392" w14:paraId="58E9D52D" w14:textId="77777777" w:rsidTr="001417FE">
              <w:trPr>
                <w:trHeight w:val="3155"/>
              </w:trPr>
              <w:tc>
                <w:tcPr>
                  <w:tcW w:w="8856" w:type="dxa"/>
                  <w:tcBorders>
                    <w:top w:val="nil"/>
                    <w:left w:val="nil"/>
                    <w:bottom w:val="single" w:sz="4" w:space="0" w:color="auto"/>
                    <w:right w:val="nil"/>
                  </w:tcBorders>
                  <w:shd w:val="clear" w:color="auto" w:fill="auto"/>
                </w:tcPr>
                <w:p w14:paraId="7F82D31C" w14:textId="47AF900B" w:rsidR="00B2419B" w:rsidRPr="004B7392" w:rsidRDefault="006A40F7" w:rsidP="004B7392">
                  <w:pPr>
                    <w:pStyle w:val="Nadpis2"/>
                    <w:spacing w:before="0"/>
                    <w:jc w:val="center"/>
                    <w:rPr>
                      <w:rFonts w:ascii="Arial Narrow" w:hAnsi="Arial Narrow"/>
                      <w:color w:val="438042" w:themeColor="accent3" w:themeShade="80"/>
                      <w:sz w:val="20"/>
                      <w:szCs w:val="20"/>
                    </w:rPr>
                  </w:pPr>
                  <w:r>
                    <w:rPr>
                      <w:noProof/>
                      <w:lang w:eastAsia="sk-SK"/>
                    </w:rPr>
                    <mc:AlternateContent>
                      <mc:Choice Requires="wps">
                        <w:drawing>
                          <wp:anchor distT="45720" distB="45720" distL="114300" distR="114300" simplePos="0" relativeHeight="251679744" behindDoc="0" locked="0" layoutInCell="1" allowOverlap="1" wp14:anchorId="1204607F" wp14:editId="445C6EC9">
                            <wp:simplePos x="0" y="0"/>
                            <wp:positionH relativeFrom="column">
                              <wp:posOffset>4730349</wp:posOffset>
                            </wp:positionH>
                            <wp:positionV relativeFrom="paragraph">
                              <wp:posOffset>938841</wp:posOffset>
                            </wp:positionV>
                            <wp:extent cx="381635" cy="661579"/>
                            <wp:effectExtent l="0" t="0" r="0" b="5715"/>
                            <wp:wrapNone/>
                            <wp:docPr id="19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661579"/>
                                    </a:xfrm>
                                    <a:prstGeom prst="rect">
                                      <a:avLst/>
                                    </a:prstGeom>
                                    <a:noFill/>
                                    <a:ln w="9525">
                                      <a:noFill/>
                                      <a:miter lim="800000"/>
                                      <a:headEnd/>
                                      <a:tailEnd/>
                                    </a:ln>
                                  </wps:spPr>
                                  <wps:txbx>
                                    <w:txbxContent>
                                      <w:p w14:paraId="3F28DCDF" w14:textId="72093201" w:rsidR="00A615D6" w:rsidRPr="00512DB6" w:rsidRDefault="00A615D6">
                                        <w:pPr>
                                          <w:rPr>
                                            <w:color w:val="FFFFFF" w:themeColor="background1"/>
                                            <w:sz w:val="18"/>
                                          </w:rPr>
                                        </w:pPr>
                                        <w:r w:rsidRPr="00512DB6">
                                          <w:rPr>
                                            <w:color w:val="FFFFFF" w:themeColor="background1"/>
                                            <w:sz w:val="18"/>
                                          </w:rPr>
                                          <w:t>PROGNÓZA</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04607F" id="_x0000_t202" coordsize="21600,21600" o:spt="202" path="m,l,21600r21600,l21600,xe">
                            <v:stroke joinstyle="miter"/>
                            <v:path gradientshapeok="t" o:connecttype="rect"/>
                          </v:shapetype>
                          <v:shape id="Textové pole 2" o:spid="_x0000_s1026" type="#_x0000_t202" style="position:absolute;left:0;text-align:left;margin-left:372.45pt;margin-top:73.9pt;width:30.05pt;height:52.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" filled="f" stroked="f">
                            <v:textbox style="layout-flow:vertical;mso-layout-flow-alt:bottom-to-top">
                              <w:txbxContent>
                                <w:p w14:paraId="3F28DCDF" w14:textId="72093201" w:rsidR="00A615D6" w:rsidRPr="00512DB6" w:rsidRDefault="00A615D6">
                                  <w:pPr>
                                    <w:rPr>
                                      <w:color w:val="FFFFFF" w:themeColor="background1"/>
                                      <w:sz w:val="18"/>
                                    </w:rPr>
                                  </w:pPr>
                                  <w:r w:rsidRPr="00512DB6">
                                    <w:rPr>
                                      <w:color w:val="FFFFFF" w:themeColor="background1"/>
                                      <w:sz w:val="18"/>
                                    </w:rPr>
                                    <w:t>PROGNÓZA</w:t>
                                  </w:r>
                                </w:p>
                              </w:txbxContent>
                            </v:textbox>
                          </v:shape>
                        </w:pict>
                      </mc:Fallback>
                    </mc:AlternateContent>
                  </w:r>
                  <w:r w:rsidR="00CC5FD7">
                    <w:rPr>
                      <w:rFonts w:ascii="Arial Narrow" w:hAnsi="Arial Narrow"/>
                      <w:noProof/>
                      <w:color w:val="438042" w:themeColor="accent3" w:themeShade="80"/>
                      <w:sz w:val="20"/>
                      <w:szCs w:val="20"/>
                      <w:lang w:eastAsia="sk-SK"/>
                    </w:rPr>
                    <mc:AlternateContent>
                      <mc:Choice Requires="wps">
                        <w:drawing>
                          <wp:anchor distT="0" distB="0" distL="114300" distR="114300" simplePos="0" relativeHeight="251677696" behindDoc="0" locked="0" layoutInCell="1" allowOverlap="1" wp14:anchorId="29BA0AAC" wp14:editId="699E0B38">
                            <wp:simplePos x="0" y="0"/>
                            <wp:positionH relativeFrom="column">
                              <wp:posOffset>4372610</wp:posOffset>
                            </wp:positionH>
                            <wp:positionV relativeFrom="paragraph">
                              <wp:posOffset>132417</wp:posOffset>
                            </wp:positionV>
                            <wp:extent cx="11652" cy="1701178"/>
                            <wp:effectExtent l="0" t="0" r="26670" b="13335"/>
                            <wp:wrapNone/>
                            <wp:docPr id="192" name="Rovná spojnica 192"/>
                            <wp:cNvGraphicFramePr/>
                            <a:graphic xmlns:a="http://schemas.openxmlformats.org/drawingml/2006/main">
                              <a:graphicData uri="http://schemas.microsoft.com/office/word/2010/wordprocessingShape">
                                <wps:wsp>
                                  <wps:cNvCnPr/>
                                  <wps:spPr>
                                    <a:xfrm flipV="1">
                                      <a:off x="0" y="0"/>
                                      <a:ext cx="11652" cy="1701178"/>
                                    </a:xfrm>
                                    <a:prstGeom prst="line">
                                      <a:avLst/>
                                    </a:prstGeom>
                                    <a:ln>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415CA" id="Rovná spojnica 19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3pt,10.45pt" to="345.2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" strokecolor="white [3212]">
                            <v:stroke dashstyle="3 1"/>
                          </v:line>
                        </w:pict>
                      </mc:Fallback>
                    </mc:AlternateContent>
                  </w:r>
                  <w:r w:rsidR="001417FE">
                    <w:rPr>
                      <w:noProof/>
                      <w:lang w:eastAsia="sk-SK"/>
                    </w:rPr>
                    <w:drawing>
                      <wp:inline distT="0" distB="0" distL="0" distR="0" wp14:anchorId="77EE700C" wp14:editId="66FA6BE8">
                        <wp:extent cx="5760720" cy="2216954"/>
                        <wp:effectExtent l="0" t="0" r="0" b="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B2419B" w:rsidRPr="00F3334D" w14:paraId="3A27CF3E" w14:textId="77777777" w:rsidTr="006F6E80">
              <w:trPr>
                <w:trHeight w:val="203"/>
              </w:trPr>
              <w:tc>
                <w:tcPr>
                  <w:tcW w:w="8856" w:type="dxa"/>
                  <w:tcBorders>
                    <w:top w:val="single" w:sz="4" w:space="0" w:color="auto"/>
                    <w:left w:val="nil"/>
                    <w:right w:val="nil"/>
                  </w:tcBorders>
                  <w:shd w:val="clear" w:color="auto" w:fill="auto"/>
                </w:tcPr>
                <w:p w14:paraId="1DA410DE" w14:textId="0DD26BA6" w:rsidR="00B2419B" w:rsidRPr="00F3334D" w:rsidRDefault="00B2419B" w:rsidP="00F57116">
                  <w:pPr>
                    <w:pStyle w:val="Nadpis2"/>
                    <w:spacing w:before="0"/>
                    <w:jc w:val="both"/>
                    <w:rPr>
                      <w:rFonts w:ascii="Arial Narrow" w:hAnsi="Arial Narrow"/>
                      <w:b w:val="0"/>
                      <w:i/>
                      <w:color w:val="000000" w:themeColor="text1"/>
                      <w:sz w:val="20"/>
                      <w:szCs w:val="20"/>
                    </w:rPr>
                  </w:pPr>
                  <w:r w:rsidRPr="004B7392">
                    <w:rPr>
                      <w:rFonts w:ascii="Arial Narrow" w:hAnsi="Arial Narrow"/>
                      <w:b w:val="0"/>
                      <w:i/>
                      <w:color w:val="000000" w:themeColor="text1"/>
                      <w:sz w:val="14"/>
                      <w:szCs w:val="20"/>
                    </w:rPr>
                    <w:t xml:space="preserve">Pozn.: </w:t>
                  </w:r>
                  <w:r w:rsidR="000C62CD">
                    <w:rPr>
                      <w:rFonts w:ascii="Arial Narrow" w:hAnsi="Arial Narrow"/>
                      <w:b w:val="0"/>
                      <w:i/>
                      <w:color w:val="000000" w:themeColor="text1"/>
                      <w:sz w:val="14"/>
                      <w:szCs w:val="20"/>
                    </w:rPr>
                    <w:t>Projekcia do roku 2025 vychádza z deficitov</w:t>
                  </w:r>
                  <w:r w:rsidR="000C62CD" w:rsidRPr="000C62CD">
                    <w:rPr>
                      <w:rFonts w:ascii="Arial Narrow" w:hAnsi="Arial Narrow"/>
                      <w:b w:val="0"/>
                      <w:i/>
                      <w:color w:val="000000" w:themeColor="text1"/>
                      <w:sz w:val="14"/>
                      <w:szCs w:val="20"/>
                    </w:rPr>
                    <w:t xml:space="preserve"> fiškálneho rámca rozpočtu na roky 2023 až 2025, ktoré zodpovedajú akruálnym schodkom ve</w:t>
                  </w:r>
                  <w:r w:rsidR="000C62CD">
                    <w:rPr>
                      <w:rFonts w:ascii="Arial Narrow" w:hAnsi="Arial Narrow"/>
                      <w:b w:val="0"/>
                      <w:i/>
                      <w:color w:val="000000" w:themeColor="text1"/>
                      <w:sz w:val="14"/>
                      <w:szCs w:val="20"/>
                    </w:rPr>
                    <w:t>rejnej správy – 6,4 % HDP v 2023</w:t>
                  </w:r>
                  <w:r w:rsidR="000C62CD" w:rsidRPr="000C62CD">
                    <w:rPr>
                      <w:rFonts w:ascii="Arial Narrow" w:hAnsi="Arial Narrow"/>
                      <w:b w:val="0"/>
                      <w:i/>
                      <w:color w:val="000000" w:themeColor="text1"/>
                      <w:sz w:val="14"/>
                      <w:szCs w:val="20"/>
                    </w:rPr>
                    <w:t>, 4,3 % HDP v 2024 a 4,1 % HDP v roku 202</w:t>
                  </w:r>
                  <w:r w:rsidR="000C62CD" w:rsidRPr="00AD2362">
                    <w:rPr>
                      <w:rFonts w:ascii="Arial Narrow" w:hAnsi="Arial Narrow"/>
                      <w:b w:val="0"/>
                      <w:i/>
                      <w:color w:val="000000" w:themeColor="text1"/>
                      <w:sz w:val="14"/>
                      <w:szCs w:val="20"/>
                    </w:rPr>
                    <w:t xml:space="preserve">5. </w:t>
                  </w:r>
                  <w:r w:rsidR="008E557E" w:rsidRPr="00AD2362">
                    <w:rPr>
                      <w:rFonts w:ascii="Arial Narrow" w:hAnsi="Arial Narrow"/>
                      <w:b w:val="0"/>
                      <w:i/>
                      <w:color w:val="000000" w:themeColor="text1"/>
                      <w:sz w:val="14"/>
                      <w:szCs w:val="20"/>
                    </w:rPr>
                    <w:t xml:space="preserve">Súčasťou prognózy sú posledné aukcie dlhopisov SR v roku 2022. </w:t>
                  </w:r>
                  <w:r w:rsidR="000C62CD" w:rsidRPr="00AD2362">
                    <w:rPr>
                      <w:rFonts w:ascii="Arial Narrow" w:hAnsi="Arial Narrow"/>
                      <w:b w:val="0"/>
                      <w:i/>
                      <w:color w:val="000000" w:themeColor="text1"/>
                      <w:sz w:val="14"/>
                      <w:szCs w:val="20"/>
                    </w:rPr>
                    <w:t xml:space="preserve">Sankčné pásma </w:t>
                  </w:r>
                  <w:r w:rsidR="00F57116" w:rsidRPr="00AD2362">
                    <w:rPr>
                      <w:rFonts w:ascii="Arial Narrow" w:hAnsi="Arial Narrow"/>
                      <w:b w:val="0"/>
                      <w:i/>
                      <w:color w:val="000000" w:themeColor="text1"/>
                      <w:sz w:val="14"/>
                      <w:szCs w:val="20"/>
                    </w:rPr>
                    <w:t xml:space="preserve">vychádzajú z </w:t>
                  </w:r>
                  <w:r w:rsidR="000C62CD" w:rsidRPr="00AD2362">
                    <w:rPr>
                      <w:rFonts w:ascii="Arial Narrow" w:hAnsi="Arial Narrow"/>
                      <w:b w:val="0"/>
                      <w:i/>
                      <w:color w:val="000000" w:themeColor="text1"/>
                      <w:sz w:val="14"/>
                      <w:szCs w:val="20"/>
                    </w:rPr>
                    <w:t>platného ústavného zákona o rozpočtovej zodpovednosti</w:t>
                  </w:r>
                  <w:r w:rsidR="00EE0A41" w:rsidRPr="00AD2362">
                    <w:rPr>
                      <w:rFonts w:ascii="Arial Narrow" w:hAnsi="Arial Narrow"/>
                      <w:b w:val="0"/>
                      <w:i/>
                      <w:color w:val="000000" w:themeColor="text1"/>
                      <w:sz w:val="14"/>
                      <w:szCs w:val="20"/>
                    </w:rPr>
                    <w:t>.</w:t>
                  </w:r>
                  <w:r w:rsidRPr="004B7392">
                    <w:rPr>
                      <w:rFonts w:ascii="Arial Narrow" w:hAnsi="Arial Narrow"/>
                      <w:b w:val="0"/>
                      <w:i/>
                      <w:color w:val="000000" w:themeColor="text1"/>
                      <w:sz w:val="14"/>
                      <w:szCs w:val="20"/>
                    </w:rPr>
                    <w:t xml:space="preserve">  </w:t>
                  </w:r>
                  <w:r w:rsidR="000C62CD">
                    <w:rPr>
                      <w:rFonts w:ascii="Arial Narrow" w:hAnsi="Arial Narrow"/>
                      <w:b w:val="0"/>
                      <w:i/>
                      <w:color w:val="000000" w:themeColor="text1"/>
                      <w:sz w:val="14"/>
                      <w:szCs w:val="20"/>
                    </w:rPr>
                    <w:t xml:space="preserve">               </w:t>
                  </w:r>
                  <w:r w:rsidRPr="004B7392">
                    <w:rPr>
                      <w:rFonts w:ascii="Arial Narrow" w:hAnsi="Arial Narrow"/>
                      <w:b w:val="0"/>
                      <w:i/>
                      <w:color w:val="000000" w:themeColor="text1"/>
                      <w:sz w:val="14"/>
                      <w:szCs w:val="20"/>
                    </w:rPr>
                    <w:t xml:space="preserve">   </w:t>
                  </w:r>
                  <w:r w:rsidR="008E557E">
                    <w:rPr>
                      <w:rFonts w:ascii="Arial Narrow" w:hAnsi="Arial Narrow"/>
                      <w:b w:val="0"/>
                      <w:i/>
                      <w:color w:val="000000" w:themeColor="text1"/>
                      <w:sz w:val="14"/>
                      <w:szCs w:val="20"/>
                    </w:rPr>
                    <w:t xml:space="preserve">                                   </w:t>
                  </w:r>
                  <w:r w:rsidRPr="004B7392">
                    <w:rPr>
                      <w:rFonts w:ascii="Arial Narrow" w:hAnsi="Arial Narrow"/>
                      <w:b w:val="0"/>
                      <w:i/>
                      <w:color w:val="000000" w:themeColor="text1"/>
                      <w:sz w:val="14"/>
                      <w:szCs w:val="20"/>
                    </w:rPr>
                    <w:t xml:space="preserve"> </w:t>
                  </w:r>
                  <w:r w:rsidR="00F57116">
                    <w:rPr>
                      <w:rFonts w:ascii="Arial Narrow" w:hAnsi="Arial Narrow"/>
                      <w:b w:val="0"/>
                      <w:i/>
                      <w:color w:val="000000" w:themeColor="text1"/>
                      <w:sz w:val="14"/>
                      <w:szCs w:val="20"/>
                    </w:rPr>
                    <w:t xml:space="preserve">                                                                                                                                         </w:t>
                  </w:r>
                  <w:r w:rsidR="000C62CD" w:rsidRPr="004B7392">
                    <w:rPr>
                      <w:rFonts w:ascii="Arial Narrow" w:hAnsi="Arial Narrow"/>
                      <w:b w:val="0"/>
                      <w:i/>
                      <w:color w:val="000000" w:themeColor="text1"/>
                      <w:sz w:val="14"/>
                      <w:szCs w:val="20"/>
                    </w:rPr>
                    <w:t>Zdroj: MF SR</w:t>
                  </w:r>
                  <w:r w:rsidRPr="004B7392">
                    <w:rPr>
                      <w:rFonts w:ascii="Arial Narrow" w:hAnsi="Arial Narrow"/>
                      <w:b w:val="0"/>
                      <w:i/>
                      <w:color w:val="000000" w:themeColor="text1"/>
                      <w:sz w:val="14"/>
                      <w:szCs w:val="20"/>
                    </w:rPr>
                    <w:t xml:space="preserve">                                                  </w:t>
                  </w:r>
                  <w:r w:rsidRPr="00F3334D">
                    <w:rPr>
                      <w:rFonts w:ascii="Arial Narrow" w:hAnsi="Arial Narrow"/>
                      <w:b w:val="0"/>
                      <w:i/>
                      <w:color w:val="000000" w:themeColor="text1"/>
                      <w:sz w:val="14"/>
                      <w:szCs w:val="20"/>
                    </w:rPr>
                    <w:t xml:space="preserve"> </w:t>
                  </w:r>
                </w:p>
              </w:tc>
            </w:tr>
          </w:tbl>
          <w:p w14:paraId="514B466A" w14:textId="77777777" w:rsidR="007659D5" w:rsidRPr="000A426C" w:rsidRDefault="007659D5" w:rsidP="0070758B">
            <w:pPr>
              <w:jc w:val="both"/>
              <w:rPr>
                <w:b/>
                <w:i/>
                <w:sz w:val="6"/>
                <w:szCs w:val="20"/>
                <w:highlight w:val="yellow"/>
              </w:rPr>
            </w:pPr>
          </w:p>
        </w:tc>
      </w:tr>
    </w:tbl>
    <w:p w14:paraId="5D1FDD20" w14:textId="22DD82F9" w:rsidR="00A164C1" w:rsidRPr="00A23BA8" w:rsidRDefault="00A164C1" w:rsidP="00AA51AD">
      <w:pPr>
        <w:pStyle w:val="Nadpis2"/>
        <w:numPr>
          <w:ilvl w:val="0"/>
          <w:numId w:val="1"/>
        </w:numPr>
        <w:spacing w:before="120" w:after="120"/>
        <w:ind w:left="357" w:hanging="357"/>
        <w:rPr>
          <w:rFonts w:ascii="Times New Roman" w:hAnsi="Times New Roman"/>
          <w:sz w:val="24"/>
          <w:szCs w:val="20"/>
        </w:rPr>
      </w:pPr>
      <w:bookmarkStart w:id="2" w:name="_Toc24112331"/>
      <w:r w:rsidRPr="00A23BA8">
        <w:rPr>
          <w:rFonts w:ascii="Times New Roman" w:hAnsi="Times New Roman"/>
          <w:sz w:val="24"/>
          <w:szCs w:val="20"/>
        </w:rPr>
        <w:lastRenderedPageBreak/>
        <w:t>Vývoj hrubého dlhu verejnej správy</w:t>
      </w:r>
      <w:bookmarkEnd w:id="2"/>
      <w:r w:rsidR="008E3CD1" w:rsidRPr="00A23BA8">
        <w:rPr>
          <w:rFonts w:ascii="Times New Roman" w:hAnsi="Times New Roman"/>
          <w:sz w:val="24"/>
          <w:szCs w:val="20"/>
        </w:rPr>
        <w:t xml:space="preserve"> </w:t>
      </w:r>
      <w:r w:rsidR="001F67A6" w:rsidRPr="00A23BA8">
        <w:rPr>
          <w:rFonts w:ascii="Times New Roman" w:hAnsi="Times New Roman"/>
          <w:sz w:val="24"/>
          <w:szCs w:val="20"/>
        </w:rPr>
        <w:t>do</w:t>
      </w:r>
      <w:r w:rsidR="003C32DB" w:rsidRPr="00A23BA8">
        <w:rPr>
          <w:rFonts w:ascii="Times New Roman" w:hAnsi="Times New Roman"/>
          <w:sz w:val="24"/>
          <w:szCs w:val="20"/>
        </w:rPr>
        <w:t xml:space="preserve"> roku 2021</w:t>
      </w:r>
    </w:p>
    <w:p w14:paraId="113FE26D" w14:textId="5835C258" w:rsidR="00EA68CC" w:rsidRPr="00A23BA8" w:rsidRDefault="008F2302" w:rsidP="00512DB6">
      <w:pPr>
        <w:spacing w:line="264" w:lineRule="auto"/>
        <w:jc w:val="both"/>
        <w:rPr>
          <w:rFonts w:ascii="Times New Roman" w:hAnsi="Times New Roman"/>
          <w:sz w:val="20"/>
          <w:szCs w:val="20"/>
        </w:rPr>
      </w:pPr>
      <w:r>
        <w:rPr>
          <w:rFonts w:ascii="Times New Roman" w:hAnsi="Times New Roman"/>
          <w:b/>
          <w:sz w:val="20"/>
          <w:szCs w:val="20"/>
        </w:rPr>
        <w:t>Hrubý dlh Slovenska v</w:t>
      </w:r>
      <w:r w:rsidR="00EA68CC" w:rsidRPr="00A23BA8">
        <w:rPr>
          <w:rFonts w:ascii="Times New Roman" w:hAnsi="Times New Roman"/>
          <w:b/>
          <w:sz w:val="20"/>
          <w:szCs w:val="20"/>
        </w:rPr>
        <w:t xml:space="preserve"> roku </w:t>
      </w:r>
      <w:r>
        <w:rPr>
          <w:rFonts w:ascii="Times New Roman" w:hAnsi="Times New Roman"/>
          <w:b/>
          <w:sz w:val="20"/>
          <w:szCs w:val="20"/>
        </w:rPr>
        <w:t xml:space="preserve">2021 </w:t>
      </w:r>
      <w:r w:rsidR="00EA68CC" w:rsidRPr="00A23BA8">
        <w:rPr>
          <w:rFonts w:ascii="Times New Roman" w:hAnsi="Times New Roman"/>
          <w:b/>
          <w:sz w:val="20"/>
          <w:szCs w:val="20"/>
        </w:rPr>
        <w:t xml:space="preserve">po prvýkrát prekročil </w:t>
      </w:r>
      <w:r w:rsidR="00A06EDA" w:rsidRPr="00A23BA8">
        <w:rPr>
          <w:rFonts w:ascii="Times New Roman" w:hAnsi="Times New Roman"/>
          <w:b/>
          <w:sz w:val="20"/>
          <w:szCs w:val="20"/>
        </w:rPr>
        <w:t xml:space="preserve">hranicu </w:t>
      </w:r>
      <w:r w:rsidR="00EA68CC" w:rsidRPr="00A23BA8">
        <w:rPr>
          <w:rFonts w:ascii="Times New Roman" w:hAnsi="Times New Roman"/>
          <w:b/>
          <w:sz w:val="20"/>
          <w:szCs w:val="20"/>
        </w:rPr>
        <w:t xml:space="preserve">60 % HDP a ostáva v najvyššom sankčnom pásme dlhovej brzdy. </w:t>
      </w:r>
      <w:r w:rsidR="00FA2A76" w:rsidRPr="00A23BA8">
        <w:rPr>
          <w:rFonts w:ascii="Times New Roman" w:hAnsi="Times New Roman"/>
          <w:sz w:val="20"/>
          <w:szCs w:val="20"/>
        </w:rPr>
        <w:t>Eurostat v jeseni 2022 potvrdil hrubý dlh Slovenska za minulý rok na úrovni 62,2 % HDP</w:t>
      </w:r>
      <w:r w:rsidR="00FA2A76" w:rsidRPr="00A23BA8">
        <w:rPr>
          <w:rStyle w:val="Odkaznapoznmkupodiarou"/>
          <w:rFonts w:ascii="Times New Roman" w:hAnsi="Times New Roman"/>
          <w:sz w:val="20"/>
          <w:szCs w:val="20"/>
        </w:rPr>
        <w:footnoteReference w:id="1"/>
      </w:r>
      <w:r w:rsidR="00FA2A76" w:rsidRPr="00A23BA8">
        <w:rPr>
          <w:rFonts w:ascii="Times New Roman" w:hAnsi="Times New Roman"/>
          <w:sz w:val="20"/>
          <w:szCs w:val="20"/>
        </w:rPr>
        <w:t>. Zadlženie v pomere k veľkosti ekonomiky tak po prvýkrát prekročilo 60 % HDP a ostáva v najvyššom sankčnom pásme ústavného zákona o rozpočtovej zodpovednosti</w:t>
      </w:r>
      <w:r w:rsidR="00FA2A76" w:rsidRPr="00A23BA8">
        <w:rPr>
          <w:rStyle w:val="Odkaznapoznmkupodiarou"/>
          <w:rFonts w:ascii="Times New Roman" w:hAnsi="Times New Roman"/>
          <w:sz w:val="20"/>
          <w:szCs w:val="20"/>
        </w:rPr>
        <w:footnoteReference w:id="2"/>
      </w:r>
      <w:r w:rsidR="00FA2A76" w:rsidRPr="00A23BA8">
        <w:rPr>
          <w:rFonts w:ascii="Times New Roman" w:hAnsi="Times New Roman"/>
          <w:sz w:val="20"/>
          <w:szCs w:val="20"/>
        </w:rPr>
        <w:t>.</w:t>
      </w:r>
      <w:r w:rsidR="00A06EDA" w:rsidRPr="00A23BA8">
        <w:rPr>
          <w:rFonts w:ascii="Times New Roman" w:hAnsi="Times New Roman"/>
          <w:sz w:val="20"/>
          <w:szCs w:val="20"/>
        </w:rPr>
        <w:t xml:space="preserve"> V súčasnosti aktívna úniková klauzula dlhovej brzdy, vyplývajúca z nástupu novej vlády v roku 2021, nepožaduje uplatniť </w:t>
      </w:r>
      <w:r w:rsidR="00D642B6" w:rsidRPr="00A23BA8">
        <w:rPr>
          <w:rFonts w:ascii="Times New Roman" w:hAnsi="Times New Roman"/>
          <w:sz w:val="20"/>
          <w:szCs w:val="20"/>
        </w:rPr>
        <w:t xml:space="preserve">najprísnejšie </w:t>
      </w:r>
      <w:r w:rsidR="00A06EDA" w:rsidRPr="00A23BA8">
        <w:rPr>
          <w:rFonts w:ascii="Times New Roman" w:hAnsi="Times New Roman"/>
          <w:sz w:val="20"/>
          <w:szCs w:val="20"/>
        </w:rPr>
        <w:t>sankcie 3. až 5. pásma</w:t>
      </w:r>
      <w:r w:rsidR="00A06EDA" w:rsidRPr="00A23BA8">
        <w:rPr>
          <w:rStyle w:val="Odkaznapoznmkupodiarou"/>
          <w:rFonts w:ascii="Times New Roman" w:hAnsi="Times New Roman"/>
          <w:sz w:val="20"/>
          <w:szCs w:val="20"/>
        </w:rPr>
        <w:footnoteReference w:id="3"/>
      </w:r>
      <w:r w:rsidR="00A06EDA" w:rsidRPr="00A23BA8">
        <w:rPr>
          <w:rFonts w:ascii="Times New Roman" w:hAnsi="Times New Roman"/>
          <w:sz w:val="20"/>
          <w:szCs w:val="20"/>
        </w:rPr>
        <w:t>. Tie sa podľa platného znenia ústavného zákona opätovne spustia v polovici roka 2023 (viac</w:t>
      </w:r>
      <w:r w:rsidR="00A5695D" w:rsidRPr="00A23BA8">
        <w:rPr>
          <w:rFonts w:ascii="Times New Roman" w:hAnsi="Times New Roman"/>
          <w:sz w:val="20"/>
          <w:szCs w:val="20"/>
        </w:rPr>
        <w:t> </w:t>
      </w:r>
      <w:r w:rsidR="00A06EDA" w:rsidRPr="00A23BA8">
        <w:rPr>
          <w:rFonts w:ascii="Times New Roman" w:hAnsi="Times New Roman"/>
          <w:b/>
          <w:color w:val="2C9ADC" w:themeColor="accent1"/>
          <w:sz w:val="20"/>
          <w:szCs w:val="20"/>
        </w:rPr>
        <w:t>BOX</w:t>
      </w:r>
      <w:r w:rsidR="00A5695D" w:rsidRPr="00A23BA8">
        <w:rPr>
          <w:rFonts w:ascii="Times New Roman" w:hAnsi="Times New Roman"/>
          <w:b/>
          <w:color w:val="2C9ADC" w:themeColor="accent1"/>
          <w:sz w:val="20"/>
          <w:szCs w:val="20"/>
        </w:rPr>
        <w:t xml:space="preserve"> 1</w:t>
      </w:r>
      <w:r w:rsidR="00A06EDA" w:rsidRPr="00A23BA8">
        <w:rPr>
          <w:rFonts w:ascii="Times New Roman" w:hAnsi="Times New Roman"/>
          <w:sz w:val="20"/>
          <w:szCs w:val="20"/>
        </w:rPr>
        <w:t>).</w:t>
      </w:r>
    </w:p>
    <w:tbl>
      <w:tblPr>
        <w:tblpPr w:leftFromText="141" w:rightFromText="141" w:vertAnchor="text" w:horzAnchor="margin" w:tblpY="2742"/>
        <w:tblW w:w="88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674"/>
        <w:gridCol w:w="4196"/>
      </w:tblGrid>
      <w:tr w:rsidR="00A23BA8" w:rsidRPr="001D1AF2" w14:paraId="10D12D70" w14:textId="77777777" w:rsidTr="00A23BA8">
        <w:trPr>
          <w:trHeight w:val="307"/>
        </w:trPr>
        <w:tc>
          <w:tcPr>
            <w:tcW w:w="4674" w:type="dxa"/>
            <w:tcBorders>
              <w:top w:val="nil"/>
              <w:left w:val="nil"/>
              <w:bottom w:val="single" w:sz="4" w:space="0" w:color="000000"/>
              <w:right w:val="nil"/>
            </w:tcBorders>
            <w:shd w:val="clear" w:color="auto" w:fill="auto"/>
          </w:tcPr>
          <w:p w14:paraId="629BF953" w14:textId="77777777" w:rsidR="00A23BA8" w:rsidRPr="00A23BA8" w:rsidRDefault="00A23BA8" w:rsidP="00B349C3">
            <w:pPr>
              <w:pStyle w:val="Graf"/>
              <w:framePr w:hSpace="0" w:wrap="auto" w:vAnchor="margin" w:hAnchor="text" w:yAlign="inline"/>
              <w:rPr>
                <w:highlight w:val="yellow"/>
              </w:rPr>
            </w:pPr>
            <w:r w:rsidRPr="00A23BA8">
              <w:t>GRAF 2 – Faktory prispievajúce k zmene hrubého dlhu (kumulatívne, p. b. HDP)</w:t>
            </w:r>
          </w:p>
        </w:tc>
        <w:tc>
          <w:tcPr>
            <w:tcW w:w="4196" w:type="dxa"/>
            <w:tcBorders>
              <w:top w:val="nil"/>
              <w:left w:val="nil"/>
              <w:bottom w:val="single" w:sz="4" w:space="0" w:color="000000"/>
              <w:right w:val="nil"/>
            </w:tcBorders>
            <w:shd w:val="clear" w:color="auto" w:fill="auto"/>
            <w:vAlign w:val="center"/>
          </w:tcPr>
          <w:p w14:paraId="14B8CE5B" w14:textId="77777777" w:rsidR="00A23BA8" w:rsidRPr="00A23BA8" w:rsidRDefault="00A23BA8" w:rsidP="00B349C3">
            <w:pPr>
              <w:pStyle w:val="Graf"/>
              <w:framePr w:hSpace="0" w:wrap="auto" w:vAnchor="margin" w:hAnchor="text" w:yAlign="inline"/>
              <w:rPr>
                <w:highlight w:val="yellow"/>
              </w:rPr>
            </w:pPr>
            <w:r w:rsidRPr="00A23BA8">
              <w:t>GRAF 3 – Vývoj likvidných finančných aktív verejnej správy (% HDP)</w:t>
            </w:r>
          </w:p>
        </w:tc>
      </w:tr>
    </w:tbl>
    <w:p w14:paraId="1AC674F9" w14:textId="5B7108E0" w:rsidR="006D0C40" w:rsidRDefault="00C94913" w:rsidP="00B349C3">
      <w:pPr>
        <w:spacing w:after="0" w:line="264" w:lineRule="auto"/>
        <w:jc w:val="both"/>
        <w:rPr>
          <w:sz w:val="20"/>
          <w:szCs w:val="20"/>
        </w:rPr>
      </w:pPr>
      <w:r w:rsidRPr="00A23BA8">
        <w:rPr>
          <w:rFonts w:ascii="Times New Roman" w:hAnsi="Times New Roman"/>
          <w:b/>
          <w:sz w:val="20"/>
          <w:szCs w:val="20"/>
        </w:rPr>
        <w:t xml:space="preserve">Hlavným faktorom skokového nárastu zadlženia </w:t>
      </w:r>
      <w:r w:rsidR="006B20F9" w:rsidRPr="00A23BA8">
        <w:rPr>
          <w:rFonts w:ascii="Times New Roman" w:hAnsi="Times New Roman"/>
          <w:b/>
          <w:sz w:val="20"/>
          <w:szCs w:val="20"/>
        </w:rPr>
        <w:t xml:space="preserve">v poslednom období </w:t>
      </w:r>
      <w:r w:rsidRPr="00A23BA8">
        <w:rPr>
          <w:rFonts w:ascii="Times New Roman" w:hAnsi="Times New Roman"/>
          <w:b/>
          <w:sz w:val="20"/>
          <w:szCs w:val="20"/>
        </w:rPr>
        <w:t xml:space="preserve">je pandémia </w:t>
      </w:r>
      <w:r w:rsidR="001F67A6" w:rsidRPr="00A23BA8">
        <w:rPr>
          <w:rFonts w:ascii="Times New Roman" w:hAnsi="Times New Roman"/>
          <w:b/>
          <w:sz w:val="20"/>
          <w:szCs w:val="20"/>
        </w:rPr>
        <w:t xml:space="preserve">COVID-19, </w:t>
      </w:r>
      <w:r w:rsidRPr="00A23BA8">
        <w:rPr>
          <w:rFonts w:ascii="Times New Roman" w:hAnsi="Times New Roman"/>
          <w:b/>
          <w:sz w:val="20"/>
          <w:szCs w:val="20"/>
        </w:rPr>
        <w:t>ktorá si vyžiadala</w:t>
      </w:r>
      <w:r w:rsidR="001F67A6" w:rsidRPr="00A23BA8">
        <w:rPr>
          <w:rFonts w:ascii="Times New Roman" w:hAnsi="Times New Roman"/>
          <w:b/>
          <w:sz w:val="20"/>
          <w:szCs w:val="20"/>
        </w:rPr>
        <w:t xml:space="preserve"> výdavky na priamu pomoc v boji s koronavírusom v celkovom objeme 4,9 % HDP. </w:t>
      </w:r>
      <w:r w:rsidR="001F67A6" w:rsidRPr="00A23BA8">
        <w:rPr>
          <w:rFonts w:ascii="Times New Roman" w:hAnsi="Times New Roman"/>
          <w:sz w:val="20"/>
          <w:szCs w:val="20"/>
        </w:rPr>
        <w:t>K skokovému nárastu dlhu v pomere k HDP o</w:t>
      </w:r>
      <w:r w:rsidR="001465D9" w:rsidRPr="00A23BA8">
        <w:rPr>
          <w:rFonts w:ascii="Times New Roman" w:hAnsi="Times New Roman"/>
          <w:sz w:val="20"/>
          <w:szCs w:val="20"/>
        </w:rPr>
        <w:t xml:space="preserve"> vyše 14 </w:t>
      </w:r>
      <w:r w:rsidR="001F67A6" w:rsidRPr="00A23BA8">
        <w:rPr>
          <w:rFonts w:ascii="Times New Roman" w:hAnsi="Times New Roman"/>
          <w:sz w:val="20"/>
          <w:szCs w:val="20"/>
        </w:rPr>
        <w:t>p</w:t>
      </w:r>
      <w:r w:rsidR="001465D9" w:rsidRPr="00A23BA8">
        <w:rPr>
          <w:rFonts w:ascii="Times New Roman" w:hAnsi="Times New Roman"/>
          <w:sz w:val="20"/>
          <w:szCs w:val="20"/>
        </w:rPr>
        <w:t>ercentuálnych bodov (p</w:t>
      </w:r>
      <w:r w:rsidR="001F67A6" w:rsidRPr="00A23BA8">
        <w:rPr>
          <w:rFonts w:ascii="Times New Roman" w:hAnsi="Times New Roman"/>
          <w:sz w:val="20"/>
          <w:szCs w:val="20"/>
        </w:rPr>
        <w:t>. b.</w:t>
      </w:r>
      <w:r w:rsidR="001465D9" w:rsidRPr="00A23BA8">
        <w:rPr>
          <w:rFonts w:ascii="Times New Roman" w:hAnsi="Times New Roman"/>
          <w:sz w:val="20"/>
          <w:szCs w:val="20"/>
        </w:rPr>
        <w:t>)</w:t>
      </w:r>
      <w:r w:rsidR="001F67A6" w:rsidRPr="00A23BA8">
        <w:rPr>
          <w:rFonts w:ascii="Times New Roman" w:hAnsi="Times New Roman"/>
          <w:sz w:val="20"/>
          <w:szCs w:val="20"/>
        </w:rPr>
        <w:t xml:space="preserve"> došlo </w:t>
      </w:r>
      <w:r w:rsidR="008C7185" w:rsidRPr="00A23BA8">
        <w:rPr>
          <w:rFonts w:ascii="Times New Roman" w:hAnsi="Times New Roman"/>
          <w:sz w:val="20"/>
          <w:szCs w:val="20"/>
        </w:rPr>
        <w:t>v posledných dvoch rokoch</w:t>
      </w:r>
      <w:r w:rsidR="001D5442" w:rsidRPr="00A23BA8">
        <w:rPr>
          <w:rFonts w:ascii="Times New Roman" w:hAnsi="Times New Roman"/>
          <w:sz w:val="20"/>
          <w:szCs w:val="20"/>
        </w:rPr>
        <w:t xml:space="preserve"> (</w:t>
      </w:r>
      <w:r w:rsidR="001D5442" w:rsidRPr="00A23BA8">
        <w:rPr>
          <w:rFonts w:ascii="Times New Roman" w:hAnsi="Times New Roman"/>
          <w:b/>
          <w:color w:val="2C9ADC" w:themeColor="accent1"/>
          <w:sz w:val="20"/>
          <w:szCs w:val="20"/>
        </w:rPr>
        <w:t>GRAF 2</w:t>
      </w:r>
      <w:r w:rsidR="001D5442" w:rsidRPr="00A23BA8">
        <w:rPr>
          <w:rFonts w:ascii="Times New Roman" w:hAnsi="Times New Roman"/>
          <w:sz w:val="20"/>
          <w:szCs w:val="20"/>
        </w:rPr>
        <w:t>)</w:t>
      </w:r>
      <w:r w:rsidR="001F67A6" w:rsidRPr="00A23BA8">
        <w:rPr>
          <w:rFonts w:ascii="Times New Roman" w:hAnsi="Times New Roman"/>
          <w:sz w:val="20"/>
          <w:szCs w:val="20"/>
        </w:rPr>
        <w:t xml:space="preserve">, čoho hlavnou príčinou boli </w:t>
      </w:r>
      <w:r w:rsidR="008C7185" w:rsidRPr="00A23BA8">
        <w:rPr>
          <w:rFonts w:ascii="Times New Roman" w:hAnsi="Times New Roman"/>
          <w:sz w:val="20"/>
          <w:szCs w:val="20"/>
        </w:rPr>
        <w:t xml:space="preserve">vysoké </w:t>
      </w:r>
      <w:r w:rsidR="001F67A6" w:rsidRPr="00A23BA8">
        <w:rPr>
          <w:rFonts w:ascii="Times New Roman" w:hAnsi="Times New Roman"/>
          <w:sz w:val="20"/>
          <w:szCs w:val="20"/>
        </w:rPr>
        <w:t>deficit</w:t>
      </w:r>
      <w:r w:rsidR="008C7185" w:rsidRPr="00A23BA8">
        <w:rPr>
          <w:rFonts w:ascii="Times New Roman" w:hAnsi="Times New Roman"/>
          <w:sz w:val="20"/>
          <w:szCs w:val="20"/>
        </w:rPr>
        <w:t>y</w:t>
      </w:r>
      <w:r w:rsidR="001F67A6" w:rsidRPr="00A23BA8">
        <w:rPr>
          <w:rFonts w:ascii="Times New Roman" w:hAnsi="Times New Roman"/>
          <w:sz w:val="20"/>
          <w:szCs w:val="20"/>
        </w:rPr>
        <w:t xml:space="preserve"> verejných financií </w:t>
      </w:r>
      <w:r w:rsidR="00B97677" w:rsidRPr="00A23BA8">
        <w:rPr>
          <w:rFonts w:ascii="Times New Roman" w:hAnsi="Times New Roman"/>
          <w:sz w:val="20"/>
          <w:szCs w:val="20"/>
        </w:rPr>
        <w:t xml:space="preserve">predovšetkým </w:t>
      </w:r>
      <w:r w:rsidR="001F67A6" w:rsidRPr="00A23BA8">
        <w:rPr>
          <w:rFonts w:ascii="Times New Roman" w:hAnsi="Times New Roman"/>
          <w:sz w:val="20"/>
          <w:szCs w:val="20"/>
        </w:rPr>
        <w:t>reagujúc</w:t>
      </w:r>
      <w:r w:rsidR="008C7185" w:rsidRPr="00A23BA8">
        <w:rPr>
          <w:rFonts w:ascii="Times New Roman" w:hAnsi="Times New Roman"/>
          <w:sz w:val="20"/>
          <w:szCs w:val="20"/>
        </w:rPr>
        <w:t>e</w:t>
      </w:r>
      <w:r w:rsidR="001F67A6" w:rsidRPr="00A23BA8">
        <w:rPr>
          <w:rFonts w:ascii="Times New Roman" w:hAnsi="Times New Roman"/>
          <w:sz w:val="20"/>
          <w:szCs w:val="20"/>
        </w:rPr>
        <w:t xml:space="preserve"> na pandémiu </w:t>
      </w:r>
      <w:r w:rsidR="008C7185" w:rsidRPr="00A23BA8">
        <w:rPr>
          <w:rFonts w:ascii="Times New Roman" w:hAnsi="Times New Roman"/>
          <w:sz w:val="20"/>
          <w:szCs w:val="20"/>
        </w:rPr>
        <w:t xml:space="preserve">koronavírusu (10,8 p. b.). Výdavky vynaložené na </w:t>
      </w:r>
      <w:r w:rsidR="007C32E7" w:rsidRPr="00A23BA8">
        <w:rPr>
          <w:rFonts w:ascii="Times New Roman" w:hAnsi="Times New Roman"/>
          <w:sz w:val="20"/>
          <w:szCs w:val="20"/>
        </w:rPr>
        <w:t xml:space="preserve">pandemickú </w:t>
      </w:r>
      <w:r w:rsidR="008C7185" w:rsidRPr="00A23BA8">
        <w:rPr>
          <w:rFonts w:ascii="Times New Roman" w:hAnsi="Times New Roman"/>
          <w:sz w:val="20"/>
          <w:szCs w:val="20"/>
        </w:rPr>
        <w:t xml:space="preserve">podporu zamestnanosti, náhradu príjmov formou sociálnych dávok a do zdravotníctva dosiahli celkovo 4,9 % HDP. </w:t>
      </w:r>
      <w:r w:rsidR="002A70C2" w:rsidRPr="00A23BA8">
        <w:rPr>
          <w:rFonts w:ascii="Times New Roman" w:hAnsi="Times New Roman"/>
          <w:sz w:val="20"/>
          <w:szCs w:val="20"/>
        </w:rPr>
        <w:t>K nárastu dlhu v pomere k HDP prispelo aj z</w:t>
      </w:r>
      <w:r w:rsidR="001F67A6" w:rsidRPr="00A23BA8">
        <w:rPr>
          <w:rFonts w:ascii="Times New Roman" w:hAnsi="Times New Roman"/>
          <w:sz w:val="20"/>
          <w:szCs w:val="20"/>
        </w:rPr>
        <w:t xml:space="preserve">výšenie </w:t>
      </w:r>
      <w:r w:rsidR="00645192" w:rsidRPr="00A23BA8">
        <w:rPr>
          <w:rFonts w:ascii="Times New Roman" w:hAnsi="Times New Roman"/>
          <w:sz w:val="20"/>
          <w:szCs w:val="20"/>
        </w:rPr>
        <w:t>likvidných finančných aktív štátu</w:t>
      </w:r>
      <w:r w:rsidR="001F67A6" w:rsidRPr="00A23BA8">
        <w:rPr>
          <w:rFonts w:ascii="Times New Roman" w:hAnsi="Times New Roman"/>
          <w:sz w:val="20"/>
          <w:szCs w:val="20"/>
        </w:rPr>
        <w:t>, ktor</w:t>
      </w:r>
      <w:r w:rsidR="00645192" w:rsidRPr="00A23BA8">
        <w:rPr>
          <w:rFonts w:ascii="Times New Roman" w:hAnsi="Times New Roman"/>
          <w:sz w:val="20"/>
          <w:szCs w:val="20"/>
        </w:rPr>
        <w:t>é</w:t>
      </w:r>
      <w:r w:rsidR="001F67A6" w:rsidRPr="00A23BA8">
        <w:rPr>
          <w:rFonts w:ascii="Times New Roman" w:hAnsi="Times New Roman"/>
          <w:sz w:val="20"/>
          <w:szCs w:val="20"/>
        </w:rPr>
        <w:t xml:space="preserve"> sa nevyužil</w:t>
      </w:r>
      <w:r w:rsidR="00645192" w:rsidRPr="00A23BA8">
        <w:rPr>
          <w:rFonts w:ascii="Times New Roman" w:hAnsi="Times New Roman"/>
          <w:sz w:val="20"/>
          <w:szCs w:val="20"/>
        </w:rPr>
        <w:t>i</w:t>
      </w:r>
      <w:r w:rsidR="001F67A6" w:rsidRPr="00A23BA8">
        <w:rPr>
          <w:rFonts w:ascii="Times New Roman" w:hAnsi="Times New Roman"/>
          <w:sz w:val="20"/>
          <w:szCs w:val="20"/>
        </w:rPr>
        <w:t xml:space="preserve"> na krytie vysok</w:t>
      </w:r>
      <w:r w:rsidR="002A70C2" w:rsidRPr="00A23BA8">
        <w:rPr>
          <w:rFonts w:ascii="Times New Roman" w:hAnsi="Times New Roman"/>
          <w:sz w:val="20"/>
          <w:szCs w:val="20"/>
        </w:rPr>
        <w:t>ých</w:t>
      </w:r>
      <w:r w:rsidR="001F67A6" w:rsidRPr="00A23BA8">
        <w:rPr>
          <w:rFonts w:ascii="Times New Roman" w:hAnsi="Times New Roman"/>
          <w:sz w:val="20"/>
          <w:szCs w:val="20"/>
        </w:rPr>
        <w:t xml:space="preserve"> očakávan</w:t>
      </w:r>
      <w:r w:rsidR="002A70C2" w:rsidRPr="00A23BA8">
        <w:rPr>
          <w:rFonts w:ascii="Times New Roman" w:hAnsi="Times New Roman"/>
          <w:sz w:val="20"/>
          <w:szCs w:val="20"/>
        </w:rPr>
        <w:t>ých</w:t>
      </w:r>
      <w:r w:rsidR="001F67A6" w:rsidRPr="00A23BA8">
        <w:rPr>
          <w:rFonts w:ascii="Times New Roman" w:hAnsi="Times New Roman"/>
          <w:sz w:val="20"/>
          <w:szCs w:val="20"/>
        </w:rPr>
        <w:t xml:space="preserve"> schodk</w:t>
      </w:r>
      <w:r w:rsidR="002A70C2" w:rsidRPr="00A23BA8">
        <w:rPr>
          <w:rFonts w:ascii="Times New Roman" w:hAnsi="Times New Roman"/>
          <w:sz w:val="20"/>
          <w:szCs w:val="20"/>
        </w:rPr>
        <w:t>ov verejnej správy</w:t>
      </w:r>
      <w:r w:rsidR="00645192" w:rsidRPr="00A23BA8">
        <w:rPr>
          <w:rFonts w:ascii="Times New Roman" w:hAnsi="Times New Roman"/>
          <w:sz w:val="20"/>
          <w:szCs w:val="20"/>
        </w:rPr>
        <w:t xml:space="preserve"> a v 2021 dosiahli objem </w:t>
      </w:r>
      <w:r w:rsidR="007C32E7" w:rsidRPr="00A23BA8">
        <w:rPr>
          <w:rFonts w:ascii="Times New Roman" w:hAnsi="Times New Roman"/>
          <w:sz w:val="20"/>
          <w:szCs w:val="20"/>
        </w:rPr>
        <w:t xml:space="preserve">až </w:t>
      </w:r>
      <w:r w:rsidR="00645192" w:rsidRPr="00A23BA8">
        <w:rPr>
          <w:rFonts w:ascii="Times New Roman" w:hAnsi="Times New Roman"/>
          <w:sz w:val="20"/>
          <w:szCs w:val="20"/>
        </w:rPr>
        <w:t>11,6 % HDP</w:t>
      </w:r>
      <w:r w:rsidR="001F67A6" w:rsidRPr="00A23BA8">
        <w:rPr>
          <w:rFonts w:ascii="Times New Roman" w:hAnsi="Times New Roman"/>
          <w:sz w:val="20"/>
          <w:szCs w:val="20"/>
        </w:rPr>
        <w:t xml:space="preserve">. </w:t>
      </w:r>
      <w:r w:rsidR="00B97677" w:rsidRPr="00A23BA8">
        <w:rPr>
          <w:rFonts w:ascii="Times New Roman" w:hAnsi="Times New Roman"/>
          <w:sz w:val="20"/>
          <w:szCs w:val="20"/>
        </w:rPr>
        <w:t>Časť z nárastu týchto aktív tvorili vklady subjektov mimo sektora verejnej správy</w:t>
      </w:r>
      <w:r w:rsidR="0079328B" w:rsidRPr="00A23BA8">
        <w:rPr>
          <w:rFonts w:ascii="Times New Roman" w:hAnsi="Times New Roman"/>
          <w:sz w:val="20"/>
          <w:szCs w:val="20"/>
        </w:rPr>
        <w:t xml:space="preserve"> (1,6 p. b.)</w:t>
      </w:r>
      <w:r w:rsidR="00571217" w:rsidRPr="00A23BA8">
        <w:rPr>
          <w:rStyle w:val="Odkaznapoznmkupodiarou"/>
          <w:rFonts w:ascii="Times New Roman" w:hAnsi="Times New Roman"/>
          <w:sz w:val="20"/>
          <w:szCs w:val="20"/>
        </w:rPr>
        <w:footnoteReference w:id="4"/>
      </w:r>
      <w:r w:rsidR="00B97677" w:rsidRPr="00A23BA8">
        <w:rPr>
          <w:rFonts w:ascii="Times New Roman" w:hAnsi="Times New Roman"/>
          <w:sz w:val="20"/>
          <w:szCs w:val="20"/>
        </w:rPr>
        <w:t xml:space="preserve">, ktoré najmä v poslednom štvrťroku 2021 ukladali </w:t>
      </w:r>
      <w:r w:rsidR="00571217" w:rsidRPr="00A23BA8">
        <w:rPr>
          <w:rFonts w:ascii="Times New Roman" w:hAnsi="Times New Roman"/>
          <w:sz w:val="20"/>
          <w:szCs w:val="20"/>
        </w:rPr>
        <w:t xml:space="preserve">finančné </w:t>
      </w:r>
      <w:r w:rsidR="00B97677" w:rsidRPr="00A23BA8">
        <w:rPr>
          <w:rFonts w:ascii="Times New Roman" w:hAnsi="Times New Roman"/>
          <w:sz w:val="20"/>
          <w:szCs w:val="20"/>
        </w:rPr>
        <w:t>zdroje v Štátnej pokladnici</w:t>
      </w:r>
      <w:r w:rsidR="00571217" w:rsidRPr="00A23BA8">
        <w:rPr>
          <w:rFonts w:ascii="Times New Roman" w:hAnsi="Times New Roman"/>
          <w:sz w:val="20"/>
          <w:szCs w:val="20"/>
        </w:rPr>
        <w:t xml:space="preserve"> s negatívnym vplyvom na hrubý dlh</w:t>
      </w:r>
      <w:r w:rsidR="00571217" w:rsidRPr="00A23BA8">
        <w:rPr>
          <w:rStyle w:val="Odkaznapoznmkupodiarou"/>
          <w:rFonts w:ascii="Times New Roman" w:hAnsi="Times New Roman"/>
          <w:sz w:val="20"/>
          <w:szCs w:val="20"/>
        </w:rPr>
        <w:footnoteReference w:id="5"/>
      </w:r>
      <w:r w:rsidR="00B97677" w:rsidRPr="00A23BA8">
        <w:rPr>
          <w:rFonts w:ascii="Times New Roman" w:hAnsi="Times New Roman"/>
          <w:sz w:val="20"/>
          <w:szCs w:val="20"/>
        </w:rPr>
        <w:t>.</w:t>
      </w:r>
    </w:p>
    <w:tbl>
      <w:tblPr>
        <w:tblW w:w="887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674"/>
        <w:gridCol w:w="4196"/>
      </w:tblGrid>
      <w:tr w:rsidR="006D0C40" w:rsidRPr="001D1AF2" w14:paraId="0E22FEA4" w14:textId="77777777" w:rsidTr="002600DF">
        <w:trPr>
          <w:trHeight w:val="3480"/>
          <w:jc w:val="center"/>
        </w:trPr>
        <w:tc>
          <w:tcPr>
            <w:tcW w:w="4674" w:type="dxa"/>
            <w:tcBorders>
              <w:top w:val="single" w:sz="4" w:space="0" w:color="000000"/>
              <w:left w:val="nil"/>
              <w:bottom w:val="single" w:sz="4" w:space="0" w:color="auto"/>
              <w:right w:val="nil"/>
            </w:tcBorders>
            <w:shd w:val="clear" w:color="auto" w:fill="auto"/>
            <w:vAlign w:val="center"/>
          </w:tcPr>
          <w:p w14:paraId="1DB3080C" w14:textId="31A09305" w:rsidR="006D0C40" w:rsidRPr="00512DB6" w:rsidRDefault="00BD6C6D" w:rsidP="00085B85">
            <w:pPr>
              <w:spacing w:before="40" w:after="40"/>
              <w:rPr>
                <w:sz w:val="20"/>
                <w:szCs w:val="20"/>
              </w:rPr>
            </w:pPr>
            <w:r>
              <w:rPr>
                <w:noProof/>
                <w:lang w:eastAsia="sk-SK"/>
              </w:rPr>
              <mc:AlternateContent>
                <mc:Choice Requires="wps">
                  <w:drawing>
                    <wp:anchor distT="45720" distB="45720" distL="114300" distR="114300" simplePos="0" relativeHeight="251671552" behindDoc="0" locked="0" layoutInCell="1" allowOverlap="1" wp14:anchorId="1BAF2031" wp14:editId="57515E11">
                      <wp:simplePos x="0" y="0"/>
                      <wp:positionH relativeFrom="leftMargin">
                        <wp:posOffset>1569085</wp:posOffset>
                      </wp:positionH>
                      <wp:positionV relativeFrom="paragraph">
                        <wp:posOffset>1060450</wp:posOffset>
                      </wp:positionV>
                      <wp:extent cx="469900" cy="1028700"/>
                      <wp:effectExtent l="0" t="0" r="0" b="0"/>
                      <wp:wrapNone/>
                      <wp:docPr id="2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1028700"/>
                              </a:xfrm>
                              <a:prstGeom prst="rect">
                                <a:avLst/>
                              </a:prstGeom>
                              <a:noFill/>
                              <a:ln w="9525">
                                <a:noFill/>
                                <a:miter lim="800000"/>
                                <a:headEnd/>
                                <a:tailEnd/>
                              </a:ln>
                            </wps:spPr>
                            <wps:txbx>
                              <w:txbxContent>
                                <w:p w14:paraId="023EA828" w14:textId="595B0865" w:rsidR="00BD6C6D" w:rsidRPr="00512DB6" w:rsidRDefault="00BD6C6D" w:rsidP="006D0C40">
                                  <w:pPr>
                                    <w:jc w:val="center"/>
                                    <w:rPr>
                                      <w:b/>
                                      <w:color w:val="438042" w:themeColor="accent3" w:themeShade="80"/>
                                      <w:sz w:val="14"/>
                                    </w:rPr>
                                  </w:pPr>
                                  <w:r w:rsidRPr="00512DB6">
                                    <w:rPr>
                                      <w:b/>
                                      <w:color w:val="438042" w:themeColor="accent3" w:themeShade="80"/>
                                      <w:sz w:val="14"/>
                                    </w:rPr>
                                    <w:t>Faktory znižujúce</w:t>
                                  </w:r>
                                  <w:r>
                                    <w:rPr>
                                      <w:b/>
                                      <w:color w:val="438042" w:themeColor="accent3" w:themeShade="80"/>
                                      <w:sz w:val="14"/>
                                    </w:rPr>
                                    <w:br/>
                                  </w:r>
                                  <w:r w:rsidRPr="00512DB6">
                                    <w:rPr>
                                      <w:b/>
                                      <w:color w:val="438042" w:themeColor="accent3" w:themeShade="80"/>
                                      <w:sz w:val="14"/>
                                    </w:rPr>
                                    <w:t>hrubý</w:t>
                                  </w:r>
                                  <w:r>
                                    <w:rPr>
                                      <w:b/>
                                      <w:color w:val="438042" w:themeColor="accent3" w:themeShade="80"/>
                                      <w:sz w:val="14"/>
                                    </w:rPr>
                                    <w:t xml:space="preserve"> </w:t>
                                  </w:r>
                                  <w:r w:rsidRPr="00512DB6">
                                    <w:rPr>
                                      <w:b/>
                                      <w:color w:val="438042" w:themeColor="accent3" w:themeShade="80"/>
                                      <w:sz w:val="14"/>
                                    </w:rPr>
                                    <w:t>dlh na HDP</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F2031" id="_x0000_s1027" type="#_x0000_t202" style="position:absolute;margin-left:123.55pt;margin-top:83.5pt;width:37pt;height:81pt;z-index:25167155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" filled="f" stroked="f">
                      <v:textbox style="layout-flow:vertical;mso-layout-flow-alt:bottom-to-top">
                        <w:txbxContent>
                          <w:p w14:paraId="023EA828" w14:textId="595B0865" w:rsidR="00BD6C6D" w:rsidRPr="00512DB6" w:rsidRDefault="00BD6C6D" w:rsidP="006D0C40">
                            <w:pPr>
                              <w:jc w:val="center"/>
                              <w:rPr>
                                <w:b/>
                                <w:color w:val="438042" w:themeColor="accent3" w:themeShade="80"/>
                                <w:sz w:val="14"/>
                              </w:rPr>
                            </w:pPr>
                            <w:r w:rsidRPr="00512DB6">
                              <w:rPr>
                                <w:b/>
                                <w:color w:val="438042" w:themeColor="accent3" w:themeShade="80"/>
                                <w:sz w:val="14"/>
                              </w:rPr>
                              <w:t>Faktory znižujúce</w:t>
                            </w:r>
                            <w:r>
                              <w:rPr>
                                <w:b/>
                                <w:color w:val="438042" w:themeColor="accent3" w:themeShade="80"/>
                                <w:sz w:val="14"/>
                              </w:rPr>
                              <w:br/>
                            </w:r>
                            <w:r w:rsidRPr="00512DB6">
                              <w:rPr>
                                <w:b/>
                                <w:color w:val="438042" w:themeColor="accent3" w:themeShade="80"/>
                                <w:sz w:val="14"/>
                              </w:rPr>
                              <w:t>hrubý</w:t>
                            </w:r>
                            <w:r>
                              <w:rPr>
                                <w:b/>
                                <w:color w:val="438042" w:themeColor="accent3" w:themeShade="80"/>
                                <w:sz w:val="14"/>
                              </w:rPr>
                              <w:t xml:space="preserve"> </w:t>
                            </w:r>
                            <w:r w:rsidRPr="00512DB6">
                              <w:rPr>
                                <w:b/>
                                <w:color w:val="438042" w:themeColor="accent3" w:themeShade="80"/>
                                <w:sz w:val="14"/>
                              </w:rPr>
                              <w:t>dlh na HDP</w:t>
                            </w:r>
                          </w:p>
                        </w:txbxContent>
                      </v:textbox>
                      <w10:wrap anchorx="margin"/>
                    </v:shape>
                  </w:pict>
                </mc:Fallback>
              </mc:AlternateContent>
            </w:r>
            <w:r>
              <w:rPr>
                <w:noProof/>
                <w:lang w:eastAsia="sk-SK"/>
              </w:rPr>
              <mc:AlternateContent>
                <mc:Choice Requires="wps">
                  <w:drawing>
                    <wp:anchor distT="0" distB="0" distL="114300" distR="114300" simplePos="0" relativeHeight="251676672" behindDoc="0" locked="0" layoutInCell="1" allowOverlap="1" wp14:anchorId="0629889F" wp14:editId="2A9C6D60">
                      <wp:simplePos x="0" y="0"/>
                      <wp:positionH relativeFrom="column">
                        <wp:posOffset>1406525</wp:posOffset>
                      </wp:positionH>
                      <wp:positionV relativeFrom="paragraph">
                        <wp:posOffset>1303020</wp:posOffset>
                      </wp:positionV>
                      <wp:extent cx="190500" cy="457200"/>
                      <wp:effectExtent l="0" t="0" r="0" b="0"/>
                      <wp:wrapNone/>
                      <wp:docPr id="31" name="Šípka nahor 31"/>
                      <wp:cNvGraphicFramePr/>
                      <a:graphic xmlns:a="http://schemas.openxmlformats.org/drawingml/2006/main">
                        <a:graphicData uri="http://schemas.microsoft.com/office/word/2010/wordprocessingShape">
                          <wps:wsp>
                            <wps:cNvSpPr/>
                            <wps:spPr>
                              <a:xfrm rot="10800000">
                                <a:off x="0" y="0"/>
                                <a:ext cx="190500" cy="457200"/>
                              </a:xfrm>
                              <a:prstGeom prst="upArrow">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F0F533" w14:textId="77777777" w:rsidR="00BD6C6D" w:rsidRDefault="00BD6C6D" w:rsidP="00512D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9889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Šípka nahor 31" o:spid="_x0000_s1028" type="#_x0000_t68" style="position:absolute;margin-left:110.75pt;margin-top:102.6pt;width:15pt;height:36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" adj="4500" fillcolor="#438041 [1606]" stroked="f" strokeweight="2pt">
                      <v:textbox>
                        <w:txbxContent>
                          <w:p w14:paraId="2FF0F533" w14:textId="77777777" w:rsidR="00BD6C6D" w:rsidRDefault="00BD6C6D" w:rsidP="00512DB6">
                            <w:pPr>
                              <w:jc w:val="center"/>
                            </w:pPr>
                          </w:p>
                        </w:txbxContent>
                      </v:textbox>
                    </v:shape>
                  </w:pict>
                </mc:Fallback>
              </mc:AlternateContent>
            </w:r>
            <w:r>
              <w:rPr>
                <w:noProof/>
                <w:lang w:eastAsia="sk-SK"/>
              </w:rPr>
              <mc:AlternateContent>
                <mc:Choice Requires="wps">
                  <w:drawing>
                    <wp:anchor distT="45720" distB="45720" distL="114300" distR="114300" simplePos="0" relativeHeight="251673600" behindDoc="0" locked="0" layoutInCell="1" allowOverlap="1" wp14:anchorId="6218B9B0" wp14:editId="6FA3E148">
                      <wp:simplePos x="0" y="0"/>
                      <wp:positionH relativeFrom="leftMargin">
                        <wp:posOffset>1564005</wp:posOffset>
                      </wp:positionH>
                      <wp:positionV relativeFrom="paragraph">
                        <wp:posOffset>280670</wp:posOffset>
                      </wp:positionV>
                      <wp:extent cx="408940" cy="1028700"/>
                      <wp:effectExtent l="0" t="0" r="0" b="0"/>
                      <wp:wrapNone/>
                      <wp:docPr id="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1028700"/>
                              </a:xfrm>
                              <a:prstGeom prst="rect">
                                <a:avLst/>
                              </a:prstGeom>
                              <a:noFill/>
                              <a:ln w="9525">
                                <a:noFill/>
                                <a:miter lim="800000"/>
                                <a:headEnd/>
                                <a:tailEnd/>
                              </a:ln>
                            </wps:spPr>
                            <wps:txbx>
                              <w:txbxContent>
                                <w:p w14:paraId="1B1510AA" w14:textId="6C8D161F" w:rsidR="00BD6C6D" w:rsidRPr="00512DB6" w:rsidRDefault="00BD6C6D" w:rsidP="006D0C40">
                                  <w:pPr>
                                    <w:jc w:val="center"/>
                                    <w:rPr>
                                      <w:b/>
                                      <w:color w:val="FF0000"/>
                                      <w:sz w:val="14"/>
                                    </w:rPr>
                                  </w:pPr>
                                  <w:r w:rsidRPr="00512DB6">
                                    <w:rPr>
                                      <w:b/>
                                      <w:color w:val="FF0000"/>
                                      <w:sz w:val="14"/>
                                    </w:rPr>
                                    <w:t>Faktory zvyšujúce</w:t>
                                  </w:r>
                                  <w:r>
                                    <w:rPr>
                                      <w:b/>
                                      <w:color w:val="FF0000"/>
                                      <w:sz w:val="14"/>
                                    </w:rPr>
                                    <w:t xml:space="preserve"> </w:t>
                                  </w:r>
                                  <w:r>
                                    <w:rPr>
                                      <w:b/>
                                      <w:color w:val="FF0000"/>
                                      <w:sz w:val="14"/>
                                    </w:rPr>
                                    <w:br/>
                                  </w:r>
                                  <w:r w:rsidRPr="00512DB6">
                                    <w:rPr>
                                      <w:b/>
                                      <w:color w:val="FF0000"/>
                                      <w:sz w:val="14"/>
                                    </w:rPr>
                                    <w:t>hrubý</w:t>
                                  </w:r>
                                  <w:r>
                                    <w:rPr>
                                      <w:b/>
                                      <w:color w:val="FF0000"/>
                                      <w:sz w:val="14"/>
                                    </w:rPr>
                                    <w:t xml:space="preserve"> </w:t>
                                  </w:r>
                                  <w:r w:rsidRPr="00512DB6">
                                    <w:rPr>
                                      <w:b/>
                                      <w:color w:val="FF0000"/>
                                      <w:sz w:val="14"/>
                                    </w:rPr>
                                    <w:t>dlh na HDP</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8B9B0" id="_x0000_s1029" type="#_x0000_t202" style="position:absolute;margin-left:123.15pt;margin-top:22.1pt;width:32.2pt;height:81pt;z-index:25167360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" filled="f" stroked="f">
                      <v:textbox style="layout-flow:vertical;mso-layout-flow-alt:bottom-to-top">
                        <w:txbxContent>
                          <w:p w14:paraId="1B1510AA" w14:textId="6C8D161F" w:rsidR="00BD6C6D" w:rsidRPr="00512DB6" w:rsidRDefault="00BD6C6D" w:rsidP="006D0C40">
                            <w:pPr>
                              <w:jc w:val="center"/>
                              <w:rPr>
                                <w:b/>
                                <w:color w:val="FF0000"/>
                                <w:sz w:val="14"/>
                              </w:rPr>
                            </w:pPr>
                            <w:r w:rsidRPr="00512DB6">
                              <w:rPr>
                                <w:b/>
                                <w:color w:val="FF0000"/>
                                <w:sz w:val="14"/>
                              </w:rPr>
                              <w:t>Faktory zvyšujúce</w:t>
                            </w:r>
                            <w:r>
                              <w:rPr>
                                <w:b/>
                                <w:color w:val="FF0000"/>
                                <w:sz w:val="14"/>
                              </w:rPr>
                              <w:t xml:space="preserve"> </w:t>
                            </w:r>
                            <w:r>
                              <w:rPr>
                                <w:b/>
                                <w:color w:val="FF0000"/>
                                <w:sz w:val="14"/>
                              </w:rPr>
                              <w:br/>
                            </w:r>
                            <w:r w:rsidRPr="00512DB6">
                              <w:rPr>
                                <w:b/>
                                <w:color w:val="FF0000"/>
                                <w:sz w:val="14"/>
                              </w:rPr>
                              <w:t>hrubý</w:t>
                            </w:r>
                            <w:r>
                              <w:rPr>
                                <w:b/>
                                <w:color w:val="FF0000"/>
                                <w:sz w:val="14"/>
                              </w:rPr>
                              <w:t xml:space="preserve"> </w:t>
                            </w:r>
                            <w:r w:rsidRPr="00512DB6">
                              <w:rPr>
                                <w:b/>
                                <w:color w:val="FF0000"/>
                                <w:sz w:val="14"/>
                              </w:rPr>
                              <w:t>dlh na HDP</w:t>
                            </w:r>
                          </w:p>
                        </w:txbxContent>
                      </v:textbox>
                      <w10:wrap anchorx="margin"/>
                    </v:shape>
                  </w:pict>
                </mc:Fallback>
              </mc:AlternateContent>
            </w:r>
            <w:r>
              <w:rPr>
                <w:noProof/>
                <w:lang w:eastAsia="sk-SK"/>
              </w:rPr>
              <mc:AlternateContent>
                <mc:Choice Requires="wps">
                  <w:drawing>
                    <wp:anchor distT="0" distB="0" distL="114300" distR="114300" simplePos="0" relativeHeight="251674624" behindDoc="0" locked="0" layoutInCell="1" allowOverlap="1" wp14:anchorId="6874F409" wp14:editId="546CCAFA">
                      <wp:simplePos x="0" y="0"/>
                      <wp:positionH relativeFrom="column">
                        <wp:posOffset>1406525</wp:posOffset>
                      </wp:positionH>
                      <wp:positionV relativeFrom="paragraph">
                        <wp:posOffset>506730</wp:posOffset>
                      </wp:positionV>
                      <wp:extent cx="190500" cy="457200"/>
                      <wp:effectExtent l="0" t="0" r="0" b="0"/>
                      <wp:wrapNone/>
                      <wp:docPr id="30" name="Šípka nahor 30"/>
                      <wp:cNvGraphicFramePr/>
                      <a:graphic xmlns:a="http://schemas.openxmlformats.org/drawingml/2006/main">
                        <a:graphicData uri="http://schemas.microsoft.com/office/word/2010/wordprocessingShape">
                          <wps:wsp>
                            <wps:cNvSpPr/>
                            <wps:spPr>
                              <a:xfrm>
                                <a:off x="0" y="0"/>
                                <a:ext cx="190500" cy="457200"/>
                              </a:xfrm>
                              <a:prstGeom prst="up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EA87AA" w14:textId="77777777" w:rsidR="00BD6C6D" w:rsidRDefault="00BD6C6D" w:rsidP="00512D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4F409" id="Šípka nahor 30" o:spid="_x0000_s1030" type="#_x0000_t68" style="position:absolute;margin-left:110.75pt;margin-top:39.9pt;width:1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" adj="4500" fillcolor="red" stroked="f" strokeweight="2pt">
                      <v:textbox>
                        <w:txbxContent>
                          <w:p w14:paraId="43EA87AA" w14:textId="77777777" w:rsidR="00BD6C6D" w:rsidRDefault="00BD6C6D" w:rsidP="00512DB6">
                            <w:pPr>
                              <w:jc w:val="center"/>
                            </w:pPr>
                          </w:p>
                        </w:txbxContent>
                      </v:textbox>
                    </v:shape>
                  </w:pict>
                </mc:Fallback>
              </mc:AlternateContent>
            </w:r>
            <w:r w:rsidR="00085B85" w:rsidRPr="00512DB6">
              <w:rPr>
                <w:noProof/>
                <w:sz w:val="14"/>
                <w:lang w:eastAsia="sk-SK"/>
              </w:rPr>
              <w:drawing>
                <wp:inline distT="0" distB="0" distL="0" distR="0" wp14:anchorId="5D234F22" wp14:editId="2E3249AE">
                  <wp:extent cx="2940685" cy="2535555"/>
                  <wp:effectExtent l="0" t="0" r="0" b="0"/>
                  <wp:docPr id="27" name="Graf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196" w:type="dxa"/>
            <w:tcBorders>
              <w:top w:val="single" w:sz="4" w:space="0" w:color="000000"/>
              <w:left w:val="nil"/>
              <w:bottom w:val="single" w:sz="4" w:space="0" w:color="auto"/>
              <w:right w:val="nil"/>
            </w:tcBorders>
            <w:shd w:val="clear" w:color="auto" w:fill="auto"/>
            <w:vAlign w:val="center"/>
          </w:tcPr>
          <w:p w14:paraId="784870F9" w14:textId="3FBC6BE4" w:rsidR="006D0C40" w:rsidRPr="00512DB6" w:rsidRDefault="002600DF" w:rsidP="00512DB6">
            <w:pPr>
              <w:spacing w:before="40" w:after="40"/>
              <w:jc w:val="center"/>
              <w:rPr>
                <w:color w:val="000000" w:themeColor="text1"/>
                <w:sz w:val="20"/>
                <w:szCs w:val="20"/>
              </w:rPr>
            </w:pPr>
            <w:r>
              <w:rPr>
                <w:noProof/>
                <w:lang w:eastAsia="sk-SK"/>
              </w:rPr>
              <w:drawing>
                <wp:inline distT="0" distB="0" distL="0" distR="0" wp14:anchorId="3A83F14E" wp14:editId="3946E26F">
                  <wp:extent cx="2575560" cy="2508250"/>
                  <wp:effectExtent l="0" t="0" r="0" b="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6D0C40" w:rsidRPr="0094047E" w14:paraId="139ED194" w14:textId="77777777" w:rsidTr="00085B85">
        <w:trPr>
          <w:trHeight w:val="85"/>
          <w:jc w:val="center"/>
        </w:trPr>
        <w:tc>
          <w:tcPr>
            <w:tcW w:w="4674" w:type="dxa"/>
            <w:tcBorders>
              <w:top w:val="single" w:sz="4" w:space="0" w:color="auto"/>
              <w:left w:val="nil"/>
              <w:bottom w:val="nil"/>
              <w:right w:val="nil"/>
            </w:tcBorders>
            <w:shd w:val="clear" w:color="auto" w:fill="auto"/>
            <w:vAlign w:val="center"/>
          </w:tcPr>
          <w:p w14:paraId="6F8F888E" w14:textId="77777777" w:rsidR="006D0C40" w:rsidRPr="0094047E" w:rsidRDefault="006D0C40" w:rsidP="00085B85">
            <w:pPr>
              <w:spacing w:after="0"/>
              <w:rPr>
                <w:i/>
                <w:color w:val="000000" w:themeColor="text1"/>
                <w:sz w:val="14"/>
                <w:szCs w:val="16"/>
              </w:rPr>
            </w:pPr>
            <w:r w:rsidRPr="0094047E">
              <w:rPr>
                <w:i/>
                <w:color w:val="000000" w:themeColor="text1"/>
                <w:sz w:val="14"/>
                <w:szCs w:val="16"/>
              </w:rPr>
              <w:t>Pozn.: Ú</w:t>
            </w:r>
            <w:r>
              <w:rPr>
                <w:i/>
                <w:color w:val="000000" w:themeColor="text1"/>
                <w:sz w:val="14"/>
                <w:szCs w:val="16"/>
              </w:rPr>
              <w:t>daje platné k 31.12. príslušného roka</w:t>
            </w:r>
            <w:r w:rsidRPr="0094047E">
              <w:rPr>
                <w:i/>
                <w:color w:val="000000" w:themeColor="text1"/>
                <w:sz w:val="14"/>
                <w:szCs w:val="16"/>
              </w:rPr>
              <w:t>.</w:t>
            </w:r>
          </w:p>
        </w:tc>
        <w:tc>
          <w:tcPr>
            <w:tcW w:w="4196" w:type="dxa"/>
            <w:tcBorders>
              <w:top w:val="single" w:sz="4" w:space="0" w:color="auto"/>
              <w:left w:val="nil"/>
              <w:bottom w:val="nil"/>
              <w:right w:val="nil"/>
            </w:tcBorders>
            <w:shd w:val="clear" w:color="auto" w:fill="auto"/>
            <w:vAlign w:val="center"/>
          </w:tcPr>
          <w:p w14:paraId="7076AB84" w14:textId="77777777" w:rsidR="006D0C40" w:rsidRPr="0094047E" w:rsidRDefault="006D0C40" w:rsidP="00085B85">
            <w:pPr>
              <w:spacing w:after="0"/>
              <w:jc w:val="right"/>
              <w:rPr>
                <w:i/>
                <w:sz w:val="14"/>
                <w:szCs w:val="20"/>
                <w:lang w:eastAsia="sk-SK"/>
              </w:rPr>
            </w:pPr>
            <w:r w:rsidRPr="0094047E">
              <w:rPr>
                <w:i/>
                <w:sz w:val="14"/>
                <w:szCs w:val="20"/>
                <w:lang w:eastAsia="sk-SK"/>
              </w:rPr>
              <w:t>Zdroj: MF SR</w:t>
            </w:r>
          </w:p>
        </w:tc>
      </w:tr>
    </w:tbl>
    <w:p w14:paraId="4C52B782" w14:textId="77777777" w:rsidR="00047AFF" w:rsidRDefault="00047AFF" w:rsidP="00005D4D">
      <w:pPr>
        <w:spacing w:after="0"/>
        <w:jc w:val="both"/>
        <w:rPr>
          <w:sz w:val="20"/>
          <w:szCs w:val="20"/>
        </w:rPr>
      </w:pPr>
    </w:p>
    <w:p w14:paraId="4F9CC9E6" w14:textId="066C5603" w:rsidR="006D0C40" w:rsidRPr="00A23BA8" w:rsidRDefault="00E6033B" w:rsidP="00512DB6">
      <w:pPr>
        <w:spacing w:line="264" w:lineRule="auto"/>
        <w:jc w:val="both"/>
        <w:rPr>
          <w:rFonts w:ascii="Times New Roman" w:hAnsi="Times New Roman"/>
          <w:sz w:val="20"/>
          <w:szCs w:val="20"/>
        </w:rPr>
      </w:pPr>
      <w:r w:rsidRPr="00A23BA8">
        <w:rPr>
          <w:rFonts w:ascii="Times New Roman" w:hAnsi="Times New Roman"/>
          <w:b/>
          <w:sz w:val="20"/>
          <w:szCs w:val="20"/>
        </w:rPr>
        <w:t xml:space="preserve">Vplyv pandémie na hrubý dlh v pomere k HDP tlmil najmä vývoj </w:t>
      </w:r>
      <w:r w:rsidR="00CC4840" w:rsidRPr="00A23BA8">
        <w:rPr>
          <w:rFonts w:ascii="Times New Roman" w:hAnsi="Times New Roman"/>
          <w:b/>
          <w:sz w:val="20"/>
          <w:szCs w:val="20"/>
        </w:rPr>
        <w:t>reálnej ekonomiky a</w:t>
      </w:r>
      <w:r w:rsidR="000270C0" w:rsidRPr="00A23BA8">
        <w:rPr>
          <w:rFonts w:ascii="Times New Roman" w:hAnsi="Times New Roman"/>
          <w:b/>
          <w:sz w:val="20"/>
          <w:szCs w:val="20"/>
        </w:rPr>
        <w:t> </w:t>
      </w:r>
      <w:r w:rsidR="00CC4840" w:rsidRPr="00A23BA8">
        <w:rPr>
          <w:rFonts w:ascii="Times New Roman" w:hAnsi="Times New Roman"/>
          <w:b/>
          <w:sz w:val="20"/>
          <w:szCs w:val="20"/>
        </w:rPr>
        <w:t>inflácia</w:t>
      </w:r>
      <w:r w:rsidR="000270C0" w:rsidRPr="00A23BA8">
        <w:rPr>
          <w:rFonts w:ascii="Times New Roman" w:hAnsi="Times New Roman"/>
          <w:b/>
          <w:sz w:val="20"/>
          <w:szCs w:val="20"/>
        </w:rPr>
        <w:t>, ale aj priaznivé podmienky na refinancovanie sa na finančných trhoch</w:t>
      </w:r>
      <w:r w:rsidR="00CC4840" w:rsidRPr="00A23BA8">
        <w:rPr>
          <w:rFonts w:ascii="Times New Roman" w:hAnsi="Times New Roman"/>
          <w:b/>
          <w:sz w:val="20"/>
          <w:szCs w:val="20"/>
        </w:rPr>
        <w:t xml:space="preserve">. </w:t>
      </w:r>
      <w:r w:rsidR="00CC4840" w:rsidRPr="00A23BA8">
        <w:rPr>
          <w:rFonts w:ascii="Times New Roman" w:hAnsi="Times New Roman"/>
          <w:sz w:val="20"/>
          <w:szCs w:val="20"/>
        </w:rPr>
        <w:t xml:space="preserve">Po </w:t>
      </w:r>
      <w:r w:rsidRPr="00A23BA8">
        <w:rPr>
          <w:rFonts w:ascii="Times New Roman" w:hAnsi="Times New Roman"/>
          <w:sz w:val="20"/>
          <w:szCs w:val="20"/>
        </w:rPr>
        <w:t xml:space="preserve">úvodnom </w:t>
      </w:r>
      <w:r w:rsidR="00CC4840" w:rsidRPr="00A23BA8">
        <w:rPr>
          <w:rFonts w:ascii="Times New Roman" w:hAnsi="Times New Roman"/>
          <w:sz w:val="20"/>
          <w:szCs w:val="20"/>
        </w:rPr>
        <w:t xml:space="preserve">poklese v 2020 sa slovenské hospodárstvo v minulom roku zotavilo a ekonomika reálne vzrástla o 3 %. Spolu s prítomnou infláciou sa oba faktory podpísali pod zníženie hrubého dlhu v pomere k HDP cez tzv. efekt menovateľa. Významnejším faktorom </w:t>
      </w:r>
      <w:r w:rsidR="00CC4840" w:rsidRPr="00A23BA8">
        <w:rPr>
          <w:rFonts w:ascii="Times New Roman" w:hAnsi="Times New Roman"/>
          <w:sz w:val="20"/>
          <w:szCs w:val="20"/>
        </w:rPr>
        <w:lastRenderedPageBreak/>
        <w:t>tlmiacim rast dlhu v </w:t>
      </w:r>
      <w:r w:rsidRPr="00A23BA8">
        <w:rPr>
          <w:rFonts w:ascii="Times New Roman" w:hAnsi="Times New Roman"/>
          <w:sz w:val="20"/>
          <w:szCs w:val="20"/>
        </w:rPr>
        <w:t xml:space="preserve">minulom </w:t>
      </w:r>
      <w:r w:rsidR="00CC4840" w:rsidRPr="00A23BA8">
        <w:rPr>
          <w:rFonts w:ascii="Times New Roman" w:hAnsi="Times New Roman"/>
          <w:sz w:val="20"/>
          <w:szCs w:val="20"/>
        </w:rPr>
        <w:t>boli tiež prémie pri emisii dlhopisov</w:t>
      </w:r>
      <w:r w:rsidR="00CC4840" w:rsidRPr="00A23BA8">
        <w:rPr>
          <w:rStyle w:val="Odkaznapoznmkupodiarou"/>
          <w:rFonts w:ascii="Times New Roman" w:hAnsi="Times New Roman"/>
          <w:sz w:val="20"/>
          <w:szCs w:val="20"/>
        </w:rPr>
        <w:footnoteReference w:id="6"/>
      </w:r>
      <w:r w:rsidR="00CC4840" w:rsidRPr="00A23BA8">
        <w:rPr>
          <w:rFonts w:ascii="Times New Roman" w:hAnsi="Times New Roman"/>
          <w:sz w:val="20"/>
          <w:szCs w:val="20"/>
        </w:rPr>
        <w:t>, ktor</w:t>
      </w:r>
      <w:r w:rsidRPr="00A23BA8">
        <w:rPr>
          <w:rFonts w:ascii="Times New Roman" w:hAnsi="Times New Roman"/>
          <w:sz w:val="20"/>
          <w:szCs w:val="20"/>
        </w:rPr>
        <w:t>é odrážajú priaznivé podmienky na finančných trhoch počas pandémie</w:t>
      </w:r>
      <w:r w:rsidR="00CC4840" w:rsidRPr="00A23BA8">
        <w:rPr>
          <w:rFonts w:ascii="Times New Roman" w:hAnsi="Times New Roman"/>
          <w:sz w:val="20"/>
          <w:szCs w:val="20"/>
        </w:rPr>
        <w:t xml:space="preserve"> </w:t>
      </w:r>
      <w:r w:rsidRPr="00A23BA8">
        <w:rPr>
          <w:rFonts w:ascii="Times New Roman" w:hAnsi="Times New Roman"/>
          <w:sz w:val="20"/>
          <w:szCs w:val="20"/>
        </w:rPr>
        <w:t xml:space="preserve">s celkovým pozitívnym </w:t>
      </w:r>
      <w:r w:rsidR="00CC4840" w:rsidRPr="00A23BA8">
        <w:rPr>
          <w:rFonts w:ascii="Times New Roman" w:hAnsi="Times New Roman"/>
          <w:sz w:val="20"/>
          <w:szCs w:val="20"/>
        </w:rPr>
        <w:t>vplyv</w:t>
      </w:r>
      <w:r w:rsidRPr="00A23BA8">
        <w:rPr>
          <w:rFonts w:ascii="Times New Roman" w:hAnsi="Times New Roman"/>
          <w:sz w:val="20"/>
          <w:szCs w:val="20"/>
        </w:rPr>
        <w:t>om</w:t>
      </w:r>
      <w:r w:rsidR="00CC4840" w:rsidRPr="00A23BA8">
        <w:rPr>
          <w:rFonts w:ascii="Times New Roman" w:hAnsi="Times New Roman"/>
          <w:sz w:val="20"/>
          <w:szCs w:val="20"/>
        </w:rPr>
        <w:t xml:space="preserve"> </w:t>
      </w:r>
      <w:r w:rsidRPr="00A23BA8">
        <w:rPr>
          <w:rFonts w:ascii="Times New Roman" w:hAnsi="Times New Roman"/>
          <w:sz w:val="20"/>
          <w:szCs w:val="20"/>
        </w:rPr>
        <w:t>na dlh 0,9</w:t>
      </w:r>
      <w:r w:rsidR="00CC4840" w:rsidRPr="00A23BA8">
        <w:rPr>
          <w:rFonts w:ascii="Times New Roman" w:hAnsi="Times New Roman"/>
          <w:sz w:val="20"/>
          <w:szCs w:val="20"/>
        </w:rPr>
        <w:t xml:space="preserve"> p. b. HDP.</w:t>
      </w:r>
    </w:p>
    <w:p w14:paraId="32699FF6" w14:textId="00F529AB" w:rsidR="005B1946" w:rsidRPr="00DB095B" w:rsidRDefault="00732F01" w:rsidP="00AC44BD">
      <w:pPr>
        <w:spacing w:after="0" w:line="264" w:lineRule="auto"/>
        <w:jc w:val="both"/>
        <w:rPr>
          <w:b/>
          <w:sz w:val="20"/>
          <w:szCs w:val="20"/>
        </w:rPr>
      </w:pPr>
      <w:r w:rsidRPr="00A23BA8">
        <w:rPr>
          <w:rFonts w:ascii="Times New Roman" w:hAnsi="Times New Roman"/>
          <w:b/>
          <w:sz w:val="20"/>
          <w:szCs w:val="20"/>
        </w:rPr>
        <w:t>S</w:t>
      </w:r>
      <w:r w:rsidR="00B56F68" w:rsidRPr="00A23BA8">
        <w:rPr>
          <w:rFonts w:ascii="Times New Roman" w:hAnsi="Times New Roman"/>
          <w:b/>
          <w:sz w:val="20"/>
          <w:szCs w:val="20"/>
        </w:rPr>
        <w:t>účasn</w:t>
      </w:r>
      <w:r w:rsidRPr="00A23BA8">
        <w:rPr>
          <w:rFonts w:ascii="Times New Roman" w:hAnsi="Times New Roman"/>
          <w:b/>
          <w:sz w:val="20"/>
          <w:szCs w:val="20"/>
        </w:rPr>
        <w:t>á</w:t>
      </w:r>
      <w:r w:rsidR="00B56F68" w:rsidRPr="00A23BA8">
        <w:rPr>
          <w:rFonts w:ascii="Times New Roman" w:hAnsi="Times New Roman"/>
          <w:b/>
          <w:sz w:val="20"/>
          <w:szCs w:val="20"/>
        </w:rPr>
        <w:t xml:space="preserve"> úroveň </w:t>
      </w:r>
      <w:r w:rsidR="00A57ABA" w:rsidRPr="00A23BA8">
        <w:rPr>
          <w:rFonts w:ascii="Times New Roman" w:hAnsi="Times New Roman"/>
          <w:b/>
          <w:sz w:val="20"/>
          <w:szCs w:val="20"/>
        </w:rPr>
        <w:t>zadlženia</w:t>
      </w:r>
      <w:r w:rsidR="000F4792" w:rsidRPr="00A23BA8">
        <w:rPr>
          <w:rFonts w:ascii="Times New Roman" w:hAnsi="Times New Roman"/>
          <w:b/>
          <w:sz w:val="20"/>
          <w:szCs w:val="20"/>
        </w:rPr>
        <w:t xml:space="preserve"> aktivujúca najprísnejšie sankcie dlhovej brzdy (</w:t>
      </w:r>
      <w:r w:rsidR="000F4792" w:rsidRPr="00A23BA8">
        <w:rPr>
          <w:rFonts w:ascii="Times New Roman" w:hAnsi="Times New Roman"/>
          <w:b/>
          <w:color w:val="2C9ADC" w:themeColor="accent1"/>
          <w:sz w:val="20"/>
          <w:szCs w:val="20"/>
        </w:rPr>
        <w:t>BOX</w:t>
      </w:r>
      <w:r w:rsidR="0066711C" w:rsidRPr="00A23BA8">
        <w:rPr>
          <w:rFonts w:ascii="Times New Roman" w:hAnsi="Times New Roman"/>
          <w:b/>
          <w:color w:val="2C9ADC" w:themeColor="accent1"/>
          <w:sz w:val="20"/>
          <w:szCs w:val="20"/>
        </w:rPr>
        <w:t xml:space="preserve"> 1 </w:t>
      </w:r>
      <w:r w:rsidR="000F4792" w:rsidRPr="00A23BA8">
        <w:rPr>
          <w:rFonts w:ascii="Times New Roman" w:hAnsi="Times New Roman"/>
          <w:b/>
          <w:sz w:val="20"/>
          <w:szCs w:val="20"/>
        </w:rPr>
        <w:t xml:space="preserve">) </w:t>
      </w:r>
      <w:r w:rsidRPr="00A23BA8">
        <w:rPr>
          <w:rFonts w:ascii="Times New Roman" w:hAnsi="Times New Roman"/>
          <w:b/>
          <w:sz w:val="20"/>
          <w:szCs w:val="20"/>
        </w:rPr>
        <w:t>nie je len výsledkom pandémie, ale aj vývoja</w:t>
      </w:r>
      <w:r w:rsidR="00B56F68" w:rsidRPr="00A23BA8">
        <w:rPr>
          <w:rFonts w:ascii="Times New Roman" w:hAnsi="Times New Roman"/>
          <w:b/>
          <w:sz w:val="20"/>
          <w:szCs w:val="20"/>
        </w:rPr>
        <w:t xml:space="preserve"> verejných financií </w:t>
      </w:r>
      <w:r w:rsidR="002C73FF" w:rsidRPr="00A23BA8">
        <w:rPr>
          <w:rFonts w:ascii="Times New Roman" w:hAnsi="Times New Roman"/>
          <w:b/>
          <w:sz w:val="20"/>
          <w:szCs w:val="20"/>
        </w:rPr>
        <w:t>v posledných desiatich rokoch</w:t>
      </w:r>
      <w:r w:rsidR="00B56F68" w:rsidRPr="00A23BA8">
        <w:rPr>
          <w:rFonts w:ascii="Times New Roman" w:hAnsi="Times New Roman"/>
          <w:b/>
          <w:sz w:val="20"/>
          <w:szCs w:val="20"/>
        </w:rPr>
        <w:t xml:space="preserve"> charakterizovaný </w:t>
      </w:r>
      <w:r w:rsidR="0085703D" w:rsidRPr="00A23BA8">
        <w:rPr>
          <w:rFonts w:ascii="Times New Roman" w:hAnsi="Times New Roman"/>
          <w:b/>
          <w:sz w:val="20"/>
          <w:szCs w:val="20"/>
        </w:rPr>
        <w:t xml:space="preserve">málo ambicióznym znižovaním </w:t>
      </w:r>
      <w:r w:rsidR="00767677" w:rsidRPr="00A23BA8">
        <w:rPr>
          <w:rFonts w:ascii="Times New Roman" w:hAnsi="Times New Roman"/>
          <w:b/>
          <w:sz w:val="20"/>
          <w:szCs w:val="20"/>
        </w:rPr>
        <w:t xml:space="preserve">deficitu </w:t>
      </w:r>
      <w:r w:rsidR="004E725B" w:rsidRPr="00A23BA8">
        <w:rPr>
          <w:rFonts w:ascii="Times New Roman" w:hAnsi="Times New Roman"/>
          <w:b/>
          <w:sz w:val="20"/>
          <w:szCs w:val="20"/>
        </w:rPr>
        <w:t>v období ekonomickej konjunktúry</w:t>
      </w:r>
      <w:r w:rsidR="009037AA" w:rsidRPr="00A23BA8">
        <w:rPr>
          <w:rFonts w:ascii="Times New Roman" w:hAnsi="Times New Roman"/>
          <w:b/>
          <w:sz w:val="20"/>
          <w:szCs w:val="20"/>
        </w:rPr>
        <w:t xml:space="preserve">. </w:t>
      </w:r>
      <w:r w:rsidR="004E725B" w:rsidRPr="00A23BA8">
        <w:rPr>
          <w:rFonts w:ascii="Times New Roman" w:hAnsi="Times New Roman"/>
          <w:sz w:val="20"/>
          <w:szCs w:val="20"/>
        </w:rPr>
        <w:t xml:space="preserve">Po finančnej kríze z roku 2008 a následnej kríze eurozóny Slovensko zažívalo priaznivé ekonomické časy, kedy priemerné tempo rastu nominálneho HDP predstavovalo </w:t>
      </w:r>
      <w:r w:rsidR="008D4CF5" w:rsidRPr="00A23BA8">
        <w:rPr>
          <w:rFonts w:ascii="Times New Roman" w:hAnsi="Times New Roman"/>
          <w:sz w:val="20"/>
          <w:szCs w:val="20"/>
        </w:rPr>
        <w:t xml:space="preserve">3,6 % ročne. Rast ekonomiky </w:t>
      </w:r>
      <w:r w:rsidR="00E775F7" w:rsidRPr="00A23BA8">
        <w:rPr>
          <w:rFonts w:ascii="Times New Roman" w:hAnsi="Times New Roman"/>
          <w:sz w:val="20"/>
          <w:szCs w:val="20"/>
        </w:rPr>
        <w:t>v období</w:t>
      </w:r>
      <w:r w:rsidR="008D4CF5" w:rsidRPr="00A23BA8">
        <w:rPr>
          <w:rFonts w:ascii="Times New Roman" w:hAnsi="Times New Roman"/>
          <w:sz w:val="20"/>
          <w:szCs w:val="20"/>
        </w:rPr>
        <w:t xml:space="preserve"> 2012-2019 priaznivo vplýval na hrubý dlh, príspevok nominálneho rastu HDP na pokles dlhu v dôsledku efektu menovateľa </w:t>
      </w:r>
      <w:r w:rsidR="008732E7" w:rsidRPr="00A23BA8">
        <w:rPr>
          <w:rFonts w:ascii="Times New Roman" w:hAnsi="Times New Roman"/>
          <w:sz w:val="20"/>
          <w:szCs w:val="20"/>
        </w:rPr>
        <w:t xml:space="preserve">dosiahol </w:t>
      </w:r>
      <w:r w:rsidR="008D4CF5" w:rsidRPr="00A23BA8">
        <w:rPr>
          <w:rFonts w:ascii="Times New Roman" w:hAnsi="Times New Roman"/>
          <w:sz w:val="20"/>
          <w:szCs w:val="20"/>
        </w:rPr>
        <w:t xml:space="preserve">vyše 14 p. b. </w:t>
      </w:r>
      <w:r w:rsidR="0049764C" w:rsidRPr="00A23BA8">
        <w:rPr>
          <w:rFonts w:ascii="Times New Roman" w:hAnsi="Times New Roman"/>
          <w:sz w:val="20"/>
          <w:szCs w:val="20"/>
        </w:rPr>
        <w:t>Ekonomický vývoj</w:t>
      </w:r>
      <w:r w:rsidR="00A36559" w:rsidRPr="00A23BA8">
        <w:rPr>
          <w:rFonts w:ascii="Times New Roman" w:hAnsi="Times New Roman"/>
          <w:sz w:val="20"/>
          <w:szCs w:val="20"/>
        </w:rPr>
        <w:t xml:space="preserve"> však bol viac ako kompenzovaný permanentným deficitným hospodárením vlády vrátane úrokových nákladov</w:t>
      </w:r>
      <w:r w:rsidR="00F1385E" w:rsidRPr="00A23BA8">
        <w:rPr>
          <w:rFonts w:ascii="Times New Roman" w:hAnsi="Times New Roman"/>
          <w:sz w:val="20"/>
          <w:szCs w:val="20"/>
        </w:rPr>
        <w:t>, ktoré v rovnakom období</w:t>
      </w:r>
      <w:r w:rsidR="00A36559" w:rsidRPr="00A23BA8">
        <w:rPr>
          <w:rFonts w:ascii="Times New Roman" w:hAnsi="Times New Roman"/>
          <w:sz w:val="20"/>
          <w:szCs w:val="20"/>
        </w:rPr>
        <w:t xml:space="preserve"> </w:t>
      </w:r>
      <w:r w:rsidR="00E775F7" w:rsidRPr="00A23BA8">
        <w:rPr>
          <w:rFonts w:ascii="Times New Roman" w:hAnsi="Times New Roman"/>
          <w:sz w:val="20"/>
          <w:szCs w:val="20"/>
        </w:rPr>
        <w:t>prispel</w:t>
      </w:r>
      <w:r w:rsidR="00A57ABA" w:rsidRPr="00A23BA8">
        <w:rPr>
          <w:rFonts w:ascii="Times New Roman" w:hAnsi="Times New Roman"/>
          <w:sz w:val="20"/>
          <w:szCs w:val="20"/>
        </w:rPr>
        <w:t>i</w:t>
      </w:r>
      <w:r w:rsidR="00E775F7" w:rsidRPr="00A23BA8">
        <w:rPr>
          <w:rFonts w:ascii="Times New Roman" w:hAnsi="Times New Roman"/>
          <w:sz w:val="20"/>
          <w:szCs w:val="20"/>
        </w:rPr>
        <w:t xml:space="preserve"> k nárastu</w:t>
      </w:r>
      <w:r w:rsidR="00A36559" w:rsidRPr="00A23BA8">
        <w:rPr>
          <w:rFonts w:ascii="Times New Roman" w:hAnsi="Times New Roman"/>
          <w:sz w:val="20"/>
          <w:szCs w:val="20"/>
        </w:rPr>
        <w:t xml:space="preserve"> dlh</w:t>
      </w:r>
      <w:r w:rsidR="00E775F7" w:rsidRPr="00A23BA8">
        <w:rPr>
          <w:rFonts w:ascii="Times New Roman" w:hAnsi="Times New Roman"/>
          <w:sz w:val="20"/>
          <w:szCs w:val="20"/>
        </w:rPr>
        <w:t>u</w:t>
      </w:r>
      <w:r w:rsidR="00A36559" w:rsidRPr="00A23BA8">
        <w:rPr>
          <w:rFonts w:ascii="Times New Roman" w:hAnsi="Times New Roman"/>
          <w:sz w:val="20"/>
          <w:szCs w:val="20"/>
        </w:rPr>
        <w:t xml:space="preserve"> v pomere k HDP na celom horizonte</w:t>
      </w:r>
      <w:r w:rsidR="002E295E" w:rsidRPr="00A23BA8">
        <w:rPr>
          <w:rFonts w:ascii="Times New Roman" w:hAnsi="Times New Roman"/>
          <w:sz w:val="20"/>
          <w:szCs w:val="20"/>
        </w:rPr>
        <w:t xml:space="preserve"> </w:t>
      </w:r>
      <w:r w:rsidR="0085703D" w:rsidRPr="00A23BA8">
        <w:rPr>
          <w:rFonts w:ascii="Times New Roman" w:hAnsi="Times New Roman"/>
          <w:sz w:val="20"/>
          <w:szCs w:val="20"/>
        </w:rPr>
        <w:t>takmer 19 p. b.</w:t>
      </w:r>
      <w:r w:rsidR="00A57ABA" w:rsidRPr="00A23BA8">
        <w:rPr>
          <w:rFonts w:ascii="Times New Roman" w:hAnsi="Times New Roman"/>
          <w:sz w:val="20"/>
          <w:szCs w:val="20"/>
        </w:rPr>
        <w:t>.</w:t>
      </w:r>
      <w:r w:rsidR="00D25A8B" w:rsidRPr="00A23BA8">
        <w:rPr>
          <w:rFonts w:ascii="Times New Roman" w:hAnsi="Times New Roman"/>
          <w:sz w:val="20"/>
          <w:szCs w:val="20"/>
        </w:rPr>
        <w:t xml:space="preserve"> </w:t>
      </w:r>
      <w:r w:rsidR="00AC346D" w:rsidRPr="00A23BA8">
        <w:rPr>
          <w:rFonts w:ascii="Times New Roman" w:hAnsi="Times New Roman"/>
          <w:sz w:val="20"/>
          <w:szCs w:val="20"/>
        </w:rPr>
        <w:t>Primárne d</w:t>
      </w:r>
      <w:r w:rsidR="00D25A8B" w:rsidRPr="00A23BA8">
        <w:rPr>
          <w:rFonts w:ascii="Times New Roman" w:hAnsi="Times New Roman"/>
          <w:sz w:val="20"/>
          <w:szCs w:val="20"/>
        </w:rPr>
        <w:t xml:space="preserve">eficity </w:t>
      </w:r>
      <w:r w:rsidR="0049764C" w:rsidRPr="00A23BA8">
        <w:rPr>
          <w:rFonts w:ascii="Times New Roman" w:hAnsi="Times New Roman"/>
          <w:sz w:val="20"/>
          <w:szCs w:val="20"/>
        </w:rPr>
        <w:t xml:space="preserve">vlády </w:t>
      </w:r>
      <w:r w:rsidR="00D25A8B" w:rsidRPr="00A23BA8">
        <w:rPr>
          <w:rFonts w:ascii="Times New Roman" w:hAnsi="Times New Roman"/>
          <w:sz w:val="20"/>
          <w:szCs w:val="20"/>
        </w:rPr>
        <w:t>však mohli byť menšie a vplyv na zadlženie miernejší</w:t>
      </w:r>
      <w:r w:rsidR="00E775F7" w:rsidRPr="00A23BA8">
        <w:rPr>
          <w:rFonts w:ascii="Times New Roman" w:hAnsi="Times New Roman"/>
          <w:sz w:val="20"/>
          <w:szCs w:val="20"/>
        </w:rPr>
        <w:t xml:space="preserve">, keďže </w:t>
      </w:r>
      <w:r w:rsidR="00D25A8B" w:rsidRPr="00A23BA8">
        <w:rPr>
          <w:rFonts w:ascii="Times New Roman" w:hAnsi="Times New Roman"/>
          <w:sz w:val="20"/>
          <w:szCs w:val="20"/>
        </w:rPr>
        <w:t>v období 2012-2019 sa dosahovali vyššie než rozpočtované daňovo-odvodové príjmy verejnej správy, a to v</w:t>
      </w:r>
      <w:r w:rsidR="002F3E0B" w:rsidRPr="00A23BA8">
        <w:rPr>
          <w:rFonts w:ascii="Times New Roman" w:hAnsi="Times New Roman"/>
          <w:sz w:val="20"/>
          <w:szCs w:val="20"/>
        </w:rPr>
        <w:t> </w:t>
      </w:r>
      <w:r w:rsidR="00D25A8B" w:rsidRPr="00A23BA8">
        <w:rPr>
          <w:rFonts w:ascii="Times New Roman" w:hAnsi="Times New Roman"/>
          <w:sz w:val="20"/>
          <w:szCs w:val="20"/>
        </w:rPr>
        <w:t>priemere</w:t>
      </w:r>
      <w:r w:rsidR="002F3E0B" w:rsidRPr="00A23BA8">
        <w:rPr>
          <w:rFonts w:ascii="Times New Roman" w:hAnsi="Times New Roman"/>
          <w:sz w:val="20"/>
          <w:szCs w:val="20"/>
        </w:rPr>
        <w:t xml:space="preserve"> o</w:t>
      </w:r>
      <w:r w:rsidR="00D25A8B" w:rsidRPr="00A23BA8">
        <w:rPr>
          <w:rFonts w:ascii="Times New Roman" w:hAnsi="Times New Roman"/>
          <w:sz w:val="20"/>
          <w:szCs w:val="20"/>
        </w:rPr>
        <w:t xml:space="preserve"> 0,7 % HDP ročne</w:t>
      </w:r>
      <w:r w:rsidR="001D5F2A" w:rsidRPr="00A23BA8">
        <w:rPr>
          <w:rStyle w:val="Odkaznapoznmkupodiarou"/>
          <w:rFonts w:ascii="Times New Roman" w:hAnsi="Times New Roman"/>
          <w:sz w:val="20"/>
          <w:szCs w:val="20"/>
        </w:rPr>
        <w:footnoteReference w:id="7"/>
      </w:r>
      <w:r w:rsidR="00D25A8B" w:rsidRPr="00A23BA8">
        <w:rPr>
          <w:rFonts w:ascii="Times New Roman" w:hAnsi="Times New Roman"/>
          <w:sz w:val="20"/>
          <w:szCs w:val="20"/>
        </w:rPr>
        <w:t>.</w:t>
      </w:r>
      <w:r w:rsidR="006271CD" w:rsidRPr="00A23BA8">
        <w:rPr>
          <w:rFonts w:ascii="Times New Roman" w:hAnsi="Times New Roman"/>
          <w:sz w:val="20"/>
          <w:szCs w:val="20"/>
        </w:rPr>
        <w:t xml:space="preserve"> </w:t>
      </w:r>
      <w:r w:rsidR="00DB095B" w:rsidRPr="00A23BA8">
        <w:rPr>
          <w:rFonts w:ascii="Times New Roman" w:hAnsi="Times New Roman"/>
          <w:sz w:val="20"/>
          <w:szCs w:val="20"/>
        </w:rPr>
        <w:t>Primárne saldo ako príspevok k</w:t>
      </w:r>
      <w:r w:rsidR="006E2600" w:rsidRPr="00A23BA8">
        <w:rPr>
          <w:rFonts w:ascii="Times New Roman" w:hAnsi="Times New Roman"/>
          <w:sz w:val="20"/>
          <w:szCs w:val="20"/>
        </w:rPr>
        <w:t> rastu zadlženia</w:t>
      </w:r>
      <w:r w:rsidR="00DB095B" w:rsidRPr="00A23BA8">
        <w:rPr>
          <w:rFonts w:ascii="Times New Roman" w:hAnsi="Times New Roman"/>
          <w:sz w:val="20"/>
          <w:szCs w:val="20"/>
        </w:rPr>
        <w:t xml:space="preserve"> v tomto období dosiahlo celkovo 5,7 % HDP</w:t>
      </w:r>
      <w:r w:rsidR="00855D3E" w:rsidRPr="00A23BA8">
        <w:rPr>
          <w:rFonts w:ascii="Times New Roman" w:hAnsi="Times New Roman"/>
          <w:sz w:val="20"/>
          <w:szCs w:val="20"/>
        </w:rPr>
        <w:t>.</w:t>
      </w:r>
      <w:r w:rsidR="00DB095B" w:rsidRPr="00A23BA8">
        <w:rPr>
          <w:rFonts w:ascii="Times New Roman" w:hAnsi="Times New Roman"/>
          <w:sz w:val="20"/>
          <w:szCs w:val="20"/>
        </w:rPr>
        <w:t xml:space="preserve"> Slovensko </w:t>
      </w:r>
      <w:r w:rsidR="00855D3E" w:rsidRPr="00A23BA8">
        <w:rPr>
          <w:rFonts w:ascii="Times New Roman" w:hAnsi="Times New Roman"/>
          <w:sz w:val="20"/>
          <w:szCs w:val="20"/>
        </w:rPr>
        <w:t xml:space="preserve">sa tým </w:t>
      </w:r>
      <w:r w:rsidR="00DB095B" w:rsidRPr="00A23BA8">
        <w:rPr>
          <w:rFonts w:ascii="Times New Roman" w:hAnsi="Times New Roman"/>
          <w:sz w:val="20"/>
          <w:szCs w:val="20"/>
        </w:rPr>
        <w:t xml:space="preserve">radí medzi päť krajín s najhoršími výsledkami znižovania </w:t>
      </w:r>
      <w:r w:rsidR="00347140" w:rsidRPr="00A23BA8">
        <w:rPr>
          <w:rFonts w:ascii="Times New Roman" w:hAnsi="Times New Roman"/>
          <w:sz w:val="20"/>
          <w:szCs w:val="20"/>
        </w:rPr>
        <w:t xml:space="preserve">primárneho </w:t>
      </w:r>
      <w:r w:rsidR="00DB095B" w:rsidRPr="00A23BA8">
        <w:rPr>
          <w:rFonts w:ascii="Times New Roman" w:hAnsi="Times New Roman"/>
          <w:sz w:val="20"/>
          <w:szCs w:val="20"/>
        </w:rPr>
        <w:t>deficitu</w:t>
      </w:r>
      <w:r w:rsidR="006E2600" w:rsidRPr="00A23BA8">
        <w:rPr>
          <w:rFonts w:ascii="Times New Roman" w:hAnsi="Times New Roman"/>
          <w:sz w:val="20"/>
          <w:szCs w:val="20"/>
        </w:rPr>
        <w:t xml:space="preserve"> v EÚ, kým ďalších 22 krajín v období 2012-2019 hospodárilo celkovo s primárnym prebytkom</w:t>
      </w:r>
      <w:r w:rsidR="00DB095B" w:rsidRPr="00A23BA8">
        <w:rPr>
          <w:rFonts w:ascii="Times New Roman" w:hAnsi="Times New Roman"/>
          <w:sz w:val="20"/>
          <w:szCs w:val="20"/>
        </w:rPr>
        <w:t xml:space="preserve">. </w:t>
      </w:r>
      <w:r w:rsidR="00E03332" w:rsidRPr="00A23BA8">
        <w:rPr>
          <w:rFonts w:ascii="Times New Roman" w:hAnsi="Times New Roman"/>
          <w:sz w:val="20"/>
          <w:szCs w:val="20"/>
        </w:rPr>
        <w:t>Navyše, o</w:t>
      </w:r>
      <w:r w:rsidR="006817FF" w:rsidRPr="00A23BA8">
        <w:rPr>
          <w:rFonts w:ascii="Times New Roman" w:hAnsi="Times New Roman"/>
          <w:sz w:val="20"/>
          <w:szCs w:val="20"/>
        </w:rPr>
        <w:t xml:space="preserve">d roku 2012 sa hrubý dlh </w:t>
      </w:r>
      <w:r w:rsidR="006E2600" w:rsidRPr="00A23BA8">
        <w:rPr>
          <w:rFonts w:ascii="Times New Roman" w:hAnsi="Times New Roman"/>
          <w:sz w:val="20"/>
          <w:szCs w:val="20"/>
        </w:rPr>
        <w:t xml:space="preserve">Slovenska </w:t>
      </w:r>
      <w:r w:rsidR="006817FF" w:rsidRPr="00A23BA8">
        <w:rPr>
          <w:rFonts w:ascii="Times New Roman" w:hAnsi="Times New Roman"/>
          <w:sz w:val="20"/>
          <w:szCs w:val="20"/>
        </w:rPr>
        <w:t>nachádzal neustále v prvom, resp. druhom sankčnom pásme dlhovej brzdy a d</w:t>
      </w:r>
      <w:r w:rsidR="006271CD" w:rsidRPr="00A23BA8">
        <w:rPr>
          <w:rFonts w:ascii="Times New Roman" w:hAnsi="Times New Roman"/>
          <w:sz w:val="20"/>
          <w:szCs w:val="20"/>
        </w:rPr>
        <w:t>o roku 2020</w:t>
      </w:r>
      <w:r w:rsidR="006817FF" w:rsidRPr="00A23BA8">
        <w:rPr>
          <w:rFonts w:ascii="Times New Roman" w:hAnsi="Times New Roman"/>
          <w:sz w:val="20"/>
          <w:szCs w:val="20"/>
        </w:rPr>
        <w:t>,</w:t>
      </w:r>
      <w:r w:rsidR="006271CD" w:rsidRPr="00A23BA8">
        <w:rPr>
          <w:rFonts w:ascii="Times New Roman" w:hAnsi="Times New Roman"/>
          <w:sz w:val="20"/>
          <w:szCs w:val="20"/>
        </w:rPr>
        <w:t xml:space="preserve"> zasiahnutého pandémiou COVID-19</w:t>
      </w:r>
      <w:r w:rsidR="006817FF" w:rsidRPr="00A23BA8">
        <w:rPr>
          <w:rFonts w:ascii="Times New Roman" w:hAnsi="Times New Roman"/>
          <w:sz w:val="20"/>
          <w:szCs w:val="20"/>
        </w:rPr>
        <w:t>,</w:t>
      </w:r>
      <w:r w:rsidR="006271CD" w:rsidRPr="00A23BA8">
        <w:rPr>
          <w:rFonts w:ascii="Times New Roman" w:hAnsi="Times New Roman"/>
          <w:sz w:val="20"/>
          <w:szCs w:val="20"/>
        </w:rPr>
        <w:t xml:space="preserve"> </w:t>
      </w:r>
      <w:r w:rsidR="006E2600" w:rsidRPr="00A23BA8">
        <w:rPr>
          <w:rFonts w:ascii="Times New Roman" w:hAnsi="Times New Roman"/>
          <w:sz w:val="20"/>
          <w:szCs w:val="20"/>
        </w:rPr>
        <w:t>krajina vstupovala</w:t>
      </w:r>
      <w:r w:rsidR="006271CD" w:rsidRPr="00A23BA8">
        <w:rPr>
          <w:rFonts w:ascii="Times New Roman" w:hAnsi="Times New Roman"/>
          <w:sz w:val="20"/>
          <w:szCs w:val="20"/>
        </w:rPr>
        <w:t xml:space="preserve"> s </w:t>
      </w:r>
      <w:r w:rsidR="0003712A" w:rsidRPr="00A23BA8">
        <w:rPr>
          <w:rFonts w:ascii="Times New Roman" w:hAnsi="Times New Roman"/>
          <w:sz w:val="20"/>
          <w:szCs w:val="20"/>
        </w:rPr>
        <w:t>d</w:t>
      </w:r>
      <w:r w:rsidR="006271CD" w:rsidRPr="00A23BA8">
        <w:rPr>
          <w:rFonts w:ascii="Times New Roman" w:hAnsi="Times New Roman"/>
          <w:sz w:val="20"/>
          <w:szCs w:val="20"/>
        </w:rPr>
        <w:t>lhom na úrovni 48 % HDP</w:t>
      </w:r>
      <w:r w:rsidR="00FC28D5" w:rsidRPr="00A23BA8">
        <w:rPr>
          <w:rFonts w:ascii="Times New Roman" w:hAnsi="Times New Roman"/>
          <w:b/>
          <w:sz w:val="20"/>
          <w:szCs w:val="20"/>
        </w:rPr>
        <w:t>.</w:t>
      </w:r>
    </w:p>
    <w:tbl>
      <w:tblPr>
        <w:tblpPr w:leftFromText="141" w:rightFromText="141" w:bottomFromText="160" w:vertAnchor="text" w:horzAnchor="margin" w:tblpY="259"/>
        <w:tblOverlap w:val="never"/>
        <w:tblW w:w="9286" w:type="dxa"/>
        <w:shd w:val="clear" w:color="auto" w:fill="AAD3F2"/>
        <w:tblCellMar>
          <w:left w:w="70" w:type="dxa"/>
          <w:right w:w="70" w:type="dxa"/>
        </w:tblCellMar>
        <w:tblLook w:val="01E0" w:firstRow="1" w:lastRow="1" w:firstColumn="1" w:lastColumn="1" w:noHBand="0" w:noVBand="0"/>
      </w:tblPr>
      <w:tblGrid>
        <w:gridCol w:w="9286"/>
      </w:tblGrid>
      <w:tr w:rsidR="00FC28D5" w:rsidRPr="00A23BA8" w14:paraId="3B28A95E" w14:textId="6FF2448D" w:rsidTr="00C5021B">
        <w:trPr>
          <w:trHeight w:val="430"/>
        </w:trPr>
        <w:tc>
          <w:tcPr>
            <w:tcW w:w="9286" w:type="dxa"/>
            <w:shd w:val="clear" w:color="auto" w:fill="AAD3F2"/>
          </w:tcPr>
          <w:p w14:paraId="2C69E439" w14:textId="30C6EB21" w:rsidR="00FC28D5" w:rsidRPr="00A23BA8" w:rsidRDefault="00FC28D5" w:rsidP="00512DB6">
            <w:pPr>
              <w:spacing w:before="120" w:after="120" w:line="240" w:lineRule="auto"/>
              <w:jc w:val="both"/>
              <w:rPr>
                <w:rFonts w:ascii="Times New Roman" w:hAnsi="Times New Roman"/>
                <w:b/>
                <w:color w:val="2C9ADC"/>
                <w:szCs w:val="20"/>
              </w:rPr>
            </w:pPr>
            <w:r w:rsidRPr="00A23BA8">
              <w:rPr>
                <w:rFonts w:ascii="Times New Roman" w:hAnsi="Times New Roman"/>
                <w:b/>
                <w:color w:val="2C9ADC"/>
                <w:szCs w:val="20"/>
              </w:rPr>
              <w:t xml:space="preserve">BOX </w:t>
            </w:r>
            <w:r w:rsidR="0066711C" w:rsidRPr="00A23BA8">
              <w:rPr>
                <w:rFonts w:ascii="Times New Roman" w:hAnsi="Times New Roman"/>
                <w:b/>
                <w:color w:val="2C9ADC"/>
                <w:szCs w:val="20"/>
              </w:rPr>
              <w:t xml:space="preserve">1 </w:t>
            </w:r>
            <w:r w:rsidRPr="00A23BA8">
              <w:rPr>
                <w:rFonts w:ascii="Times New Roman" w:hAnsi="Times New Roman"/>
                <w:b/>
                <w:color w:val="2C9ADC"/>
                <w:szCs w:val="20"/>
              </w:rPr>
              <w:t>– Aktivovanie sankcií platnej dlhovej brzdy v roku 2023</w:t>
            </w:r>
          </w:p>
          <w:p w14:paraId="756523F0" w14:textId="77777777" w:rsidR="00FC28D5" w:rsidRPr="00A23BA8" w:rsidRDefault="00FC28D5" w:rsidP="00FC28D5">
            <w:pPr>
              <w:jc w:val="both"/>
              <w:rPr>
                <w:rFonts w:ascii="Times New Roman" w:hAnsi="Times New Roman"/>
                <w:sz w:val="20"/>
              </w:rPr>
            </w:pPr>
            <w:r w:rsidRPr="00A23BA8">
              <w:rPr>
                <w:rFonts w:ascii="Times New Roman" w:hAnsi="Times New Roman"/>
                <w:b/>
                <w:sz w:val="20"/>
              </w:rPr>
              <w:t xml:space="preserve">V roku 2023 sa opätovne aktivujú najprísnejšie sankcie dlhovej brzdy, ktoré budú žiadať hlasovanie o dôvere vláde a prípravu vyrovnaného rozpočtu na rok 2024. </w:t>
            </w:r>
            <w:r w:rsidRPr="00A23BA8">
              <w:rPr>
                <w:rFonts w:ascii="Times New Roman" w:hAnsi="Times New Roman"/>
                <w:sz w:val="20"/>
              </w:rPr>
              <w:t>Úniková klauzula dlhovej brzdy z nástupu novej vlády aktivovaná v máji 2021 sa ukončí začiatkom leta 2023. Počas 24 mesiacov z tohto titulu dlhová brzda nepožadovala plnenie najprísnejších sankcií 3. až 5. dlhového pásma, ktoré SR prekročila v roku 2020. Sankcie v tomto čase žiadali, aby ministerstvo financií Národnej rade SR zaslalo písomné zdôvodnenie výšky dlhu vrátane opatrení na jeho zníženie, a zmrazenie platov členov vlády na úroveň predchádzajúceho rozpočtového roka. Po opätovnej aktivácii sankcií vyšších pásiem dlhovej brzdy bude v budúcom roku, vzhľadom na predpokladanú úroveň dlhu v najvyššom pásme, ústavný zákon požadovať splnenie najprísnejších sankcií:</w:t>
            </w:r>
          </w:p>
          <w:p w14:paraId="4420A819" w14:textId="77777777" w:rsidR="00FC28D5" w:rsidRPr="00A23BA8" w:rsidRDefault="00FC28D5" w:rsidP="00FC28D5">
            <w:pPr>
              <w:pStyle w:val="Odsekzoznamu"/>
              <w:numPr>
                <w:ilvl w:val="0"/>
                <w:numId w:val="25"/>
              </w:numPr>
              <w:jc w:val="both"/>
              <w:rPr>
                <w:rFonts w:ascii="Times New Roman" w:hAnsi="Times New Roman"/>
                <w:sz w:val="20"/>
                <w:lang w:val="sk-SK"/>
              </w:rPr>
            </w:pPr>
            <w:r w:rsidRPr="00A23BA8">
              <w:rPr>
                <w:rFonts w:ascii="Times New Roman" w:hAnsi="Times New Roman"/>
                <w:sz w:val="20"/>
                <w:lang w:val="sk-SK"/>
              </w:rPr>
              <w:t>ministerstvo financií v lete 2023 zaviaže 3 % z celkových výdavkov schváleného štátneho rozpočtu na rok 2023</w:t>
            </w:r>
            <w:r w:rsidRPr="00A23BA8">
              <w:rPr>
                <w:rStyle w:val="Odkaznapoznmkupodiarou"/>
                <w:rFonts w:ascii="Times New Roman" w:hAnsi="Times New Roman"/>
                <w:sz w:val="20"/>
                <w:lang w:val="sk-SK"/>
              </w:rPr>
              <w:footnoteReference w:id="8"/>
            </w:r>
            <w:r w:rsidRPr="00A23BA8">
              <w:rPr>
                <w:rFonts w:ascii="Times New Roman" w:hAnsi="Times New Roman"/>
                <w:sz w:val="20"/>
                <w:lang w:val="sk-SK"/>
              </w:rPr>
              <w:t>,</w:t>
            </w:r>
          </w:p>
          <w:p w14:paraId="33DD8EF0" w14:textId="77777777" w:rsidR="00FC28D5" w:rsidRPr="00A23BA8" w:rsidRDefault="00FC28D5" w:rsidP="00FC28D5">
            <w:pPr>
              <w:pStyle w:val="Odsekzoznamu"/>
              <w:numPr>
                <w:ilvl w:val="0"/>
                <w:numId w:val="25"/>
              </w:numPr>
              <w:jc w:val="both"/>
              <w:rPr>
                <w:rFonts w:ascii="Times New Roman" w:hAnsi="Times New Roman"/>
                <w:sz w:val="20"/>
                <w:lang w:val="sk-SK"/>
              </w:rPr>
            </w:pPr>
            <w:r w:rsidRPr="00A23BA8">
              <w:rPr>
                <w:rFonts w:ascii="Times New Roman" w:hAnsi="Times New Roman"/>
                <w:sz w:val="20"/>
                <w:lang w:val="sk-SK"/>
              </w:rPr>
              <w:t>zmrazia sa prostriedky v rezervách predsedu vlády a vlády SR v rozpočte na rok 2023,</w:t>
            </w:r>
          </w:p>
          <w:p w14:paraId="55C16E72" w14:textId="77777777" w:rsidR="00FC28D5" w:rsidRPr="00A23BA8" w:rsidRDefault="00FC28D5" w:rsidP="00FC28D5">
            <w:pPr>
              <w:pStyle w:val="Odsekzoznamu"/>
              <w:numPr>
                <w:ilvl w:val="0"/>
                <w:numId w:val="25"/>
              </w:numPr>
              <w:jc w:val="both"/>
              <w:rPr>
                <w:rFonts w:ascii="Times New Roman" w:hAnsi="Times New Roman"/>
                <w:sz w:val="20"/>
                <w:lang w:val="sk-SK"/>
              </w:rPr>
            </w:pPr>
            <w:r w:rsidRPr="00A23BA8">
              <w:rPr>
                <w:rFonts w:ascii="Times New Roman" w:hAnsi="Times New Roman"/>
                <w:sz w:val="20"/>
                <w:lang w:val="sk-SK"/>
              </w:rPr>
              <w:t>vláda nesmie predložiť do NR SR návrh rozpočtu verejnej správy na rok 2024 s medziročným nominálnym rastom výdavkov,</w:t>
            </w:r>
          </w:p>
          <w:p w14:paraId="78B6DC69" w14:textId="77777777" w:rsidR="00FC28D5" w:rsidRPr="00A23BA8" w:rsidRDefault="00FC28D5" w:rsidP="00FC28D5">
            <w:pPr>
              <w:pStyle w:val="Odsekzoznamu"/>
              <w:numPr>
                <w:ilvl w:val="0"/>
                <w:numId w:val="25"/>
              </w:numPr>
              <w:jc w:val="both"/>
              <w:rPr>
                <w:rFonts w:ascii="Times New Roman" w:hAnsi="Times New Roman"/>
                <w:sz w:val="20"/>
                <w:lang w:val="sk-SK"/>
              </w:rPr>
            </w:pPr>
            <w:r w:rsidRPr="00A23BA8">
              <w:rPr>
                <w:rFonts w:ascii="Times New Roman" w:hAnsi="Times New Roman"/>
                <w:sz w:val="20"/>
                <w:lang w:val="sk-SK"/>
              </w:rPr>
              <w:t>vláda je súčasne povinná na rok 2024 predložiť do NR SR návrh rozpočtu verejnej správy s vyrovnaným schodkom,</w:t>
            </w:r>
          </w:p>
          <w:p w14:paraId="1A328F8C" w14:textId="77777777" w:rsidR="00FC28D5" w:rsidRPr="00A23BA8" w:rsidRDefault="00FC28D5" w:rsidP="00FC28D5">
            <w:pPr>
              <w:pStyle w:val="Odsekzoznamu"/>
              <w:numPr>
                <w:ilvl w:val="0"/>
                <w:numId w:val="25"/>
              </w:numPr>
              <w:jc w:val="both"/>
              <w:rPr>
                <w:rFonts w:ascii="Times New Roman" w:hAnsi="Times New Roman"/>
                <w:sz w:val="20"/>
                <w:lang w:val="sk-SK"/>
              </w:rPr>
            </w:pPr>
            <w:r w:rsidRPr="00A23BA8">
              <w:rPr>
                <w:rFonts w:ascii="Times New Roman" w:hAnsi="Times New Roman"/>
                <w:sz w:val="20"/>
                <w:lang w:val="sk-SK"/>
              </w:rPr>
              <w:t>vláda požiada NR SR o hlasovanie o dôvere,</w:t>
            </w:r>
          </w:p>
          <w:p w14:paraId="20B9BAD0" w14:textId="77777777" w:rsidR="00FC28D5" w:rsidRPr="00A23BA8" w:rsidRDefault="00FC28D5" w:rsidP="00FC28D5">
            <w:pPr>
              <w:pStyle w:val="Odsekzoznamu"/>
              <w:numPr>
                <w:ilvl w:val="0"/>
                <w:numId w:val="25"/>
              </w:numPr>
              <w:jc w:val="both"/>
              <w:rPr>
                <w:rFonts w:ascii="Times New Roman" w:hAnsi="Times New Roman"/>
                <w:sz w:val="20"/>
                <w:lang w:val="sk-SK"/>
              </w:rPr>
            </w:pPr>
            <w:r w:rsidRPr="00A23BA8">
              <w:rPr>
                <w:rFonts w:ascii="Times New Roman" w:hAnsi="Times New Roman"/>
                <w:sz w:val="20"/>
                <w:lang w:val="sk-SK"/>
              </w:rPr>
              <w:t>obce a VÚC sú povinné schváliť vyrovnané alebo prebytkové rozpočty.</w:t>
            </w:r>
          </w:p>
          <w:p w14:paraId="104085F2" w14:textId="77777777" w:rsidR="00FC28D5" w:rsidRPr="00A23BA8" w:rsidRDefault="00FC28D5" w:rsidP="00FC28D5">
            <w:pPr>
              <w:pStyle w:val="Odsekzoznamu"/>
              <w:jc w:val="both"/>
              <w:rPr>
                <w:rFonts w:ascii="Times New Roman" w:hAnsi="Times New Roman"/>
                <w:sz w:val="20"/>
                <w:lang w:val="sk-SK"/>
              </w:rPr>
            </w:pPr>
          </w:p>
          <w:p w14:paraId="165F5A3A" w14:textId="77777777" w:rsidR="00FC28D5" w:rsidRPr="00A23BA8" w:rsidRDefault="00FC28D5" w:rsidP="00FC28D5">
            <w:pPr>
              <w:jc w:val="both"/>
              <w:rPr>
                <w:rFonts w:ascii="Times New Roman" w:hAnsi="Times New Roman"/>
                <w:sz w:val="20"/>
              </w:rPr>
            </w:pPr>
            <w:r w:rsidRPr="00A23BA8">
              <w:rPr>
                <w:rFonts w:ascii="Times New Roman" w:hAnsi="Times New Roman"/>
                <w:b/>
                <w:sz w:val="20"/>
              </w:rPr>
              <w:t xml:space="preserve">Novela ústavného zákona, schválená vládou v roku 2020 a čakajúca na odobrenie parlamentom, by odvrátila hrozbu skokovo vyrovnaného rozpočtu v roku 2024 a ústavne posilnila systémovú konsolidáciu verejných financií. </w:t>
            </w:r>
            <w:r w:rsidRPr="00A23BA8">
              <w:rPr>
                <w:rFonts w:ascii="Times New Roman" w:hAnsi="Times New Roman"/>
                <w:sz w:val="20"/>
              </w:rPr>
              <w:t xml:space="preserve">Fiškálnemu útesu v roku 2024 v podobe skokovo vyrovnaného rozpočtu z očakávaného deficitu 6,4 % v 2023 je možné sa vyhnúť schválením novely ústavného zákona o rozpočtovej zodpovednosti. Novela po 10 rokoch skúseností s fungovaním dlhovej brzdy prináša legislatívne úpravy, ktoré by mali efektívnejšie zabezpečiť zdravé a udržateľné verejné financie. Prvou zmenou je zúženie sankčných pásiem z piatich na štyri a súčasne sprísnenie ich sankcií. Novelizovaním zákona by na rozdiel od súčasnosti bola vláda povinná prijímať konsolidačné opatrenia už pri najnižšom sankčnom pásme a znižovať zadlženie, pričom najprísnejšie sankcie vyrovnaného rozpočtu a hlasovania o dôvere by sa zachovali. Zmenu by priniesol aj prechod na ukazovateľ čistého dlhu, ktorý by zefektívnil riadenie likvidity pri obsluhe štátneho dlhu očistením súčasného indikátora najmä o hotovostnú </w:t>
            </w:r>
            <w:r w:rsidRPr="00A23BA8">
              <w:rPr>
                <w:rFonts w:ascii="Times New Roman" w:hAnsi="Times New Roman"/>
                <w:sz w:val="20"/>
              </w:rPr>
              <w:lastRenderedPageBreak/>
              <w:t xml:space="preserve">rezervu. Štát by tak bol schopný využiť priaznivé podmienky na finančnom trhu a predzásobiť sa bez vplyvu na sankčné pásma, čo sa v rokoch 2020 a 2021 ukázalo ako problematické. </w:t>
            </w:r>
          </w:p>
          <w:p w14:paraId="63151738" w14:textId="02419C1D" w:rsidR="00FC28D5" w:rsidRPr="00A23BA8" w:rsidRDefault="00FC28D5" w:rsidP="00FC28D5">
            <w:pPr>
              <w:jc w:val="both"/>
              <w:rPr>
                <w:rFonts w:ascii="Times New Roman" w:hAnsi="Times New Roman"/>
                <w:i/>
                <w:sz w:val="14"/>
                <w:szCs w:val="14"/>
              </w:rPr>
            </w:pPr>
            <w:r w:rsidRPr="00A23BA8">
              <w:rPr>
                <w:rFonts w:ascii="Times New Roman" w:hAnsi="Times New Roman"/>
                <w:b/>
                <w:sz w:val="20"/>
              </w:rPr>
              <w:t>Posilnil by sa tiež princíp proti-cyklickosti dlhovej brzdy, ale aj umožnilo každej vláde vyhnúť sa hlasovaniu o dôvere v prípade plnenia sankcií v predchádzajúcich rokoch.</w:t>
            </w:r>
            <w:r w:rsidRPr="00A23BA8">
              <w:rPr>
                <w:rFonts w:ascii="Times New Roman" w:hAnsi="Times New Roman"/>
                <w:sz w:val="20"/>
              </w:rPr>
              <w:t xml:space="preserve"> S cieľom posilniť proti-cyklickosť by úprava únikových klauzúl priniesla pozastavenie sankcií z dlhovej brzdy už pri medziročnom prepade ekonomiky. Súčasné znenie zákona napr. neaktivovalo únikovú klauzulu ani po prepade ekonomiky v pandemickom roku 2020 (-4,4 %), pretože pokles nebol dostatočný na splnenie podmienok zákona (-9,4 %). Novela</w:t>
            </w:r>
            <w:r w:rsidR="007156EB" w:rsidRPr="00A23BA8">
              <w:rPr>
                <w:rFonts w:ascii="Times New Roman" w:hAnsi="Times New Roman"/>
                <w:sz w:val="20"/>
              </w:rPr>
              <w:t xml:space="preserve"> by</w:t>
            </w:r>
            <w:r w:rsidRPr="00A23BA8">
              <w:rPr>
                <w:rFonts w:ascii="Times New Roman" w:hAnsi="Times New Roman"/>
                <w:sz w:val="20"/>
              </w:rPr>
              <w:t xml:space="preserve"> tiež sprísni</w:t>
            </w:r>
            <w:r w:rsidR="007156EB" w:rsidRPr="00A23BA8">
              <w:rPr>
                <w:rFonts w:ascii="Times New Roman" w:hAnsi="Times New Roman"/>
                <w:sz w:val="20"/>
              </w:rPr>
              <w:t>la</w:t>
            </w:r>
            <w:r w:rsidRPr="00A23BA8">
              <w:rPr>
                <w:rFonts w:ascii="Times New Roman" w:hAnsi="Times New Roman"/>
                <w:sz w:val="20"/>
              </w:rPr>
              <w:t xml:space="preserve"> únikovú klauzulu z nástupu novej vlády naviazaním podmienky na voľby do NR SR. Pri dosiahnutí najvyššieho sankčného pásma dlhovej brzdy by vláde novela umožnila vyhnúť sa sankcii predloženia štrukturálne vyrovnaného rozpočtu a hlasovania o dôvere v prípade plnenia sankcií v predchádzajúcich rokoch.</w:t>
            </w:r>
          </w:p>
        </w:tc>
      </w:tr>
    </w:tbl>
    <w:p w14:paraId="0570A900" w14:textId="74A7C752" w:rsidR="00A164C1" w:rsidRPr="00A23BA8" w:rsidRDefault="00E4520C" w:rsidP="00855E31">
      <w:pPr>
        <w:pStyle w:val="Nadpis2"/>
        <w:numPr>
          <w:ilvl w:val="0"/>
          <w:numId w:val="1"/>
        </w:numPr>
        <w:spacing w:before="0" w:after="120"/>
        <w:ind w:left="357" w:hanging="357"/>
        <w:rPr>
          <w:rFonts w:ascii="Times New Roman" w:hAnsi="Times New Roman"/>
          <w:sz w:val="24"/>
          <w:szCs w:val="20"/>
        </w:rPr>
      </w:pPr>
      <w:bookmarkStart w:id="3" w:name="_Toc24112335"/>
      <w:r w:rsidRPr="00A23BA8">
        <w:rPr>
          <w:rFonts w:ascii="Times New Roman" w:hAnsi="Times New Roman"/>
          <w:sz w:val="24"/>
          <w:szCs w:val="20"/>
        </w:rPr>
        <w:lastRenderedPageBreak/>
        <w:t xml:space="preserve">Prognóza </w:t>
      </w:r>
      <w:r w:rsidR="00A164C1" w:rsidRPr="00A23BA8">
        <w:rPr>
          <w:rFonts w:ascii="Times New Roman" w:hAnsi="Times New Roman"/>
          <w:sz w:val="24"/>
          <w:szCs w:val="20"/>
        </w:rPr>
        <w:t>hrubého dlhu verejnej správy</w:t>
      </w:r>
      <w:r w:rsidR="00A754D2" w:rsidRPr="00A23BA8">
        <w:rPr>
          <w:rFonts w:ascii="Times New Roman" w:hAnsi="Times New Roman"/>
          <w:sz w:val="24"/>
          <w:szCs w:val="20"/>
        </w:rPr>
        <w:t xml:space="preserve"> </w:t>
      </w:r>
      <w:r w:rsidR="00123A46" w:rsidRPr="00A23BA8">
        <w:rPr>
          <w:rFonts w:ascii="Times New Roman" w:hAnsi="Times New Roman"/>
          <w:sz w:val="24"/>
          <w:szCs w:val="20"/>
        </w:rPr>
        <w:t xml:space="preserve">na roky </w:t>
      </w:r>
      <w:r w:rsidR="00A765CA" w:rsidRPr="00A23BA8">
        <w:rPr>
          <w:rFonts w:ascii="Times New Roman" w:hAnsi="Times New Roman"/>
          <w:sz w:val="24"/>
          <w:szCs w:val="20"/>
        </w:rPr>
        <w:t>2022</w:t>
      </w:r>
      <w:r w:rsidR="00123A46" w:rsidRPr="00A23BA8">
        <w:rPr>
          <w:rFonts w:ascii="Times New Roman" w:hAnsi="Times New Roman"/>
          <w:sz w:val="24"/>
          <w:szCs w:val="20"/>
        </w:rPr>
        <w:t xml:space="preserve"> až</w:t>
      </w:r>
      <w:r w:rsidR="00A754D2" w:rsidRPr="00A23BA8">
        <w:rPr>
          <w:rFonts w:ascii="Times New Roman" w:hAnsi="Times New Roman"/>
          <w:sz w:val="24"/>
          <w:szCs w:val="20"/>
        </w:rPr>
        <w:t xml:space="preserve"> 202</w:t>
      </w:r>
      <w:bookmarkEnd w:id="3"/>
      <w:r w:rsidR="00A765CA" w:rsidRPr="00A23BA8">
        <w:rPr>
          <w:rFonts w:ascii="Times New Roman" w:hAnsi="Times New Roman"/>
          <w:sz w:val="24"/>
          <w:szCs w:val="20"/>
        </w:rPr>
        <w:t>5</w:t>
      </w:r>
    </w:p>
    <w:p w14:paraId="0DC0871B" w14:textId="10C25718" w:rsidR="00E67879" w:rsidRPr="00A23BA8" w:rsidRDefault="00237E41" w:rsidP="00E21CE4">
      <w:pPr>
        <w:spacing w:line="264" w:lineRule="auto"/>
        <w:jc w:val="both"/>
        <w:rPr>
          <w:rFonts w:ascii="Times New Roman" w:hAnsi="Times New Roman"/>
          <w:sz w:val="20"/>
          <w:szCs w:val="20"/>
        </w:rPr>
      </w:pPr>
      <w:r w:rsidRPr="00A23BA8">
        <w:rPr>
          <w:rFonts w:ascii="Times New Roman" w:hAnsi="Times New Roman"/>
          <w:b/>
          <w:sz w:val="20"/>
          <w:szCs w:val="20"/>
        </w:rPr>
        <w:t>Za rok</w:t>
      </w:r>
      <w:r w:rsidR="00E67879" w:rsidRPr="00A23BA8">
        <w:rPr>
          <w:rFonts w:ascii="Times New Roman" w:hAnsi="Times New Roman"/>
          <w:b/>
          <w:sz w:val="20"/>
          <w:szCs w:val="20"/>
        </w:rPr>
        <w:t xml:space="preserve"> </w:t>
      </w:r>
      <w:r w:rsidRPr="00A23BA8">
        <w:rPr>
          <w:rFonts w:ascii="Times New Roman" w:hAnsi="Times New Roman"/>
          <w:b/>
          <w:sz w:val="20"/>
          <w:szCs w:val="20"/>
        </w:rPr>
        <w:t xml:space="preserve">2022 </w:t>
      </w:r>
      <w:r w:rsidR="00E67879" w:rsidRPr="00A23BA8">
        <w:rPr>
          <w:rFonts w:ascii="Times New Roman" w:hAnsi="Times New Roman"/>
          <w:b/>
          <w:sz w:val="20"/>
          <w:szCs w:val="20"/>
        </w:rPr>
        <w:t xml:space="preserve">sa očakáva </w:t>
      </w:r>
      <w:r w:rsidR="007A28DD" w:rsidRPr="00A23BA8">
        <w:rPr>
          <w:rFonts w:ascii="Times New Roman" w:hAnsi="Times New Roman"/>
          <w:b/>
          <w:sz w:val="20"/>
          <w:szCs w:val="20"/>
        </w:rPr>
        <w:t xml:space="preserve">výraznejší pokles hrubého dlhu a </w:t>
      </w:r>
      <w:r w:rsidR="00E67879" w:rsidRPr="00A23BA8">
        <w:rPr>
          <w:rFonts w:ascii="Times New Roman" w:hAnsi="Times New Roman"/>
          <w:b/>
          <w:sz w:val="20"/>
          <w:szCs w:val="20"/>
        </w:rPr>
        <w:t xml:space="preserve">návrat </w:t>
      </w:r>
      <w:r w:rsidR="007A28DD" w:rsidRPr="00A23BA8">
        <w:rPr>
          <w:rFonts w:ascii="Times New Roman" w:hAnsi="Times New Roman"/>
          <w:b/>
          <w:sz w:val="20"/>
          <w:szCs w:val="20"/>
        </w:rPr>
        <w:t>pod 60 %-nú hranicu</w:t>
      </w:r>
      <w:r w:rsidR="00A5520A" w:rsidRPr="00A23BA8">
        <w:rPr>
          <w:rFonts w:ascii="Times New Roman" w:hAnsi="Times New Roman"/>
          <w:b/>
          <w:sz w:val="20"/>
          <w:szCs w:val="20"/>
        </w:rPr>
        <w:t>.</w:t>
      </w:r>
      <w:r w:rsidR="00E67879" w:rsidRPr="00A23BA8">
        <w:rPr>
          <w:rFonts w:ascii="Times New Roman" w:hAnsi="Times New Roman"/>
          <w:b/>
          <w:sz w:val="20"/>
          <w:szCs w:val="20"/>
        </w:rPr>
        <w:t xml:space="preserve"> </w:t>
      </w:r>
      <w:r w:rsidR="00766945" w:rsidRPr="00A23BA8">
        <w:rPr>
          <w:rFonts w:ascii="Times New Roman" w:hAnsi="Times New Roman"/>
          <w:sz w:val="20"/>
          <w:szCs w:val="20"/>
        </w:rPr>
        <w:t xml:space="preserve">Z dôvodu pretrvávajúceho deficitu verejnej správy </w:t>
      </w:r>
      <w:r w:rsidR="00E67879" w:rsidRPr="00A23BA8">
        <w:rPr>
          <w:rFonts w:ascii="Times New Roman" w:hAnsi="Times New Roman"/>
          <w:sz w:val="20"/>
          <w:szCs w:val="20"/>
        </w:rPr>
        <w:t xml:space="preserve">nominálny hrubý dlh v roku 2022 </w:t>
      </w:r>
      <w:r w:rsidR="00105B75" w:rsidRPr="00A23BA8">
        <w:rPr>
          <w:rFonts w:ascii="Times New Roman" w:hAnsi="Times New Roman"/>
          <w:sz w:val="20"/>
          <w:szCs w:val="20"/>
        </w:rPr>
        <w:t xml:space="preserve">síce </w:t>
      </w:r>
      <w:r w:rsidRPr="00A23BA8">
        <w:rPr>
          <w:rFonts w:ascii="Times New Roman" w:hAnsi="Times New Roman"/>
          <w:sz w:val="20"/>
          <w:szCs w:val="20"/>
        </w:rPr>
        <w:t>medziročne vzrástol</w:t>
      </w:r>
      <w:r w:rsidR="00766945" w:rsidRPr="00A23BA8">
        <w:rPr>
          <w:rFonts w:ascii="Times New Roman" w:hAnsi="Times New Roman"/>
          <w:sz w:val="20"/>
          <w:szCs w:val="20"/>
        </w:rPr>
        <w:t>, v</w:t>
      </w:r>
      <w:r w:rsidR="00E67879" w:rsidRPr="00A23BA8">
        <w:rPr>
          <w:rFonts w:ascii="Times New Roman" w:hAnsi="Times New Roman"/>
          <w:sz w:val="20"/>
          <w:szCs w:val="20"/>
        </w:rPr>
        <w:t xml:space="preserve"> pomere k</w:t>
      </w:r>
      <w:r w:rsidR="00766945" w:rsidRPr="00A23BA8">
        <w:rPr>
          <w:rFonts w:ascii="Times New Roman" w:hAnsi="Times New Roman"/>
          <w:sz w:val="20"/>
          <w:szCs w:val="20"/>
        </w:rPr>
        <w:t> </w:t>
      </w:r>
      <w:r w:rsidR="00E67879" w:rsidRPr="00A23BA8">
        <w:rPr>
          <w:rFonts w:ascii="Times New Roman" w:hAnsi="Times New Roman"/>
          <w:sz w:val="20"/>
          <w:szCs w:val="20"/>
        </w:rPr>
        <w:t>HDP</w:t>
      </w:r>
      <w:r w:rsidR="00766945" w:rsidRPr="00A23BA8">
        <w:rPr>
          <w:rFonts w:ascii="Times New Roman" w:hAnsi="Times New Roman"/>
          <w:sz w:val="20"/>
          <w:szCs w:val="20"/>
        </w:rPr>
        <w:t xml:space="preserve"> sa</w:t>
      </w:r>
      <w:r w:rsidR="00E67879" w:rsidRPr="00A23BA8">
        <w:rPr>
          <w:rFonts w:ascii="Times New Roman" w:hAnsi="Times New Roman"/>
          <w:sz w:val="20"/>
          <w:szCs w:val="20"/>
        </w:rPr>
        <w:t xml:space="preserve"> však </w:t>
      </w:r>
      <w:r w:rsidR="00766945" w:rsidRPr="00A23BA8">
        <w:rPr>
          <w:rFonts w:ascii="Times New Roman" w:hAnsi="Times New Roman"/>
          <w:sz w:val="20"/>
          <w:szCs w:val="20"/>
        </w:rPr>
        <w:t>zníži</w:t>
      </w:r>
      <w:r w:rsidRPr="00A23BA8">
        <w:rPr>
          <w:rFonts w:ascii="Times New Roman" w:hAnsi="Times New Roman"/>
          <w:sz w:val="20"/>
          <w:szCs w:val="20"/>
        </w:rPr>
        <w:t>l</w:t>
      </w:r>
      <w:r w:rsidR="00766945" w:rsidRPr="00A23BA8">
        <w:rPr>
          <w:rFonts w:ascii="Times New Roman" w:hAnsi="Times New Roman"/>
          <w:sz w:val="20"/>
          <w:szCs w:val="20"/>
        </w:rPr>
        <w:t xml:space="preserve"> na </w:t>
      </w:r>
      <w:r w:rsidR="006A265A" w:rsidRPr="00A23BA8">
        <w:rPr>
          <w:rFonts w:ascii="Times New Roman" w:hAnsi="Times New Roman"/>
          <w:sz w:val="20"/>
          <w:szCs w:val="20"/>
        </w:rPr>
        <w:t>58</w:t>
      </w:r>
      <w:r w:rsidR="00766945" w:rsidRPr="00A23BA8">
        <w:rPr>
          <w:rFonts w:ascii="Times New Roman" w:hAnsi="Times New Roman"/>
          <w:sz w:val="20"/>
          <w:szCs w:val="20"/>
        </w:rPr>
        <w:t>,</w:t>
      </w:r>
      <w:r w:rsidR="00FA3B27" w:rsidRPr="00A23BA8">
        <w:rPr>
          <w:rFonts w:ascii="Times New Roman" w:hAnsi="Times New Roman"/>
          <w:sz w:val="20"/>
          <w:szCs w:val="20"/>
        </w:rPr>
        <w:t>6</w:t>
      </w:r>
      <w:r w:rsidR="00766945" w:rsidRPr="00A23BA8">
        <w:rPr>
          <w:rFonts w:ascii="Times New Roman" w:hAnsi="Times New Roman"/>
          <w:sz w:val="20"/>
          <w:szCs w:val="20"/>
        </w:rPr>
        <w:t xml:space="preserve"> </w:t>
      </w:r>
      <w:r w:rsidR="00E67879" w:rsidRPr="00A23BA8">
        <w:rPr>
          <w:rFonts w:ascii="Times New Roman" w:hAnsi="Times New Roman"/>
          <w:sz w:val="20"/>
          <w:szCs w:val="20"/>
        </w:rPr>
        <w:t>% HDP</w:t>
      </w:r>
      <w:r w:rsidR="00766945" w:rsidRPr="00A23BA8">
        <w:rPr>
          <w:rFonts w:ascii="Times New Roman" w:hAnsi="Times New Roman"/>
          <w:sz w:val="20"/>
          <w:szCs w:val="20"/>
        </w:rPr>
        <w:t>.</w:t>
      </w:r>
      <w:r w:rsidR="00E67879" w:rsidRPr="00A23BA8">
        <w:rPr>
          <w:rFonts w:ascii="Times New Roman" w:hAnsi="Times New Roman"/>
          <w:sz w:val="20"/>
          <w:szCs w:val="20"/>
        </w:rPr>
        <w:t xml:space="preserve"> </w:t>
      </w:r>
      <w:r w:rsidR="00CA3DBA" w:rsidRPr="00A23BA8">
        <w:rPr>
          <w:rFonts w:ascii="Times New Roman" w:hAnsi="Times New Roman"/>
          <w:sz w:val="20"/>
          <w:szCs w:val="20"/>
        </w:rPr>
        <w:t xml:space="preserve">Pokles dlhu v pomere k HDP </w:t>
      </w:r>
      <w:r w:rsidRPr="00A23BA8">
        <w:rPr>
          <w:rFonts w:ascii="Times New Roman" w:hAnsi="Times New Roman"/>
          <w:sz w:val="20"/>
          <w:szCs w:val="20"/>
        </w:rPr>
        <w:t>zabezpečila</w:t>
      </w:r>
      <w:r w:rsidR="00E67879" w:rsidRPr="00A23BA8">
        <w:rPr>
          <w:rFonts w:ascii="Times New Roman" w:hAnsi="Times New Roman"/>
          <w:sz w:val="20"/>
          <w:szCs w:val="20"/>
        </w:rPr>
        <w:t xml:space="preserve"> </w:t>
      </w:r>
      <w:r w:rsidR="00154595" w:rsidRPr="00A23BA8">
        <w:rPr>
          <w:rFonts w:ascii="Times New Roman" w:hAnsi="Times New Roman"/>
          <w:sz w:val="20"/>
          <w:szCs w:val="20"/>
        </w:rPr>
        <w:t xml:space="preserve">v prvom rade vysoká miera inflácie a </w:t>
      </w:r>
      <w:r w:rsidR="00E67879" w:rsidRPr="00A23BA8">
        <w:rPr>
          <w:rFonts w:ascii="Times New Roman" w:hAnsi="Times New Roman"/>
          <w:sz w:val="20"/>
          <w:szCs w:val="20"/>
        </w:rPr>
        <w:t>ešte stále rastúca ekonomika cez efekt menovateľa. Medzir</w:t>
      </w:r>
      <w:r w:rsidR="009858B2" w:rsidRPr="00A23BA8">
        <w:rPr>
          <w:rFonts w:ascii="Times New Roman" w:hAnsi="Times New Roman"/>
          <w:sz w:val="20"/>
          <w:szCs w:val="20"/>
        </w:rPr>
        <w:t>očné zníženie hrubého d</w:t>
      </w:r>
      <w:r w:rsidR="00FA3B27" w:rsidRPr="00A23BA8">
        <w:rPr>
          <w:rFonts w:ascii="Times New Roman" w:hAnsi="Times New Roman"/>
          <w:sz w:val="20"/>
          <w:szCs w:val="20"/>
        </w:rPr>
        <w:t>lhu o 3,6</w:t>
      </w:r>
      <w:r w:rsidR="00E67879" w:rsidRPr="00A23BA8">
        <w:rPr>
          <w:rFonts w:ascii="Times New Roman" w:hAnsi="Times New Roman"/>
          <w:sz w:val="20"/>
          <w:szCs w:val="20"/>
        </w:rPr>
        <w:t xml:space="preserve"> p. b. HDP </w:t>
      </w:r>
      <w:r w:rsidRPr="00A23BA8">
        <w:rPr>
          <w:rFonts w:ascii="Times New Roman" w:hAnsi="Times New Roman"/>
          <w:sz w:val="20"/>
          <w:szCs w:val="20"/>
        </w:rPr>
        <w:t>bolo</w:t>
      </w:r>
      <w:r w:rsidR="00105B75" w:rsidRPr="00A23BA8">
        <w:rPr>
          <w:rFonts w:ascii="Times New Roman" w:hAnsi="Times New Roman"/>
          <w:sz w:val="20"/>
          <w:szCs w:val="20"/>
        </w:rPr>
        <w:t xml:space="preserve"> podporené aj </w:t>
      </w:r>
      <w:r w:rsidR="00E36D15" w:rsidRPr="00A23BA8">
        <w:rPr>
          <w:rFonts w:ascii="Times New Roman" w:hAnsi="Times New Roman"/>
          <w:sz w:val="20"/>
          <w:szCs w:val="20"/>
        </w:rPr>
        <w:t>výraznejším</w:t>
      </w:r>
      <w:r w:rsidR="00105B75" w:rsidRPr="00A23BA8">
        <w:rPr>
          <w:rFonts w:ascii="Times New Roman" w:hAnsi="Times New Roman"/>
          <w:sz w:val="20"/>
          <w:szCs w:val="20"/>
        </w:rPr>
        <w:t xml:space="preserve"> čerpaním zdrojov zo Štátnej pokladnice</w:t>
      </w:r>
      <w:r w:rsidR="00D965A3" w:rsidRPr="00A23BA8">
        <w:rPr>
          <w:rFonts w:ascii="Times New Roman" w:hAnsi="Times New Roman"/>
          <w:sz w:val="20"/>
          <w:szCs w:val="20"/>
        </w:rPr>
        <w:t xml:space="preserve"> </w:t>
      </w:r>
      <w:r w:rsidR="00105B75" w:rsidRPr="00A23BA8">
        <w:rPr>
          <w:rFonts w:ascii="Times New Roman" w:hAnsi="Times New Roman"/>
          <w:sz w:val="20"/>
          <w:szCs w:val="20"/>
        </w:rPr>
        <w:t>na úkor nákladnejších emisií nových dlhopisov.</w:t>
      </w:r>
      <w:r w:rsidR="00E36D15" w:rsidRPr="00A23BA8">
        <w:rPr>
          <w:rFonts w:ascii="Times New Roman" w:hAnsi="Times New Roman"/>
          <w:sz w:val="20"/>
          <w:szCs w:val="20"/>
        </w:rPr>
        <w:t xml:space="preserve"> Dodatočný</w:t>
      </w:r>
      <w:r w:rsidRPr="00A23BA8">
        <w:rPr>
          <w:rFonts w:ascii="Times New Roman" w:hAnsi="Times New Roman"/>
          <w:sz w:val="20"/>
          <w:szCs w:val="20"/>
        </w:rPr>
        <w:t>m pozitívnym vplyvom na dlh boli</w:t>
      </w:r>
      <w:r w:rsidR="00E36D15" w:rsidRPr="00A23BA8">
        <w:rPr>
          <w:rFonts w:ascii="Times New Roman" w:hAnsi="Times New Roman"/>
          <w:sz w:val="20"/>
          <w:szCs w:val="20"/>
        </w:rPr>
        <w:t xml:space="preserve"> výbery vkladov subjektov mimo verejnej správy zo Štátnej pokladnice, čo zníži</w:t>
      </w:r>
      <w:r w:rsidRPr="00A23BA8">
        <w:rPr>
          <w:rFonts w:ascii="Times New Roman" w:hAnsi="Times New Roman"/>
          <w:sz w:val="20"/>
          <w:szCs w:val="20"/>
        </w:rPr>
        <w:t>lo</w:t>
      </w:r>
      <w:r w:rsidR="00E36D15" w:rsidRPr="00A23BA8">
        <w:rPr>
          <w:rFonts w:ascii="Times New Roman" w:hAnsi="Times New Roman"/>
          <w:sz w:val="20"/>
          <w:szCs w:val="20"/>
        </w:rPr>
        <w:t xml:space="preserve"> záväzky štátu </w:t>
      </w:r>
      <w:r w:rsidR="00DC6581" w:rsidRPr="00A23BA8">
        <w:rPr>
          <w:rFonts w:ascii="Times New Roman" w:hAnsi="Times New Roman"/>
          <w:sz w:val="20"/>
          <w:szCs w:val="20"/>
        </w:rPr>
        <w:t xml:space="preserve">ku koncu roka celkovo </w:t>
      </w:r>
      <w:r w:rsidR="009C76CD" w:rsidRPr="00A23BA8">
        <w:rPr>
          <w:rFonts w:ascii="Times New Roman" w:hAnsi="Times New Roman"/>
          <w:sz w:val="20"/>
          <w:szCs w:val="20"/>
        </w:rPr>
        <w:t>o</w:t>
      </w:r>
      <w:r w:rsidR="00FA3B27" w:rsidRPr="00A23BA8">
        <w:rPr>
          <w:rFonts w:ascii="Times New Roman" w:hAnsi="Times New Roman"/>
          <w:sz w:val="20"/>
          <w:szCs w:val="20"/>
        </w:rPr>
        <w:t xml:space="preserve"> 1,5</w:t>
      </w:r>
      <w:r w:rsidR="00E36D15" w:rsidRPr="00A23BA8">
        <w:rPr>
          <w:rFonts w:ascii="Times New Roman" w:hAnsi="Times New Roman"/>
          <w:sz w:val="20"/>
          <w:szCs w:val="20"/>
        </w:rPr>
        <w:t xml:space="preserve"> p. b. HDP.</w:t>
      </w:r>
    </w:p>
    <w:tbl>
      <w:tblPr>
        <w:tblpPr w:leftFromText="141" w:rightFromText="141" w:vertAnchor="text" w:horzAnchor="margin" w:tblpY="1624"/>
        <w:tblW w:w="89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8928"/>
      </w:tblGrid>
      <w:tr w:rsidR="008C391E" w:rsidRPr="00875361" w14:paraId="2B3AB35D" w14:textId="77777777" w:rsidTr="008C391E">
        <w:trPr>
          <w:trHeight w:val="286"/>
        </w:trPr>
        <w:tc>
          <w:tcPr>
            <w:tcW w:w="8928" w:type="dxa"/>
            <w:tcBorders>
              <w:top w:val="nil"/>
              <w:left w:val="nil"/>
              <w:bottom w:val="single" w:sz="4" w:space="0" w:color="000000"/>
              <w:right w:val="nil"/>
            </w:tcBorders>
            <w:shd w:val="clear" w:color="auto" w:fill="auto"/>
          </w:tcPr>
          <w:p w14:paraId="5FE6904D" w14:textId="77777777" w:rsidR="008C391E" w:rsidRPr="00A23BA8" w:rsidRDefault="008C391E" w:rsidP="00B349C3">
            <w:pPr>
              <w:pStyle w:val="Graf"/>
              <w:framePr w:hSpace="0" w:wrap="auto" w:vAnchor="margin" w:hAnchor="text" w:yAlign="inline"/>
              <w:rPr>
                <w:highlight w:val="yellow"/>
              </w:rPr>
            </w:pPr>
            <w:r w:rsidRPr="00A23BA8">
              <w:t>GRAF 4 – Alternatívne scenáre dlhodobého vývoja hrubého dlhu po roku 2024 (% HDP)</w:t>
            </w:r>
          </w:p>
        </w:tc>
      </w:tr>
      <w:tr w:rsidR="008C391E" w:rsidRPr="00875361" w14:paraId="4035CFD8" w14:textId="77777777" w:rsidTr="008C391E">
        <w:trPr>
          <w:trHeight w:val="3035"/>
        </w:trPr>
        <w:tc>
          <w:tcPr>
            <w:tcW w:w="8928" w:type="dxa"/>
            <w:tcBorders>
              <w:top w:val="single" w:sz="4" w:space="0" w:color="000000"/>
              <w:left w:val="nil"/>
              <w:bottom w:val="single" w:sz="4" w:space="0" w:color="auto"/>
              <w:right w:val="nil"/>
            </w:tcBorders>
            <w:shd w:val="clear" w:color="auto" w:fill="auto"/>
            <w:vAlign w:val="center"/>
          </w:tcPr>
          <w:p w14:paraId="05FFC504" w14:textId="77777777" w:rsidR="008C391E" w:rsidRPr="00875361" w:rsidRDefault="008C391E" w:rsidP="008C391E">
            <w:pPr>
              <w:spacing w:before="40" w:after="40"/>
              <w:jc w:val="center"/>
              <w:rPr>
                <w:color w:val="000000" w:themeColor="text1"/>
                <w:sz w:val="20"/>
                <w:szCs w:val="20"/>
                <w:highlight w:val="yellow"/>
              </w:rPr>
            </w:pPr>
            <w:r>
              <w:rPr>
                <w:noProof/>
                <w:lang w:eastAsia="sk-SK"/>
              </w:rPr>
              <w:drawing>
                <wp:inline distT="0" distB="0" distL="0" distR="0" wp14:anchorId="672679D1" wp14:editId="4A1C47A7">
                  <wp:extent cx="5580380" cy="2161309"/>
                  <wp:effectExtent l="0" t="0" r="0" b="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8C391E" w:rsidRPr="00875361" w14:paraId="5F3DF680" w14:textId="77777777" w:rsidTr="008C391E">
        <w:trPr>
          <w:trHeight w:val="79"/>
        </w:trPr>
        <w:tc>
          <w:tcPr>
            <w:tcW w:w="8928" w:type="dxa"/>
            <w:tcBorders>
              <w:top w:val="single" w:sz="4" w:space="0" w:color="auto"/>
              <w:left w:val="nil"/>
              <w:bottom w:val="nil"/>
              <w:right w:val="nil"/>
            </w:tcBorders>
            <w:shd w:val="clear" w:color="auto" w:fill="auto"/>
            <w:vAlign w:val="center"/>
          </w:tcPr>
          <w:p w14:paraId="6B735D72" w14:textId="77777777" w:rsidR="008C391E" w:rsidRDefault="008C391E" w:rsidP="008C391E">
            <w:pPr>
              <w:spacing w:after="0"/>
              <w:jc w:val="both"/>
              <w:rPr>
                <w:i/>
                <w:sz w:val="14"/>
                <w:szCs w:val="20"/>
                <w:lang w:eastAsia="sk-SK"/>
              </w:rPr>
            </w:pPr>
            <w:r w:rsidRPr="00927227">
              <w:rPr>
                <w:i/>
                <w:sz w:val="14"/>
                <w:szCs w:val="20"/>
                <w:lang w:eastAsia="sk-SK"/>
              </w:rPr>
              <w:t>Pozn</w:t>
            </w:r>
            <w:r>
              <w:rPr>
                <w:i/>
                <w:sz w:val="14"/>
                <w:szCs w:val="20"/>
                <w:lang w:eastAsia="sk-SK"/>
              </w:rPr>
              <w:t xml:space="preserve">. 1: </w:t>
            </w:r>
            <w:r w:rsidRPr="00927227">
              <w:rPr>
                <w:i/>
                <w:sz w:val="14"/>
                <w:szCs w:val="20"/>
                <w:lang w:eastAsia="sk-SK"/>
              </w:rPr>
              <w:t xml:space="preserve">Scenár nezmenených politík </w:t>
            </w:r>
            <w:r>
              <w:rPr>
                <w:i/>
                <w:sz w:val="14"/>
                <w:szCs w:val="20"/>
                <w:lang w:eastAsia="sk-SK"/>
              </w:rPr>
              <w:t>(NPC scenár) predpokladá v roku 2023</w:t>
            </w:r>
            <w:r w:rsidRPr="00927227">
              <w:rPr>
                <w:i/>
                <w:sz w:val="14"/>
                <w:szCs w:val="20"/>
                <w:lang w:eastAsia="sk-SK"/>
              </w:rPr>
              <w:t xml:space="preserve"> dosiahnutie ro</w:t>
            </w:r>
            <w:r>
              <w:rPr>
                <w:i/>
                <w:sz w:val="14"/>
                <w:szCs w:val="20"/>
                <w:lang w:eastAsia="sk-SK"/>
              </w:rPr>
              <w:t>zpočtového cieľa deficitu verejnej správy 6,4 % HDP a po roku 2023</w:t>
            </w:r>
            <w:r w:rsidRPr="00927227">
              <w:rPr>
                <w:i/>
                <w:sz w:val="14"/>
                <w:szCs w:val="20"/>
                <w:lang w:eastAsia="sk-SK"/>
              </w:rPr>
              <w:t xml:space="preserve"> vývoj bez dodatočných konsolidačných opatrení a</w:t>
            </w:r>
            <w:r>
              <w:rPr>
                <w:i/>
                <w:sz w:val="14"/>
                <w:szCs w:val="20"/>
                <w:lang w:eastAsia="sk-SK"/>
              </w:rPr>
              <w:t xml:space="preserve"> s vplyvom starnutia populácie po zohľadnení vplyvu reformy I. piliera schválenej v októbri 2022.</w:t>
            </w:r>
          </w:p>
          <w:p w14:paraId="43D4BF4C" w14:textId="77777777" w:rsidR="008C391E" w:rsidRDefault="008C391E" w:rsidP="008C391E">
            <w:pPr>
              <w:spacing w:after="0"/>
              <w:jc w:val="both"/>
              <w:rPr>
                <w:i/>
                <w:sz w:val="14"/>
                <w:szCs w:val="20"/>
                <w:lang w:eastAsia="sk-SK"/>
              </w:rPr>
            </w:pPr>
            <w:r>
              <w:rPr>
                <w:i/>
                <w:sz w:val="14"/>
                <w:szCs w:val="20"/>
                <w:lang w:eastAsia="sk-SK"/>
              </w:rPr>
              <w:t xml:space="preserve">Pozn. 2: Konsolidačný scenár je založený na splnení rozpočtových cieľov do roku 2025 formou štrukturálnej konsolidácie 0,5 p. b. HDP ročne až do dosiahnutia štrukturálneho prebytku 0,5 % HDP (vrátane kompenzovania negatívneho vplyvu starnutia populácie). </w:t>
            </w:r>
            <w:r w:rsidRPr="00927227">
              <w:rPr>
                <w:i/>
                <w:sz w:val="14"/>
                <w:szCs w:val="20"/>
                <w:lang w:eastAsia="sk-SK"/>
              </w:rPr>
              <w:t>Makroekonomický výhľad je prebratý z makroprognózy a</w:t>
            </w:r>
            <w:r>
              <w:rPr>
                <w:i/>
                <w:sz w:val="14"/>
                <w:szCs w:val="20"/>
                <w:lang w:eastAsia="sk-SK"/>
              </w:rPr>
              <w:t> Skupiny pre starnutie populácie (AWG)</w:t>
            </w:r>
            <w:r w:rsidRPr="00927227">
              <w:rPr>
                <w:i/>
                <w:sz w:val="14"/>
                <w:szCs w:val="20"/>
                <w:lang w:eastAsia="sk-SK"/>
              </w:rPr>
              <w:t>.</w:t>
            </w:r>
            <w:r>
              <w:rPr>
                <w:i/>
                <w:sz w:val="14"/>
                <w:szCs w:val="20"/>
                <w:lang w:eastAsia="sk-SK"/>
              </w:rPr>
              <w:t xml:space="preserve"> </w:t>
            </w:r>
            <w:r w:rsidRPr="00927227">
              <w:rPr>
                <w:i/>
                <w:sz w:val="14"/>
                <w:szCs w:val="20"/>
                <w:lang w:eastAsia="sk-SK"/>
              </w:rPr>
              <w:t xml:space="preserve">Sankčné pásma reprezentujú aktuálne platný ústavný zákon o rozpočtovej zodpovednosti. </w:t>
            </w:r>
            <w:r>
              <w:rPr>
                <w:i/>
                <w:sz w:val="14"/>
                <w:szCs w:val="20"/>
                <w:lang w:eastAsia="sk-SK"/>
              </w:rPr>
              <w:t xml:space="preserve">                                                                                </w:t>
            </w:r>
            <w:r w:rsidRPr="00927227">
              <w:rPr>
                <w:i/>
                <w:sz w:val="14"/>
                <w:szCs w:val="20"/>
                <w:lang w:eastAsia="sk-SK"/>
              </w:rPr>
              <w:t>Zdroj: MF SR</w:t>
            </w:r>
          </w:p>
          <w:p w14:paraId="53BB9B34" w14:textId="77777777" w:rsidR="008C391E" w:rsidRPr="00875361" w:rsidRDefault="008C391E" w:rsidP="008C391E">
            <w:pPr>
              <w:spacing w:after="0"/>
              <w:jc w:val="both"/>
              <w:rPr>
                <w:i/>
                <w:sz w:val="16"/>
                <w:szCs w:val="20"/>
                <w:highlight w:val="yellow"/>
                <w:lang w:eastAsia="sk-SK"/>
              </w:rPr>
            </w:pPr>
            <w:r w:rsidRPr="008F020F">
              <w:rPr>
                <w:i/>
                <w:color w:val="FFFFFF" w:themeColor="background1"/>
                <w:sz w:val="14"/>
                <w:szCs w:val="20"/>
                <w:lang w:eastAsia="sk-SK"/>
              </w:rPr>
              <w:t>MFSR</w:t>
            </w:r>
            <w:r>
              <w:rPr>
                <w:i/>
                <w:sz w:val="14"/>
                <w:szCs w:val="20"/>
                <w:lang w:eastAsia="sk-SK"/>
              </w:rPr>
              <w:t xml:space="preserve">                                                                                                                                                                      </w:t>
            </w:r>
            <w:r w:rsidRPr="00927227">
              <w:rPr>
                <w:i/>
                <w:sz w:val="14"/>
                <w:szCs w:val="20"/>
                <w:lang w:eastAsia="sk-SK"/>
              </w:rPr>
              <w:t xml:space="preserve">  </w:t>
            </w:r>
            <w:r>
              <w:rPr>
                <w:i/>
                <w:sz w:val="14"/>
                <w:szCs w:val="20"/>
                <w:lang w:eastAsia="sk-SK"/>
              </w:rPr>
              <w:t xml:space="preserve">                                                                                                                                                                                                                                                                                                                                                                                          </w:t>
            </w:r>
          </w:p>
        </w:tc>
      </w:tr>
    </w:tbl>
    <w:p w14:paraId="6B604EB3" w14:textId="240FC082" w:rsidR="00F26FFD" w:rsidRPr="00A23BA8" w:rsidRDefault="00F26FFD" w:rsidP="00F26FFD">
      <w:pPr>
        <w:spacing w:line="264" w:lineRule="auto"/>
        <w:jc w:val="both"/>
        <w:rPr>
          <w:rFonts w:ascii="Times New Roman" w:hAnsi="Times New Roman"/>
          <w:sz w:val="20"/>
          <w:szCs w:val="20"/>
        </w:rPr>
      </w:pPr>
      <w:r w:rsidRPr="00A23BA8">
        <w:rPr>
          <w:rFonts w:ascii="Times New Roman" w:hAnsi="Times New Roman"/>
          <w:b/>
          <w:sz w:val="20"/>
          <w:szCs w:val="20"/>
        </w:rPr>
        <w:t xml:space="preserve">Dlh v pomere k HDP mierne klesne aj v roku 2023, čomu pomôže najmä vysoká inflácia a využitie naakumulovaných likvidných zdrojov. </w:t>
      </w:r>
      <w:r w:rsidRPr="00A23BA8">
        <w:rPr>
          <w:rFonts w:ascii="Times New Roman" w:hAnsi="Times New Roman"/>
          <w:sz w:val="20"/>
          <w:szCs w:val="20"/>
        </w:rPr>
        <w:t xml:space="preserve">Napriek očakávanému deficitu 6,4 % HDP v roku 2023 </w:t>
      </w:r>
      <w:r w:rsidR="0000408E" w:rsidRPr="00A23BA8">
        <w:rPr>
          <w:rFonts w:ascii="Times New Roman" w:hAnsi="Times New Roman"/>
          <w:sz w:val="20"/>
          <w:szCs w:val="20"/>
        </w:rPr>
        <w:t xml:space="preserve">sa </w:t>
      </w:r>
      <w:r w:rsidRPr="00A23BA8">
        <w:rPr>
          <w:rFonts w:ascii="Times New Roman" w:hAnsi="Times New Roman"/>
          <w:sz w:val="20"/>
          <w:szCs w:val="20"/>
        </w:rPr>
        <w:t xml:space="preserve">hrubý dlh medziročne </w:t>
      </w:r>
      <w:r w:rsidR="0000408E" w:rsidRPr="00A23BA8">
        <w:rPr>
          <w:rFonts w:ascii="Times New Roman" w:hAnsi="Times New Roman"/>
          <w:sz w:val="20"/>
          <w:szCs w:val="20"/>
        </w:rPr>
        <w:t>zníži</w:t>
      </w:r>
      <w:r w:rsidRPr="00A23BA8">
        <w:rPr>
          <w:rFonts w:ascii="Times New Roman" w:hAnsi="Times New Roman"/>
          <w:sz w:val="20"/>
          <w:szCs w:val="20"/>
        </w:rPr>
        <w:t xml:space="preserve"> o 0,7 p. b. HDP. Negatívny vplyv schodku rozpočtu na dlh budú kompenzovať nominálny rast ekonomiky (6,6 p. b.) ťahaný predovšetkým vysokou infláciou a</w:t>
      </w:r>
      <w:r w:rsidR="00D965A3" w:rsidRPr="00A23BA8">
        <w:rPr>
          <w:rFonts w:ascii="Times New Roman" w:hAnsi="Times New Roman"/>
          <w:sz w:val="20"/>
          <w:szCs w:val="20"/>
        </w:rPr>
        <w:t xml:space="preserve"> ďalšie </w:t>
      </w:r>
      <w:r w:rsidRPr="00A23BA8">
        <w:rPr>
          <w:rFonts w:ascii="Times New Roman" w:hAnsi="Times New Roman"/>
          <w:sz w:val="20"/>
          <w:szCs w:val="20"/>
        </w:rPr>
        <w:t xml:space="preserve">využitie likvidných zdrojov (1,6 p. b.), naakumulovaných v posledných dvoch rokoch. </w:t>
      </w:r>
      <w:r w:rsidR="00692C45" w:rsidRPr="00A23BA8">
        <w:rPr>
          <w:rFonts w:ascii="Times New Roman" w:hAnsi="Times New Roman"/>
          <w:sz w:val="20"/>
          <w:szCs w:val="20"/>
        </w:rPr>
        <w:t>Vysoký predpokladaný d</w:t>
      </w:r>
      <w:r w:rsidRPr="00A23BA8">
        <w:rPr>
          <w:rFonts w:ascii="Times New Roman" w:hAnsi="Times New Roman"/>
          <w:sz w:val="20"/>
          <w:szCs w:val="20"/>
        </w:rPr>
        <w:t>eficit verejnej správy sa tak v plnej miere nepretaví do nárastu zadlženia</w:t>
      </w:r>
      <w:r w:rsidR="002B0911" w:rsidRPr="00A23BA8">
        <w:rPr>
          <w:rFonts w:ascii="Times New Roman" w:hAnsi="Times New Roman"/>
          <w:sz w:val="20"/>
          <w:szCs w:val="20"/>
        </w:rPr>
        <w:t xml:space="preserve"> v pomere k HDP</w:t>
      </w:r>
      <w:r w:rsidRPr="00A23BA8">
        <w:rPr>
          <w:rFonts w:ascii="Times New Roman" w:hAnsi="Times New Roman"/>
          <w:sz w:val="20"/>
          <w:szCs w:val="20"/>
        </w:rPr>
        <w:t>.</w:t>
      </w:r>
    </w:p>
    <w:p w14:paraId="1A0A2F3B" w14:textId="4DBFED2C" w:rsidR="00F26FFD" w:rsidRDefault="00F26FFD" w:rsidP="00F26FFD">
      <w:pPr>
        <w:spacing w:line="264" w:lineRule="auto"/>
        <w:jc w:val="both"/>
        <w:rPr>
          <w:sz w:val="20"/>
          <w:szCs w:val="20"/>
        </w:rPr>
      </w:pPr>
      <w:r w:rsidRPr="00A23BA8">
        <w:rPr>
          <w:rFonts w:ascii="Times New Roman" w:hAnsi="Times New Roman"/>
          <w:b/>
          <w:sz w:val="20"/>
          <w:szCs w:val="20"/>
        </w:rPr>
        <w:t xml:space="preserve">Strednodobá prognóza pre roky 2024 a 2025 v základnom scenári naznačuje stabilizáciu dlhu verejnej správy okolo úrovne 58 % HDP. </w:t>
      </w:r>
      <w:r w:rsidRPr="00A23BA8">
        <w:rPr>
          <w:rFonts w:ascii="Times New Roman" w:hAnsi="Times New Roman"/>
          <w:sz w:val="20"/>
          <w:szCs w:val="20"/>
        </w:rPr>
        <w:t>Dlh v pomere k HDP sa za horizo</w:t>
      </w:r>
      <w:r w:rsidR="00FF6716" w:rsidRPr="00A23BA8">
        <w:rPr>
          <w:rFonts w:ascii="Times New Roman" w:hAnsi="Times New Roman"/>
          <w:sz w:val="20"/>
          <w:szCs w:val="20"/>
        </w:rPr>
        <w:t xml:space="preserve">ntom budúceho roku stabilizuje </w:t>
      </w:r>
      <w:r w:rsidRPr="00A23BA8">
        <w:rPr>
          <w:rFonts w:ascii="Times New Roman" w:hAnsi="Times New Roman"/>
          <w:sz w:val="20"/>
          <w:szCs w:val="20"/>
        </w:rPr>
        <w:t xml:space="preserve">a ku koncu roka 2025 udrží pod 59 % HDP. Inflácia sa zmierni, naopak primárny deficit hospodárenia bude naďalej nadpriemerný. Zároveň, na celom horizonte rozpočtu budú rásť úrokové náklady, čo odráža očakávané zvyšovanie výnosov dlhopisov na finančných trhoch. Vďaka zafixovaniu úročenia a nahromadeným likvidným aktívam z minulých rokov sa vplyv na úrokové náklady sčasti stlmí, no do 2025 vzrastú už na 1,4 % HDP. K zastabilizovaniu </w:t>
      </w:r>
      <w:r w:rsidRPr="00A23BA8">
        <w:rPr>
          <w:rFonts w:ascii="Times New Roman" w:hAnsi="Times New Roman"/>
          <w:sz w:val="20"/>
          <w:szCs w:val="20"/>
        </w:rPr>
        <w:lastRenderedPageBreak/>
        <w:t xml:space="preserve">dlhu prispeje aj ďalšie rozpúšťanie hotovostnej rezervy, najmä ku koncu horizontu. Hrubý dlh sa však do roku 2025 v základnom scenári </w:t>
      </w:r>
      <w:r w:rsidR="00237478" w:rsidRPr="00A23BA8">
        <w:rPr>
          <w:rFonts w:ascii="Times New Roman" w:hAnsi="Times New Roman"/>
          <w:sz w:val="20"/>
          <w:szCs w:val="20"/>
        </w:rPr>
        <w:t xml:space="preserve">bez konsolidácie </w:t>
      </w:r>
      <w:r w:rsidRPr="00A23BA8">
        <w:rPr>
          <w:rFonts w:ascii="Times New Roman" w:hAnsi="Times New Roman"/>
          <w:sz w:val="20"/>
          <w:szCs w:val="20"/>
        </w:rPr>
        <w:t>nedostane z najvyššieho sankčného pásma.</w:t>
      </w:r>
    </w:p>
    <w:p w14:paraId="51DE34B9" w14:textId="6C93392A" w:rsidR="007D25D2" w:rsidRPr="00A23BA8" w:rsidRDefault="000A5DBF" w:rsidP="00B36B45">
      <w:pPr>
        <w:spacing w:line="264" w:lineRule="auto"/>
        <w:jc w:val="both"/>
        <w:rPr>
          <w:rFonts w:ascii="Times New Roman" w:hAnsi="Times New Roman"/>
          <w:sz w:val="20"/>
        </w:rPr>
      </w:pPr>
      <w:r w:rsidRPr="00A23BA8">
        <w:rPr>
          <w:rFonts w:ascii="Times New Roman" w:hAnsi="Times New Roman"/>
          <w:b/>
          <w:sz w:val="20"/>
        </w:rPr>
        <w:t xml:space="preserve">Čistý dlh by sa mal v tomto roku krátkodobo stabilizovať, no na horizonte rozpočtu bude bez ozdravenia verejných financií opäť rásť. </w:t>
      </w:r>
      <w:r w:rsidR="00E15D3C" w:rsidRPr="00A23BA8">
        <w:rPr>
          <w:rFonts w:ascii="Times New Roman" w:hAnsi="Times New Roman"/>
          <w:sz w:val="20"/>
          <w:szCs w:val="20"/>
        </w:rPr>
        <w:t>Likvidné finančné aktíva verejnej správy sa postupne na hori</w:t>
      </w:r>
      <w:r w:rsidR="004E7F20" w:rsidRPr="00A23BA8">
        <w:rPr>
          <w:rFonts w:ascii="Times New Roman" w:hAnsi="Times New Roman"/>
          <w:sz w:val="20"/>
          <w:szCs w:val="20"/>
        </w:rPr>
        <w:t>zonte prognózy znížia k úrovni 4</w:t>
      </w:r>
      <w:r w:rsidR="00E15D3C" w:rsidRPr="00A23BA8">
        <w:rPr>
          <w:rFonts w:ascii="Times New Roman" w:hAnsi="Times New Roman"/>
          <w:sz w:val="20"/>
          <w:szCs w:val="20"/>
        </w:rPr>
        <w:t xml:space="preserve"> % HDP, redukujúc tak rozdiel medzi hrubým a čistým dlhom. </w:t>
      </w:r>
      <w:r w:rsidR="00E15D3C" w:rsidRPr="00A23BA8">
        <w:rPr>
          <w:rFonts w:ascii="Times New Roman" w:hAnsi="Times New Roman"/>
          <w:sz w:val="20"/>
        </w:rPr>
        <w:t xml:space="preserve">Od roku 2023 sa </w:t>
      </w:r>
      <w:r w:rsidRPr="00A23BA8">
        <w:rPr>
          <w:rFonts w:ascii="Times New Roman" w:hAnsi="Times New Roman"/>
          <w:sz w:val="20"/>
        </w:rPr>
        <w:t xml:space="preserve">predpokladá rastúci trend čistého dlhu v pomere k HDP </w:t>
      </w:r>
      <w:r w:rsidR="00630F77" w:rsidRPr="00A23BA8">
        <w:rPr>
          <w:rFonts w:ascii="Times New Roman" w:hAnsi="Times New Roman"/>
          <w:sz w:val="20"/>
        </w:rPr>
        <w:t xml:space="preserve">a presiahnutie </w:t>
      </w:r>
      <w:r w:rsidR="00F42896" w:rsidRPr="00A23BA8">
        <w:rPr>
          <w:rFonts w:ascii="Times New Roman" w:hAnsi="Times New Roman"/>
          <w:sz w:val="20"/>
        </w:rPr>
        <w:t>54 %</w:t>
      </w:r>
      <w:r w:rsidR="00630F77" w:rsidRPr="00A23BA8">
        <w:rPr>
          <w:rFonts w:ascii="Times New Roman" w:hAnsi="Times New Roman"/>
          <w:sz w:val="20"/>
        </w:rPr>
        <w:t>. V prípade splnenia</w:t>
      </w:r>
      <w:r w:rsidR="00204179" w:rsidRPr="00A23BA8">
        <w:rPr>
          <w:rFonts w:ascii="Times New Roman" w:hAnsi="Times New Roman"/>
          <w:sz w:val="20"/>
        </w:rPr>
        <w:t xml:space="preserve"> rozpočtových cieľov by sa naopak</w:t>
      </w:r>
      <w:r w:rsidRPr="00A23BA8">
        <w:rPr>
          <w:rFonts w:ascii="Times New Roman" w:hAnsi="Times New Roman"/>
          <w:sz w:val="20"/>
        </w:rPr>
        <w:t xml:space="preserve"> trajektória čistého dlhu stabilizovala</w:t>
      </w:r>
      <w:r w:rsidR="00630F77" w:rsidRPr="00A23BA8">
        <w:rPr>
          <w:rFonts w:ascii="Times New Roman" w:hAnsi="Times New Roman"/>
          <w:sz w:val="20"/>
        </w:rPr>
        <w:t xml:space="preserve"> okolo 52 % HDP</w:t>
      </w:r>
      <w:r w:rsidRPr="00A23BA8">
        <w:rPr>
          <w:rFonts w:ascii="Times New Roman" w:hAnsi="Times New Roman"/>
          <w:sz w:val="20"/>
        </w:rPr>
        <w:t>.</w:t>
      </w:r>
    </w:p>
    <w:p w14:paraId="51FCF8FF" w14:textId="2CE1148D" w:rsidR="00C53B33" w:rsidRPr="00A23BA8" w:rsidRDefault="00C53B33" w:rsidP="00B36B45">
      <w:pPr>
        <w:spacing w:line="264" w:lineRule="auto"/>
        <w:jc w:val="both"/>
        <w:rPr>
          <w:rFonts w:ascii="Times New Roman" w:hAnsi="Times New Roman"/>
          <w:sz w:val="20"/>
          <w:szCs w:val="20"/>
        </w:rPr>
      </w:pPr>
      <w:r w:rsidRPr="00A23BA8">
        <w:rPr>
          <w:rFonts w:ascii="Times New Roman" w:hAnsi="Times New Roman"/>
          <w:b/>
          <w:sz w:val="20"/>
          <w:szCs w:val="20"/>
        </w:rPr>
        <w:t xml:space="preserve">Dlhodobá prognóza hrubého dlhu </w:t>
      </w:r>
      <w:r w:rsidR="00767677" w:rsidRPr="00A23BA8">
        <w:rPr>
          <w:rFonts w:ascii="Times New Roman" w:hAnsi="Times New Roman"/>
          <w:b/>
          <w:sz w:val="20"/>
          <w:szCs w:val="20"/>
        </w:rPr>
        <w:t>(</w:t>
      </w:r>
      <w:r w:rsidR="00145333" w:rsidRPr="00A23BA8">
        <w:rPr>
          <w:rFonts w:ascii="Times New Roman" w:hAnsi="Times New Roman"/>
          <w:b/>
          <w:sz w:val="20"/>
          <w:szCs w:val="20"/>
        </w:rPr>
        <w:t xml:space="preserve">v scenári </w:t>
      </w:r>
      <w:r w:rsidR="0049645F" w:rsidRPr="00A23BA8">
        <w:rPr>
          <w:rFonts w:ascii="Times New Roman" w:hAnsi="Times New Roman"/>
          <w:b/>
          <w:sz w:val="20"/>
          <w:szCs w:val="20"/>
        </w:rPr>
        <w:t>bez konsolidácie za horizontom roku 2023</w:t>
      </w:r>
      <w:r w:rsidR="00767677" w:rsidRPr="00A23BA8">
        <w:rPr>
          <w:rFonts w:ascii="Times New Roman" w:hAnsi="Times New Roman"/>
          <w:b/>
          <w:sz w:val="20"/>
          <w:szCs w:val="20"/>
        </w:rPr>
        <w:t>)</w:t>
      </w:r>
      <w:r w:rsidR="00145333" w:rsidRPr="00A23BA8">
        <w:rPr>
          <w:rFonts w:ascii="Times New Roman" w:hAnsi="Times New Roman"/>
          <w:b/>
          <w:sz w:val="20"/>
          <w:szCs w:val="20"/>
        </w:rPr>
        <w:t xml:space="preserve"> naznačuje</w:t>
      </w:r>
      <w:r w:rsidRPr="00A23BA8">
        <w:rPr>
          <w:rFonts w:ascii="Times New Roman" w:hAnsi="Times New Roman"/>
          <w:b/>
          <w:sz w:val="20"/>
          <w:szCs w:val="20"/>
        </w:rPr>
        <w:t xml:space="preserve"> nárast zadlženia </w:t>
      </w:r>
      <w:r w:rsidR="00BA1C1E" w:rsidRPr="00A23BA8">
        <w:rPr>
          <w:rFonts w:ascii="Times New Roman" w:hAnsi="Times New Roman"/>
          <w:b/>
          <w:sz w:val="20"/>
          <w:szCs w:val="20"/>
        </w:rPr>
        <w:t xml:space="preserve">smerom </w:t>
      </w:r>
      <w:r w:rsidRPr="00A23BA8">
        <w:rPr>
          <w:rFonts w:ascii="Times New Roman" w:hAnsi="Times New Roman"/>
          <w:b/>
          <w:sz w:val="20"/>
          <w:szCs w:val="20"/>
        </w:rPr>
        <w:t>k 100 % HDP</w:t>
      </w:r>
      <w:r w:rsidR="00BA1C1E" w:rsidRPr="00A23BA8">
        <w:rPr>
          <w:rFonts w:ascii="Times New Roman" w:hAnsi="Times New Roman"/>
          <w:b/>
          <w:sz w:val="20"/>
          <w:szCs w:val="20"/>
        </w:rPr>
        <w:t xml:space="preserve"> už do roku 2040</w:t>
      </w:r>
      <w:r w:rsidRPr="00A23BA8">
        <w:rPr>
          <w:rFonts w:ascii="Times New Roman" w:hAnsi="Times New Roman"/>
          <w:b/>
          <w:sz w:val="20"/>
          <w:szCs w:val="20"/>
        </w:rPr>
        <w:t xml:space="preserve">. </w:t>
      </w:r>
      <w:r w:rsidR="006700BE" w:rsidRPr="00A23BA8">
        <w:rPr>
          <w:rFonts w:ascii="Times New Roman" w:hAnsi="Times New Roman"/>
          <w:sz w:val="20"/>
          <w:szCs w:val="20"/>
        </w:rPr>
        <w:t>Aj po zohľadnení dôchodkovej reformy I. piliera by sa deficit bez konsoli</w:t>
      </w:r>
      <w:r w:rsidR="0049645F" w:rsidRPr="00A23BA8">
        <w:rPr>
          <w:rFonts w:ascii="Times New Roman" w:hAnsi="Times New Roman"/>
          <w:sz w:val="20"/>
          <w:szCs w:val="20"/>
        </w:rPr>
        <w:t>dácie verejných financií po 2023</w:t>
      </w:r>
      <w:r w:rsidR="006700BE" w:rsidRPr="00A23BA8">
        <w:rPr>
          <w:rFonts w:ascii="Times New Roman" w:hAnsi="Times New Roman"/>
          <w:sz w:val="20"/>
          <w:szCs w:val="20"/>
        </w:rPr>
        <w:t xml:space="preserve"> </w:t>
      </w:r>
      <w:r w:rsidR="006A5312" w:rsidRPr="00A23BA8">
        <w:rPr>
          <w:rFonts w:ascii="Times New Roman" w:hAnsi="Times New Roman"/>
          <w:sz w:val="20"/>
          <w:szCs w:val="20"/>
        </w:rPr>
        <w:t>prehlboval a</w:t>
      </w:r>
      <w:r w:rsidR="00DB770C" w:rsidRPr="00A23BA8">
        <w:rPr>
          <w:rFonts w:ascii="Times New Roman" w:hAnsi="Times New Roman"/>
          <w:sz w:val="20"/>
          <w:szCs w:val="20"/>
        </w:rPr>
        <w:t> </w:t>
      </w:r>
      <w:r w:rsidR="006A5312" w:rsidRPr="00A23BA8">
        <w:rPr>
          <w:rFonts w:ascii="Times New Roman" w:hAnsi="Times New Roman"/>
          <w:sz w:val="20"/>
          <w:szCs w:val="20"/>
        </w:rPr>
        <w:t>prejavil</w:t>
      </w:r>
      <w:r w:rsidR="00DB770C" w:rsidRPr="00A23BA8">
        <w:rPr>
          <w:rFonts w:ascii="Times New Roman" w:hAnsi="Times New Roman"/>
          <w:sz w:val="20"/>
          <w:szCs w:val="20"/>
        </w:rPr>
        <w:t xml:space="preserve"> by</w:t>
      </w:r>
      <w:r w:rsidR="006A5312" w:rsidRPr="00A23BA8">
        <w:rPr>
          <w:rFonts w:ascii="Times New Roman" w:hAnsi="Times New Roman"/>
          <w:sz w:val="20"/>
          <w:szCs w:val="20"/>
        </w:rPr>
        <w:t xml:space="preserve"> sa v</w:t>
      </w:r>
      <w:r w:rsidR="0049645F" w:rsidRPr="00A23BA8">
        <w:rPr>
          <w:rFonts w:ascii="Times New Roman" w:hAnsi="Times New Roman"/>
          <w:sz w:val="20"/>
          <w:szCs w:val="20"/>
        </w:rPr>
        <w:t xml:space="preserve"> postupne </w:t>
      </w:r>
      <w:r w:rsidR="006A5312" w:rsidRPr="00A23BA8">
        <w:rPr>
          <w:rFonts w:ascii="Times New Roman" w:hAnsi="Times New Roman"/>
          <w:sz w:val="20"/>
          <w:szCs w:val="20"/>
        </w:rPr>
        <w:t xml:space="preserve">zvyšujúcom sa dlhu, ktorý by nebolo možné stabilizovať. Dôvodom tohto vývoja by boli náklady súvisiace so starnutím populácie, ktoré </w:t>
      </w:r>
      <w:r w:rsidR="00DB770C" w:rsidRPr="00A23BA8">
        <w:rPr>
          <w:rFonts w:ascii="Times New Roman" w:hAnsi="Times New Roman"/>
          <w:sz w:val="20"/>
          <w:szCs w:val="20"/>
        </w:rPr>
        <w:t xml:space="preserve">už </w:t>
      </w:r>
      <w:r w:rsidR="006A5312" w:rsidRPr="00A23BA8">
        <w:rPr>
          <w:rFonts w:ascii="Times New Roman" w:hAnsi="Times New Roman"/>
          <w:sz w:val="20"/>
          <w:szCs w:val="20"/>
        </w:rPr>
        <w:t>v nasledujúcich d</w:t>
      </w:r>
      <w:r w:rsidR="003407F5" w:rsidRPr="00A23BA8">
        <w:rPr>
          <w:rFonts w:ascii="Times New Roman" w:hAnsi="Times New Roman"/>
          <w:sz w:val="20"/>
          <w:szCs w:val="20"/>
        </w:rPr>
        <w:t>vadsiatich rokoch vzrastú z 19,4</w:t>
      </w:r>
      <w:r w:rsidR="006A5312" w:rsidRPr="00A23BA8">
        <w:rPr>
          <w:rFonts w:ascii="Times New Roman" w:hAnsi="Times New Roman"/>
          <w:sz w:val="20"/>
          <w:szCs w:val="20"/>
        </w:rPr>
        <w:t xml:space="preserve"> % HDP</w:t>
      </w:r>
      <w:r w:rsidR="003407F5" w:rsidRPr="00A23BA8">
        <w:rPr>
          <w:rFonts w:ascii="Times New Roman" w:hAnsi="Times New Roman"/>
          <w:sz w:val="20"/>
          <w:szCs w:val="20"/>
        </w:rPr>
        <w:t xml:space="preserve"> na 23</w:t>
      </w:r>
      <w:r w:rsidR="006A5312" w:rsidRPr="00A23BA8">
        <w:rPr>
          <w:rFonts w:ascii="Times New Roman" w:hAnsi="Times New Roman"/>
          <w:sz w:val="20"/>
          <w:szCs w:val="20"/>
        </w:rPr>
        <w:t xml:space="preserve"> % HDP.</w:t>
      </w:r>
      <w:r w:rsidR="00A172F8" w:rsidRPr="00A23BA8">
        <w:rPr>
          <w:rFonts w:ascii="Times New Roman" w:hAnsi="Times New Roman"/>
          <w:sz w:val="20"/>
          <w:szCs w:val="20"/>
        </w:rPr>
        <w:t xml:space="preserve"> K</w:t>
      </w:r>
      <w:r w:rsidR="00BA1C1E" w:rsidRPr="00A23BA8">
        <w:rPr>
          <w:rFonts w:ascii="Times New Roman" w:hAnsi="Times New Roman"/>
          <w:sz w:val="20"/>
          <w:szCs w:val="20"/>
        </w:rPr>
        <w:t xml:space="preserve"> prognózovanému </w:t>
      </w:r>
      <w:r w:rsidR="00A172F8" w:rsidRPr="00A23BA8">
        <w:rPr>
          <w:rFonts w:ascii="Times New Roman" w:hAnsi="Times New Roman"/>
          <w:sz w:val="20"/>
          <w:szCs w:val="20"/>
        </w:rPr>
        <w:t>rastu hrubého dlhu prisp</w:t>
      </w:r>
      <w:r w:rsidR="00BA1C1E" w:rsidRPr="00A23BA8">
        <w:rPr>
          <w:rFonts w:ascii="Times New Roman" w:hAnsi="Times New Roman"/>
          <w:sz w:val="20"/>
          <w:szCs w:val="20"/>
        </w:rPr>
        <w:t>ieva</w:t>
      </w:r>
      <w:r w:rsidR="00A172F8" w:rsidRPr="00A23BA8">
        <w:rPr>
          <w:rFonts w:ascii="Times New Roman" w:hAnsi="Times New Roman"/>
          <w:sz w:val="20"/>
          <w:szCs w:val="20"/>
        </w:rPr>
        <w:t xml:space="preserve"> tiež </w:t>
      </w:r>
      <w:r w:rsidR="00943FB5" w:rsidRPr="00A23BA8">
        <w:rPr>
          <w:rFonts w:ascii="Times New Roman" w:hAnsi="Times New Roman"/>
          <w:sz w:val="20"/>
          <w:szCs w:val="20"/>
        </w:rPr>
        <w:t xml:space="preserve">v priemere </w:t>
      </w:r>
      <w:r w:rsidR="00A172F8" w:rsidRPr="00A23BA8">
        <w:rPr>
          <w:rFonts w:ascii="Times New Roman" w:hAnsi="Times New Roman"/>
          <w:sz w:val="20"/>
          <w:szCs w:val="20"/>
        </w:rPr>
        <w:t>pomalší očakávaný</w:t>
      </w:r>
      <w:r w:rsidR="003407F5" w:rsidRPr="00A23BA8">
        <w:rPr>
          <w:rFonts w:ascii="Times New Roman" w:hAnsi="Times New Roman"/>
          <w:sz w:val="20"/>
          <w:szCs w:val="20"/>
        </w:rPr>
        <w:t xml:space="preserve"> nominálny</w:t>
      </w:r>
      <w:r w:rsidR="00A172F8" w:rsidRPr="00A23BA8">
        <w:rPr>
          <w:rFonts w:ascii="Times New Roman" w:hAnsi="Times New Roman"/>
          <w:sz w:val="20"/>
          <w:szCs w:val="20"/>
        </w:rPr>
        <w:t xml:space="preserve"> </w:t>
      </w:r>
      <w:r w:rsidR="00943FB5" w:rsidRPr="00A23BA8">
        <w:rPr>
          <w:rFonts w:ascii="Times New Roman" w:hAnsi="Times New Roman"/>
          <w:sz w:val="20"/>
          <w:szCs w:val="20"/>
        </w:rPr>
        <w:t>r</w:t>
      </w:r>
      <w:r w:rsidR="00A172F8" w:rsidRPr="00A23BA8">
        <w:rPr>
          <w:rFonts w:ascii="Times New Roman" w:hAnsi="Times New Roman"/>
          <w:sz w:val="20"/>
          <w:szCs w:val="20"/>
        </w:rPr>
        <w:t>ast ekonomiky v nasledujúcich dvoch dekádach.</w:t>
      </w:r>
      <w:r w:rsidR="00BE7F19" w:rsidRPr="00A23BA8">
        <w:rPr>
          <w:rFonts w:ascii="Times New Roman" w:hAnsi="Times New Roman"/>
          <w:sz w:val="20"/>
          <w:szCs w:val="20"/>
        </w:rPr>
        <w:t xml:space="preserve"> </w:t>
      </w:r>
      <w:r w:rsidR="003407F5" w:rsidRPr="00A23BA8">
        <w:rPr>
          <w:rFonts w:ascii="Times New Roman" w:hAnsi="Times New Roman"/>
          <w:sz w:val="20"/>
          <w:szCs w:val="20"/>
        </w:rPr>
        <w:t>Na druhej strane štrukturálna konsolidácia</w:t>
      </w:r>
      <w:r w:rsidR="00BE7F19" w:rsidRPr="00A23BA8">
        <w:rPr>
          <w:rFonts w:ascii="Times New Roman" w:hAnsi="Times New Roman"/>
          <w:sz w:val="20"/>
          <w:szCs w:val="20"/>
        </w:rPr>
        <w:t xml:space="preserve"> </w:t>
      </w:r>
      <w:r w:rsidR="00BA1C1E" w:rsidRPr="00A23BA8">
        <w:rPr>
          <w:rFonts w:ascii="Times New Roman" w:hAnsi="Times New Roman"/>
          <w:sz w:val="20"/>
          <w:szCs w:val="20"/>
        </w:rPr>
        <w:t xml:space="preserve">by </w:t>
      </w:r>
      <w:r w:rsidR="003407F5" w:rsidRPr="00A23BA8">
        <w:rPr>
          <w:rFonts w:ascii="Times New Roman" w:hAnsi="Times New Roman"/>
          <w:sz w:val="20"/>
          <w:szCs w:val="20"/>
        </w:rPr>
        <w:t xml:space="preserve">dlh zastabilizovala </w:t>
      </w:r>
      <w:r w:rsidR="00BA1C1E" w:rsidRPr="00A23BA8">
        <w:rPr>
          <w:rFonts w:ascii="Times New Roman" w:hAnsi="Times New Roman"/>
          <w:sz w:val="20"/>
          <w:szCs w:val="20"/>
        </w:rPr>
        <w:t xml:space="preserve">už </w:t>
      </w:r>
      <w:r w:rsidR="00BE7F19" w:rsidRPr="00A23BA8">
        <w:rPr>
          <w:rFonts w:ascii="Times New Roman" w:hAnsi="Times New Roman"/>
          <w:sz w:val="20"/>
          <w:szCs w:val="20"/>
        </w:rPr>
        <w:t>v polovici súčasnej</w:t>
      </w:r>
      <w:r w:rsidR="00775D49" w:rsidRPr="00A23BA8">
        <w:rPr>
          <w:rFonts w:ascii="Times New Roman" w:hAnsi="Times New Roman"/>
          <w:sz w:val="20"/>
          <w:szCs w:val="20"/>
        </w:rPr>
        <w:t xml:space="preserve"> dekády. </w:t>
      </w:r>
      <w:r w:rsidR="003407F5" w:rsidRPr="00A23BA8">
        <w:rPr>
          <w:rFonts w:ascii="Times New Roman" w:hAnsi="Times New Roman"/>
          <w:sz w:val="20"/>
          <w:szCs w:val="20"/>
        </w:rPr>
        <w:t>Znižovanie štrukturálneho deficitu o</w:t>
      </w:r>
      <w:r w:rsidR="00775D49" w:rsidRPr="00A23BA8">
        <w:rPr>
          <w:rFonts w:ascii="Times New Roman" w:hAnsi="Times New Roman"/>
          <w:sz w:val="20"/>
          <w:szCs w:val="20"/>
        </w:rPr>
        <w:t xml:space="preserve"> 0,5 % HDP </w:t>
      </w:r>
      <w:r w:rsidR="00FC0262" w:rsidRPr="00A23BA8">
        <w:rPr>
          <w:rFonts w:ascii="Times New Roman" w:hAnsi="Times New Roman"/>
          <w:sz w:val="20"/>
          <w:szCs w:val="20"/>
        </w:rPr>
        <w:t xml:space="preserve">ročne </w:t>
      </w:r>
      <w:r w:rsidR="003407F5" w:rsidRPr="00A23BA8">
        <w:rPr>
          <w:rFonts w:ascii="Times New Roman" w:hAnsi="Times New Roman"/>
          <w:sz w:val="20"/>
          <w:szCs w:val="20"/>
        </w:rPr>
        <w:t>by do roku 2031</w:t>
      </w:r>
      <w:r w:rsidR="00BA1C1E" w:rsidRPr="00A23BA8">
        <w:rPr>
          <w:rFonts w:ascii="Times New Roman" w:hAnsi="Times New Roman"/>
          <w:sz w:val="20"/>
          <w:szCs w:val="20"/>
        </w:rPr>
        <w:t xml:space="preserve"> viedlo </w:t>
      </w:r>
      <w:r w:rsidR="003407F5" w:rsidRPr="00A23BA8">
        <w:rPr>
          <w:rFonts w:ascii="Times New Roman" w:hAnsi="Times New Roman"/>
          <w:sz w:val="20"/>
          <w:szCs w:val="20"/>
        </w:rPr>
        <w:t>k</w:t>
      </w:r>
      <w:r w:rsidR="00BA1C1E" w:rsidRPr="00A23BA8">
        <w:rPr>
          <w:rFonts w:ascii="Times New Roman" w:hAnsi="Times New Roman"/>
          <w:sz w:val="20"/>
          <w:szCs w:val="20"/>
        </w:rPr>
        <w:t xml:space="preserve"> zníženiu </w:t>
      </w:r>
      <w:r w:rsidR="00053C18" w:rsidRPr="00A23BA8">
        <w:rPr>
          <w:rFonts w:ascii="Times New Roman" w:hAnsi="Times New Roman"/>
          <w:sz w:val="20"/>
          <w:szCs w:val="20"/>
        </w:rPr>
        <w:t xml:space="preserve">hrubého </w:t>
      </w:r>
      <w:r w:rsidR="003407F5" w:rsidRPr="00A23BA8">
        <w:rPr>
          <w:rFonts w:ascii="Times New Roman" w:hAnsi="Times New Roman"/>
          <w:sz w:val="20"/>
          <w:szCs w:val="20"/>
        </w:rPr>
        <w:t>dlhu pod najvyššie sankčné pásmo</w:t>
      </w:r>
      <w:r w:rsidR="00BA1C1E" w:rsidRPr="00A23BA8">
        <w:rPr>
          <w:rFonts w:ascii="Times New Roman" w:hAnsi="Times New Roman"/>
          <w:sz w:val="20"/>
          <w:szCs w:val="20"/>
        </w:rPr>
        <w:t xml:space="preserve"> a</w:t>
      </w:r>
      <w:r w:rsidR="003407F5" w:rsidRPr="00A23BA8">
        <w:rPr>
          <w:rFonts w:ascii="Times New Roman" w:hAnsi="Times New Roman"/>
          <w:sz w:val="20"/>
          <w:szCs w:val="20"/>
        </w:rPr>
        <w:t xml:space="preserve"> v nasledujúcich piatich rokoch </w:t>
      </w:r>
      <w:r w:rsidR="00FC0262" w:rsidRPr="00A23BA8">
        <w:rPr>
          <w:rFonts w:ascii="Times New Roman" w:hAnsi="Times New Roman"/>
          <w:sz w:val="20"/>
          <w:szCs w:val="20"/>
        </w:rPr>
        <w:t xml:space="preserve">dokonca </w:t>
      </w:r>
      <w:r w:rsidR="00BA1C1E" w:rsidRPr="00A23BA8">
        <w:rPr>
          <w:rFonts w:ascii="Times New Roman" w:hAnsi="Times New Roman"/>
          <w:sz w:val="20"/>
          <w:szCs w:val="20"/>
        </w:rPr>
        <w:t>pod spodné sankčné pásmo</w:t>
      </w:r>
      <w:r w:rsidR="003407F5" w:rsidRPr="00A23BA8">
        <w:rPr>
          <w:rFonts w:ascii="Times New Roman" w:hAnsi="Times New Roman"/>
          <w:sz w:val="20"/>
          <w:szCs w:val="20"/>
        </w:rPr>
        <w:t xml:space="preserve"> </w:t>
      </w:r>
      <w:r w:rsidR="00F55B82" w:rsidRPr="00A23BA8">
        <w:rPr>
          <w:rFonts w:ascii="Times New Roman" w:hAnsi="Times New Roman"/>
          <w:sz w:val="20"/>
          <w:szCs w:val="20"/>
        </w:rPr>
        <w:t xml:space="preserve">súčasne platnej </w:t>
      </w:r>
      <w:r w:rsidR="003407F5" w:rsidRPr="00A23BA8">
        <w:rPr>
          <w:rFonts w:ascii="Times New Roman" w:hAnsi="Times New Roman"/>
          <w:sz w:val="20"/>
          <w:szCs w:val="20"/>
        </w:rPr>
        <w:t>dlhovej brzdy.</w:t>
      </w:r>
    </w:p>
    <w:p w14:paraId="173F1AA6" w14:textId="6479BDB2" w:rsidR="0066711C" w:rsidRPr="00A23BA8" w:rsidRDefault="0015434C" w:rsidP="008C391E">
      <w:pPr>
        <w:spacing w:before="120" w:after="0"/>
        <w:jc w:val="both"/>
        <w:rPr>
          <w:rFonts w:ascii="Times New Roman" w:hAnsi="Times New Roman"/>
          <w:sz w:val="20"/>
          <w:szCs w:val="20"/>
        </w:rPr>
      </w:pPr>
      <w:r w:rsidRPr="00A23BA8">
        <w:rPr>
          <w:rFonts w:ascii="Times New Roman" w:hAnsi="Times New Roman"/>
          <w:b/>
          <w:sz w:val="20"/>
          <w:szCs w:val="20"/>
        </w:rPr>
        <w:t>S konsolidačnými opatreniami počíta rozpočet na roky 2023-2025 v rámci fiškálnych cieľov zníženia deficitu</w:t>
      </w:r>
      <w:r w:rsidR="002649CA" w:rsidRPr="00A23BA8">
        <w:rPr>
          <w:rFonts w:ascii="Times New Roman" w:hAnsi="Times New Roman"/>
          <w:b/>
          <w:sz w:val="20"/>
          <w:szCs w:val="20"/>
        </w:rPr>
        <w:t xml:space="preserve"> pod 3 % do konca roku</w:t>
      </w:r>
      <w:r w:rsidRPr="00A23BA8">
        <w:rPr>
          <w:rFonts w:ascii="Times New Roman" w:hAnsi="Times New Roman"/>
          <w:b/>
          <w:sz w:val="20"/>
          <w:szCs w:val="20"/>
        </w:rPr>
        <w:t xml:space="preserve"> 2025,</w:t>
      </w:r>
      <w:r w:rsidR="00767677" w:rsidRPr="00A23BA8">
        <w:rPr>
          <w:rFonts w:ascii="Times New Roman" w:hAnsi="Times New Roman"/>
          <w:b/>
          <w:sz w:val="20"/>
          <w:szCs w:val="20"/>
        </w:rPr>
        <w:t xml:space="preserve"> pričom</w:t>
      </w:r>
      <w:r w:rsidRPr="00A23BA8">
        <w:rPr>
          <w:rFonts w:ascii="Times New Roman" w:hAnsi="Times New Roman"/>
          <w:b/>
          <w:sz w:val="20"/>
          <w:szCs w:val="20"/>
        </w:rPr>
        <w:t xml:space="preserve"> konkretizácia opatrení bude vzhľadom na aktuálnu prioritu pomoci v energetickej kríze detailnejšie predstavená v Programe stability.</w:t>
      </w:r>
      <w:r w:rsidR="0048488A" w:rsidRPr="00A23BA8">
        <w:rPr>
          <w:rFonts w:ascii="Times New Roman" w:hAnsi="Times New Roman"/>
          <w:b/>
          <w:sz w:val="20"/>
          <w:szCs w:val="20"/>
        </w:rPr>
        <w:t xml:space="preserve"> </w:t>
      </w:r>
      <w:r w:rsidR="0048488A" w:rsidRPr="00A23BA8">
        <w:rPr>
          <w:rFonts w:ascii="Times New Roman" w:hAnsi="Times New Roman"/>
          <w:sz w:val="20"/>
          <w:szCs w:val="20"/>
        </w:rPr>
        <w:t xml:space="preserve">Napriek dočasným protikrízovým opatreniam v celkovom objeme 3,5 mld. eur </w:t>
      </w:r>
      <w:r w:rsidR="00630E5D" w:rsidRPr="00A23BA8">
        <w:rPr>
          <w:rFonts w:ascii="Times New Roman" w:hAnsi="Times New Roman"/>
          <w:sz w:val="20"/>
          <w:szCs w:val="20"/>
        </w:rPr>
        <w:t xml:space="preserve">sa vláda v rozpočte </w:t>
      </w:r>
      <w:r w:rsidR="00B56887" w:rsidRPr="00A23BA8">
        <w:rPr>
          <w:rFonts w:ascii="Times New Roman" w:hAnsi="Times New Roman"/>
          <w:sz w:val="20"/>
          <w:szCs w:val="20"/>
        </w:rPr>
        <w:t xml:space="preserve">na roky 2023 až 2025 </w:t>
      </w:r>
      <w:r w:rsidR="00630E5D" w:rsidRPr="00A23BA8">
        <w:rPr>
          <w:rFonts w:ascii="Times New Roman" w:hAnsi="Times New Roman"/>
          <w:sz w:val="20"/>
          <w:szCs w:val="20"/>
        </w:rPr>
        <w:t>prihlásila k fiškálnym cieľom znižovania deficitu hospodárenia pod 3 % HDP do konca roku 2025</w:t>
      </w:r>
      <w:r w:rsidR="00B56887" w:rsidRPr="00A23BA8">
        <w:rPr>
          <w:rFonts w:ascii="Times New Roman" w:hAnsi="Times New Roman"/>
          <w:sz w:val="20"/>
          <w:szCs w:val="20"/>
        </w:rPr>
        <w:t>. Tieto ciele</w:t>
      </w:r>
      <w:r w:rsidR="006E17A2" w:rsidRPr="00A23BA8">
        <w:rPr>
          <w:rFonts w:ascii="Times New Roman" w:hAnsi="Times New Roman"/>
          <w:sz w:val="20"/>
          <w:szCs w:val="20"/>
        </w:rPr>
        <w:t xml:space="preserve"> </w:t>
      </w:r>
      <w:r w:rsidR="00B56887" w:rsidRPr="00A23BA8">
        <w:rPr>
          <w:rFonts w:ascii="Times New Roman" w:hAnsi="Times New Roman"/>
          <w:sz w:val="20"/>
          <w:szCs w:val="20"/>
        </w:rPr>
        <w:t xml:space="preserve">by mali zodpovedať </w:t>
      </w:r>
      <w:r w:rsidR="006E17A2" w:rsidRPr="00A23BA8">
        <w:rPr>
          <w:rFonts w:ascii="Times New Roman" w:hAnsi="Times New Roman"/>
          <w:sz w:val="20"/>
          <w:szCs w:val="20"/>
        </w:rPr>
        <w:t>trajektórii znižovania schodku podľa schválených výdavkových limitov</w:t>
      </w:r>
      <w:r w:rsidR="00B56887" w:rsidRPr="00A23BA8">
        <w:rPr>
          <w:rFonts w:ascii="Times New Roman" w:hAnsi="Times New Roman"/>
          <w:sz w:val="20"/>
          <w:szCs w:val="20"/>
        </w:rPr>
        <w:t>, ktorých finálna metodika by mala byť v krátkom čase dohodnutá ministerstvom financií a Radou pre rozpočtovú zodpovednosť</w:t>
      </w:r>
      <w:r w:rsidR="00630E5D" w:rsidRPr="00A23BA8">
        <w:rPr>
          <w:rFonts w:ascii="Times New Roman" w:hAnsi="Times New Roman"/>
          <w:sz w:val="20"/>
          <w:szCs w:val="20"/>
        </w:rPr>
        <w:t>.</w:t>
      </w:r>
      <w:r w:rsidR="0024755D" w:rsidRPr="00A23BA8">
        <w:rPr>
          <w:rFonts w:ascii="Times New Roman" w:hAnsi="Times New Roman"/>
          <w:sz w:val="20"/>
          <w:szCs w:val="20"/>
        </w:rPr>
        <w:t xml:space="preserve"> Infláciou dočasne stabilizovaný dlh okolo 58 % HDP by po prijatí konsolidačných opatrení do roku 2025 v súlade s cieľmi rozpočtu mohol klesnúť o dodatočné 2 p. b.</w:t>
      </w:r>
      <w:r w:rsidR="005D6C0C" w:rsidRPr="00A23BA8">
        <w:rPr>
          <w:rFonts w:ascii="Times New Roman" w:hAnsi="Times New Roman"/>
          <w:sz w:val="20"/>
          <w:szCs w:val="20"/>
        </w:rPr>
        <w:t xml:space="preserve"> k 56 % HDP.</w:t>
      </w:r>
      <w:r w:rsidR="00767677" w:rsidRPr="00A23BA8">
        <w:rPr>
          <w:rFonts w:ascii="Times New Roman" w:hAnsi="Times New Roman"/>
          <w:sz w:val="20"/>
          <w:szCs w:val="20"/>
        </w:rPr>
        <w:t xml:space="preserve"> Tým by sa zároveň vytvoril predpoklad stabilizácie dlhu aj za horizontom rozpočtu.</w:t>
      </w:r>
      <w:r w:rsidR="00B56887" w:rsidRPr="00A23BA8">
        <w:rPr>
          <w:rFonts w:ascii="Times New Roman" w:hAnsi="Times New Roman"/>
          <w:sz w:val="20"/>
          <w:szCs w:val="20"/>
        </w:rPr>
        <w:t xml:space="preserve"> Rozpočet verejnej správy na roky 2023 až 2025 sa v rámci prebiehajúcej energetickej krízy zameriava prioritne na fiškálnu pomoc zasiahnutým firmám, domácnostiam a verejnej správe</w:t>
      </w:r>
      <w:r w:rsidR="00A25FE5" w:rsidRPr="00A23BA8">
        <w:rPr>
          <w:rFonts w:ascii="Times New Roman" w:hAnsi="Times New Roman"/>
          <w:sz w:val="20"/>
          <w:szCs w:val="20"/>
        </w:rPr>
        <w:t xml:space="preserve"> a konkrétne špecifikované opatrenia na znižovanie deficitu budú predstavené v</w:t>
      </w:r>
      <w:r w:rsidR="000B1DBB" w:rsidRPr="00A23BA8">
        <w:rPr>
          <w:rFonts w:ascii="Times New Roman" w:hAnsi="Times New Roman"/>
          <w:sz w:val="20"/>
          <w:szCs w:val="20"/>
        </w:rPr>
        <w:t xml:space="preserve"> Programe stability ako </w:t>
      </w:r>
      <w:r w:rsidR="00A25FE5" w:rsidRPr="00A23BA8">
        <w:rPr>
          <w:rFonts w:ascii="Times New Roman" w:hAnsi="Times New Roman"/>
          <w:sz w:val="20"/>
          <w:szCs w:val="20"/>
        </w:rPr>
        <w:t xml:space="preserve">najbližšom strategickom </w:t>
      </w:r>
      <w:r w:rsidR="000B1DBB" w:rsidRPr="00A23BA8">
        <w:rPr>
          <w:rFonts w:ascii="Times New Roman" w:hAnsi="Times New Roman"/>
          <w:sz w:val="20"/>
          <w:szCs w:val="20"/>
        </w:rPr>
        <w:t>dokumente ministerstva financií.</w:t>
      </w:r>
      <w:r w:rsidR="0066711C" w:rsidRPr="00A23BA8">
        <w:rPr>
          <w:rFonts w:ascii="Times New Roman" w:hAnsi="Times New Roman"/>
          <w:sz w:val="20"/>
          <w:szCs w:val="20"/>
        </w:rPr>
        <w:t xml:space="preserve"> Časť konsolidačných opatrení je</w:t>
      </w:r>
      <w:r w:rsidR="008C391E">
        <w:rPr>
          <w:rFonts w:ascii="Times New Roman" w:hAnsi="Times New Roman"/>
          <w:sz w:val="20"/>
          <w:szCs w:val="20"/>
        </w:rPr>
        <w:t xml:space="preserve"> už</w:t>
      </w:r>
      <w:r w:rsidR="0066711C" w:rsidRPr="00A23BA8">
        <w:rPr>
          <w:rFonts w:ascii="Times New Roman" w:hAnsi="Times New Roman"/>
          <w:sz w:val="20"/>
          <w:szCs w:val="20"/>
        </w:rPr>
        <w:t xml:space="preserve"> predmetom rokovania v </w:t>
      </w:r>
      <w:r w:rsidR="00A5695D" w:rsidRPr="00A23BA8">
        <w:rPr>
          <w:rFonts w:ascii="Times New Roman" w:hAnsi="Times New Roman"/>
          <w:sz w:val="20"/>
          <w:szCs w:val="20"/>
        </w:rPr>
        <w:t xml:space="preserve">NR SR </w:t>
      </w:r>
      <w:r w:rsidR="0066711C" w:rsidRPr="00A23BA8">
        <w:rPr>
          <w:rFonts w:ascii="Times New Roman" w:hAnsi="Times New Roman"/>
          <w:sz w:val="20"/>
          <w:szCs w:val="20"/>
        </w:rPr>
        <w:t xml:space="preserve">(viac </w:t>
      </w:r>
      <w:r w:rsidR="0066711C" w:rsidRPr="00A23BA8">
        <w:rPr>
          <w:rFonts w:ascii="Times New Roman" w:hAnsi="Times New Roman"/>
          <w:b/>
          <w:color w:val="2C9ADC" w:themeColor="accent1"/>
          <w:sz w:val="20"/>
          <w:szCs w:val="20"/>
        </w:rPr>
        <w:t>BOX 2</w:t>
      </w:r>
      <w:r w:rsidR="0066711C" w:rsidRPr="00A23BA8">
        <w:rPr>
          <w:rFonts w:ascii="Times New Roman" w:hAnsi="Times New Roman"/>
          <w:sz w:val="20"/>
          <w:szCs w:val="20"/>
        </w:rPr>
        <w:t>).</w:t>
      </w:r>
    </w:p>
    <w:tbl>
      <w:tblPr>
        <w:tblpPr w:leftFromText="141" w:rightFromText="141" w:bottomFromText="160" w:vertAnchor="text" w:horzAnchor="margin" w:tblpY="259"/>
        <w:tblOverlap w:val="never"/>
        <w:tblW w:w="9286" w:type="dxa"/>
        <w:shd w:val="clear" w:color="auto" w:fill="AAD3F2"/>
        <w:tblCellMar>
          <w:left w:w="70" w:type="dxa"/>
          <w:right w:w="70" w:type="dxa"/>
        </w:tblCellMar>
        <w:tblLook w:val="01E0" w:firstRow="1" w:lastRow="1" w:firstColumn="1" w:lastColumn="1" w:noHBand="0" w:noVBand="0"/>
      </w:tblPr>
      <w:tblGrid>
        <w:gridCol w:w="9286"/>
      </w:tblGrid>
      <w:tr w:rsidR="0066711C" w:rsidRPr="00A23BA8" w14:paraId="4AEC1BE1" w14:textId="77777777" w:rsidTr="001700B5">
        <w:trPr>
          <w:trHeight w:val="430"/>
        </w:trPr>
        <w:tc>
          <w:tcPr>
            <w:tcW w:w="9286" w:type="dxa"/>
            <w:shd w:val="clear" w:color="auto" w:fill="AAD3F2"/>
          </w:tcPr>
          <w:p w14:paraId="29C69BB0" w14:textId="47CA307C" w:rsidR="0066711C" w:rsidRPr="00A23BA8" w:rsidRDefault="0066711C" w:rsidP="00B349C3">
            <w:pPr>
              <w:spacing w:before="120" w:after="120" w:line="240" w:lineRule="auto"/>
              <w:jc w:val="both"/>
              <w:rPr>
                <w:rFonts w:ascii="Times New Roman" w:hAnsi="Times New Roman"/>
                <w:b/>
                <w:color w:val="2C9ADC"/>
                <w:szCs w:val="20"/>
              </w:rPr>
            </w:pPr>
            <w:r w:rsidRPr="00A23BA8">
              <w:rPr>
                <w:rFonts w:ascii="Times New Roman" w:hAnsi="Times New Roman"/>
                <w:b/>
                <w:color w:val="2C9ADC"/>
                <w:szCs w:val="20"/>
              </w:rPr>
              <w:t xml:space="preserve">BOX 2 – Konsolidačné opatrenia predložené na rokovanie do </w:t>
            </w:r>
            <w:r w:rsidR="00A5695D" w:rsidRPr="00A23BA8">
              <w:rPr>
                <w:rFonts w:ascii="Times New Roman" w:hAnsi="Times New Roman"/>
                <w:b/>
                <w:color w:val="2C9ADC"/>
                <w:szCs w:val="20"/>
              </w:rPr>
              <w:t>NR SR</w:t>
            </w:r>
          </w:p>
          <w:p w14:paraId="219413CA" w14:textId="3657D3CE" w:rsidR="0066711C" w:rsidRPr="00A23BA8" w:rsidRDefault="0066711C" w:rsidP="0066711C">
            <w:pPr>
              <w:jc w:val="both"/>
              <w:rPr>
                <w:rFonts w:ascii="Times New Roman" w:hAnsi="Times New Roman"/>
                <w:sz w:val="20"/>
              </w:rPr>
            </w:pPr>
            <w:r w:rsidRPr="00A23BA8">
              <w:rPr>
                <w:rFonts w:ascii="Times New Roman" w:hAnsi="Times New Roman"/>
                <w:b/>
                <w:sz w:val="20"/>
              </w:rPr>
              <w:t xml:space="preserve">V Parlamente je </w:t>
            </w:r>
            <w:r w:rsidR="006E0AEC" w:rsidRPr="00A23BA8">
              <w:rPr>
                <w:rFonts w:ascii="Times New Roman" w:hAnsi="Times New Roman"/>
                <w:b/>
                <w:sz w:val="20"/>
              </w:rPr>
              <w:t xml:space="preserve">na prerokovanie </w:t>
            </w:r>
            <w:r w:rsidRPr="00A23BA8">
              <w:rPr>
                <w:rFonts w:ascii="Times New Roman" w:hAnsi="Times New Roman"/>
                <w:b/>
                <w:sz w:val="20"/>
              </w:rPr>
              <w:t xml:space="preserve">aktuálne </w:t>
            </w:r>
            <w:r w:rsidR="006E0AEC" w:rsidRPr="00A23BA8">
              <w:rPr>
                <w:rFonts w:ascii="Times New Roman" w:hAnsi="Times New Roman"/>
                <w:b/>
                <w:sz w:val="20"/>
              </w:rPr>
              <w:t xml:space="preserve">predložených </w:t>
            </w:r>
            <w:r w:rsidRPr="00A23BA8">
              <w:rPr>
                <w:rFonts w:ascii="Times New Roman" w:hAnsi="Times New Roman"/>
                <w:b/>
                <w:sz w:val="20"/>
              </w:rPr>
              <w:t xml:space="preserve">niekoľko opatrení, ktoré majú za cieľ zvýšiť </w:t>
            </w:r>
            <w:r w:rsidR="00FE230A" w:rsidRPr="00A23BA8">
              <w:rPr>
                <w:rFonts w:ascii="Times New Roman" w:hAnsi="Times New Roman"/>
                <w:b/>
                <w:sz w:val="20"/>
              </w:rPr>
              <w:t xml:space="preserve">príjmy </w:t>
            </w:r>
            <w:r w:rsidR="00101AC1" w:rsidRPr="00A23BA8">
              <w:rPr>
                <w:rFonts w:ascii="Times New Roman" w:hAnsi="Times New Roman"/>
                <w:b/>
                <w:sz w:val="20"/>
              </w:rPr>
              <w:t xml:space="preserve">rozpočtu verejnej správy </w:t>
            </w:r>
            <w:r w:rsidR="00593362" w:rsidRPr="00A23BA8">
              <w:rPr>
                <w:rFonts w:ascii="Times New Roman" w:hAnsi="Times New Roman"/>
                <w:b/>
                <w:sz w:val="20"/>
              </w:rPr>
              <w:t xml:space="preserve">o trištvrte miliardy eur </w:t>
            </w:r>
            <w:r w:rsidR="00FE230A" w:rsidRPr="00A23BA8">
              <w:rPr>
                <w:rFonts w:ascii="Times New Roman" w:hAnsi="Times New Roman"/>
                <w:b/>
                <w:sz w:val="20"/>
              </w:rPr>
              <w:t>už v roku 2023.</w:t>
            </w:r>
            <w:r w:rsidR="005941F8" w:rsidRPr="00A23BA8">
              <w:rPr>
                <w:rFonts w:ascii="Times New Roman" w:hAnsi="Times New Roman"/>
                <w:sz w:val="20"/>
              </w:rPr>
              <w:t xml:space="preserve"> Cieľom </w:t>
            </w:r>
            <w:r w:rsidR="00513092" w:rsidRPr="00A23BA8">
              <w:rPr>
                <w:rFonts w:ascii="Times New Roman" w:hAnsi="Times New Roman"/>
                <w:sz w:val="20"/>
              </w:rPr>
              <w:t xml:space="preserve">navrhnutých opatrení </w:t>
            </w:r>
            <w:r w:rsidR="005941F8" w:rsidRPr="00A23BA8">
              <w:rPr>
                <w:rFonts w:ascii="Times New Roman" w:hAnsi="Times New Roman"/>
                <w:sz w:val="20"/>
              </w:rPr>
              <w:t xml:space="preserve">je kompenzovať </w:t>
            </w:r>
            <w:r w:rsidR="00513092" w:rsidRPr="00A23BA8">
              <w:rPr>
                <w:rFonts w:ascii="Times New Roman" w:hAnsi="Times New Roman"/>
                <w:sz w:val="20"/>
              </w:rPr>
              <w:t>rast na</w:t>
            </w:r>
            <w:r w:rsidR="005941F8" w:rsidRPr="00A23BA8">
              <w:rPr>
                <w:rFonts w:ascii="Times New Roman" w:hAnsi="Times New Roman"/>
                <w:sz w:val="20"/>
              </w:rPr>
              <w:t xml:space="preserve"> výdavkovej strane rozpočtu a osobitne v energetike reagovať na aktuálnu situáciu s cenami </w:t>
            </w:r>
            <w:r w:rsidR="00593362" w:rsidRPr="00A23BA8">
              <w:rPr>
                <w:rFonts w:ascii="Times New Roman" w:hAnsi="Times New Roman"/>
                <w:sz w:val="20"/>
              </w:rPr>
              <w:t xml:space="preserve">energií. Medzi </w:t>
            </w:r>
            <w:r w:rsidR="00C94223" w:rsidRPr="00A23BA8">
              <w:rPr>
                <w:rFonts w:ascii="Times New Roman" w:hAnsi="Times New Roman"/>
                <w:sz w:val="20"/>
              </w:rPr>
              <w:t xml:space="preserve">predložené opatrenia </w:t>
            </w:r>
            <w:r w:rsidR="00593362" w:rsidRPr="00A23BA8">
              <w:rPr>
                <w:rFonts w:ascii="Times New Roman" w:hAnsi="Times New Roman"/>
                <w:sz w:val="20"/>
              </w:rPr>
              <w:t>patrí zvýšenie osobitného odvodu v regulovaných odvetviach na 12 % a rozšírenie rozsahu pôsobnosti zákona o ďalšie subjek</w:t>
            </w:r>
            <w:r w:rsidR="00FB4D3A" w:rsidRPr="00A23BA8">
              <w:rPr>
                <w:rFonts w:ascii="Times New Roman" w:hAnsi="Times New Roman"/>
                <w:sz w:val="20"/>
              </w:rPr>
              <w:t xml:space="preserve">ty, najmä vo finančnom sektore. </w:t>
            </w:r>
            <w:r w:rsidR="00C94223" w:rsidRPr="00A23BA8">
              <w:rPr>
                <w:rFonts w:ascii="Times New Roman" w:hAnsi="Times New Roman"/>
                <w:sz w:val="20"/>
              </w:rPr>
              <w:t>Po schválení by tiež mala o 30 % vzrásť spotrebná daň z liehu. Osobitnými opatreniami s pozitívnym vplyvom na rozpočtové príjmy sú dane a príspevky od energetických firiem. Opatrenia súvisia najmä s prebiehajúcou krízou cien energií a ich cieľom je redistribúcia nadmerných ziskov energetických spoločností ako Slovnaft, SPP či Slovenské elektrárne.</w:t>
            </w:r>
          </w:p>
          <w:p w14:paraId="13BFB1F2" w14:textId="63659A2D" w:rsidR="0066711C" w:rsidRPr="00A23BA8" w:rsidRDefault="00886C4A" w:rsidP="0067228F">
            <w:pPr>
              <w:spacing w:after="0"/>
              <w:jc w:val="both"/>
              <w:rPr>
                <w:rFonts w:ascii="Times New Roman" w:hAnsi="Times New Roman"/>
                <w:b/>
                <w:color w:val="2C9ADC"/>
                <w:sz w:val="18"/>
                <w:szCs w:val="20"/>
              </w:rPr>
            </w:pPr>
            <w:r w:rsidRPr="00A23BA8">
              <w:rPr>
                <w:rFonts w:ascii="Times New Roman" w:hAnsi="Times New Roman"/>
                <w:b/>
                <w:color w:val="2C9ADC"/>
                <w:sz w:val="18"/>
                <w:szCs w:val="20"/>
              </w:rPr>
              <w:t>TABUĽKA</w:t>
            </w:r>
            <w:r w:rsidR="00CD00B0" w:rsidRPr="00A23BA8">
              <w:rPr>
                <w:rFonts w:ascii="Times New Roman" w:hAnsi="Times New Roman"/>
                <w:b/>
                <w:color w:val="2C9ADC"/>
                <w:sz w:val="18"/>
                <w:szCs w:val="20"/>
              </w:rPr>
              <w:t xml:space="preserve"> – Príjmové opatrenia v legislatívnom procese v NR SR (mil. eur)</w:t>
            </w:r>
          </w:p>
          <w:tbl>
            <w:tblPr>
              <w:tblW w:w="89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7"/>
              <w:gridCol w:w="808"/>
              <w:gridCol w:w="808"/>
              <w:gridCol w:w="649"/>
              <w:gridCol w:w="807"/>
            </w:tblGrid>
            <w:tr w:rsidR="001854C0" w:rsidRPr="00A23BA8" w14:paraId="00ABC11E" w14:textId="77777777" w:rsidTr="008C391E">
              <w:trPr>
                <w:trHeight w:val="182"/>
              </w:trPr>
              <w:tc>
                <w:tcPr>
                  <w:tcW w:w="5857" w:type="dxa"/>
                  <w:tcBorders>
                    <w:top w:val="single" w:sz="6" w:space="0" w:color="auto"/>
                    <w:left w:val="nil"/>
                    <w:bottom w:val="single" w:sz="6" w:space="0" w:color="auto"/>
                    <w:right w:val="nil"/>
                  </w:tcBorders>
                  <w:shd w:val="clear" w:color="auto" w:fill="auto"/>
                  <w:vAlign w:val="center"/>
                  <w:hideMark/>
                </w:tcPr>
                <w:p w14:paraId="34F682CC" w14:textId="77777777" w:rsidR="001854C0" w:rsidRPr="00A23BA8" w:rsidRDefault="001854C0" w:rsidP="00AE7082">
                  <w:pPr>
                    <w:framePr w:hSpace="141" w:wrap="around" w:vAnchor="text" w:hAnchor="margin" w:y="259"/>
                    <w:spacing w:after="0" w:line="240" w:lineRule="auto"/>
                    <w:suppressOverlap/>
                    <w:textAlignment w:val="baseline"/>
                    <w:rPr>
                      <w:rFonts w:ascii="Times New Roman" w:hAnsi="Times New Roman"/>
                      <w:sz w:val="18"/>
                      <w:szCs w:val="20"/>
                      <w:lang w:eastAsia="sk-SK"/>
                    </w:rPr>
                  </w:pPr>
                  <w:r w:rsidRPr="00A23BA8">
                    <w:rPr>
                      <w:rFonts w:ascii="Times New Roman" w:hAnsi="Times New Roman"/>
                      <w:color w:val="000000"/>
                      <w:sz w:val="18"/>
                      <w:szCs w:val="20"/>
                      <w:lang w:eastAsia="sk-SK"/>
                    </w:rPr>
                    <w:t> </w:t>
                  </w:r>
                </w:p>
              </w:tc>
              <w:tc>
                <w:tcPr>
                  <w:tcW w:w="808" w:type="dxa"/>
                  <w:tcBorders>
                    <w:top w:val="single" w:sz="6" w:space="0" w:color="auto"/>
                    <w:left w:val="nil"/>
                    <w:bottom w:val="single" w:sz="6" w:space="0" w:color="auto"/>
                    <w:right w:val="nil"/>
                  </w:tcBorders>
                  <w:shd w:val="clear" w:color="auto" w:fill="auto"/>
                  <w:vAlign w:val="center"/>
                  <w:hideMark/>
                </w:tcPr>
                <w:p w14:paraId="7004ADBD" w14:textId="052F6DD8" w:rsidR="001854C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sz w:val="18"/>
                      <w:szCs w:val="20"/>
                      <w:lang w:eastAsia="sk-SK"/>
                    </w:rPr>
                  </w:pPr>
                  <w:r w:rsidRPr="00A23BA8">
                    <w:rPr>
                      <w:rFonts w:ascii="Times New Roman" w:hAnsi="Times New Roman"/>
                      <w:b/>
                      <w:bCs/>
                      <w:color w:val="000000"/>
                      <w:sz w:val="18"/>
                      <w:szCs w:val="20"/>
                      <w:lang w:eastAsia="sk-SK"/>
                    </w:rPr>
                    <w:t>2022</w:t>
                  </w:r>
                  <w:r w:rsidR="001854C0" w:rsidRPr="00A23BA8">
                    <w:rPr>
                      <w:rFonts w:ascii="Times New Roman" w:hAnsi="Times New Roman"/>
                      <w:color w:val="000000"/>
                      <w:sz w:val="18"/>
                      <w:szCs w:val="20"/>
                      <w:lang w:eastAsia="sk-SK"/>
                    </w:rPr>
                    <w:t> </w:t>
                  </w:r>
                </w:p>
              </w:tc>
              <w:tc>
                <w:tcPr>
                  <w:tcW w:w="808" w:type="dxa"/>
                  <w:tcBorders>
                    <w:top w:val="single" w:sz="6" w:space="0" w:color="auto"/>
                    <w:left w:val="nil"/>
                    <w:bottom w:val="single" w:sz="6" w:space="0" w:color="auto"/>
                    <w:right w:val="nil"/>
                  </w:tcBorders>
                  <w:shd w:val="clear" w:color="auto" w:fill="auto"/>
                  <w:vAlign w:val="center"/>
                  <w:hideMark/>
                </w:tcPr>
                <w:p w14:paraId="7E8A1F7F" w14:textId="47FAD69A" w:rsidR="001854C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sz w:val="18"/>
                      <w:szCs w:val="20"/>
                      <w:lang w:eastAsia="sk-SK"/>
                    </w:rPr>
                  </w:pPr>
                  <w:r w:rsidRPr="00A23BA8">
                    <w:rPr>
                      <w:rFonts w:ascii="Times New Roman" w:hAnsi="Times New Roman"/>
                      <w:b/>
                      <w:bCs/>
                      <w:color w:val="000000"/>
                      <w:sz w:val="18"/>
                      <w:szCs w:val="20"/>
                      <w:lang w:eastAsia="sk-SK"/>
                    </w:rPr>
                    <w:t>2023</w:t>
                  </w:r>
                </w:p>
              </w:tc>
              <w:tc>
                <w:tcPr>
                  <w:tcW w:w="648" w:type="dxa"/>
                  <w:tcBorders>
                    <w:top w:val="single" w:sz="6" w:space="0" w:color="auto"/>
                    <w:left w:val="nil"/>
                    <w:bottom w:val="single" w:sz="6" w:space="0" w:color="auto"/>
                    <w:right w:val="nil"/>
                  </w:tcBorders>
                  <w:shd w:val="clear" w:color="auto" w:fill="auto"/>
                  <w:vAlign w:val="center"/>
                  <w:hideMark/>
                </w:tcPr>
                <w:p w14:paraId="13E74473" w14:textId="38609645" w:rsidR="001854C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sz w:val="18"/>
                      <w:szCs w:val="20"/>
                      <w:lang w:eastAsia="sk-SK"/>
                    </w:rPr>
                  </w:pPr>
                  <w:r w:rsidRPr="00A23BA8">
                    <w:rPr>
                      <w:rFonts w:ascii="Times New Roman" w:hAnsi="Times New Roman"/>
                      <w:b/>
                      <w:bCs/>
                      <w:color w:val="000000"/>
                      <w:sz w:val="18"/>
                      <w:szCs w:val="20"/>
                      <w:lang w:eastAsia="sk-SK"/>
                    </w:rPr>
                    <w:t>2024</w:t>
                  </w:r>
                </w:p>
              </w:tc>
              <w:tc>
                <w:tcPr>
                  <w:tcW w:w="807" w:type="dxa"/>
                  <w:tcBorders>
                    <w:top w:val="single" w:sz="6" w:space="0" w:color="auto"/>
                    <w:left w:val="nil"/>
                    <w:bottom w:val="single" w:sz="6" w:space="0" w:color="auto"/>
                    <w:right w:val="nil"/>
                  </w:tcBorders>
                  <w:shd w:val="clear" w:color="auto" w:fill="auto"/>
                  <w:vAlign w:val="center"/>
                  <w:hideMark/>
                </w:tcPr>
                <w:p w14:paraId="2A39A640" w14:textId="2E1F0AFA" w:rsidR="001854C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sz w:val="18"/>
                      <w:szCs w:val="20"/>
                      <w:lang w:eastAsia="sk-SK"/>
                    </w:rPr>
                  </w:pPr>
                  <w:r w:rsidRPr="00A23BA8">
                    <w:rPr>
                      <w:rFonts w:ascii="Times New Roman" w:hAnsi="Times New Roman"/>
                      <w:b/>
                      <w:bCs/>
                      <w:color w:val="000000"/>
                      <w:sz w:val="18"/>
                      <w:szCs w:val="20"/>
                      <w:lang w:eastAsia="sk-SK"/>
                    </w:rPr>
                    <w:t>2025</w:t>
                  </w:r>
                </w:p>
              </w:tc>
            </w:tr>
            <w:tr w:rsidR="00CD00B0" w:rsidRPr="00A23BA8" w14:paraId="569D748E" w14:textId="77777777" w:rsidTr="008C391E">
              <w:trPr>
                <w:trHeight w:val="162"/>
              </w:trPr>
              <w:tc>
                <w:tcPr>
                  <w:tcW w:w="5857" w:type="dxa"/>
                  <w:tcBorders>
                    <w:top w:val="single" w:sz="6" w:space="0" w:color="auto"/>
                    <w:left w:val="nil"/>
                    <w:bottom w:val="nil"/>
                    <w:right w:val="nil"/>
                  </w:tcBorders>
                  <w:shd w:val="clear" w:color="auto" w:fill="auto"/>
                  <w:vAlign w:val="center"/>
                  <w:hideMark/>
                </w:tcPr>
                <w:p w14:paraId="581C4389" w14:textId="55DFC608" w:rsidR="00CD00B0" w:rsidRPr="00A23BA8" w:rsidRDefault="00CD00B0" w:rsidP="00AE7082">
                  <w:pPr>
                    <w:framePr w:hSpace="141" w:wrap="around" w:vAnchor="text" w:hAnchor="margin" w:y="259"/>
                    <w:spacing w:after="0" w:line="240" w:lineRule="auto"/>
                    <w:suppressOverlap/>
                    <w:textAlignment w:val="baseline"/>
                    <w:rPr>
                      <w:rFonts w:ascii="Times New Roman" w:hAnsi="Times New Roman"/>
                      <w:sz w:val="18"/>
                      <w:szCs w:val="20"/>
                      <w:lang w:eastAsia="sk-SK"/>
                    </w:rPr>
                  </w:pPr>
                  <w:r w:rsidRPr="00A23BA8">
                    <w:rPr>
                      <w:rFonts w:ascii="Times New Roman" w:hAnsi="Times New Roman"/>
                      <w:color w:val="000000"/>
                      <w:sz w:val="18"/>
                      <w:szCs w:val="20"/>
                    </w:rPr>
                    <w:t>Osobitný odvod z podnikania v regulovaných odvetviach</w:t>
                  </w:r>
                </w:p>
              </w:tc>
              <w:tc>
                <w:tcPr>
                  <w:tcW w:w="808" w:type="dxa"/>
                  <w:tcBorders>
                    <w:top w:val="single" w:sz="6" w:space="0" w:color="auto"/>
                    <w:left w:val="nil"/>
                    <w:bottom w:val="nil"/>
                    <w:right w:val="nil"/>
                  </w:tcBorders>
                  <w:shd w:val="clear" w:color="auto" w:fill="auto"/>
                  <w:vAlign w:val="center"/>
                  <w:hideMark/>
                </w:tcPr>
                <w:p w14:paraId="4F57BBFB" w14:textId="3ACA77B4" w:rsidR="00CD00B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sz w:val="18"/>
                      <w:szCs w:val="20"/>
                      <w:lang w:eastAsia="sk-SK"/>
                    </w:rPr>
                  </w:pPr>
                </w:p>
              </w:tc>
              <w:tc>
                <w:tcPr>
                  <w:tcW w:w="808" w:type="dxa"/>
                  <w:tcBorders>
                    <w:top w:val="single" w:sz="6" w:space="0" w:color="auto"/>
                    <w:left w:val="nil"/>
                    <w:bottom w:val="nil"/>
                    <w:right w:val="nil"/>
                  </w:tcBorders>
                  <w:shd w:val="clear" w:color="auto" w:fill="auto"/>
                  <w:vAlign w:val="center"/>
                  <w:hideMark/>
                </w:tcPr>
                <w:p w14:paraId="73D36FFC" w14:textId="4AEE9EEB" w:rsidR="00CD00B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sz w:val="18"/>
                      <w:szCs w:val="20"/>
                      <w:lang w:eastAsia="sk-SK"/>
                    </w:rPr>
                  </w:pPr>
                  <w:r w:rsidRPr="00A23BA8">
                    <w:rPr>
                      <w:rFonts w:ascii="Times New Roman" w:hAnsi="Times New Roman"/>
                      <w:sz w:val="18"/>
                      <w:szCs w:val="20"/>
                    </w:rPr>
                    <w:t>78</w:t>
                  </w:r>
                </w:p>
              </w:tc>
              <w:tc>
                <w:tcPr>
                  <w:tcW w:w="648" w:type="dxa"/>
                  <w:tcBorders>
                    <w:top w:val="single" w:sz="6" w:space="0" w:color="auto"/>
                    <w:left w:val="nil"/>
                    <w:bottom w:val="nil"/>
                    <w:right w:val="nil"/>
                  </w:tcBorders>
                  <w:shd w:val="clear" w:color="auto" w:fill="auto"/>
                  <w:vAlign w:val="center"/>
                  <w:hideMark/>
                </w:tcPr>
                <w:p w14:paraId="117C14A8" w14:textId="027288E0" w:rsidR="00CD00B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sz w:val="18"/>
                      <w:szCs w:val="20"/>
                      <w:lang w:eastAsia="sk-SK"/>
                    </w:rPr>
                  </w:pPr>
                  <w:r w:rsidRPr="00A23BA8">
                    <w:rPr>
                      <w:rFonts w:ascii="Times New Roman" w:hAnsi="Times New Roman"/>
                      <w:sz w:val="18"/>
                      <w:szCs w:val="20"/>
                    </w:rPr>
                    <w:t>64</w:t>
                  </w:r>
                </w:p>
              </w:tc>
              <w:tc>
                <w:tcPr>
                  <w:tcW w:w="807" w:type="dxa"/>
                  <w:tcBorders>
                    <w:top w:val="single" w:sz="6" w:space="0" w:color="auto"/>
                    <w:left w:val="nil"/>
                    <w:bottom w:val="nil"/>
                    <w:right w:val="nil"/>
                  </w:tcBorders>
                  <w:shd w:val="clear" w:color="auto" w:fill="auto"/>
                  <w:vAlign w:val="center"/>
                  <w:hideMark/>
                </w:tcPr>
                <w:p w14:paraId="6031191E" w14:textId="4CA52AA5" w:rsidR="00CD00B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sz w:val="18"/>
                      <w:szCs w:val="20"/>
                      <w:lang w:eastAsia="sk-SK"/>
                    </w:rPr>
                  </w:pPr>
                  <w:r w:rsidRPr="00A23BA8">
                    <w:rPr>
                      <w:rFonts w:ascii="Times New Roman" w:hAnsi="Times New Roman"/>
                      <w:sz w:val="18"/>
                      <w:szCs w:val="20"/>
                    </w:rPr>
                    <w:t>45</w:t>
                  </w:r>
                </w:p>
              </w:tc>
            </w:tr>
            <w:tr w:rsidR="00CD00B0" w:rsidRPr="00A23BA8" w14:paraId="69F35D7F" w14:textId="77777777" w:rsidTr="008C391E">
              <w:trPr>
                <w:trHeight w:val="162"/>
              </w:trPr>
              <w:tc>
                <w:tcPr>
                  <w:tcW w:w="5857" w:type="dxa"/>
                  <w:tcBorders>
                    <w:top w:val="nil"/>
                    <w:left w:val="nil"/>
                    <w:bottom w:val="nil"/>
                    <w:right w:val="nil"/>
                  </w:tcBorders>
                  <w:shd w:val="clear" w:color="auto" w:fill="auto"/>
                  <w:vAlign w:val="center"/>
                  <w:hideMark/>
                </w:tcPr>
                <w:p w14:paraId="718D5190" w14:textId="1E4DF815" w:rsidR="00CD00B0" w:rsidRPr="00A23BA8" w:rsidRDefault="00CD00B0" w:rsidP="00AE7082">
                  <w:pPr>
                    <w:framePr w:hSpace="141" w:wrap="around" w:vAnchor="text" w:hAnchor="margin" w:y="259"/>
                    <w:spacing w:after="0" w:line="240" w:lineRule="auto"/>
                    <w:suppressOverlap/>
                    <w:textAlignment w:val="baseline"/>
                    <w:rPr>
                      <w:rFonts w:ascii="Times New Roman" w:hAnsi="Times New Roman"/>
                      <w:sz w:val="18"/>
                      <w:szCs w:val="20"/>
                      <w:lang w:eastAsia="sk-SK"/>
                    </w:rPr>
                  </w:pPr>
                  <w:r w:rsidRPr="00A23BA8">
                    <w:rPr>
                      <w:rFonts w:ascii="Times New Roman" w:hAnsi="Times New Roman"/>
                      <w:color w:val="000000"/>
                      <w:sz w:val="18"/>
                      <w:szCs w:val="20"/>
                    </w:rPr>
                    <w:t>Zvýšenie spotrebnej dane z liehu</w:t>
                  </w:r>
                </w:p>
              </w:tc>
              <w:tc>
                <w:tcPr>
                  <w:tcW w:w="808" w:type="dxa"/>
                  <w:tcBorders>
                    <w:top w:val="nil"/>
                    <w:left w:val="nil"/>
                    <w:bottom w:val="nil"/>
                    <w:right w:val="nil"/>
                  </w:tcBorders>
                  <w:shd w:val="clear" w:color="auto" w:fill="auto"/>
                  <w:vAlign w:val="center"/>
                  <w:hideMark/>
                </w:tcPr>
                <w:p w14:paraId="557EE351" w14:textId="7761CD16" w:rsidR="00CD00B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sz w:val="18"/>
                      <w:szCs w:val="20"/>
                      <w:lang w:eastAsia="sk-SK"/>
                    </w:rPr>
                  </w:pPr>
                </w:p>
              </w:tc>
              <w:tc>
                <w:tcPr>
                  <w:tcW w:w="808" w:type="dxa"/>
                  <w:tcBorders>
                    <w:top w:val="nil"/>
                    <w:left w:val="nil"/>
                    <w:bottom w:val="nil"/>
                    <w:right w:val="nil"/>
                  </w:tcBorders>
                  <w:shd w:val="clear" w:color="auto" w:fill="auto"/>
                  <w:vAlign w:val="center"/>
                  <w:hideMark/>
                </w:tcPr>
                <w:p w14:paraId="7FE38ABD" w14:textId="3CCA13BD" w:rsidR="00CD00B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sz w:val="18"/>
                      <w:szCs w:val="20"/>
                      <w:lang w:eastAsia="sk-SK"/>
                    </w:rPr>
                  </w:pPr>
                  <w:r w:rsidRPr="00A23BA8">
                    <w:rPr>
                      <w:rFonts w:ascii="Times New Roman" w:hAnsi="Times New Roman"/>
                      <w:sz w:val="18"/>
                      <w:szCs w:val="20"/>
                    </w:rPr>
                    <w:t>72</w:t>
                  </w:r>
                </w:p>
              </w:tc>
              <w:tc>
                <w:tcPr>
                  <w:tcW w:w="648" w:type="dxa"/>
                  <w:tcBorders>
                    <w:top w:val="nil"/>
                    <w:left w:val="nil"/>
                    <w:bottom w:val="nil"/>
                    <w:right w:val="nil"/>
                  </w:tcBorders>
                  <w:shd w:val="clear" w:color="auto" w:fill="auto"/>
                  <w:vAlign w:val="center"/>
                  <w:hideMark/>
                </w:tcPr>
                <w:p w14:paraId="574E7F93" w14:textId="2CE56BD4" w:rsidR="00CD00B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sz w:val="18"/>
                      <w:szCs w:val="20"/>
                      <w:lang w:eastAsia="sk-SK"/>
                    </w:rPr>
                  </w:pPr>
                  <w:r w:rsidRPr="00A23BA8">
                    <w:rPr>
                      <w:rFonts w:ascii="Times New Roman" w:hAnsi="Times New Roman"/>
                      <w:sz w:val="18"/>
                      <w:szCs w:val="20"/>
                    </w:rPr>
                    <w:t>78</w:t>
                  </w:r>
                </w:p>
              </w:tc>
              <w:tc>
                <w:tcPr>
                  <w:tcW w:w="807" w:type="dxa"/>
                  <w:tcBorders>
                    <w:top w:val="nil"/>
                    <w:left w:val="nil"/>
                    <w:bottom w:val="nil"/>
                    <w:right w:val="nil"/>
                  </w:tcBorders>
                  <w:shd w:val="clear" w:color="auto" w:fill="auto"/>
                  <w:vAlign w:val="center"/>
                  <w:hideMark/>
                </w:tcPr>
                <w:p w14:paraId="7981219C" w14:textId="0E2255CE" w:rsidR="00CD00B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sz w:val="18"/>
                      <w:szCs w:val="20"/>
                      <w:lang w:eastAsia="sk-SK"/>
                    </w:rPr>
                  </w:pPr>
                  <w:r w:rsidRPr="00A23BA8">
                    <w:rPr>
                      <w:rFonts w:ascii="Times New Roman" w:hAnsi="Times New Roman"/>
                      <w:sz w:val="18"/>
                      <w:szCs w:val="20"/>
                    </w:rPr>
                    <w:t>78</w:t>
                  </w:r>
                </w:p>
              </w:tc>
            </w:tr>
            <w:tr w:rsidR="00CD00B0" w:rsidRPr="00A23BA8" w14:paraId="1DE8620E" w14:textId="77777777" w:rsidTr="008C391E">
              <w:trPr>
                <w:trHeight w:val="162"/>
              </w:trPr>
              <w:tc>
                <w:tcPr>
                  <w:tcW w:w="5857" w:type="dxa"/>
                  <w:tcBorders>
                    <w:top w:val="nil"/>
                    <w:left w:val="nil"/>
                    <w:bottom w:val="nil"/>
                    <w:right w:val="nil"/>
                  </w:tcBorders>
                  <w:shd w:val="clear" w:color="auto" w:fill="auto"/>
                  <w:vAlign w:val="center"/>
                  <w:hideMark/>
                </w:tcPr>
                <w:p w14:paraId="3856CCD8" w14:textId="6E5BE41F" w:rsidR="00CD00B0" w:rsidRPr="00A23BA8" w:rsidRDefault="00CD00B0" w:rsidP="00AE7082">
                  <w:pPr>
                    <w:framePr w:hSpace="141" w:wrap="around" w:vAnchor="text" w:hAnchor="margin" w:y="259"/>
                    <w:spacing w:after="0" w:line="240" w:lineRule="auto"/>
                    <w:suppressOverlap/>
                    <w:textAlignment w:val="baseline"/>
                    <w:rPr>
                      <w:rFonts w:ascii="Times New Roman" w:hAnsi="Times New Roman"/>
                      <w:sz w:val="18"/>
                      <w:szCs w:val="20"/>
                      <w:lang w:eastAsia="sk-SK"/>
                    </w:rPr>
                  </w:pPr>
                  <w:r w:rsidRPr="00A23BA8">
                    <w:rPr>
                      <w:rFonts w:ascii="Times New Roman" w:hAnsi="Times New Roman"/>
                      <w:color w:val="000000"/>
                      <w:sz w:val="18"/>
                      <w:szCs w:val="20"/>
                    </w:rPr>
                    <w:t>Solidárny príspevok (energetika)</w:t>
                  </w:r>
                  <w:r w:rsidR="00D35946" w:rsidRPr="00A23BA8">
                    <w:rPr>
                      <w:rFonts w:ascii="Times New Roman" w:hAnsi="Times New Roman"/>
                      <w:color w:val="000000"/>
                      <w:sz w:val="18"/>
                      <w:szCs w:val="20"/>
                    </w:rPr>
                    <w:t>*</w:t>
                  </w:r>
                </w:p>
              </w:tc>
              <w:tc>
                <w:tcPr>
                  <w:tcW w:w="808" w:type="dxa"/>
                  <w:tcBorders>
                    <w:top w:val="nil"/>
                    <w:left w:val="nil"/>
                    <w:bottom w:val="nil"/>
                    <w:right w:val="nil"/>
                  </w:tcBorders>
                  <w:shd w:val="clear" w:color="auto" w:fill="auto"/>
                  <w:vAlign w:val="center"/>
                  <w:hideMark/>
                </w:tcPr>
                <w:p w14:paraId="74FD5009" w14:textId="4DF299DF" w:rsidR="00CD00B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sz w:val="18"/>
                      <w:szCs w:val="20"/>
                      <w:lang w:eastAsia="sk-SK"/>
                    </w:rPr>
                  </w:pPr>
                  <w:r w:rsidRPr="00A23BA8">
                    <w:rPr>
                      <w:rFonts w:ascii="Times New Roman" w:hAnsi="Times New Roman"/>
                      <w:sz w:val="18"/>
                      <w:szCs w:val="20"/>
                    </w:rPr>
                    <w:t>524</w:t>
                  </w:r>
                </w:p>
              </w:tc>
              <w:tc>
                <w:tcPr>
                  <w:tcW w:w="808" w:type="dxa"/>
                  <w:tcBorders>
                    <w:top w:val="nil"/>
                    <w:left w:val="nil"/>
                    <w:bottom w:val="nil"/>
                    <w:right w:val="nil"/>
                  </w:tcBorders>
                  <w:shd w:val="clear" w:color="auto" w:fill="auto"/>
                  <w:vAlign w:val="center"/>
                  <w:hideMark/>
                </w:tcPr>
                <w:p w14:paraId="34F453BE" w14:textId="318233FB" w:rsidR="00CD00B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i/>
                      <w:sz w:val="18"/>
                      <w:szCs w:val="20"/>
                      <w:lang w:eastAsia="sk-SK"/>
                    </w:rPr>
                  </w:pPr>
                </w:p>
              </w:tc>
              <w:tc>
                <w:tcPr>
                  <w:tcW w:w="648" w:type="dxa"/>
                  <w:tcBorders>
                    <w:top w:val="nil"/>
                    <w:left w:val="nil"/>
                    <w:bottom w:val="nil"/>
                    <w:right w:val="nil"/>
                  </w:tcBorders>
                  <w:shd w:val="clear" w:color="auto" w:fill="auto"/>
                  <w:vAlign w:val="center"/>
                </w:tcPr>
                <w:p w14:paraId="1C3D7E36" w14:textId="00CD6441" w:rsidR="00CD00B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i/>
                      <w:sz w:val="18"/>
                      <w:szCs w:val="20"/>
                      <w:lang w:eastAsia="sk-SK"/>
                    </w:rPr>
                  </w:pPr>
                </w:p>
              </w:tc>
              <w:tc>
                <w:tcPr>
                  <w:tcW w:w="807" w:type="dxa"/>
                  <w:tcBorders>
                    <w:top w:val="nil"/>
                    <w:left w:val="nil"/>
                    <w:bottom w:val="nil"/>
                    <w:right w:val="nil"/>
                  </w:tcBorders>
                  <w:shd w:val="clear" w:color="auto" w:fill="auto"/>
                  <w:vAlign w:val="center"/>
                </w:tcPr>
                <w:p w14:paraId="7E1F9D74" w14:textId="321593A1" w:rsidR="00CD00B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i/>
                      <w:sz w:val="18"/>
                      <w:szCs w:val="20"/>
                      <w:lang w:eastAsia="sk-SK"/>
                    </w:rPr>
                  </w:pPr>
                </w:p>
              </w:tc>
            </w:tr>
            <w:tr w:rsidR="005941F8" w:rsidRPr="00A23BA8" w14:paraId="265A9A60" w14:textId="77777777" w:rsidTr="008C391E">
              <w:trPr>
                <w:trHeight w:val="162"/>
              </w:trPr>
              <w:tc>
                <w:tcPr>
                  <w:tcW w:w="5857" w:type="dxa"/>
                  <w:tcBorders>
                    <w:top w:val="nil"/>
                    <w:left w:val="nil"/>
                    <w:bottom w:val="nil"/>
                    <w:right w:val="nil"/>
                  </w:tcBorders>
                  <w:shd w:val="clear" w:color="auto" w:fill="auto"/>
                  <w:vAlign w:val="center"/>
                </w:tcPr>
                <w:p w14:paraId="3BB67482" w14:textId="6FADA727" w:rsidR="005941F8" w:rsidRPr="00A23BA8" w:rsidRDefault="00262B60" w:rsidP="00AE7082">
                  <w:pPr>
                    <w:framePr w:hSpace="141" w:wrap="around" w:vAnchor="text" w:hAnchor="margin" w:y="259"/>
                    <w:spacing w:after="0" w:line="240" w:lineRule="auto"/>
                    <w:suppressOverlap/>
                    <w:textAlignment w:val="baseline"/>
                    <w:rPr>
                      <w:rFonts w:ascii="Times New Roman" w:hAnsi="Times New Roman"/>
                      <w:color w:val="000000"/>
                      <w:sz w:val="18"/>
                      <w:szCs w:val="20"/>
                    </w:rPr>
                  </w:pPr>
                  <w:r w:rsidRPr="00A23BA8">
                    <w:rPr>
                      <w:rFonts w:ascii="Times New Roman" w:hAnsi="Times New Roman"/>
                      <w:color w:val="000000"/>
                      <w:sz w:val="18"/>
                      <w:szCs w:val="20"/>
                    </w:rPr>
                    <w:t>Daň z osobitnej stavby</w:t>
                  </w:r>
                </w:p>
              </w:tc>
              <w:tc>
                <w:tcPr>
                  <w:tcW w:w="808" w:type="dxa"/>
                  <w:tcBorders>
                    <w:top w:val="nil"/>
                    <w:left w:val="nil"/>
                    <w:bottom w:val="nil"/>
                    <w:right w:val="nil"/>
                  </w:tcBorders>
                  <w:shd w:val="clear" w:color="auto" w:fill="auto"/>
                  <w:vAlign w:val="center"/>
                </w:tcPr>
                <w:p w14:paraId="61A06C07" w14:textId="77777777" w:rsidR="005941F8" w:rsidRPr="00A23BA8" w:rsidRDefault="005941F8" w:rsidP="00AE7082">
                  <w:pPr>
                    <w:framePr w:hSpace="141" w:wrap="around" w:vAnchor="text" w:hAnchor="margin" w:y="259"/>
                    <w:spacing w:after="0" w:line="240" w:lineRule="auto"/>
                    <w:suppressOverlap/>
                    <w:jc w:val="center"/>
                    <w:textAlignment w:val="baseline"/>
                    <w:rPr>
                      <w:rFonts w:ascii="Times New Roman" w:hAnsi="Times New Roman"/>
                      <w:sz w:val="18"/>
                      <w:szCs w:val="20"/>
                    </w:rPr>
                  </w:pPr>
                </w:p>
              </w:tc>
              <w:tc>
                <w:tcPr>
                  <w:tcW w:w="808" w:type="dxa"/>
                  <w:tcBorders>
                    <w:top w:val="nil"/>
                    <w:left w:val="nil"/>
                    <w:bottom w:val="nil"/>
                    <w:right w:val="nil"/>
                  </w:tcBorders>
                  <w:shd w:val="clear" w:color="auto" w:fill="auto"/>
                  <w:vAlign w:val="center"/>
                </w:tcPr>
                <w:p w14:paraId="625D2959" w14:textId="6F30BBA5" w:rsidR="005941F8" w:rsidRPr="00A23BA8" w:rsidRDefault="00262B60" w:rsidP="00AE7082">
                  <w:pPr>
                    <w:framePr w:hSpace="141" w:wrap="around" w:vAnchor="text" w:hAnchor="margin" w:y="259"/>
                    <w:spacing w:after="0" w:line="240" w:lineRule="auto"/>
                    <w:suppressOverlap/>
                    <w:jc w:val="center"/>
                    <w:textAlignment w:val="baseline"/>
                    <w:rPr>
                      <w:rFonts w:ascii="Times New Roman" w:hAnsi="Times New Roman"/>
                      <w:sz w:val="18"/>
                      <w:szCs w:val="20"/>
                      <w:lang w:eastAsia="sk-SK"/>
                    </w:rPr>
                  </w:pPr>
                  <w:r w:rsidRPr="00A23BA8">
                    <w:rPr>
                      <w:rFonts w:ascii="Times New Roman" w:hAnsi="Times New Roman"/>
                      <w:sz w:val="18"/>
                      <w:szCs w:val="20"/>
                      <w:lang w:eastAsia="sk-SK"/>
                    </w:rPr>
                    <w:t>89</w:t>
                  </w:r>
                </w:p>
              </w:tc>
              <w:tc>
                <w:tcPr>
                  <w:tcW w:w="648" w:type="dxa"/>
                  <w:tcBorders>
                    <w:top w:val="nil"/>
                    <w:left w:val="nil"/>
                    <w:bottom w:val="nil"/>
                    <w:right w:val="nil"/>
                  </w:tcBorders>
                  <w:shd w:val="clear" w:color="auto" w:fill="auto"/>
                  <w:vAlign w:val="center"/>
                </w:tcPr>
                <w:p w14:paraId="2B082F3F" w14:textId="0A03B5E3" w:rsidR="005941F8" w:rsidRPr="00A23BA8" w:rsidRDefault="00262B60" w:rsidP="00AE7082">
                  <w:pPr>
                    <w:framePr w:hSpace="141" w:wrap="around" w:vAnchor="text" w:hAnchor="margin" w:y="259"/>
                    <w:spacing w:after="0" w:line="240" w:lineRule="auto"/>
                    <w:suppressOverlap/>
                    <w:jc w:val="center"/>
                    <w:textAlignment w:val="baseline"/>
                    <w:rPr>
                      <w:rFonts w:ascii="Times New Roman" w:hAnsi="Times New Roman"/>
                      <w:sz w:val="18"/>
                      <w:szCs w:val="20"/>
                      <w:lang w:eastAsia="sk-SK"/>
                    </w:rPr>
                  </w:pPr>
                  <w:r w:rsidRPr="00A23BA8">
                    <w:rPr>
                      <w:rFonts w:ascii="Times New Roman" w:hAnsi="Times New Roman"/>
                      <w:sz w:val="18"/>
                      <w:szCs w:val="20"/>
                      <w:lang w:eastAsia="sk-SK"/>
                    </w:rPr>
                    <w:t>50</w:t>
                  </w:r>
                </w:p>
              </w:tc>
              <w:tc>
                <w:tcPr>
                  <w:tcW w:w="807" w:type="dxa"/>
                  <w:tcBorders>
                    <w:top w:val="nil"/>
                    <w:left w:val="nil"/>
                    <w:bottom w:val="nil"/>
                    <w:right w:val="nil"/>
                  </w:tcBorders>
                  <w:shd w:val="clear" w:color="auto" w:fill="auto"/>
                  <w:vAlign w:val="center"/>
                </w:tcPr>
                <w:p w14:paraId="74095DA6" w14:textId="51344527" w:rsidR="005941F8" w:rsidRPr="00A23BA8" w:rsidRDefault="00262B60" w:rsidP="00AE7082">
                  <w:pPr>
                    <w:framePr w:hSpace="141" w:wrap="around" w:vAnchor="text" w:hAnchor="margin" w:y="259"/>
                    <w:spacing w:after="0" w:line="240" w:lineRule="auto"/>
                    <w:suppressOverlap/>
                    <w:jc w:val="center"/>
                    <w:textAlignment w:val="baseline"/>
                    <w:rPr>
                      <w:rFonts w:ascii="Times New Roman" w:hAnsi="Times New Roman"/>
                      <w:sz w:val="18"/>
                      <w:szCs w:val="20"/>
                      <w:lang w:eastAsia="sk-SK"/>
                    </w:rPr>
                  </w:pPr>
                  <w:r w:rsidRPr="00A23BA8">
                    <w:rPr>
                      <w:rFonts w:ascii="Times New Roman" w:hAnsi="Times New Roman"/>
                      <w:sz w:val="18"/>
                      <w:szCs w:val="20"/>
                      <w:lang w:eastAsia="sk-SK"/>
                    </w:rPr>
                    <w:t>38</w:t>
                  </w:r>
                </w:p>
              </w:tc>
            </w:tr>
            <w:tr w:rsidR="00CD00B0" w:rsidRPr="00A23BA8" w14:paraId="0842DD2A" w14:textId="77777777" w:rsidTr="008C391E">
              <w:trPr>
                <w:trHeight w:val="162"/>
              </w:trPr>
              <w:tc>
                <w:tcPr>
                  <w:tcW w:w="5857" w:type="dxa"/>
                  <w:tcBorders>
                    <w:top w:val="nil"/>
                    <w:left w:val="nil"/>
                    <w:bottom w:val="single" w:sz="6" w:space="0" w:color="auto"/>
                    <w:right w:val="nil"/>
                  </w:tcBorders>
                  <w:shd w:val="clear" w:color="auto" w:fill="auto"/>
                  <w:vAlign w:val="center"/>
                </w:tcPr>
                <w:p w14:paraId="23975C5B" w14:textId="2AA21F3F" w:rsidR="00CD00B0" w:rsidRPr="00A23BA8" w:rsidRDefault="00CD00B0" w:rsidP="00AE7082">
                  <w:pPr>
                    <w:framePr w:hSpace="141" w:wrap="around" w:vAnchor="text" w:hAnchor="margin" w:y="259"/>
                    <w:spacing w:after="0" w:line="240" w:lineRule="auto"/>
                    <w:suppressOverlap/>
                    <w:textAlignment w:val="baseline"/>
                    <w:rPr>
                      <w:rFonts w:ascii="Times New Roman" w:hAnsi="Times New Roman"/>
                      <w:color w:val="000000"/>
                      <w:sz w:val="18"/>
                      <w:szCs w:val="20"/>
                    </w:rPr>
                  </w:pPr>
                  <w:r w:rsidRPr="00A23BA8">
                    <w:rPr>
                      <w:rFonts w:ascii="Times New Roman" w:hAnsi="Times New Roman"/>
                      <w:color w:val="000000"/>
                      <w:sz w:val="18"/>
                      <w:szCs w:val="20"/>
                    </w:rPr>
                    <w:t>Daň z nadzisku v</w:t>
                  </w:r>
                  <w:r w:rsidR="00C92A08" w:rsidRPr="00A23BA8">
                    <w:rPr>
                      <w:rFonts w:ascii="Times New Roman" w:hAnsi="Times New Roman"/>
                      <w:color w:val="000000"/>
                      <w:sz w:val="18"/>
                      <w:szCs w:val="20"/>
                    </w:rPr>
                    <w:t> </w:t>
                  </w:r>
                  <w:r w:rsidRPr="00A23BA8">
                    <w:rPr>
                      <w:rFonts w:ascii="Times New Roman" w:hAnsi="Times New Roman"/>
                      <w:color w:val="000000"/>
                      <w:sz w:val="18"/>
                      <w:szCs w:val="20"/>
                    </w:rPr>
                    <w:t>energetike</w:t>
                  </w:r>
                  <w:r w:rsidR="00C92A08" w:rsidRPr="00A23BA8">
                    <w:rPr>
                      <w:rFonts w:ascii="Times New Roman" w:hAnsi="Times New Roman"/>
                      <w:color w:val="000000"/>
                      <w:sz w:val="18"/>
                      <w:szCs w:val="20"/>
                    </w:rPr>
                    <w:t>**</w:t>
                  </w:r>
                </w:p>
              </w:tc>
              <w:tc>
                <w:tcPr>
                  <w:tcW w:w="808" w:type="dxa"/>
                  <w:tcBorders>
                    <w:top w:val="nil"/>
                    <w:left w:val="nil"/>
                    <w:bottom w:val="single" w:sz="6" w:space="0" w:color="auto"/>
                    <w:right w:val="nil"/>
                  </w:tcBorders>
                  <w:shd w:val="clear" w:color="auto" w:fill="auto"/>
                  <w:vAlign w:val="center"/>
                </w:tcPr>
                <w:p w14:paraId="00BEC16A" w14:textId="77777777" w:rsidR="00CD00B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color w:val="000000"/>
                      <w:sz w:val="18"/>
                      <w:szCs w:val="20"/>
                      <w:lang w:eastAsia="sk-SK"/>
                    </w:rPr>
                  </w:pPr>
                </w:p>
              </w:tc>
              <w:tc>
                <w:tcPr>
                  <w:tcW w:w="808" w:type="dxa"/>
                  <w:tcBorders>
                    <w:top w:val="nil"/>
                    <w:left w:val="nil"/>
                    <w:bottom w:val="single" w:sz="6" w:space="0" w:color="auto"/>
                    <w:right w:val="nil"/>
                  </w:tcBorders>
                  <w:shd w:val="clear" w:color="auto" w:fill="auto"/>
                  <w:vAlign w:val="center"/>
                </w:tcPr>
                <w:p w14:paraId="310EB562" w14:textId="7A541034" w:rsidR="00CD00B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color w:val="000000"/>
                      <w:sz w:val="18"/>
                      <w:szCs w:val="20"/>
                      <w:lang w:eastAsia="sk-SK"/>
                    </w:rPr>
                  </w:pPr>
                  <w:r w:rsidRPr="00A23BA8">
                    <w:rPr>
                      <w:rFonts w:ascii="Times New Roman" w:hAnsi="Times New Roman"/>
                      <w:sz w:val="18"/>
                      <w:szCs w:val="20"/>
                    </w:rPr>
                    <w:t>505</w:t>
                  </w:r>
                </w:p>
              </w:tc>
              <w:tc>
                <w:tcPr>
                  <w:tcW w:w="648" w:type="dxa"/>
                  <w:tcBorders>
                    <w:top w:val="nil"/>
                    <w:left w:val="nil"/>
                    <w:bottom w:val="single" w:sz="6" w:space="0" w:color="auto"/>
                    <w:right w:val="nil"/>
                  </w:tcBorders>
                  <w:shd w:val="clear" w:color="auto" w:fill="auto"/>
                  <w:vAlign w:val="center"/>
                </w:tcPr>
                <w:p w14:paraId="1C513B15" w14:textId="29A78AE3" w:rsidR="00CD00B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color w:val="000000"/>
                      <w:sz w:val="18"/>
                      <w:szCs w:val="20"/>
                      <w:lang w:eastAsia="sk-SK"/>
                    </w:rPr>
                  </w:pPr>
                </w:p>
              </w:tc>
              <w:tc>
                <w:tcPr>
                  <w:tcW w:w="807" w:type="dxa"/>
                  <w:tcBorders>
                    <w:top w:val="nil"/>
                    <w:left w:val="nil"/>
                    <w:bottom w:val="single" w:sz="6" w:space="0" w:color="auto"/>
                    <w:right w:val="nil"/>
                  </w:tcBorders>
                  <w:shd w:val="clear" w:color="auto" w:fill="auto"/>
                  <w:vAlign w:val="center"/>
                </w:tcPr>
                <w:p w14:paraId="735468BC" w14:textId="77777777" w:rsidR="00CD00B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color w:val="000000"/>
                      <w:sz w:val="18"/>
                      <w:szCs w:val="20"/>
                      <w:lang w:eastAsia="sk-SK"/>
                    </w:rPr>
                  </w:pPr>
                </w:p>
              </w:tc>
            </w:tr>
            <w:tr w:rsidR="00CD00B0" w:rsidRPr="00A23BA8" w14:paraId="0AB99CB8" w14:textId="77777777" w:rsidTr="008C391E">
              <w:trPr>
                <w:trHeight w:val="162"/>
              </w:trPr>
              <w:tc>
                <w:tcPr>
                  <w:tcW w:w="5857" w:type="dxa"/>
                  <w:tcBorders>
                    <w:top w:val="nil"/>
                    <w:left w:val="nil"/>
                    <w:bottom w:val="single" w:sz="6" w:space="0" w:color="auto"/>
                    <w:right w:val="nil"/>
                  </w:tcBorders>
                  <w:shd w:val="clear" w:color="auto" w:fill="auto"/>
                  <w:vAlign w:val="center"/>
                </w:tcPr>
                <w:p w14:paraId="54A17533" w14:textId="7E5B1876" w:rsidR="00CD00B0" w:rsidRPr="00A23BA8" w:rsidRDefault="00CD00B0" w:rsidP="00AE7082">
                  <w:pPr>
                    <w:framePr w:hSpace="141" w:wrap="around" w:vAnchor="text" w:hAnchor="margin" w:y="259"/>
                    <w:spacing w:after="0" w:line="240" w:lineRule="auto"/>
                    <w:suppressOverlap/>
                    <w:textAlignment w:val="baseline"/>
                    <w:rPr>
                      <w:rFonts w:ascii="Times New Roman" w:hAnsi="Times New Roman"/>
                      <w:b/>
                      <w:color w:val="000000"/>
                      <w:sz w:val="18"/>
                      <w:szCs w:val="20"/>
                    </w:rPr>
                  </w:pPr>
                  <w:r w:rsidRPr="00A23BA8">
                    <w:rPr>
                      <w:rFonts w:ascii="Times New Roman" w:hAnsi="Times New Roman"/>
                      <w:b/>
                      <w:color w:val="000000"/>
                      <w:sz w:val="18"/>
                      <w:szCs w:val="20"/>
                    </w:rPr>
                    <w:t>SPOLU</w:t>
                  </w:r>
                </w:p>
              </w:tc>
              <w:tc>
                <w:tcPr>
                  <w:tcW w:w="808" w:type="dxa"/>
                  <w:tcBorders>
                    <w:top w:val="nil"/>
                    <w:left w:val="nil"/>
                    <w:bottom w:val="single" w:sz="6" w:space="0" w:color="auto"/>
                    <w:right w:val="nil"/>
                  </w:tcBorders>
                  <w:shd w:val="clear" w:color="auto" w:fill="auto"/>
                  <w:vAlign w:val="center"/>
                </w:tcPr>
                <w:p w14:paraId="5119FD6B" w14:textId="05FE9387" w:rsidR="00CD00B0" w:rsidRPr="00A23BA8" w:rsidRDefault="00CD00B0" w:rsidP="00AE7082">
                  <w:pPr>
                    <w:framePr w:hSpace="141" w:wrap="around" w:vAnchor="text" w:hAnchor="margin" w:y="259"/>
                    <w:spacing w:after="0" w:line="240" w:lineRule="auto"/>
                    <w:suppressOverlap/>
                    <w:jc w:val="center"/>
                    <w:textAlignment w:val="baseline"/>
                    <w:rPr>
                      <w:rFonts w:ascii="Times New Roman" w:hAnsi="Times New Roman"/>
                      <w:b/>
                      <w:color w:val="000000"/>
                      <w:sz w:val="18"/>
                      <w:szCs w:val="20"/>
                      <w:lang w:eastAsia="sk-SK"/>
                    </w:rPr>
                  </w:pPr>
                  <w:r w:rsidRPr="00A23BA8">
                    <w:rPr>
                      <w:rFonts w:ascii="Times New Roman" w:hAnsi="Times New Roman"/>
                      <w:b/>
                      <w:sz w:val="18"/>
                      <w:szCs w:val="20"/>
                    </w:rPr>
                    <w:t>524</w:t>
                  </w:r>
                </w:p>
              </w:tc>
              <w:tc>
                <w:tcPr>
                  <w:tcW w:w="808" w:type="dxa"/>
                  <w:tcBorders>
                    <w:top w:val="nil"/>
                    <w:left w:val="nil"/>
                    <w:bottom w:val="single" w:sz="6" w:space="0" w:color="auto"/>
                    <w:right w:val="nil"/>
                  </w:tcBorders>
                  <w:shd w:val="clear" w:color="auto" w:fill="auto"/>
                  <w:vAlign w:val="center"/>
                </w:tcPr>
                <w:p w14:paraId="6D1BCE2E" w14:textId="1636EB15" w:rsidR="00CD00B0" w:rsidRPr="00A23BA8" w:rsidRDefault="00262B60" w:rsidP="00AE7082">
                  <w:pPr>
                    <w:framePr w:hSpace="141" w:wrap="around" w:vAnchor="text" w:hAnchor="margin" w:y="259"/>
                    <w:spacing w:after="0" w:line="240" w:lineRule="auto"/>
                    <w:suppressOverlap/>
                    <w:jc w:val="center"/>
                    <w:textAlignment w:val="baseline"/>
                    <w:rPr>
                      <w:rFonts w:ascii="Times New Roman" w:hAnsi="Times New Roman"/>
                      <w:b/>
                      <w:color w:val="000000"/>
                      <w:sz w:val="18"/>
                      <w:szCs w:val="20"/>
                      <w:lang w:eastAsia="sk-SK"/>
                    </w:rPr>
                  </w:pPr>
                  <w:r w:rsidRPr="00A23BA8">
                    <w:rPr>
                      <w:rFonts w:ascii="Times New Roman" w:hAnsi="Times New Roman"/>
                      <w:b/>
                      <w:sz w:val="18"/>
                      <w:szCs w:val="20"/>
                    </w:rPr>
                    <w:t>744</w:t>
                  </w:r>
                </w:p>
              </w:tc>
              <w:tc>
                <w:tcPr>
                  <w:tcW w:w="648" w:type="dxa"/>
                  <w:tcBorders>
                    <w:top w:val="nil"/>
                    <w:left w:val="nil"/>
                    <w:bottom w:val="single" w:sz="6" w:space="0" w:color="auto"/>
                    <w:right w:val="nil"/>
                  </w:tcBorders>
                  <w:shd w:val="clear" w:color="auto" w:fill="auto"/>
                  <w:vAlign w:val="center"/>
                </w:tcPr>
                <w:p w14:paraId="5EC1B285" w14:textId="7C8FC7EB" w:rsidR="00CD00B0" w:rsidRPr="00A23BA8" w:rsidRDefault="00262B60" w:rsidP="00AE7082">
                  <w:pPr>
                    <w:framePr w:hSpace="141" w:wrap="around" w:vAnchor="text" w:hAnchor="margin" w:y="259"/>
                    <w:spacing w:after="0" w:line="240" w:lineRule="auto"/>
                    <w:suppressOverlap/>
                    <w:jc w:val="center"/>
                    <w:textAlignment w:val="baseline"/>
                    <w:rPr>
                      <w:rFonts w:ascii="Times New Roman" w:hAnsi="Times New Roman"/>
                      <w:b/>
                      <w:color w:val="000000"/>
                      <w:sz w:val="18"/>
                      <w:szCs w:val="20"/>
                      <w:lang w:eastAsia="sk-SK"/>
                    </w:rPr>
                  </w:pPr>
                  <w:r w:rsidRPr="00A23BA8">
                    <w:rPr>
                      <w:rFonts w:ascii="Times New Roman" w:hAnsi="Times New Roman"/>
                      <w:b/>
                      <w:sz w:val="18"/>
                      <w:szCs w:val="20"/>
                    </w:rPr>
                    <w:t>192</w:t>
                  </w:r>
                </w:p>
              </w:tc>
              <w:tc>
                <w:tcPr>
                  <w:tcW w:w="807" w:type="dxa"/>
                  <w:tcBorders>
                    <w:top w:val="nil"/>
                    <w:left w:val="nil"/>
                    <w:bottom w:val="single" w:sz="6" w:space="0" w:color="auto"/>
                    <w:right w:val="nil"/>
                  </w:tcBorders>
                  <w:shd w:val="clear" w:color="auto" w:fill="auto"/>
                  <w:vAlign w:val="center"/>
                </w:tcPr>
                <w:p w14:paraId="47EA833D" w14:textId="540A6CE7" w:rsidR="00CD00B0" w:rsidRPr="00A23BA8" w:rsidRDefault="00262B60" w:rsidP="00AE7082">
                  <w:pPr>
                    <w:framePr w:hSpace="141" w:wrap="around" w:vAnchor="text" w:hAnchor="margin" w:y="259"/>
                    <w:spacing w:after="0" w:line="240" w:lineRule="auto"/>
                    <w:suppressOverlap/>
                    <w:jc w:val="center"/>
                    <w:textAlignment w:val="baseline"/>
                    <w:rPr>
                      <w:rFonts w:ascii="Times New Roman" w:hAnsi="Times New Roman"/>
                      <w:b/>
                      <w:color w:val="000000"/>
                      <w:sz w:val="18"/>
                      <w:szCs w:val="20"/>
                      <w:lang w:eastAsia="sk-SK"/>
                    </w:rPr>
                  </w:pPr>
                  <w:r w:rsidRPr="00A23BA8">
                    <w:rPr>
                      <w:rFonts w:ascii="Times New Roman" w:hAnsi="Times New Roman"/>
                      <w:b/>
                      <w:sz w:val="18"/>
                      <w:szCs w:val="20"/>
                    </w:rPr>
                    <w:t>162</w:t>
                  </w:r>
                </w:p>
              </w:tc>
            </w:tr>
            <w:tr w:rsidR="00D35946" w:rsidRPr="00A23BA8" w14:paraId="64DA357B" w14:textId="77777777" w:rsidTr="008C391E">
              <w:trPr>
                <w:trHeight w:val="162"/>
              </w:trPr>
              <w:tc>
                <w:tcPr>
                  <w:tcW w:w="8122" w:type="dxa"/>
                  <w:gridSpan w:val="4"/>
                  <w:tcBorders>
                    <w:top w:val="single" w:sz="6" w:space="0" w:color="auto"/>
                    <w:left w:val="nil"/>
                    <w:bottom w:val="nil"/>
                    <w:right w:val="nil"/>
                  </w:tcBorders>
                  <w:shd w:val="clear" w:color="auto" w:fill="auto"/>
                  <w:vAlign w:val="center"/>
                </w:tcPr>
                <w:p w14:paraId="2C67348F" w14:textId="326312F7" w:rsidR="00D35946" w:rsidRPr="00A23BA8" w:rsidRDefault="00D35946" w:rsidP="00AE7082">
                  <w:pPr>
                    <w:framePr w:hSpace="141" w:wrap="around" w:vAnchor="text" w:hAnchor="margin" w:y="259"/>
                    <w:spacing w:after="0" w:line="240" w:lineRule="auto"/>
                    <w:suppressOverlap/>
                    <w:textAlignment w:val="baseline"/>
                    <w:rPr>
                      <w:rFonts w:ascii="Times New Roman" w:hAnsi="Times New Roman"/>
                      <w:sz w:val="14"/>
                      <w:szCs w:val="20"/>
                    </w:rPr>
                  </w:pPr>
                  <w:r w:rsidRPr="00A23BA8">
                    <w:rPr>
                      <w:rFonts w:ascii="Times New Roman" w:hAnsi="Times New Roman"/>
                      <w:i/>
                      <w:iCs/>
                      <w:color w:val="000000"/>
                      <w:sz w:val="14"/>
                      <w:szCs w:val="20"/>
                      <w:lang w:eastAsia="sk-SK"/>
                    </w:rPr>
                    <w:t xml:space="preserve">Pozn.: </w:t>
                  </w:r>
                  <w:r w:rsidR="00C92A08" w:rsidRPr="00A23BA8">
                    <w:rPr>
                      <w:rFonts w:ascii="Times New Roman" w:hAnsi="Times New Roman"/>
                      <w:i/>
                      <w:iCs/>
                      <w:color w:val="000000"/>
                      <w:sz w:val="14"/>
                      <w:szCs w:val="20"/>
                      <w:lang w:eastAsia="sk-SK"/>
                    </w:rPr>
                    <w:t xml:space="preserve">* </w:t>
                  </w:r>
                  <w:r w:rsidRPr="00A23BA8">
                    <w:rPr>
                      <w:rFonts w:ascii="Times New Roman" w:hAnsi="Times New Roman"/>
                      <w:i/>
                      <w:iCs/>
                      <w:color w:val="000000"/>
                      <w:sz w:val="14"/>
                      <w:szCs w:val="20"/>
                      <w:lang w:eastAsia="sk-SK"/>
                    </w:rPr>
                    <w:t>Výnos zo solidárneho príspevku v roku 2023 nie je kvantifikovaný, jeho výška bude závisieť od výs</w:t>
                  </w:r>
                  <w:r w:rsidR="00C92A08" w:rsidRPr="00A23BA8">
                    <w:rPr>
                      <w:rFonts w:ascii="Times New Roman" w:hAnsi="Times New Roman"/>
                      <w:i/>
                      <w:iCs/>
                      <w:color w:val="000000"/>
                      <w:sz w:val="14"/>
                      <w:szCs w:val="20"/>
                      <w:lang w:eastAsia="sk-SK"/>
                    </w:rPr>
                    <w:t>ledku hospodárenia v danom roku. ** Daň z nadzisku j</w:t>
                  </w:r>
                  <w:r w:rsidR="00DC5962">
                    <w:rPr>
                      <w:rFonts w:ascii="Times New Roman" w:hAnsi="Times New Roman"/>
                      <w:i/>
                      <w:iCs/>
                      <w:color w:val="000000"/>
                      <w:sz w:val="14"/>
                      <w:szCs w:val="20"/>
                      <w:lang w:eastAsia="sk-SK"/>
                    </w:rPr>
                    <w:t xml:space="preserve">e naviazaná na legislatívu EÚ, </w:t>
                  </w:r>
                  <w:r w:rsidR="00C92A08" w:rsidRPr="00A23BA8">
                    <w:rPr>
                      <w:rFonts w:ascii="Times New Roman" w:hAnsi="Times New Roman"/>
                      <w:i/>
                      <w:iCs/>
                      <w:color w:val="000000"/>
                      <w:sz w:val="14"/>
                      <w:szCs w:val="20"/>
                      <w:lang w:eastAsia="sk-SK"/>
                    </w:rPr>
                    <w:t>ide o predbežnú kvantifikáciu</w:t>
                  </w:r>
                  <w:r w:rsidR="00D22037">
                    <w:rPr>
                      <w:rFonts w:ascii="Times New Roman" w:hAnsi="Times New Roman"/>
                      <w:i/>
                      <w:iCs/>
                      <w:color w:val="000000"/>
                      <w:sz w:val="14"/>
                      <w:szCs w:val="20"/>
                      <w:lang w:eastAsia="sk-SK"/>
                    </w:rPr>
                    <w:t xml:space="preserve"> k 14. decembru 2022</w:t>
                  </w:r>
                  <w:r w:rsidR="00C92A08" w:rsidRPr="00A23BA8">
                    <w:rPr>
                      <w:rFonts w:ascii="Times New Roman" w:hAnsi="Times New Roman"/>
                      <w:i/>
                      <w:iCs/>
                      <w:color w:val="000000"/>
                      <w:sz w:val="14"/>
                      <w:szCs w:val="20"/>
                      <w:lang w:eastAsia="sk-SK"/>
                    </w:rPr>
                    <w:t xml:space="preserve">. </w:t>
                  </w:r>
                </w:p>
              </w:tc>
              <w:tc>
                <w:tcPr>
                  <w:tcW w:w="807" w:type="dxa"/>
                  <w:tcBorders>
                    <w:top w:val="single" w:sz="6" w:space="0" w:color="auto"/>
                    <w:left w:val="nil"/>
                    <w:bottom w:val="nil"/>
                    <w:right w:val="nil"/>
                  </w:tcBorders>
                  <w:shd w:val="clear" w:color="auto" w:fill="auto"/>
                </w:tcPr>
                <w:p w14:paraId="0E581996" w14:textId="3F26350B" w:rsidR="00D35946" w:rsidRPr="00A23BA8" w:rsidRDefault="00D35946" w:rsidP="00AE7082">
                  <w:pPr>
                    <w:framePr w:hSpace="141" w:wrap="around" w:vAnchor="text" w:hAnchor="margin" w:y="259"/>
                    <w:spacing w:after="0" w:line="240" w:lineRule="auto"/>
                    <w:suppressOverlap/>
                    <w:jc w:val="right"/>
                    <w:textAlignment w:val="baseline"/>
                    <w:rPr>
                      <w:rFonts w:ascii="Times New Roman" w:hAnsi="Times New Roman"/>
                      <w:i/>
                      <w:sz w:val="14"/>
                      <w:szCs w:val="20"/>
                    </w:rPr>
                  </w:pPr>
                  <w:r w:rsidRPr="00A23BA8">
                    <w:rPr>
                      <w:rFonts w:ascii="Times New Roman" w:hAnsi="Times New Roman"/>
                      <w:i/>
                      <w:sz w:val="14"/>
                      <w:szCs w:val="20"/>
                    </w:rPr>
                    <w:t>Zdroj: MF SR</w:t>
                  </w:r>
                </w:p>
              </w:tc>
            </w:tr>
            <w:tr w:rsidR="00D35946" w:rsidRPr="00A23BA8" w14:paraId="4D206265" w14:textId="77777777" w:rsidTr="008C391E">
              <w:trPr>
                <w:gridAfter w:val="1"/>
                <w:wAfter w:w="807" w:type="dxa"/>
                <w:trHeight w:val="83"/>
              </w:trPr>
              <w:tc>
                <w:tcPr>
                  <w:tcW w:w="8122" w:type="dxa"/>
                  <w:gridSpan w:val="4"/>
                  <w:tcBorders>
                    <w:top w:val="nil"/>
                    <w:left w:val="nil"/>
                    <w:bottom w:val="nil"/>
                    <w:right w:val="nil"/>
                  </w:tcBorders>
                  <w:shd w:val="clear" w:color="auto" w:fill="auto"/>
                  <w:vAlign w:val="center"/>
                </w:tcPr>
                <w:p w14:paraId="770670C0" w14:textId="52B8111F" w:rsidR="00D35946" w:rsidRPr="00A23BA8" w:rsidRDefault="00D35946" w:rsidP="00AE7082">
                  <w:pPr>
                    <w:framePr w:hSpace="141" w:wrap="around" w:vAnchor="text" w:hAnchor="margin" w:y="259"/>
                    <w:spacing w:after="0" w:line="240" w:lineRule="auto"/>
                    <w:suppressOverlap/>
                    <w:textAlignment w:val="baseline"/>
                    <w:rPr>
                      <w:rFonts w:ascii="Times New Roman" w:hAnsi="Times New Roman"/>
                      <w:i/>
                      <w:sz w:val="18"/>
                      <w:szCs w:val="20"/>
                      <w:lang w:eastAsia="sk-SK"/>
                    </w:rPr>
                  </w:pPr>
                </w:p>
              </w:tc>
            </w:tr>
          </w:tbl>
          <w:p w14:paraId="7B56C5B8" w14:textId="12C9A136" w:rsidR="00886C4A" w:rsidRPr="00A23BA8" w:rsidRDefault="00886C4A" w:rsidP="0066711C">
            <w:pPr>
              <w:jc w:val="both"/>
              <w:rPr>
                <w:rFonts w:ascii="Times New Roman" w:hAnsi="Times New Roman"/>
                <w:i/>
                <w:sz w:val="14"/>
                <w:szCs w:val="14"/>
              </w:rPr>
            </w:pPr>
          </w:p>
        </w:tc>
      </w:tr>
    </w:tbl>
    <w:p w14:paraId="1FC616C5" w14:textId="77777777" w:rsidR="0066711C" w:rsidRDefault="0066711C" w:rsidP="00B349C3">
      <w:pPr>
        <w:spacing w:before="120"/>
        <w:jc w:val="both"/>
        <w:rPr>
          <w:sz w:val="20"/>
          <w:szCs w:val="20"/>
        </w:rPr>
      </w:pPr>
    </w:p>
    <w:sectPr w:rsidR="0066711C" w:rsidSect="00F700B8">
      <w:headerReference w:type="default" r:id="rId13"/>
      <w:footerReference w:type="defaul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2E64F" w14:textId="77777777" w:rsidR="00106529" w:rsidRDefault="00106529" w:rsidP="00936D2E">
      <w:pPr>
        <w:spacing w:after="0" w:line="240" w:lineRule="auto"/>
      </w:pPr>
      <w:r>
        <w:separator/>
      </w:r>
    </w:p>
  </w:endnote>
  <w:endnote w:type="continuationSeparator" w:id="0">
    <w:p w14:paraId="5340186D" w14:textId="77777777" w:rsidR="00106529" w:rsidRDefault="00106529" w:rsidP="00936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91CD5" w14:textId="7D6A5ED0" w:rsidR="00085B85" w:rsidRDefault="00085B85">
    <w:pPr>
      <w:pStyle w:val="Pta"/>
      <w:jc w:val="center"/>
    </w:pPr>
    <w:r>
      <w:fldChar w:fldCharType="begin"/>
    </w:r>
    <w:r>
      <w:instrText>PAGE   \* MERGEFORMAT</w:instrText>
    </w:r>
    <w:r>
      <w:fldChar w:fldCharType="separate"/>
    </w:r>
    <w:r w:rsidR="00AE7082">
      <w:rPr>
        <w:noProof/>
      </w:rPr>
      <w:t>4</w:t>
    </w:r>
    <w:r>
      <w:fldChar w:fldCharType="end"/>
    </w:r>
  </w:p>
  <w:p w14:paraId="4E23F856" w14:textId="77777777" w:rsidR="00085B85" w:rsidRDefault="00085B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89767" w14:textId="77777777" w:rsidR="00106529" w:rsidRDefault="00106529" w:rsidP="00936D2E">
      <w:pPr>
        <w:spacing w:after="0" w:line="240" w:lineRule="auto"/>
      </w:pPr>
      <w:r>
        <w:separator/>
      </w:r>
    </w:p>
  </w:footnote>
  <w:footnote w:type="continuationSeparator" w:id="0">
    <w:p w14:paraId="0777AD8C" w14:textId="77777777" w:rsidR="00106529" w:rsidRDefault="00106529" w:rsidP="00936D2E">
      <w:pPr>
        <w:spacing w:after="0" w:line="240" w:lineRule="auto"/>
      </w:pPr>
      <w:r>
        <w:continuationSeparator/>
      </w:r>
    </w:p>
  </w:footnote>
  <w:footnote w:id="1">
    <w:p w14:paraId="6593CA0D" w14:textId="77777777" w:rsidR="00085B85" w:rsidRPr="008C391E" w:rsidRDefault="00085B85" w:rsidP="00FA2A76">
      <w:pPr>
        <w:pStyle w:val="Textpoznmkypodiarou"/>
        <w:jc w:val="both"/>
        <w:rPr>
          <w:rFonts w:ascii="Times New Roman" w:hAnsi="Times New Roman"/>
          <w:sz w:val="16"/>
          <w:szCs w:val="16"/>
        </w:rPr>
      </w:pPr>
      <w:r w:rsidRPr="008C391E">
        <w:rPr>
          <w:rStyle w:val="Odkaznapoznmkupodiarou"/>
          <w:rFonts w:ascii="Times New Roman" w:hAnsi="Times New Roman"/>
          <w:sz w:val="16"/>
          <w:szCs w:val="16"/>
        </w:rPr>
        <w:footnoteRef/>
      </w:r>
      <w:r w:rsidRPr="008C391E">
        <w:rPr>
          <w:rFonts w:ascii="Times New Roman" w:hAnsi="Times New Roman"/>
          <w:sz w:val="16"/>
          <w:szCs w:val="16"/>
        </w:rPr>
        <w:t xml:space="preserve"> Oproti jarnej notifikácii (63,1 % HDP) sa hrubý dlh revidoval nadol o 0,9 p. b. takmer výlučne z dôvodu revízie nominálneho HDP v roku 2021.</w:t>
      </w:r>
    </w:p>
  </w:footnote>
  <w:footnote w:id="2">
    <w:p w14:paraId="1F617444" w14:textId="0624D338" w:rsidR="00085B85" w:rsidRPr="008C391E" w:rsidRDefault="00085B85" w:rsidP="00FA2A76">
      <w:pPr>
        <w:pStyle w:val="Textpoznmkypodiarou"/>
        <w:jc w:val="both"/>
        <w:rPr>
          <w:rFonts w:ascii="Times New Roman" w:hAnsi="Times New Roman"/>
          <w:sz w:val="16"/>
          <w:szCs w:val="16"/>
        </w:rPr>
      </w:pPr>
      <w:r w:rsidRPr="008C391E">
        <w:rPr>
          <w:rStyle w:val="Odkaznapoznmkupodiarou"/>
          <w:rFonts w:ascii="Times New Roman" w:hAnsi="Times New Roman"/>
          <w:sz w:val="16"/>
          <w:szCs w:val="16"/>
        </w:rPr>
        <w:footnoteRef/>
      </w:r>
      <w:r w:rsidRPr="008C391E">
        <w:rPr>
          <w:rFonts w:ascii="Times New Roman" w:hAnsi="Times New Roman"/>
          <w:sz w:val="16"/>
          <w:szCs w:val="16"/>
        </w:rPr>
        <w:t xml:space="preserve"> Pre rok 2021 je horné pásmo dlhovej brzdy z ústavného zákona definované na 56 % HDP a viac.</w:t>
      </w:r>
    </w:p>
  </w:footnote>
  <w:footnote w:id="3">
    <w:p w14:paraId="2A09C83D" w14:textId="77777777" w:rsidR="00085B85" w:rsidRPr="008C391E" w:rsidRDefault="00085B85" w:rsidP="00A06EDA">
      <w:pPr>
        <w:pStyle w:val="Textpoznmkypodiarou"/>
        <w:jc w:val="both"/>
        <w:rPr>
          <w:rFonts w:ascii="Times New Roman" w:hAnsi="Times New Roman"/>
          <w:sz w:val="16"/>
          <w:szCs w:val="16"/>
        </w:rPr>
      </w:pPr>
      <w:r w:rsidRPr="008C391E">
        <w:rPr>
          <w:rStyle w:val="Odkaznapoznmkupodiarou"/>
          <w:rFonts w:ascii="Times New Roman" w:hAnsi="Times New Roman"/>
          <w:sz w:val="16"/>
          <w:szCs w:val="16"/>
        </w:rPr>
        <w:footnoteRef/>
      </w:r>
      <w:r w:rsidRPr="008C391E">
        <w:rPr>
          <w:rFonts w:ascii="Times New Roman" w:hAnsi="Times New Roman"/>
          <w:sz w:val="16"/>
          <w:szCs w:val="16"/>
        </w:rPr>
        <w:t xml:space="preserve"> Ústavný zákon 493/2011 podľa čl. 13 a čl. 12 ods. 4 v tomto prípade požaduje uplatniť sankcie z prvého a druhého pásma dlhovej brzdy.</w:t>
      </w:r>
    </w:p>
  </w:footnote>
  <w:footnote w:id="4">
    <w:p w14:paraId="404D9344" w14:textId="77777777" w:rsidR="00085B85" w:rsidRPr="008C391E" w:rsidRDefault="00085B85" w:rsidP="00571217">
      <w:pPr>
        <w:pStyle w:val="Textpoznmkypodiarou"/>
        <w:jc w:val="both"/>
        <w:rPr>
          <w:rFonts w:ascii="Times New Roman" w:hAnsi="Times New Roman"/>
          <w:sz w:val="16"/>
          <w:szCs w:val="16"/>
        </w:rPr>
      </w:pPr>
      <w:r w:rsidRPr="008C391E">
        <w:rPr>
          <w:rStyle w:val="Odkaznapoznmkupodiarou"/>
          <w:rFonts w:ascii="Times New Roman" w:hAnsi="Times New Roman"/>
          <w:sz w:val="16"/>
          <w:szCs w:val="16"/>
        </w:rPr>
        <w:footnoteRef/>
      </w:r>
      <w:r w:rsidRPr="008C391E">
        <w:rPr>
          <w:rFonts w:ascii="Times New Roman" w:hAnsi="Times New Roman"/>
          <w:sz w:val="16"/>
          <w:szCs w:val="16"/>
        </w:rPr>
        <w:t xml:space="preserve"> Podmienky úročenia vkladov v eurozóne v rokoch 2020 a 2021 motivovali subjekty hľadať alternatívy úložiek ku komerčným produktom. Keďže zákon umožňuje vybraným subjektom mimo sektora verejnej správy s majetkovou účasťou štátu ukladať finančné prostriedky na účtoch pokladnice za účelom získavania dodatočnej likvidity pre štát, nenulové úrokové sadzby na tieto vklady spôsobili rast úložiek na účtoch pokladnice.</w:t>
      </w:r>
    </w:p>
  </w:footnote>
  <w:footnote w:id="5">
    <w:p w14:paraId="33C45016" w14:textId="77777777" w:rsidR="00085B85" w:rsidRPr="008C391E" w:rsidRDefault="00085B85" w:rsidP="00571217">
      <w:pPr>
        <w:pStyle w:val="Textpoznmkypodiarou"/>
        <w:jc w:val="both"/>
        <w:rPr>
          <w:rFonts w:ascii="Times New Roman" w:hAnsi="Times New Roman"/>
        </w:rPr>
      </w:pPr>
      <w:r w:rsidRPr="008C391E">
        <w:rPr>
          <w:rStyle w:val="Odkaznapoznmkupodiarou"/>
          <w:rFonts w:ascii="Times New Roman" w:hAnsi="Times New Roman"/>
          <w:sz w:val="16"/>
          <w:szCs w:val="16"/>
        </w:rPr>
        <w:footnoteRef/>
      </w:r>
      <w:r w:rsidRPr="008C391E">
        <w:rPr>
          <w:rStyle w:val="Odkaznapoznmkupodiarou"/>
          <w:rFonts w:ascii="Times New Roman" w:hAnsi="Times New Roman"/>
          <w:sz w:val="16"/>
          <w:szCs w:val="16"/>
        </w:rPr>
        <w:t xml:space="preserve"> </w:t>
      </w:r>
      <w:r w:rsidRPr="008C391E">
        <w:rPr>
          <w:rFonts w:ascii="Times New Roman" w:hAnsi="Times New Roman"/>
          <w:sz w:val="16"/>
          <w:szCs w:val="16"/>
        </w:rPr>
        <w:t>Vzhľadom na povahu zdrojov sa z metodického hľadiska tieto vklady považujú za záväzky štátu voči subjektom mimo sektora verejnej správy a sú súčasťou hrubého dlhu.</w:t>
      </w:r>
    </w:p>
  </w:footnote>
  <w:footnote w:id="6">
    <w:p w14:paraId="42AD0FF2" w14:textId="6333DDBA" w:rsidR="00085B85" w:rsidRPr="008C391E" w:rsidRDefault="00085B85" w:rsidP="00CC4840">
      <w:pPr>
        <w:pStyle w:val="Textpoznmkypodiarou"/>
        <w:jc w:val="both"/>
        <w:rPr>
          <w:rFonts w:ascii="Times New Roman" w:hAnsi="Times New Roman"/>
        </w:rPr>
      </w:pPr>
      <w:r w:rsidRPr="008C391E">
        <w:rPr>
          <w:rStyle w:val="Odkaznapoznmkupodiarou"/>
          <w:rFonts w:ascii="Times New Roman" w:hAnsi="Times New Roman"/>
          <w:sz w:val="16"/>
          <w:szCs w:val="16"/>
        </w:rPr>
        <w:footnoteRef/>
      </w:r>
      <w:r w:rsidRPr="008C391E">
        <w:rPr>
          <w:rStyle w:val="Odkaznapoznmkupodiarou"/>
          <w:rFonts w:ascii="Times New Roman" w:hAnsi="Times New Roman"/>
          <w:sz w:val="16"/>
          <w:szCs w:val="16"/>
        </w:rPr>
        <w:t xml:space="preserve"> </w:t>
      </w:r>
      <w:r w:rsidRPr="008C391E">
        <w:rPr>
          <w:rFonts w:ascii="Times New Roman" w:hAnsi="Times New Roman"/>
          <w:sz w:val="16"/>
          <w:szCs w:val="16"/>
        </w:rPr>
        <w:t>Prémia pri emisii štátnych dlhopisov predstavuje pozitívny rozdiel medzi získanými prostriedkami z predaja dlhopisov a ich nominálnou hodnotou.</w:t>
      </w:r>
    </w:p>
  </w:footnote>
  <w:footnote w:id="7">
    <w:p w14:paraId="01C5FE81" w14:textId="739C6E4C" w:rsidR="00085B85" w:rsidRPr="008C391E" w:rsidRDefault="00085B85">
      <w:pPr>
        <w:pStyle w:val="Textpoznmkypodiarou"/>
        <w:rPr>
          <w:rFonts w:ascii="Times New Roman" w:hAnsi="Times New Roman"/>
        </w:rPr>
      </w:pPr>
      <w:r w:rsidRPr="008C391E">
        <w:rPr>
          <w:rStyle w:val="Odkaznapoznmkupodiarou"/>
          <w:rFonts w:ascii="Times New Roman" w:hAnsi="Times New Roman"/>
          <w:sz w:val="16"/>
        </w:rPr>
        <w:footnoteRef/>
      </w:r>
      <w:r w:rsidRPr="008C391E">
        <w:rPr>
          <w:rFonts w:ascii="Times New Roman" w:hAnsi="Times New Roman"/>
          <w:sz w:val="16"/>
        </w:rPr>
        <w:t xml:space="preserve"> Na základe údajov z </w:t>
      </w:r>
      <w:hyperlink r:id="rId1" w:history="1">
        <w:r w:rsidRPr="008C391E">
          <w:rPr>
            <w:rStyle w:val="Hypertextovprepojenie"/>
            <w:rFonts w:ascii="Times New Roman" w:hAnsi="Times New Roman"/>
            <w:sz w:val="16"/>
            <w:u w:val="none"/>
          </w:rPr>
          <w:t>Vyhodnotenia daňovej prognózy pre rok 2021</w:t>
        </w:r>
      </w:hyperlink>
      <w:r w:rsidRPr="008C391E">
        <w:rPr>
          <w:rFonts w:ascii="Times New Roman" w:hAnsi="Times New Roman"/>
          <w:sz w:val="16"/>
        </w:rPr>
        <w:t>.</w:t>
      </w:r>
    </w:p>
  </w:footnote>
  <w:footnote w:id="8">
    <w:p w14:paraId="21F655D0" w14:textId="77777777" w:rsidR="00085B85" w:rsidRDefault="00085B85" w:rsidP="00FC28D5">
      <w:pPr>
        <w:pStyle w:val="Textpoznmkypodiarou"/>
        <w:jc w:val="both"/>
      </w:pPr>
      <w:r w:rsidRPr="008C391E">
        <w:rPr>
          <w:rStyle w:val="Odkaznapoznmkupodiarou"/>
          <w:rFonts w:ascii="Times New Roman" w:hAnsi="Times New Roman"/>
          <w:sz w:val="16"/>
          <w:szCs w:val="16"/>
        </w:rPr>
        <w:footnoteRef/>
      </w:r>
      <w:r w:rsidRPr="008C391E">
        <w:rPr>
          <w:rStyle w:val="Odkaznapoznmkupodiarou"/>
          <w:rFonts w:ascii="Times New Roman" w:hAnsi="Times New Roman"/>
          <w:sz w:val="16"/>
          <w:szCs w:val="16"/>
        </w:rPr>
        <w:t xml:space="preserve"> </w:t>
      </w:r>
      <w:r w:rsidRPr="008C391E">
        <w:rPr>
          <w:rFonts w:ascii="Times New Roman" w:hAnsi="Times New Roman"/>
          <w:sz w:val="16"/>
          <w:szCs w:val="16"/>
        </w:rPr>
        <w:t>Z celkových výdavkov štátneho rozpočtu sú v tomto prípade podľa zákona vyňaté výdavky na správu štátneho dlhu, prostriedky EÚ, spolufinancovanie, odvod do EÚ, a prípadné výdavky na likvidáciu škôd spôsobenú živelnými pohromami.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C89BA" w14:textId="77777777" w:rsidR="00085B85" w:rsidRPr="009C03E3" w:rsidRDefault="00085B85" w:rsidP="0052227D">
    <w:pPr>
      <w:pStyle w:val="Hlavika"/>
      <w:tabs>
        <w:tab w:val="left" w:pos="567"/>
        <w:tab w:val="left" w:pos="6660"/>
      </w:tabs>
      <w:rPr>
        <w:rFonts w:cs="Arial Narrow"/>
        <w:b/>
        <w:bCs/>
      </w:rPr>
    </w:pPr>
    <w:r w:rsidRPr="009C03E3">
      <w:rPr>
        <w:rFonts w:cs="Arial Narrow"/>
        <w:b/>
        <w:bCs/>
      </w:rPr>
      <w:t xml:space="preserve">      </w:t>
    </w:r>
    <w:r>
      <w:rPr>
        <w:noProof/>
        <w:lang w:eastAsia="sk-SK"/>
      </w:rPr>
      <w:drawing>
        <wp:anchor distT="0" distB="0" distL="114300" distR="114300" simplePos="0" relativeHeight="251659264" behindDoc="0" locked="1" layoutInCell="1" allowOverlap="0" wp14:anchorId="1BCE74F6" wp14:editId="5A69B178">
          <wp:simplePos x="0" y="0"/>
          <wp:positionH relativeFrom="column">
            <wp:posOffset>-7620</wp:posOffset>
          </wp:positionH>
          <wp:positionV relativeFrom="paragraph">
            <wp:posOffset>-9525</wp:posOffset>
          </wp:positionV>
          <wp:extent cx="318770" cy="375285"/>
          <wp:effectExtent l="0" t="0" r="0" b="0"/>
          <wp:wrapNone/>
          <wp:docPr id="1"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77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3E3">
      <w:rPr>
        <w:rFonts w:cs="Arial Narrow"/>
        <w:b/>
        <w:bCs/>
      </w:rPr>
      <w:t xml:space="preserve">      </w:t>
    </w:r>
    <w:r w:rsidRPr="009C03E3">
      <w:rPr>
        <w:rFonts w:cs="Arial Narrow"/>
        <w:b/>
        <w:bCs/>
        <w:spacing w:val="6"/>
      </w:rPr>
      <w:t>MINISTERSTVO FINANCIÍ</w:t>
    </w:r>
    <w:r w:rsidRPr="009C03E3">
      <w:rPr>
        <w:rFonts w:cs="Arial Narrow"/>
        <w:b/>
        <w:bCs/>
      </w:rPr>
      <w:t xml:space="preserve">                                          </w:t>
    </w:r>
    <w:r>
      <w:rPr>
        <w:rFonts w:cs="Arial Narrow"/>
        <w:b/>
        <w:bCs/>
      </w:rPr>
      <w:tab/>
    </w:r>
    <w:r w:rsidRPr="009C03E3">
      <w:rPr>
        <w:rFonts w:cs="Arial Narrow"/>
        <w:b/>
        <w:bCs/>
      </w:rPr>
      <w:t xml:space="preserve"> </w:t>
    </w:r>
  </w:p>
  <w:p w14:paraId="50AC7305" w14:textId="77777777" w:rsidR="00085B85" w:rsidRPr="009C03E3" w:rsidRDefault="00085B85" w:rsidP="0052227D">
    <w:pPr>
      <w:pStyle w:val="Hlavika"/>
      <w:tabs>
        <w:tab w:val="left" w:pos="567"/>
        <w:tab w:val="left" w:pos="6660"/>
      </w:tabs>
      <w:rPr>
        <w:rFonts w:cs="Arial Narrow"/>
        <w:b/>
        <w:bCs/>
      </w:rPr>
    </w:pPr>
    <w:r w:rsidRPr="009C03E3">
      <w:rPr>
        <w:rFonts w:cs="Arial Narrow"/>
        <w:b/>
        <w:bCs/>
      </w:rPr>
      <w:t xml:space="preserve">           </w:t>
    </w:r>
    <w:r>
      <w:rPr>
        <w:rFonts w:cs="Arial Narrow"/>
        <w:b/>
        <w:bCs/>
      </w:rPr>
      <w:t xml:space="preserve"> </w:t>
    </w:r>
    <w:r w:rsidRPr="009C03E3">
      <w:rPr>
        <w:rFonts w:cs="Arial Narrow"/>
        <w:b/>
        <w:bCs/>
      </w:rPr>
      <w:t xml:space="preserve">SLOVENSKEJ REPUBLIKY                                             </w:t>
    </w:r>
    <w:r>
      <w:rPr>
        <w:rFonts w:cs="Arial Narrow"/>
        <w:b/>
        <w:bCs/>
      </w:rPr>
      <w:tab/>
    </w:r>
    <w:r w:rsidRPr="009C03E3">
      <w:rPr>
        <w:rFonts w:cs="Arial Narrow"/>
        <w:b/>
        <w:bCs/>
      </w:rPr>
      <w:t xml:space="preserve"> </w:t>
    </w:r>
  </w:p>
  <w:p w14:paraId="02C5677A" w14:textId="77777777" w:rsidR="00085B85" w:rsidRPr="009C03E3" w:rsidRDefault="00085B85" w:rsidP="0052227D">
    <w:pPr>
      <w:pStyle w:val="Hlavika"/>
      <w:rPr>
        <w:rFonts w:cs="Arial Narrow"/>
      </w:rPr>
    </w:pPr>
    <w:r>
      <w:rPr>
        <w:noProof/>
        <w:lang w:eastAsia="sk-SK"/>
      </w:rPr>
      <mc:AlternateContent>
        <mc:Choice Requires="wps">
          <w:drawing>
            <wp:anchor distT="4294967289" distB="4294967289" distL="114300" distR="114300" simplePos="0" relativeHeight="251660288" behindDoc="0" locked="1" layoutInCell="1" allowOverlap="1" wp14:anchorId="23CA39F6" wp14:editId="201E6564">
              <wp:simplePos x="0" y="0"/>
              <wp:positionH relativeFrom="column">
                <wp:posOffset>0</wp:posOffset>
              </wp:positionH>
              <wp:positionV relativeFrom="paragraph">
                <wp:posOffset>108584</wp:posOffset>
              </wp:positionV>
              <wp:extent cx="5715000" cy="0"/>
              <wp:effectExtent l="0" t="0" r="19050" b="19050"/>
              <wp:wrapNone/>
              <wp:docPr id="9" name="Rovná spojnic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C157A" id="Rovná spojnica 11"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8.55pt" to="450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">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31"/>
    <w:multiLevelType w:val="hybridMultilevel"/>
    <w:tmpl w:val="EDBA95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147869"/>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E63B70"/>
    <w:multiLevelType w:val="hybridMultilevel"/>
    <w:tmpl w:val="FFAC01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7A14CD"/>
    <w:multiLevelType w:val="hybridMultilevel"/>
    <w:tmpl w:val="840078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4E3977"/>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957623"/>
    <w:multiLevelType w:val="hybridMultilevel"/>
    <w:tmpl w:val="3478377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B3564DD"/>
    <w:multiLevelType w:val="hybridMultilevel"/>
    <w:tmpl w:val="834210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7500D5"/>
    <w:multiLevelType w:val="hybridMultilevel"/>
    <w:tmpl w:val="557A95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E04F4B"/>
    <w:multiLevelType w:val="hybridMultilevel"/>
    <w:tmpl w:val="8962ED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2C4C82"/>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F719DA"/>
    <w:multiLevelType w:val="hybridMultilevel"/>
    <w:tmpl w:val="EBD4A36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32756D73"/>
    <w:multiLevelType w:val="multilevel"/>
    <w:tmpl w:val="B21213B0"/>
    <w:lvl w:ilvl="0">
      <w:start w:val="1"/>
      <w:numFmt w:val="upperRoman"/>
      <w:lvlText w:val="%1."/>
      <w:lvlJc w:val="left"/>
      <w:pPr>
        <w:ind w:left="107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4B36207"/>
    <w:multiLevelType w:val="hybridMultilevel"/>
    <w:tmpl w:val="FFE0CF3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6CB4AFB"/>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9D1D1F"/>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7A66D1"/>
    <w:multiLevelType w:val="hybridMultilevel"/>
    <w:tmpl w:val="524C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C486E"/>
    <w:multiLevelType w:val="hybridMultilevel"/>
    <w:tmpl w:val="A9F23A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3C1026C"/>
    <w:multiLevelType w:val="hybridMultilevel"/>
    <w:tmpl w:val="F57AF4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97C6AED"/>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DE3BDC"/>
    <w:multiLevelType w:val="hybridMultilevel"/>
    <w:tmpl w:val="C6A06E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F89022F"/>
    <w:multiLevelType w:val="hybridMultilevel"/>
    <w:tmpl w:val="7D602E92"/>
    <w:lvl w:ilvl="0" w:tplc="A42A78CA">
      <w:start w:val="1"/>
      <w:numFmt w:val="decimal"/>
      <w:lvlText w:val="%1."/>
      <w:lvlJc w:val="left"/>
      <w:pPr>
        <w:ind w:left="720" w:hanging="360"/>
      </w:pPr>
      <w:rPr>
        <w:rFonts w:hint="default"/>
        <w:b/>
        <w:color w:val="2C9AD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56C6B"/>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0C654D"/>
    <w:multiLevelType w:val="hybridMultilevel"/>
    <w:tmpl w:val="1BD2A1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B4C4764"/>
    <w:multiLevelType w:val="hybridMultilevel"/>
    <w:tmpl w:val="DF16EC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BA52366"/>
    <w:multiLevelType w:val="hybridMultilevel"/>
    <w:tmpl w:val="C6BA7DEE"/>
    <w:lvl w:ilvl="0" w:tplc="9D5C5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E0075E"/>
    <w:multiLevelType w:val="hybridMultilevel"/>
    <w:tmpl w:val="B19645AE"/>
    <w:lvl w:ilvl="0" w:tplc="381AC794">
      <w:start w:val="1"/>
      <w:numFmt w:val="bullet"/>
      <w:lvlText w:val=""/>
      <w:lvlJc w:val="left"/>
      <w:pPr>
        <w:ind w:left="720" w:hanging="360"/>
      </w:pPr>
      <w:rPr>
        <w:rFonts w:ascii="Wingdings" w:hAnsi="Wingdings" w:hint="default"/>
        <w:color w:val="2C9ADC"/>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A7A2226"/>
    <w:multiLevelType w:val="hybridMultilevel"/>
    <w:tmpl w:val="9B4678D8"/>
    <w:lvl w:ilvl="0" w:tplc="D9786B44">
      <w:start w:val="1"/>
      <w:numFmt w:val="decimal"/>
      <w:lvlText w:val="%1."/>
      <w:lvlJc w:val="left"/>
      <w:pPr>
        <w:ind w:left="408" w:hanging="360"/>
      </w:pPr>
      <w:rPr>
        <w:rFonts w:hint="default"/>
      </w:rPr>
    </w:lvl>
    <w:lvl w:ilvl="1" w:tplc="041B0019" w:tentative="1">
      <w:start w:val="1"/>
      <w:numFmt w:val="lowerLetter"/>
      <w:lvlText w:val="%2."/>
      <w:lvlJc w:val="left"/>
      <w:pPr>
        <w:ind w:left="1128" w:hanging="360"/>
      </w:pPr>
    </w:lvl>
    <w:lvl w:ilvl="2" w:tplc="041B001B" w:tentative="1">
      <w:start w:val="1"/>
      <w:numFmt w:val="lowerRoman"/>
      <w:lvlText w:val="%3."/>
      <w:lvlJc w:val="right"/>
      <w:pPr>
        <w:ind w:left="1848" w:hanging="180"/>
      </w:pPr>
    </w:lvl>
    <w:lvl w:ilvl="3" w:tplc="041B000F" w:tentative="1">
      <w:start w:val="1"/>
      <w:numFmt w:val="decimal"/>
      <w:lvlText w:val="%4."/>
      <w:lvlJc w:val="left"/>
      <w:pPr>
        <w:ind w:left="2568" w:hanging="360"/>
      </w:pPr>
    </w:lvl>
    <w:lvl w:ilvl="4" w:tplc="041B0019" w:tentative="1">
      <w:start w:val="1"/>
      <w:numFmt w:val="lowerLetter"/>
      <w:lvlText w:val="%5."/>
      <w:lvlJc w:val="left"/>
      <w:pPr>
        <w:ind w:left="3288" w:hanging="360"/>
      </w:pPr>
    </w:lvl>
    <w:lvl w:ilvl="5" w:tplc="041B001B" w:tentative="1">
      <w:start w:val="1"/>
      <w:numFmt w:val="lowerRoman"/>
      <w:lvlText w:val="%6."/>
      <w:lvlJc w:val="right"/>
      <w:pPr>
        <w:ind w:left="4008" w:hanging="180"/>
      </w:pPr>
    </w:lvl>
    <w:lvl w:ilvl="6" w:tplc="041B000F" w:tentative="1">
      <w:start w:val="1"/>
      <w:numFmt w:val="decimal"/>
      <w:lvlText w:val="%7."/>
      <w:lvlJc w:val="left"/>
      <w:pPr>
        <w:ind w:left="4728" w:hanging="360"/>
      </w:pPr>
    </w:lvl>
    <w:lvl w:ilvl="7" w:tplc="041B0019" w:tentative="1">
      <w:start w:val="1"/>
      <w:numFmt w:val="lowerLetter"/>
      <w:lvlText w:val="%8."/>
      <w:lvlJc w:val="left"/>
      <w:pPr>
        <w:ind w:left="5448" w:hanging="360"/>
      </w:pPr>
    </w:lvl>
    <w:lvl w:ilvl="8" w:tplc="041B001B" w:tentative="1">
      <w:start w:val="1"/>
      <w:numFmt w:val="lowerRoman"/>
      <w:lvlText w:val="%9."/>
      <w:lvlJc w:val="right"/>
      <w:pPr>
        <w:ind w:left="6168" w:hanging="180"/>
      </w:pPr>
    </w:lvl>
  </w:abstractNum>
  <w:abstractNum w:abstractNumId="27" w15:restartNumberingAfterBreak="0">
    <w:nsid w:val="6ADA0126"/>
    <w:multiLevelType w:val="hybridMultilevel"/>
    <w:tmpl w:val="586EE8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0AA6AA9"/>
    <w:multiLevelType w:val="hybridMultilevel"/>
    <w:tmpl w:val="535A3188"/>
    <w:lvl w:ilvl="0" w:tplc="041B0001">
      <w:start w:val="1"/>
      <w:numFmt w:val="bullet"/>
      <w:lvlText w:val=""/>
      <w:lvlJc w:val="left"/>
      <w:pPr>
        <w:ind w:left="766" w:hanging="360"/>
      </w:pPr>
      <w:rPr>
        <w:rFonts w:ascii="Symbol" w:hAnsi="Symbol" w:hint="default"/>
      </w:rPr>
    </w:lvl>
    <w:lvl w:ilvl="1" w:tplc="041B0003" w:tentative="1">
      <w:start w:val="1"/>
      <w:numFmt w:val="bullet"/>
      <w:lvlText w:val="o"/>
      <w:lvlJc w:val="left"/>
      <w:pPr>
        <w:ind w:left="1486" w:hanging="360"/>
      </w:pPr>
      <w:rPr>
        <w:rFonts w:ascii="Courier New" w:hAnsi="Courier New" w:cs="Courier New" w:hint="default"/>
      </w:rPr>
    </w:lvl>
    <w:lvl w:ilvl="2" w:tplc="041B0005" w:tentative="1">
      <w:start w:val="1"/>
      <w:numFmt w:val="bullet"/>
      <w:lvlText w:val=""/>
      <w:lvlJc w:val="left"/>
      <w:pPr>
        <w:ind w:left="2206" w:hanging="360"/>
      </w:pPr>
      <w:rPr>
        <w:rFonts w:ascii="Wingdings" w:hAnsi="Wingdings" w:hint="default"/>
      </w:rPr>
    </w:lvl>
    <w:lvl w:ilvl="3" w:tplc="041B0001" w:tentative="1">
      <w:start w:val="1"/>
      <w:numFmt w:val="bullet"/>
      <w:lvlText w:val=""/>
      <w:lvlJc w:val="left"/>
      <w:pPr>
        <w:ind w:left="2926" w:hanging="360"/>
      </w:pPr>
      <w:rPr>
        <w:rFonts w:ascii="Symbol" w:hAnsi="Symbol" w:hint="default"/>
      </w:rPr>
    </w:lvl>
    <w:lvl w:ilvl="4" w:tplc="041B0003" w:tentative="1">
      <w:start w:val="1"/>
      <w:numFmt w:val="bullet"/>
      <w:lvlText w:val="o"/>
      <w:lvlJc w:val="left"/>
      <w:pPr>
        <w:ind w:left="3646" w:hanging="360"/>
      </w:pPr>
      <w:rPr>
        <w:rFonts w:ascii="Courier New" w:hAnsi="Courier New" w:cs="Courier New" w:hint="default"/>
      </w:rPr>
    </w:lvl>
    <w:lvl w:ilvl="5" w:tplc="041B0005" w:tentative="1">
      <w:start w:val="1"/>
      <w:numFmt w:val="bullet"/>
      <w:lvlText w:val=""/>
      <w:lvlJc w:val="left"/>
      <w:pPr>
        <w:ind w:left="4366" w:hanging="360"/>
      </w:pPr>
      <w:rPr>
        <w:rFonts w:ascii="Wingdings" w:hAnsi="Wingdings" w:hint="default"/>
      </w:rPr>
    </w:lvl>
    <w:lvl w:ilvl="6" w:tplc="041B0001" w:tentative="1">
      <w:start w:val="1"/>
      <w:numFmt w:val="bullet"/>
      <w:lvlText w:val=""/>
      <w:lvlJc w:val="left"/>
      <w:pPr>
        <w:ind w:left="5086" w:hanging="360"/>
      </w:pPr>
      <w:rPr>
        <w:rFonts w:ascii="Symbol" w:hAnsi="Symbol" w:hint="default"/>
      </w:rPr>
    </w:lvl>
    <w:lvl w:ilvl="7" w:tplc="041B0003" w:tentative="1">
      <w:start w:val="1"/>
      <w:numFmt w:val="bullet"/>
      <w:lvlText w:val="o"/>
      <w:lvlJc w:val="left"/>
      <w:pPr>
        <w:ind w:left="5806" w:hanging="360"/>
      </w:pPr>
      <w:rPr>
        <w:rFonts w:ascii="Courier New" w:hAnsi="Courier New" w:cs="Courier New" w:hint="default"/>
      </w:rPr>
    </w:lvl>
    <w:lvl w:ilvl="8" w:tplc="041B0005" w:tentative="1">
      <w:start w:val="1"/>
      <w:numFmt w:val="bullet"/>
      <w:lvlText w:val=""/>
      <w:lvlJc w:val="left"/>
      <w:pPr>
        <w:ind w:left="6526" w:hanging="360"/>
      </w:pPr>
      <w:rPr>
        <w:rFonts w:ascii="Wingdings" w:hAnsi="Wingdings" w:hint="default"/>
      </w:rPr>
    </w:lvl>
  </w:abstractNum>
  <w:abstractNum w:abstractNumId="29" w15:restartNumberingAfterBreak="0">
    <w:nsid w:val="72962FC6"/>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3735ED8"/>
    <w:multiLevelType w:val="hybridMultilevel"/>
    <w:tmpl w:val="C478E52C"/>
    <w:lvl w:ilvl="0" w:tplc="30929656">
      <w:start w:val="1"/>
      <w:numFmt w:val="decimal"/>
      <w:lvlText w:val="%1.1."/>
      <w:lvlJc w:val="left"/>
      <w:pPr>
        <w:ind w:left="928" w:hanging="360"/>
      </w:pPr>
      <w:rPr>
        <w:rFonts w:hint="default"/>
        <w:color w:val="2C9ADC" w:themeColor="accent1"/>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31" w15:restartNumberingAfterBreak="0">
    <w:nsid w:val="75A6207E"/>
    <w:multiLevelType w:val="hybridMultilevel"/>
    <w:tmpl w:val="8F4600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8219DF"/>
    <w:multiLevelType w:val="hybridMultilevel"/>
    <w:tmpl w:val="75327C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DAC15FC"/>
    <w:multiLevelType w:val="hybridMultilevel"/>
    <w:tmpl w:val="55B689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7E2C3176"/>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20"/>
  </w:num>
  <w:num w:numId="3">
    <w:abstractNumId w:val="30"/>
  </w:num>
  <w:num w:numId="4">
    <w:abstractNumId w:val="23"/>
  </w:num>
  <w:num w:numId="5">
    <w:abstractNumId w:val="3"/>
  </w:num>
  <w:num w:numId="6">
    <w:abstractNumId w:val="0"/>
  </w:num>
  <w:num w:numId="7">
    <w:abstractNumId w:val="17"/>
  </w:num>
  <w:num w:numId="8">
    <w:abstractNumId w:val="22"/>
  </w:num>
  <w:num w:numId="9">
    <w:abstractNumId w:val="6"/>
  </w:num>
  <w:num w:numId="10">
    <w:abstractNumId w:val="28"/>
  </w:num>
  <w:num w:numId="11">
    <w:abstractNumId w:val="7"/>
  </w:num>
  <w:num w:numId="12">
    <w:abstractNumId w:val="16"/>
  </w:num>
  <w:num w:numId="13">
    <w:abstractNumId w:val="5"/>
  </w:num>
  <w:num w:numId="14">
    <w:abstractNumId w:val="33"/>
  </w:num>
  <w:num w:numId="15">
    <w:abstractNumId w:val="8"/>
  </w:num>
  <w:num w:numId="16">
    <w:abstractNumId w:val="32"/>
  </w:num>
  <w:num w:numId="17">
    <w:abstractNumId w:val="10"/>
  </w:num>
  <w:num w:numId="18">
    <w:abstractNumId w:val="12"/>
  </w:num>
  <w:num w:numId="19">
    <w:abstractNumId w:val="15"/>
  </w:num>
  <w:num w:numId="20">
    <w:abstractNumId w:val="31"/>
  </w:num>
  <w:num w:numId="21">
    <w:abstractNumId w:val="19"/>
  </w:num>
  <w:num w:numId="22">
    <w:abstractNumId w:val="24"/>
  </w:num>
  <w:num w:numId="23">
    <w:abstractNumId w:val="25"/>
  </w:num>
  <w:num w:numId="24">
    <w:abstractNumId w:val="27"/>
  </w:num>
  <w:num w:numId="25">
    <w:abstractNumId w:val="2"/>
  </w:num>
  <w:num w:numId="26">
    <w:abstractNumId w:val="26"/>
  </w:num>
  <w:num w:numId="27">
    <w:abstractNumId w:val="29"/>
  </w:num>
  <w:num w:numId="28">
    <w:abstractNumId w:val="14"/>
  </w:num>
  <w:num w:numId="29">
    <w:abstractNumId w:val="13"/>
  </w:num>
  <w:num w:numId="30">
    <w:abstractNumId w:val="1"/>
  </w:num>
  <w:num w:numId="31">
    <w:abstractNumId w:val="21"/>
  </w:num>
  <w:num w:numId="32">
    <w:abstractNumId w:val="34"/>
  </w:num>
  <w:num w:numId="33">
    <w:abstractNumId w:val="9"/>
  </w:num>
  <w:num w:numId="34">
    <w:abstractNumId w:val="4"/>
  </w:num>
  <w:num w:numId="35">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EB9"/>
    <w:rsid w:val="00000D0B"/>
    <w:rsid w:val="00001397"/>
    <w:rsid w:val="0000148E"/>
    <w:rsid w:val="00002F4D"/>
    <w:rsid w:val="000037B1"/>
    <w:rsid w:val="00003A38"/>
    <w:rsid w:val="00003FF1"/>
    <w:rsid w:val="0000408E"/>
    <w:rsid w:val="00005D4D"/>
    <w:rsid w:val="00005F7E"/>
    <w:rsid w:val="0000616E"/>
    <w:rsid w:val="00007948"/>
    <w:rsid w:val="00007E27"/>
    <w:rsid w:val="000157EA"/>
    <w:rsid w:val="000174A9"/>
    <w:rsid w:val="00017772"/>
    <w:rsid w:val="00020721"/>
    <w:rsid w:val="00020967"/>
    <w:rsid w:val="00020F74"/>
    <w:rsid w:val="00022618"/>
    <w:rsid w:val="00022BBC"/>
    <w:rsid w:val="000248C5"/>
    <w:rsid w:val="00024B36"/>
    <w:rsid w:val="0002521A"/>
    <w:rsid w:val="00025EED"/>
    <w:rsid w:val="00025F88"/>
    <w:rsid w:val="00026012"/>
    <w:rsid w:val="00026D1A"/>
    <w:rsid w:val="000270C0"/>
    <w:rsid w:val="0002732E"/>
    <w:rsid w:val="000278EE"/>
    <w:rsid w:val="00030576"/>
    <w:rsid w:val="00032329"/>
    <w:rsid w:val="000337B4"/>
    <w:rsid w:val="0003382E"/>
    <w:rsid w:val="00033943"/>
    <w:rsid w:val="00033E97"/>
    <w:rsid w:val="00034C23"/>
    <w:rsid w:val="00035507"/>
    <w:rsid w:val="00035F36"/>
    <w:rsid w:val="00036813"/>
    <w:rsid w:val="0003712A"/>
    <w:rsid w:val="00037EFB"/>
    <w:rsid w:val="00040106"/>
    <w:rsid w:val="0004086B"/>
    <w:rsid w:val="000428F3"/>
    <w:rsid w:val="00044315"/>
    <w:rsid w:val="00044937"/>
    <w:rsid w:val="000451EB"/>
    <w:rsid w:val="00047AFF"/>
    <w:rsid w:val="000514A9"/>
    <w:rsid w:val="0005169C"/>
    <w:rsid w:val="0005204B"/>
    <w:rsid w:val="00053C18"/>
    <w:rsid w:val="00053DDB"/>
    <w:rsid w:val="00053ECD"/>
    <w:rsid w:val="0005419D"/>
    <w:rsid w:val="0005493A"/>
    <w:rsid w:val="0005513B"/>
    <w:rsid w:val="00055D03"/>
    <w:rsid w:val="00055FAD"/>
    <w:rsid w:val="000569A0"/>
    <w:rsid w:val="00057614"/>
    <w:rsid w:val="00057B47"/>
    <w:rsid w:val="00057B73"/>
    <w:rsid w:val="0006028C"/>
    <w:rsid w:val="000617C1"/>
    <w:rsid w:val="0006216B"/>
    <w:rsid w:val="00062BCC"/>
    <w:rsid w:val="00063566"/>
    <w:rsid w:val="000635F6"/>
    <w:rsid w:val="00063FCA"/>
    <w:rsid w:val="00064505"/>
    <w:rsid w:val="00067579"/>
    <w:rsid w:val="00067B6D"/>
    <w:rsid w:val="00067F0B"/>
    <w:rsid w:val="000702A2"/>
    <w:rsid w:val="0007091B"/>
    <w:rsid w:val="00070A6D"/>
    <w:rsid w:val="00071629"/>
    <w:rsid w:val="00072B21"/>
    <w:rsid w:val="00072DBA"/>
    <w:rsid w:val="00073A17"/>
    <w:rsid w:val="00073E70"/>
    <w:rsid w:val="0007438A"/>
    <w:rsid w:val="00074E4B"/>
    <w:rsid w:val="000817FA"/>
    <w:rsid w:val="00081A17"/>
    <w:rsid w:val="00081AA3"/>
    <w:rsid w:val="0008208D"/>
    <w:rsid w:val="000827F9"/>
    <w:rsid w:val="00083989"/>
    <w:rsid w:val="00083A56"/>
    <w:rsid w:val="00085A0F"/>
    <w:rsid w:val="00085B85"/>
    <w:rsid w:val="0008625A"/>
    <w:rsid w:val="00086CDE"/>
    <w:rsid w:val="000872C2"/>
    <w:rsid w:val="00087492"/>
    <w:rsid w:val="00091732"/>
    <w:rsid w:val="0009238F"/>
    <w:rsid w:val="00093142"/>
    <w:rsid w:val="0009348F"/>
    <w:rsid w:val="00093950"/>
    <w:rsid w:val="00095089"/>
    <w:rsid w:val="000965DB"/>
    <w:rsid w:val="000965F9"/>
    <w:rsid w:val="000967EE"/>
    <w:rsid w:val="00096B11"/>
    <w:rsid w:val="0009715C"/>
    <w:rsid w:val="000A0C66"/>
    <w:rsid w:val="000A1174"/>
    <w:rsid w:val="000A1973"/>
    <w:rsid w:val="000A1A47"/>
    <w:rsid w:val="000A1C4E"/>
    <w:rsid w:val="000A1EE6"/>
    <w:rsid w:val="000A426C"/>
    <w:rsid w:val="000A5DBF"/>
    <w:rsid w:val="000A60AE"/>
    <w:rsid w:val="000A6B94"/>
    <w:rsid w:val="000A6FF9"/>
    <w:rsid w:val="000A7603"/>
    <w:rsid w:val="000A7879"/>
    <w:rsid w:val="000B1DBB"/>
    <w:rsid w:val="000B29E6"/>
    <w:rsid w:val="000B4F47"/>
    <w:rsid w:val="000B6A13"/>
    <w:rsid w:val="000B6DF1"/>
    <w:rsid w:val="000B7496"/>
    <w:rsid w:val="000B7E73"/>
    <w:rsid w:val="000C006A"/>
    <w:rsid w:val="000C11ED"/>
    <w:rsid w:val="000C154E"/>
    <w:rsid w:val="000C38B3"/>
    <w:rsid w:val="000C45AF"/>
    <w:rsid w:val="000C62CD"/>
    <w:rsid w:val="000C660E"/>
    <w:rsid w:val="000C725B"/>
    <w:rsid w:val="000C7659"/>
    <w:rsid w:val="000C7BCF"/>
    <w:rsid w:val="000D0075"/>
    <w:rsid w:val="000D02D2"/>
    <w:rsid w:val="000D0E0B"/>
    <w:rsid w:val="000D1456"/>
    <w:rsid w:val="000D181F"/>
    <w:rsid w:val="000D2FA3"/>
    <w:rsid w:val="000D3212"/>
    <w:rsid w:val="000D3459"/>
    <w:rsid w:val="000D39EC"/>
    <w:rsid w:val="000D4B4A"/>
    <w:rsid w:val="000D78B1"/>
    <w:rsid w:val="000D7947"/>
    <w:rsid w:val="000E0939"/>
    <w:rsid w:val="000E12B1"/>
    <w:rsid w:val="000E18CA"/>
    <w:rsid w:val="000E1ADB"/>
    <w:rsid w:val="000E1B5F"/>
    <w:rsid w:val="000E2DC7"/>
    <w:rsid w:val="000E2F9A"/>
    <w:rsid w:val="000E3912"/>
    <w:rsid w:val="000E395C"/>
    <w:rsid w:val="000E4BD2"/>
    <w:rsid w:val="000E58E6"/>
    <w:rsid w:val="000F0984"/>
    <w:rsid w:val="000F09DF"/>
    <w:rsid w:val="000F1198"/>
    <w:rsid w:val="000F16BD"/>
    <w:rsid w:val="000F1740"/>
    <w:rsid w:val="000F1E69"/>
    <w:rsid w:val="000F22CB"/>
    <w:rsid w:val="000F345A"/>
    <w:rsid w:val="000F367A"/>
    <w:rsid w:val="000F3789"/>
    <w:rsid w:val="000F43DB"/>
    <w:rsid w:val="000F4792"/>
    <w:rsid w:val="000F4807"/>
    <w:rsid w:val="000F5366"/>
    <w:rsid w:val="000F69EF"/>
    <w:rsid w:val="000F77E7"/>
    <w:rsid w:val="00100215"/>
    <w:rsid w:val="00100416"/>
    <w:rsid w:val="00100B7C"/>
    <w:rsid w:val="00100C3D"/>
    <w:rsid w:val="001014C3"/>
    <w:rsid w:val="00101A6A"/>
    <w:rsid w:val="00101AC1"/>
    <w:rsid w:val="00102CBA"/>
    <w:rsid w:val="001059EF"/>
    <w:rsid w:val="00105B75"/>
    <w:rsid w:val="00106529"/>
    <w:rsid w:val="00107EC8"/>
    <w:rsid w:val="00110413"/>
    <w:rsid w:val="00110630"/>
    <w:rsid w:val="001107B6"/>
    <w:rsid w:val="001108A9"/>
    <w:rsid w:val="001109AF"/>
    <w:rsid w:val="00110E61"/>
    <w:rsid w:val="001132B1"/>
    <w:rsid w:val="001138F9"/>
    <w:rsid w:val="00115466"/>
    <w:rsid w:val="00115D4A"/>
    <w:rsid w:val="001169B8"/>
    <w:rsid w:val="001169DD"/>
    <w:rsid w:val="0012015A"/>
    <w:rsid w:val="00120325"/>
    <w:rsid w:val="00121B11"/>
    <w:rsid w:val="00123A46"/>
    <w:rsid w:val="00124216"/>
    <w:rsid w:val="00124721"/>
    <w:rsid w:val="00124F81"/>
    <w:rsid w:val="001252DB"/>
    <w:rsid w:val="00125A06"/>
    <w:rsid w:val="001260F2"/>
    <w:rsid w:val="0012772D"/>
    <w:rsid w:val="001300A1"/>
    <w:rsid w:val="001306F8"/>
    <w:rsid w:val="00131C35"/>
    <w:rsid w:val="00133965"/>
    <w:rsid w:val="00134E06"/>
    <w:rsid w:val="00135D9A"/>
    <w:rsid w:val="001378F5"/>
    <w:rsid w:val="00140950"/>
    <w:rsid w:val="001417FE"/>
    <w:rsid w:val="00141F41"/>
    <w:rsid w:val="001428E4"/>
    <w:rsid w:val="00142A53"/>
    <w:rsid w:val="00142A93"/>
    <w:rsid w:val="00142AEF"/>
    <w:rsid w:val="00142CD6"/>
    <w:rsid w:val="001433E7"/>
    <w:rsid w:val="00143417"/>
    <w:rsid w:val="001439DC"/>
    <w:rsid w:val="0014436E"/>
    <w:rsid w:val="00145333"/>
    <w:rsid w:val="00145CEA"/>
    <w:rsid w:val="00145E87"/>
    <w:rsid w:val="001465D9"/>
    <w:rsid w:val="00146C14"/>
    <w:rsid w:val="001470A0"/>
    <w:rsid w:val="001477A0"/>
    <w:rsid w:val="00150C12"/>
    <w:rsid w:val="00150E44"/>
    <w:rsid w:val="00151287"/>
    <w:rsid w:val="00152F58"/>
    <w:rsid w:val="00153228"/>
    <w:rsid w:val="0015434C"/>
    <w:rsid w:val="001544D3"/>
    <w:rsid w:val="00154595"/>
    <w:rsid w:val="0015519D"/>
    <w:rsid w:val="00155212"/>
    <w:rsid w:val="00156479"/>
    <w:rsid w:val="0015663B"/>
    <w:rsid w:val="00161480"/>
    <w:rsid w:val="001631D3"/>
    <w:rsid w:val="0016372B"/>
    <w:rsid w:val="001654F6"/>
    <w:rsid w:val="0016630F"/>
    <w:rsid w:val="00166653"/>
    <w:rsid w:val="00167820"/>
    <w:rsid w:val="00167D87"/>
    <w:rsid w:val="00170AC8"/>
    <w:rsid w:val="001711B5"/>
    <w:rsid w:val="00172357"/>
    <w:rsid w:val="001729A5"/>
    <w:rsid w:val="001739EA"/>
    <w:rsid w:val="00173F80"/>
    <w:rsid w:val="001743BD"/>
    <w:rsid w:val="0017454B"/>
    <w:rsid w:val="001746CA"/>
    <w:rsid w:val="00174E56"/>
    <w:rsid w:val="00175387"/>
    <w:rsid w:val="00175C53"/>
    <w:rsid w:val="00175D94"/>
    <w:rsid w:val="001763DB"/>
    <w:rsid w:val="00176A2C"/>
    <w:rsid w:val="00176EDA"/>
    <w:rsid w:val="001771F7"/>
    <w:rsid w:val="00177AA8"/>
    <w:rsid w:val="00180719"/>
    <w:rsid w:val="00181D57"/>
    <w:rsid w:val="00181F98"/>
    <w:rsid w:val="00182537"/>
    <w:rsid w:val="00183735"/>
    <w:rsid w:val="00184928"/>
    <w:rsid w:val="00184B3D"/>
    <w:rsid w:val="001854C0"/>
    <w:rsid w:val="001870CC"/>
    <w:rsid w:val="00187F95"/>
    <w:rsid w:val="0019074E"/>
    <w:rsid w:val="00190D05"/>
    <w:rsid w:val="001914B4"/>
    <w:rsid w:val="00191FF1"/>
    <w:rsid w:val="0019244B"/>
    <w:rsid w:val="0019332E"/>
    <w:rsid w:val="001944A9"/>
    <w:rsid w:val="00197F45"/>
    <w:rsid w:val="001A03BF"/>
    <w:rsid w:val="001A10A5"/>
    <w:rsid w:val="001A1685"/>
    <w:rsid w:val="001A2F25"/>
    <w:rsid w:val="001A478B"/>
    <w:rsid w:val="001A53DE"/>
    <w:rsid w:val="001A54FE"/>
    <w:rsid w:val="001A5922"/>
    <w:rsid w:val="001A63B6"/>
    <w:rsid w:val="001A6966"/>
    <w:rsid w:val="001A69B8"/>
    <w:rsid w:val="001A6F83"/>
    <w:rsid w:val="001A78B8"/>
    <w:rsid w:val="001A79B5"/>
    <w:rsid w:val="001B0993"/>
    <w:rsid w:val="001B3B8B"/>
    <w:rsid w:val="001B4F14"/>
    <w:rsid w:val="001B7962"/>
    <w:rsid w:val="001C068A"/>
    <w:rsid w:val="001C0DCE"/>
    <w:rsid w:val="001C1548"/>
    <w:rsid w:val="001C4A90"/>
    <w:rsid w:val="001C5CD6"/>
    <w:rsid w:val="001C630A"/>
    <w:rsid w:val="001C63EF"/>
    <w:rsid w:val="001C68E6"/>
    <w:rsid w:val="001C6A98"/>
    <w:rsid w:val="001C6AE5"/>
    <w:rsid w:val="001C6E08"/>
    <w:rsid w:val="001C7EEF"/>
    <w:rsid w:val="001D1AF0"/>
    <w:rsid w:val="001D1AF2"/>
    <w:rsid w:val="001D3435"/>
    <w:rsid w:val="001D4495"/>
    <w:rsid w:val="001D461F"/>
    <w:rsid w:val="001D4997"/>
    <w:rsid w:val="001D4AC9"/>
    <w:rsid w:val="001D5442"/>
    <w:rsid w:val="001D5F2A"/>
    <w:rsid w:val="001D658F"/>
    <w:rsid w:val="001D68BD"/>
    <w:rsid w:val="001D693D"/>
    <w:rsid w:val="001D69DA"/>
    <w:rsid w:val="001D6CEA"/>
    <w:rsid w:val="001D7D64"/>
    <w:rsid w:val="001E03CD"/>
    <w:rsid w:val="001E19F4"/>
    <w:rsid w:val="001E336C"/>
    <w:rsid w:val="001E3E2E"/>
    <w:rsid w:val="001E677E"/>
    <w:rsid w:val="001E698A"/>
    <w:rsid w:val="001E69E6"/>
    <w:rsid w:val="001E7ABB"/>
    <w:rsid w:val="001E7DD5"/>
    <w:rsid w:val="001F00C9"/>
    <w:rsid w:val="001F0435"/>
    <w:rsid w:val="001F0D37"/>
    <w:rsid w:val="001F2DE5"/>
    <w:rsid w:val="001F3862"/>
    <w:rsid w:val="001F439B"/>
    <w:rsid w:val="001F4D57"/>
    <w:rsid w:val="001F50D4"/>
    <w:rsid w:val="001F52B7"/>
    <w:rsid w:val="001F5845"/>
    <w:rsid w:val="001F655F"/>
    <w:rsid w:val="001F67A6"/>
    <w:rsid w:val="001F6EE4"/>
    <w:rsid w:val="001F7D76"/>
    <w:rsid w:val="0020039A"/>
    <w:rsid w:val="00200B42"/>
    <w:rsid w:val="00201978"/>
    <w:rsid w:val="002032CC"/>
    <w:rsid w:val="00203682"/>
    <w:rsid w:val="00204179"/>
    <w:rsid w:val="00204F27"/>
    <w:rsid w:val="00205B0B"/>
    <w:rsid w:val="00205D0E"/>
    <w:rsid w:val="002061BD"/>
    <w:rsid w:val="0020653B"/>
    <w:rsid w:val="0020676D"/>
    <w:rsid w:val="00210FFE"/>
    <w:rsid w:val="0021123B"/>
    <w:rsid w:val="0021220E"/>
    <w:rsid w:val="0021223F"/>
    <w:rsid w:val="0021295F"/>
    <w:rsid w:val="00212990"/>
    <w:rsid w:val="00212B20"/>
    <w:rsid w:val="00212B8E"/>
    <w:rsid w:val="00212BEF"/>
    <w:rsid w:val="00213973"/>
    <w:rsid w:val="0021538C"/>
    <w:rsid w:val="00216177"/>
    <w:rsid w:val="00217C3E"/>
    <w:rsid w:val="0022007D"/>
    <w:rsid w:val="002200BF"/>
    <w:rsid w:val="00220259"/>
    <w:rsid w:val="00221D74"/>
    <w:rsid w:val="002221E1"/>
    <w:rsid w:val="00222729"/>
    <w:rsid w:val="00222B01"/>
    <w:rsid w:val="0022661C"/>
    <w:rsid w:val="00226FE9"/>
    <w:rsid w:val="002273FC"/>
    <w:rsid w:val="0022777F"/>
    <w:rsid w:val="00230C02"/>
    <w:rsid w:val="0023299B"/>
    <w:rsid w:val="00233E25"/>
    <w:rsid w:val="00235443"/>
    <w:rsid w:val="002371A1"/>
    <w:rsid w:val="00237478"/>
    <w:rsid w:val="002375E8"/>
    <w:rsid w:val="00237776"/>
    <w:rsid w:val="00237B05"/>
    <w:rsid w:val="00237E41"/>
    <w:rsid w:val="00241014"/>
    <w:rsid w:val="0024101A"/>
    <w:rsid w:val="002416D8"/>
    <w:rsid w:val="002420B4"/>
    <w:rsid w:val="00242B19"/>
    <w:rsid w:val="00242BF2"/>
    <w:rsid w:val="00243191"/>
    <w:rsid w:val="002443C8"/>
    <w:rsid w:val="00244731"/>
    <w:rsid w:val="0024561B"/>
    <w:rsid w:val="00245DE0"/>
    <w:rsid w:val="00245E1E"/>
    <w:rsid w:val="00245F81"/>
    <w:rsid w:val="00246AD5"/>
    <w:rsid w:val="00246FF4"/>
    <w:rsid w:val="0024755D"/>
    <w:rsid w:val="00251842"/>
    <w:rsid w:val="002522C0"/>
    <w:rsid w:val="00252D2F"/>
    <w:rsid w:val="00253185"/>
    <w:rsid w:val="002539A9"/>
    <w:rsid w:val="002558FF"/>
    <w:rsid w:val="00256238"/>
    <w:rsid w:val="00256D7C"/>
    <w:rsid w:val="002570E4"/>
    <w:rsid w:val="002600DF"/>
    <w:rsid w:val="0026174A"/>
    <w:rsid w:val="002619F7"/>
    <w:rsid w:val="00261B89"/>
    <w:rsid w:val="00262B60"/>
    <w:rsid w:val="00262F24"/>
    <w:rsid w:val="00263436"/>
    <w:rsid w:val="002636A3"/>
    <w:rsid w:val="002638C1"/>
    <w:rsid w:val="00263A06"/>
    <w:rsid w:val="002649CA"/>
    <w:rsid w:val="0026518E"/>
    <w:rsid w:val="00267199"/>
    <w:rsid w:val="00267862"/>
    <w:rsid w:val="00267B42"/>
    <w:rsid w:val="00267CEA"/>
    <w:rsid w:val="002713C7"/>
    <w:rsid w:val="00271854"/>
    <w:rsid w:val="00272343"/>
    <w:rsid w:val="00272348"/>
    <w:rsid w:val="002740CF"/>
    <w:rsid w:val="00274439"/>
    <w:rsid w:val="002749A7"/>
    <w:rsid w:val="00274B08"/>
    <w:rsid w:val="00274D0F"/>
    <w:rsid w:val="002752CF"/>
    <w:rsid w:val="00276B6A"/>
    <w:rsid w:val="0028119A"/>
    <w:rsid w:val="00281851"/>
    <w:rsid w:val="002821A2"/>
    <w:rsid w:val="0028266F"/>
    <w:rsid w:val="002835C4"/>
    <w:rsid w:val="00285BEE"/>
    <w:rsid w:val="00286576"/>
    <w:rsid w:val="002869B1"/>
    <w:rsid w:val="00286ADA"/>
    <w:rsid w:val="002910D2"/>
    <w:rsid w:val="00291691"/>
    <w:rsid w:val="002931B3"/>
    <w:rsid w:val="00295205"/>
    <w:rsid w:val="002953CF"/>
    <w:rsid w:val="00295C6B"/>
    <w:rsid w:val="002964C1"/>
    <w:rsid w:val="002A181B"/>
    <w:rsid w:val="002A2E6B"/>
    <w:rsid w:val="002A2E96"/>
    <w:rsid w:val="002A330E"/>
    <w:rsid w:val="002A3884"/>
    <w:rsid w:val="002A46C8"/>
    <w:rsid w:val="002A5714"/>
    <w:rsid w:val="002A5A2E"/>
    <w:rsid w:val="002A6D95"/>
    <w:rsid w:val="002A70C2"/>
    <w:rsid w:val="002B04F7"/>
    <w:rsid w:val="002B0911"/>
    <w:rsid w:val="002B152A"/>
    <w:rsid w:val="002B1BD2"/>
    <w:rsid w:val="002B26C9"/>
    <w:rsid w:val="002B2738"/>
    <w:rsid w:val="002B2A81"/>
    <w:rsid w:val="002B2D3B"/>
    <w:rsid w:val="002B3044"/>
    <w:rsid w:val="002B3297"/>
    <w:rsid w:val="002B4064"/>
    <w:rsid w:val="002B4856"/>
    <w:rsid w:val="002B541A"/>
    <w:rsid w:val="002B5C44"/>
    <w:rsid w:val="002B6DDC"/>
    <w:rsid w:val="002B7B52"/>
    <w:rsid w:val="002C18C7"/>
    <w:rsid w:val="002C1F8C"/>
    <w:rsid w:val="002C239E"/>
    <w:rsid w:val="002C3B4E"/>
    <w:rsid w:val="002C5D0E"/>
    <w:rsid w:val="002C5EAF"/>
    <w:rsid w:val="002C63D1"/>
    <w:rsid w:val="002C73FF"/>
    <w:rsid w:val="002C784E"/>
    <w:rsid w:val="002D0101"/>
    <w:rsid w:val="002D0BBF"/>
    <w:rsid w:val="002D2451"/>
    <w:rsid w:val="002D26CB"/>
    <w:rsid w:val="002D3524"/>
    <w:rsid w:val="002D4E44"/>
    <w:rsid w:val="002D4F0B"/>
    <w:rsid w:val="002D5475"/>
    <w:rsid w:val="002D5C7B"/>
    <w:rsid w:val="002D5CF6"/>
    <w:rsid w:val="002D768B"/>
    <w:rsid w:val="002E295E"/>
    <w:rsid w:val="002E5F3C"/>
    <w:rsid w:val="002E6216"/>
    <w:rsid w:val="002E6765"/>
    <w:rsid w:val="002E6DAC"/>
    <w:rsid w:val="002F05AD"/>
    <w:rsid w:val="002F1F39"/>
    <w:rsid w:val="002F34CA"/>
    <w:rsid w:val="002F3E0B"/>
    <w:rsid w:val="002F3FAF"/>
    <w:rsid w:val="002F5904"/>
    <w:rsid w:val="002F5EEF"/>
    <w:rsid w:val="002F65F7"/>
    <w:rsid w:val="002F6EAC"/>
    <w:rsid w:val="002F7455"/>
    <w:rsid w:val="002F7597"/>
    <w:rsid w:val="002F7D77"/>
    <w:rsid w:val="002F7D9C"/>
    <w:rsid w:val="00302029"/>
    <w:rsid w:val="00302927"/>
    <w:rsid w:val="00302B8C"/>
    <w:rsid w:val="0030349B"/>
    <w:rsid w:val="003036A6"/>
    <w:rsid w:val="00303C2A"/>
    <w:rsid w:val="003041A2"/>
    <w:rsid w:val="00305809"/>
    <w:rsid w:val="00306C27"/>
    <w:rsid w:val="00307A2F"/>
    <w:rsid w:val="00307DD3"/>
    <w:rsid w:val="00310225"/>
    <w:rsid w:val="00311172"/>
    <w:rsid w:val="00311685"/>
    <w:rsid w:val="00311779"/>
    <w:rsid w:val="00311DE6"/>
    <w:rsid w:val="00311FD4"/>
    <w:rsid w:val="003129F9"/>
    <w:rsid w:val="00312A55"/>
    <w:rsid w:val="003137E4"/>
    <w:rsid w:val="003142C1"/>
    <w:rsid w:val="00314586"/>
    <w:rsid w:val="00314A6D"/>
    <w:rsid w:val="003161B0"/>
    <w:rsid w:val="003163AA"/>
    <w:rsid w:val="003175AA"/>
    <w:rsid w:val="00320030"/>
    <w:rsid w:val="003203F1"/>
    <w:rsid w:val="00320B43"/>
    <w:rsid w:val="00321E18"/>
    <w:rsid w:val="00322421"/>
    <w:rsid w:val="00323505"/>
    <w:rsid w:val="003236FD"/>
    <w:rsid w:val="00323963"/>
    <w:rsid w:val="003241E6"/>
    <w:rsid w:val="00324948"/>
    <w:rsid w:val="00325082"/>
    <w:rsid w:val="003277F1"/>
    <w:rsid w:val="00330A15"/>
    <w:rsid w:val="00331414"/>
    <w:rsid w:val="00332C09"/>
    <w:rsid w:val="0033301E"/>
    <w:rsid w:val="00333087"/>
    <w:rsid w:val="003330A8"/>
    <w:rsid w:val="003367EA"/>
    <w:rsid w:val="00336986"/>
    <w:rsid w:val="00336A4D"/>
    <w:rsid w:val="00336E6C"/>
    <w:rsid w:val="003403BA"/>
    <w:rsid w:val="003407F5"/>
    <w:rsid w:val="003423BD"/>
    <w:rsid w:val="003428C6"/>
    <w:rsid w:val="003429F3"/>
    <w:rsid w:val="00342BD5"/>
    <w:rsid w:val="003444F9"/>
    <w:rsid w:val="0034504C"/>
    <w:rsid w:val="00345382"/>
    <w:rsid w:val="003454C2"/>
    <w:rsid w:val="0034648B"/>
    <w:rsid w:val="003465B4"/>
    <w:rsid w:val="00347140"/>
    <w:rsid w:val="00347AAB"/>
    <w:rsid w:val="00350A9C"/>
    <w:rsid w:val="003526A7"/>
    <w:rsid w:val="00352D33"/>
    <w:rsid w:val="00353086"/>
    <w:rsid w:val="003536F5"/>
    <w:rsid w:val="00353BAC"/>
    <w:rsid w:val="00354B3D"/>
    <w:rsid w:val="003555E1"/>
    <w:rsid w:val="00355AAE"/>
    <w:rsid w:val="00355B42"/>
    <w:rsid w:val="00355B8C"/>
    <w:rsid w:val="003564F1"/>
    <w:rsid w:val="003564F3"/>
    <w:rsid w:val="00357ABB"/>
    <w:rsid w:val="00357B54"/>
    <w:rsid w:val="003605DD"/>
    <w:rsid w:val="0036200B"/>
    <w:rsid w:val="003651A9"/>
    <w:rsid w:val="00366544"/>
    <w:rsid w:val="003677DA"/>
    <w:rsid w:val="003677EC"/>
    <w:rsid w:val="00370A75"/>
    <w:rsid w:val="00371551"/>
    <w:rsid w:val="003716A4"/>
    <w:rsid w:val="0037188D"/>
    <w:rsid w:val="00372889"/>
    <w:rsid w:val="003730D0"/>
    <w:rsid w:val="00373D8A"/>
    <w:rsid w:val="00373EF0"/>
    <w:rsid w:val="00380AC0"/>
    <w:rsid w:val="00380D1E"/>
    <w:rsid w:val="00382600"/>
    <w:rsid w:val="00384490"/>
    <w:rsid w:val="003845CB"/>
    <w:rsid w:val="003847BD"/>
    <w:rsid w:val="003859C2"/>
    <w:rsid w:val="00391F0B"/>
    <w:rsid w:val="00393BC3"/>
    <w:rsid w:val="00394454"/>
    <w:rsid w:val="00394AF8"/>
    <w:rsid w:val="00394B92"/>
    <w:rsid w:val="003969DF"/>
    <w:rsid w:val="00397447"/>
    <w:rsid w:val="003A1B6B"/>
    <w:rsid w:val="003A1D20"/>
    <w:rsid w:val="003A2D4A"/>
    <w:rsid w:val="003A3844"/>
    <w:rsid w:val="003A3AE3"/>
    <w:rsid w:val="003A4144"/>
    <w:rsid w:val="003A5654"/>
    <w:rsid w:val="003A6E3D"/>
    <w:rsid w:val="003A761E"/>
    <w:rsid w:val="003B0937"/>
    <w:rsid w:val="003B19D9"/>
    <w:rsid w:val="003B3508"/>
    <w:rsid w:val="003B3804"/>
    <w:rsid w:val="003B3A46"/>
    <w:rsid w:val="003B3EFB"/>
    <w:rsid w:val="003B419B"/>
    <w:rsid w:val="003B66E1"/>
    <w:rsid w:val="003B7229"/>
    <w:rsid w:val="003B726B"/>
    <w:rsid w:val="003B75D5"/>
    <w:rsid w:val="003C0669"/>
    <w:rsid w:val="003C0822"/>
    <w:rsid w:val="003C1AF7"/>
    <w:rsid w:val="003C23F2"/>
    <w:rsid w:val="003C32DB"/>
    <w:rsid w:val="003C4C8C"/>
    <w:rsid w:val="003C5A5B"/>
    <w:rsid w:val="003C5AEF"/>
    <w:rsid w:val="003C6357"/>
    <w:rsid w:val="003C68DD"/>
    <w:rsid w:val="003C6D3B"/>
    <w:rsid w:val="003C71A4"/>
    <w:rsid w:val="003C7B12"/>
    <w:rsid w:val="003D02BF"/>
    <w:rsid w:val="003D05D4"/>
    <w:rsid w:val="003D113A"/>
    <w:rsid w:val="003D24CF"/>
    <w:rsid w:val="003D3E75"/>
    <w:rsid w:val="003D427F"/>
    <w:rsid w:val="003D4DBF"/>
    <w:rsid w:val="003D554C"/>
    <w:rsid w:val="003D5585"/>
    <w:rsid w:val="003D5AA9"/>
    <w:rsid w:val="003D7882"/>
    <w:rsid w:val="003E196B"/>
    <w:rsid w:val="003E1B2A"/>
    <w:rsid w:val="003E1D8E"/>
    <w:rsid w:val="003E1FD3"/>
    <w:rsid w:val="003E2A8A"/>
    <w:rsid w:val="003E2E8C"/>
    <w:rsid w:val="003E30E6"/>
    <w:rsid w:val="003E3104"/>
    <w:rsid w:val="003E3687"/>
    <w:rsid w:val="003E4079"/>
    <w:rsid w:val="003E6A00"/>
    <w:rsid w:val="003E6C29"/>
    <w:rsid w:val="003E6C47"/>
    <w:rsid w:val="003E7531"/>
    <w:rsid w:val="003E7D0E"/>
    <w:rsid w:val="003F05F7"/>
    <w:rsid w:val="003F100A"/>
    <w:rsid w:val="003F11A0"/>
    <w:rsid w:val="003F11A3"/>
    <w:rsid w:val="003F1932"/>
    <w:rsid w:val="003F267C"/>
    <w:rsid w:val="003F2D95"/>
    <w:rsid w:val="003F2EBD"/>
    <w:rsid w:val="003F3B05"/>
    <w:rsid w:val="003F47E1"/>
    <w:rsid w:val="003F485C"/>
    <w:rsid w:val="003F4AF8"/>
    <w:rsid w:val="003F4DAE"/>
    <w:rsid w:val="003F5139"/>
    <w:rsid w:val="003F57C5"/>
    <w:rsid w:val="003F5DF5"/>
    <w:rsid w:val="003F6292"/>
    <w:rsid w:val="003F6D39"/>
    <w:rsid w:val="003F7C25"/>
    <w:rsid w:val="00401381"/>
    <w:rsid w:val="00401388"/>
    <w:rsid w:val="004035E0"/>
    <w:rsid w:val="004038F5"/>
    <w:rsid w:val="00404EE7"/>
    <w:rsid w:val="00405472"/>
    <w:rsid w:val="00405AFB"/>
    <w:rsid w:val="00405C3C"/>
    <w:rsid w:val="00405D49"/>
    <w:rsid w:val="004068E5"/>
    <w:rsid w:val="0041101C"/>
    <w:rsid w:val="00411BCE"/>
    <w:rsid w:val="00412144"/>
    <w:rsid w:val="00415927"/>
    <w:rsid w:val="00416013"/>
    <w:rsid w:val="00416103"/>
    <w:rsid w:val="00416AAC"/>
    <w:rsid w:val="00416C51"/>
    <w:rsid w:val="004172D7"/>
    <w:rsid w:val="0042009E"/>
    <w:rsid w:val="00420B03"/>
    <w:rsid w:val="00420CB6"/>
    <w:rsid w:val="004215EA"/>
    <w:rsid w:val="00421D0B"/>
    <w:rsid w:val="00421ED3"/>
    <w:rsid w:val="00422020"/>
    <w:rsid w:val="00422133"/>
    <w:rsid w:val="00422812"/>
    <w:rsid w:val="004231F2"/>
    <w:rsid w:val="004245A0"/>
    <w:rsid w:val="0042494F"/>
    <w:rsid w:val="004251C7"/>
    <w:rsid w:val="0042550A"/>
    <w:rsid w:val="0042558E"/>
    <w:rsid w:val="00426F27"/>
    <w:rsid w:val="00430034"/>
    <w:rsid w:val="004302EF"/>
    <w:rsid w:val="00430F42"/>
    <w:rsid w:val="0043123E"/>
    <w:rsid w:val="00431315"/>
    <w:rsid w:val="004313D2"/>
    <w:rsid w:val="00432196"/>
    <w:rsid w:val="004324FF"/>
    <w:rsid w:val="00432ABE"/>
    <w:rsid w:val="00434F46"/>
    <w:rsid w:val="00436549"/>
    <w:rsid w:val="00440DBA"/>
    <w:rsid w:val="00443846"/>
    <w:rsid w:val="00443F9E"/>
    <w:rsid w:val="004440A2"/>
    <w:rsid w:val="00446C10"/>
    <w:rsid w:val="004471DD"/>
    <w:rsid w:val="004472E7"/>
    <w:rsid w:val="004476A7"/>
    <w:rsid w:val="0044793D"/>
    <w:rsid w:val="00450577"/>
    <w:rsid w:val="00452F62"/>
    <w:rsid w:val="00453825"/>
    <w:rsid w:val="00453D2E"/>
    <w:rsid w:val="0045465E"/>
    <w:rsid w:val="004552AE"/>
    <w:rsid w:val="0045542E"/>
    <w:rsid w:val="00456490"/>
    <w:rsid w:val="00456505"/>
    <w:rsid w:val="004575FB"/>
    <w:rsid w:val="0046021B"/>
    <w:rsid w:val="00460F63"/>
    <w:rsid w:val="004611D9"/>
    <w:rsid w:val="0046177E"/>
    <w:rsid w:val="004623C5"/>
    <w:rsid w:val="004637EF"/>
    <w:rsid w:val="00463F8C"/>
    <w:rsid w:val="00464533"/>
    <w:rsid w:val="00464F23"/>
    <w:rsid w:val="004655CF"/>
    <w:rsid w:val="00465903"/>
    <w:rsid w:val="0046625C"/>
    <w:rsid w:val="004671EF"/>
    <w:rsid w:val="0046782F"/>
    <w:rsid w:val="004710B9"/>
    <w:rsid w:val="004722A3"/>
    <w:rsid w:val="004723B3"/>
    <w:rsid w:val="00472F43"/>
    <w:rsid w:val="00473528"/>
    <w:rsid w:val="004736DB"/>
    <w:rsid w:val="0047373B"/>
    <w:rsid w:val="00473D82"/>
    <w:rsid w:val="0047447D"/>
    <w:rsid w:val="00475E8B"/>
    <w:rsid w:val="00476A3E"/>
    <w:rsid w:val="00477313"/>
    <w:rsid w:val="0047783D"/>
    <w:rsid w:val="00477DCE"/>
    <w:rsid w:val="00480BED"/>
    <w:rsid w:val="00480E56"/>
    <w:rsid w:val="004813F9"/>
    <w:rsid w:val="0048168D"/>
    <w:rsid w:val="004817A0"/>
    <w:rsid w:val="00481C63"/>
    <w:rsid w:val="004829AB"/>
    <w:rsid w:val="00482CBD"/>
    <w:rsid w:val="0048488A"/>
    <w:rsid w:val="0048511D"/>
    <w:rsid w:val="00485F43"/>
    <w:rsid w:val="004873D4"/>
    <w:rsid w:val="00490417"/>
    <w:rsid w:val="0049145B"/>
    <w:rsid w:val="004915A0"/>
    <w:rsid w:val="00492052"/>
    <w:rsid w:val="004922E0"/>
    <w:rsid w:val="00492507"/>
    <w:rsid w:val="004950AD"/>
    <w:rsid w:val="00495628"/>
    <w:rsid w:val="004958B4"/>
    <w:rsid w:val="00495ABD"/>
    <w:rsid w:val="0049645F"/>
    <w:rsid w:val="0049764C"/>
    <w:rsid w:val="004A0241"/>
    <w:rsid w:val="004A09B9"/>
    <w:rsid w:val="004A0D4C"/>
    <w:rsid w:val="004A142A"/>
    <w:rsid w:val="004A2846"/>
    <w:rsid w:val="004A2A06"/>
    <w:rsid w:val="004A30B8"/>
    <w:rsid w:val="004A384D"/>
    <w:rsid w:val="004A3E27"/>
    <w:rsid w:val="004A41B0"/>
    <w:rsid w:val="004A61CC"/>
    <w:rsid w:val="004A7900"/>
    <w:rsid w:val="004B0E8D"/>
    <w:rsid w:val="004B2D21"/>
    <w:rsid w:val="004B2EFB"/>
    <w:rsid w:val="004B42B7"/>
    <w:rsid w:val="004B4509"/>
    <w:rsid w:val="004B492D"/>
    <w:rsid w:val="004B55BA"/>
    <w:rsid w:val="004B5DC4"/>
    <w:rsid w:val="004B6265"/>
    <w:rsid w:val="004B63ED"/>
    <w:rsid w:val="004B670B"/>
    <w:rsid w:val="004B6B57"/>
    <w:rsid w:val="004B7392"/>
    <w:rsid w:val="004C02D5"/>
    <w:rsid w:val="004C0674"/>
    <w:rsid w:val="004C21F3"/>
    <w:rsid w:val="004C2873"/>
    <w:rsid w:val="004C31A4"/>
    <w:rsid w:val="004C3CA6"/>
    <w:rsid w:val="004C42BC"/>
    <w:rsid w:val="004C5117"/>
    <w:rsid w:val="004C642B"/>
    <w:rsid w:val="004D0209"/>
    <w:rsid w:val="004D0BEE"/>
    <w:rsid w:val="004D0C7F"/>
    <w:rsid w:val="004D0D28"/>
    <w:rsid w:val="004D0E66"/>
    <w:rsid w:val="004D1AA8"/>
    <w:rsid w:val="004D1E60"/>
    <w:rsid w:val="004D1F53"/>
    <w:rsid w:val="004D2329"/>
    <w:rsid w:val="004D3302"/>
    <w:rsid w:val="004D3BD9"/>
    <w:rsid w:val="004D4ADF"/>
    <w:rsid w:val="004D4CDC"/>
    <w:rsid w:val="004D53E4"/>
    <w:rsid w:val="004E03DE"/>
    <w:rsid w:val="004E0BE8"/>
    <w:rsid w:val="004E298F"/>
    <w:rsid w:val="004E2FE7"/>
    <w:rsid w:val="004E30BA"/>
    <w:rsid w:val="004E3817"/>
    <w:rsid w:val="004E4704"/>
    <w:rsid w:val="004E527F"/>
    <w:rsid w:val="004E671A"/>
    <w:rsid w:val="004E725B"/>
    <w:rsid w:val="004E72F9"/>
    <w:rsid w:val="004E7F20"/>
    <w:rsid w:val="004F011F"/>
    <w:rsid w:val="004F0537"/>
    <w:rsid w:val="004F0CFF"/>
    <w:rsid w:val="004F1FEA"/>
    <w:rsid w:val="004F2126"/>
    <w:rsid w:val="004F4672"/>
    <w:rsid w:val="004F4EBF"/>
    <w:rsid w:val="004F6CC8"/>
    <w:rsid w:val="004F7FEE"/>
    <w:rsid w:val="00500694"/>
    <w:rsid w:val="005012A2"/>
    <w:rsid w:val="005012FF"/>
    <w:rsid w:val="0050278B"/>
    <w:rsid w:val="00503DA3"/>
    <w:rsid w:val="0050449A"/>
    <w:rsid w:val="0050557C"/>
    <w:rsid w:val="00505E92"/>
    <w:rsid w:val="00506FB5"/>
    <w:rsid w:val="005106FF"/>
    <w:rsid w:val="00510C55"/>
    <w:rsid w:val="00511BCD"/>
    <w:rsid w:val="005125BA"/>
    <w:rsid w:val="00512B37"/>
    <w:rsid w:val="00512D4C"/>
    <w:rsid w:val="00512DB6"/>
    <w:rsid w:val="00513092"/>
    <w:rsid w:val="00514887"/>
    <w:rsid w:val="00514C48"/>
    <w:rsid w:val="00516A7B"/>
    <w:rsid w:val="00516CC4"/>
    <w:rsid w:val="0051743B"/>
    <w:rsid w:val="00521E6F"/>
    <w:rsid w:val="005220EC"/>
    <w:rsid w:val="0052227D"/>
    <w:rsid w:val="00523443"/>
    <w:rsid w:val="00524662"/>
    <w:rsid w:val="0052487D"/>
    <w:rsid w:val="00524ACE"/>
    <w:rsid w:val="00526CB9"/>
    <w:rsid w:val="005274C6"/>
    <w:rsid w:val="00530040"/>
    <w:rsid w:val="005301D4"/>
    <w:rsid w:val="00530488"/>
    <w:rsid w:val="0053058B"/>
    <w:rsid w:val="005308F9"/>
    <w:rsid w:val="00530B77"/>
    <w:rsid w:val="00530CE5"/>
    <w:rsid w:val="00531429"/>
    <w:rsid w:val="00531ED8"/>
    <w:rsid w:val="0053322D"/>
    <w:rsid w:val="0053342D"/>
    <w:rsid w:val="005339C5"/>
    <w:rsid w:val="00533A58"/>
    <w:rsid w:val="00533AA2"/>
    <w:rsid w:val="0053584D"/>
    <w:rsid w:val="005362B9"/>
    <w:rsid w:val="0053657E"/>
    <w:rsid w:val="005368F2"/>
    <w:rsid w:val="00536C71"/>
    <w:rsid w:val="00536DD0"/>
    <w:rsid w:val="00537567"/>
    <w:rsid w:val="0054204E"/>
    <w:rsid w:val="0054227B"/>
    <w:rsid w:val="00542395"/>
    <w:rsid w:val="00542D6B"/>
    <w:rsid w:val="00543508"/>
    <w:rsid w:val="005435B4"/>
    <w:rsid w:val="0054450E"/>
    <w:rsid w:val="00545097"/>
    <w:rsid w:val="0054528B"/>
    <w:rsid w:val="0054573E"/>
    <w:rsid w:val="00546946"/>
    <w:rsid w:val="0054736D"/>
    <w:rsid w:val="00547CF4"/>
    <w:rsid w:val="0055032E"/>
    <w:rsid w:val="00550E6D"/>
    <w:rsid w:val="00553865"/>
    <w:rsid w:val="00554B91"/>
    <w:rsid w:val="00554E4D"/>
    <w:rsid w:val="0055529E"/>
    <w:rsid w:val="00555F1D"/>
    <w:rsid w:val="00556698"/>
    <w:rsid w:val="00556AF7"/>
    <w:rsid w:val="00556C2E"/>
    <w:rsid w:val="00557066"/>
    <w:rsid w:val="00557DC7"/>
    <w:rsid w:val="00557E2D"/>
    <w:rsid w:val="0056042D"/>
    <w:rsid w:val="00560519"/>
    <w:rsid w:val="005608DD"/>
    <w:rsid w:val="005628B1"/>
    <w:rsid w:val="00563098"/>
    <w:rsid w:val="00564FE2"/>
    <w:rsid w:val="005651A0"/>
    <w:rsid w:val="00565211"/>
    <w:rsid w:val="00565B5B"/>
    <w:rsid w:val="005660C2"/>
    <w:rsid w:val="00571217"/>
    <w:rsid w:val="0057184A"/>
    <w:rsid w:val="0057333E"/>
    <w:rsid w:val="00573EA5"/>
    <w:rsid w:val="0057537F"/>
    <w:rsid w:val="0057635C"/>
    <w:rsid w:val="00577338"/>
    <w:rsid w:val="00580086"/>
    <w:rsid w:val="00580422"/>
    <w:rsid w:val="005813BE"/>
    <w:rsid w:val="005817D3"/>
    <w:rsid w:val="00582240"/>
    <w:rsid w:val="00582A8C"/>
    <w:rsid w:val="005900F1"/>
    <w:rsid w:val="00590F61"/>
    <w:rsid w:val="00593362"/>
    <w:rsid w:val="0059389A"/>
    <w:rsid w:val="00593CCE"/>
    <w:rsid w:val="005941F8"/>
    <w:rsid w:val="005951D3"/>
    <w:rsid w:val="005977DF"/>
    <w:rsid w:val="00597E51"/>
    <w:rsid w:val="005A12AC"/>
    <w:rsid w:val="005A1CDB"/>
    <w:rsid w:val="005A1F88"/>
    <w:rsid w:val="005A2AC0"/>
    <w:rsid w:val="005A2DAB"/>
    <w:rsid w:val="005A3B14"/>
    <w:rsid w:val="005A42E4"/>
    <w:rsid w:val="005A459E"/>
    <w:rsid w:val="005A5068"/>
    <w:rsid w:val="005A6A57"/>
    <w:rsid w:val="005A6BE0"/>
    <w:rsid w:val="005A770C"/>
    <w:rsid w:val="005A7C9C"/>
    <w:rsid w:val="005B008A"/>
    <w:rsid w:val="005B00AB"/>
    <w:rsid w:val="005B18C8"/>
    <w:rsid w:val="005B1946"/>
    <w:rsid w:val="005B2470"/>
    <w:rsid w:val="005B2758"/>
    <w:rsid w:val="005B28B8"/>
    <w:rsid w:val="005B2F69"/>
    <w:rsid w:val="005B3580"/>
    <w:rsid w:val="005B4460"/>
    <w:rsid w:val="005B5748"/>
    <w:rsid w:val="005B6678"/>
    <w:rsid w:val="005B6A39"/>
    <w:rsid w:val="005B75AF"/>
    <w:rsid w:val="005C006A"/>
    <w:rsid w:val="005C0395"/>
    <w:rsid w:val="005C048B"/>
    <w:rsid w:val="005C09A1"/>
    <w:rsid w:val="005C1368"/>
    <w:rsid w:val="005C1E0E"/>
    <w:rsid w:val="005C4990"/>
    <w:rsid w:val="005C4FDF"/>
    <w:rsid w:val="005C51D5"/>
    <w:rsid w:val="005C7BA9"/>
    <w:rsid w:val="005C7D5C"/>
    <w:rsid w:val="005D01F8"/>
    <w:rsid w:val="005D045D"/>
    <w:rsid w:val="005D0CCD"/>
    <w:rsid w:val="005D0F2A"/>
    <w:rsid w:val="005D38EF"/>
    <w:rsid w:val="005D3A5A"/>
    <w:rsid w:val="005D4C8A"/>
    <w:rsid w:val="005D5485"/>
    <w:rsid w:val="005D61F9"/>
    <w:rsid w:val="005D6791"/>
    <w:rsid w:val="005D6C0C"/>
    <w:rsid w:val="005D72AD"/>
    <w:rsid w:val="005E1D62"/>
    <w:rsid w:val="005E2186"/>
    <w:rsid w:val="005E350C"/>
    <w:rsid w:val="005E3972"/>
    <w:rsid w:val="005E3AF2"/>
    <w:rsid w:val="005E3BD5"/>
    <w:rsid w:val="005E5614"/>
    <w:rsid w:val="005E65DC"/>
    <w:rsid w:val="005E6F55"/>
    <w:rsid w:val="005E730F"/>
    <w:rsid w:val="005E749E"/>
    <w:rsid w:val="005E79E4"/>
    <w:rsid w:val="005F075E"/>
    <w:rsid w:val="005F1BE9"/>
    <w:rsid w:val="005F213B"/>
    <w:rsid w:val="005F216B"/>
    <w:rsid w:val="005F2FCD"/>
    <w:rsid w:val="005F4279"/>
    <w:rsid w:val="005F58FF"/>
    <w:rsid w:val="005F5A0E"/>
    <w:rsid w:val="005F5A34"/>
    <w:rsid w:val="005F5C3E"/>
    <w:rsid w:val="005F682B"/>
    <w:rsid w:val="005F73ED"/>
    <w:rsid w:val="00601B28"/>
    <w:rsid w:val="0060633F"/>
    <w:rsid w:val="0060780F"/>
    <w:rsid w:val="006100C2"/>
    <w:rsid w:val="006104BB"/>
    <w:rsid w:val="0061144F"/>
    <w:rsid w:val="0061185E"/>
    <w:rsid w:val="00611E4C"/>
    <w:rsid w:val="00613DCF"/>
    <w:rsid w:val="006144C5"/>
    <w:rsid w:val="006154F3"/>
    <w:rsid w:val="00616F7F"/>
    <w:rsid w:val="00617772"/>
    <w:rsid w:val="00617D0F"/>
    <w:rsid w:val="00617D4A"/>
    <w:rsid w:val="006203C9"/>
    <w:rsid w:val="006213E8"/>
    <w:rsid w:val="00621F0E"/>
    <w:rsid w:val="0062279A"/>
    <w:rsid w:val="0062381F"/>
    <w:rsid w:val="006238E7"/>
    <w:rsid w:val="00624398"/>
    <w:rsid w:val="006243BD"/>
    <w:rsid w:val="00624449"/>
    <w:rsid w:val="006246EA"/>
    <w:rsid w:val="00624AD7"/>
    <w:rsid w:val="00626081"/>
    <w:rsid w:val="006271CD"/>
    <w:rsid w:val="006276EC"/>
    <w:rsid w:val="00630B1E"/>
    <w:rsid w:val="00630E5D"/>
    <w:rsid w:val="00630F77"/>
    <w:rsid w:val="0063260D"/>
    <w:rsid w:val="00633127"/>
    <w:rsid w:val="00635E67"/>
    <w:rsid w:val="00635F7F"/>
    <w:rsid w:val="00636894"/>
    <w:rsid w:val="0063759F"/>
    <w:rsid w:val="00637E58"/>
    <w:rsid w:val="00637E71"/>
    <w:rsid w:val="0064165C"/>
    <w:rsid w:val="00641A76"/>
    <w:rsid w:val="00642317"/>
    <w:rsid w:val="00642EAC"/>
    <w:rsid w:val="00642F51"/>
    <w:rsid w:val="006441B4"/>
    <w:rsid w:val="00644AE5"/>
    <w:rsid w:val="00645192"/>
    <w:rsid w:val="00645738"/>
    <w:rsid w:val="00645B72"/>
    <w:rsid w:val="00645BFB"/>
    <w:rsid w:val="00646AC3"/>
    <w:rsid w:val="00646C42"/>
    <w:rsid w:val="00646D41"/>
    <w:rsid w:val="00647364"/>
    <w:rsid w:val="006508A8"/>
    <w:rsid w:val="00650F74"/>
    <w:rsid w:val="006516C4"/>
    <w:rsid w:val="00651858"/>
    <w:rsid w:val="00651F8D"/>
    <w:rsid w:val="006524C8"/>
    <w:rsid w:val="00653BFC"/>
    <w:rsid w:val="006546E9"/>
    <w:rsid w:val="006551D4"/>
    <w:rsid w:val="00655ED9"/>
    <w:rsid w:val="0065637E"/>
    <w:rsid w:val="00656B13"/>
    <w:rsid w:val="00656C11"/>
    <w:rsid w:val="006578CA"/>
    <w:rsid w:val="0066073F"/>
    <w:rsid w:val="00661559"/>
    <w:rsid w:val="006620B9"/>
    <w:rsid w:val="006622A9"/>
    <w:rsid w:val="00662C94"/>
    <w:rsid w:val="00663D38"/>
    <w:rsid w:val="00663E48"/>
    <w:rsid w:val="0066411B"/>
    <w:rsid w:val="00664805"/>
    <w:rsid w:val="006659E4"/>
    <w:rsid w:val="00665E52"/>
    <w:rsid w:val="006660C0"/>
    <w:rsid w:val="00666E34"/>
    <w:rsid w:val="0066711C"/>
    <w:rsid w:val="00667794"/>
    <w:rsid w:val="00667881"/>
    <w:rsid w:val="00667B20"/>
    <w:rsid w:val="006700BE"/>
    <w:rsid w:val="0067085D"/>
    <w:rsid w:val="00670A33"/>
    <w:rsid w:val="00671269"/>
    <w:rsid w:val="006714D6"/>
    <w:rsid w:val="0067228F"/>
    <w:rsid w:val="006722B7"/>
    <w:rsid w:val="00672A81"/>
    <w:rsid w:val="006737E4"/>
    <w:rsid w:val="00674C22"/>
    <w:rsid w:val="00674D05"/>
    <w:rsid w:val="00674D16"/>
    <w:rsid w:val="00675454"/>
    <w:rsid w:val="00675868"/>
    <w:rsid w:val="006759D4"/>
    <w:rsid w:val="00680AA8"/>
    <w:rsid w:val="00681034"/>
    <w:rsid w:val="006813A4"/>
    <w:rsid w:val="006817FF"/>
    <w:rsid w:val="00682429"/>
    <w:rsid w:val="0068485B"/>
    <w:rsid w:val="0068557B"/>
    <w:rsid w:val="00685B63"/>
    <w:rsid w:val="0068606D"/>
    <w:rsid w:val="00686A0F"/>
    <w:rsid w:val="0068720F"/>
    <w:rsid w:val="0068730D"/>
    <w:rsid w:val="0068781F"/>
    <w:rsid w:val="00687A7A"/>
    <w:rsid w:val="00687DBA"/>
    <w:rsid w:val="006902E7"/>
    <w:rsid w:val="00690AC5"/>
    <w:rsid w:val="00690D54"/>
    <w:rsid w:val="006910E6"/>
    <w:rsid w:val="006918FB"/>
    <w:rsid w:val="00691F4C"/>
    <w:rsid w:val="006921F9"/>
    <w:rsid w:val="00692C3B"/>
    <w:rsid w:val="00692C45"/>
    <w:rsid w:val="00692C9F"/>
    <w:rsid w:val="0069301E"/>
    <w:rsid w:val="00694D0A"/>
    <w:rsid w:val="00695757"/>
    <w:rsid w:val="00695F02"/>
    <w:rsid w:val="00696990"/>
    <w:rsid w:val="00697317"/>
    <w:rsid w:val="006A0F30"/>
    <w:rsid w:val="006A14D6"/>
    <w:rsid w:val="006A19E3"/>
    <w:rsid w:val="006A1CA7"/>
    <w:rsid w:val="006A265A"/>
    <w:rsid w:val="006A31B9"/>
    <w:rsid w:val="006A3B98"/>
    <w:rsid w:val="006A3CCF"/>
    <w:rsid w:val="006A40F7"/>
    <w:rsid w:val="006A5076"/>
    <w:rsid w:val="006A5312"/>
    <w:rsid w:val="006A5642"/>
    <w:rsid w:val="006A7695"/>
    <w:rsid w:val="006B0417"/>
    <w:rsid w:val="006B04D9"/>
    <w:rsid w:val="006B0661"/>
    <w:rsid w:val="006B0B8C"/>
    <w:rsid w:val="006B20F9"/>
    <w:rsid w:val="006B20FD"/>
    <w:rsid w:val="006B317E"/>
    <w:rsid w:val="006B35DA"/>
    <w:rsid w:val="006B3C1E"/>
    <w:rsid w:val="006B3C38"/>
    <w:rsid w:val="006B3D7C"/>
    <w:rsid w:val="006B4E99"/>
    <w:rsid w:val="006B684C"/>
    <w:rsid w:val="006C011F"/>
    <w:rsid w:val="006C060D"/>
    <w:rsid w:val="006C069E"/>
    <w:rsid w:val="006C0E9D"/>
    <w:rsid w:val="006C3688"/>
    <w:rsid w:val="006C4A2C"/>
    <w:rsid w:val="006C6876"/>
    <w:rsid w:val="006C7B47"/>
    <w:rsid w:val="006C7CE9"/>
    <w:rsid w:val="006D00EA"/>
    <w:rsid w:val="006D0C40"/>
    <w:rsid w:val="006D17D9"/>
    <w:rsid w:val="006D1C45"/>
    <w:rsid w:val="006D269B"/>
    <w:rsid w:val="006D3E50"/>
    <w:rsid w:val="006D4418"/>
    <w:rsid w:val="006D4839"/>
    <w:rsid w:val="006D48BE"/>
    <w:rsid w:val="006D4A7E"/>
    <w:rsid w:val="006D5313"/>
    <w:rsid w:val="006D59A3"/>
    <w:rsid w:val="006D6B9A"/>
    <w:rsid w:val="006D6F4E"/>
    <w:rsid w:val="006D6FAA"/>
    <w:rsid w:val="006D7374"/>
    <w:rsid w:val="006E028A"/>
    <w:rsid w:val="006E0333"/>
    <w:rsid w:val="006E0AEC"/>
    <w:rsid w:val="006E17A2"/>
    <w:rsid w:val="006E19C4"/>
    <w:rsid w:val="006E21CF"/>
    <w:rsid w:val="006E2600"/>
    <w:rsid w:val="006E2CD5"/>
    <w:rsid w:val="006E4477"/>
    <w:rsid w:val="006E62D7"/>
    <w:rsid w:val="006E646A"/>
    <w:rsid w:val="006E65E5"/>
    <w:rsid w:val="006E7295"/>
    <w:rsid w:val="006F04FD"/>
    <w:rsid w:val="006F223C"/>
    <w:rsid w:val="006F2532"/>
    <w:rsid w:val="006F332D"/>
    <w:rsid w:val="006F3815"/>
    <w:rsid w:val="006F4096"/>
    <w:rsid w:val="006F5A86"/>
    <w:rsid w:val="006F6E80"/>
    <w:rsid w:val="006F7C6F"/>
    <w:rsid w:val="006F7CE6"/>
    <w:rsid w:val="006F7E70"/>
    <w:rsid w:val="00700080"/>
    <w:rsid w:val="007001EF"/>
    <w:rsid w:val="00700B61"/>
    <w:rsid w:val="00700DD7"/>
    <w:rsid w:val="00702152"/>
    <w:rsid w:val="00703714"/>
    <w:rsid w:val="00704F5F"/>
    <w:rsid w:val="0070520C"/>
    <w:rsid w:val="00705381"/>
    <w:rsid w:val="00705964"/>
    <w:rsid w:val="00707277"/>
    <w:rsid w:val="0070758B"/>
    <w:rsid w:val="00710115"/>
    <w:rsid w:val="00710688"/>
    <w:rsid w:val="00710E91"/>
    <w:rsid w:val="00712CE6"/>
    <w:rsid w:val="00715425"/>
    <w:rsid w:val="007156EB"/>
    <w:rsid w:val="007158C5"/>
    <w:rsid w:val="0071590A"/>
    <w:rsid w:val="00715AA6"/>
    <w:rsid w:val="00716BE5"/>
    <w:rsid w:val="007177BE"/>
    <w:rsid w:val="00720006"/>
    <w:rsid w:val="00721E09"/>
    <w:rsid w:val="007223D0"/>
    <w:rsid w:val="0072365A"/>
    <w:rsid w:val="00723F71"/>
    <w:rsid w:val="00724CD9"/>
    <w:rsid w:val="00724FB1"/>
    <w:rsid w:val="0072520C"/>
    <w:rsid w:val="0072653C"/>
    <w:rsid w:val="00726881"/>
    <w:rsid w:val="00727328"/>
    <w:rsid w:val="00732F01"/>
    <w:rsid w:val="00733101"/>
    <w:rsid w:val="0073366C"/>
    <w:rsid w:val="00733A31"/>
    <w:rsid w:val="00734838"/>
    <w:rsid w:val="007348D8"/>
    <w:rsid w:val="00734FCA"/>
    <w:rsid w:val="00735C2E"/>
    <w:rsid w:val="00735F04"/>
    <w:rsid w:val="0073657D"/>
    <w:rsid w:val="00736B0E"/>
    <w:rsid w:val="00737043"/>
    <w:rsid w:val="007370B0"/>
    <w:rsid w:val="00741DFC"/>
    <w:rsid w:val="00741F0F"/>
    <w:rsid w:val="00741F2B"/>
    <w:rsid w:val="00743127"/>
    <w:rsid w:val="00743ADA"/>
    <w:rsid w:val="00743C75"/>
    <w:rsid w:val="00744021"/>
    <w:rsid w:val="00745EE1"/>
    <w:rsid w:val="00746127"/>
    <w:rsid w:val="007464F2"/>
    <w:rsid w:val="007465C8"/>
    <w:rsid w:val="00746955"/>
    <w:rsid w:val="007474E4"/>
    <w:rsid w:val="00747F2F"/>
    <w:rsid w:val="00750703"/>
    <w:rsid w:val="00750DE9"/>
    <w:rsid w:val="007512B5"/>
    <w:rsid w:val="00751A26"/>
    <w:rsid w:val="007538CC"/>
    <w:rsid w:val="00754765"/>
    <w:rsid w:val="00756F6F"/>
    <w:rsid w:val="0076039B"/>
    <w:rsid w:val="00760AA2"/>
    <w:rsid w:val="00761130"/>
    <w:rsid w:val="007613D2"/>
    <w:rsid w:val="00761731"/>
    <w:rsid w:val="0076260F"/>
    <w:rsid w:val="00763015"/>
    <w:rsid w:val="0076368E"/>
    <w:rsid w:val="007638F5"/>
    <w:rsid w:val="007642D4"/>
    <w:rsid w:val="007647AC"/>
    <w:rsid w:val="00764F14"/>
    <w:rsid w:val="0076573D"/>
    <w:rsid w:val="007659C9"/>
    <w:rsid w:val="007659D5"/>
    <w:rsid w:val="00766688"/>
    <w:rsid w:val="00766945"/>
    <w:rsid w:val="00766C19"/>
    <w:rsid w:val="00767677"/>
    <w:rsid w:val="007677DF"/>
    <w:rsid w:val="00767C24"/>
    <w:rsid w:val="00767F46"/>
    <w:rsid w:val="007708E6"/>
    <w:rsid w:val="00770BA8"/>
    <w:rsid w:val="0077122F"/>
    <w:rsid w:val="0077177B"/>
    <w:rsid w:val="00771B36"/>
    <w:rsid w:val="00771D58"/>
    <w:rsid w:val="00773606"/>
    <w:rsid w:val="00773CE2"/>
    <w:rsid w:val="00774CA2"/>
    <w:rsid w:val="0077570D"/>
    <w:rsid w:val="00775D49"/>
    <w:rsid w:val="0077638D"/>
    <w:rsid w:val="007773FD"/>
    <w:rsid w:val="007777B3"/>
    <w:rsid w:val="0078091F"/>
    <w:rsid w:val="0078137C"/>
    <w:rsid w:val="007826A8"/>
    <w:rsid w:val="00782BDC"/>
    <w:rsid w:val="007831CB"/>
    <w:rsid w:val="007836C3"/>
    <w:rsid w:val="0078397E"/>
    <w:rsid w:val="00784028"/>
    <w:rsid w:val="007847B0"/>
    <w:rsid w:val="00786076"/>
    <w:rsid w:val="007867AD"/>
    <w:rsid w:val="007868AD"/>
    <w:rsid w:val="00786BFC"/>
    <w:rsid w:val="0079040A"/>
    <w:rsid w:val="00791B73"/>
    <w:rsid w:val="00791DB8"/>
    <w:rsid w:val="007925DF"/>
    <w:rsid w:val="0079328B"/>
    <w:rsid w:val="007946B1"/>
    <w:rsid w:val="00795376"/>
    <w:rsid w:val="00795450"/>
    <w:rsid w:val="0079546A"/>
    <w:rsid w:val="007959A7"/>
    <w:rsid w:val="007A20AE"/>
    <w:rsid w:val="007A259F"/>
    <w:rsid w:val="007A28DD"/>
    <w:rsid w:val="007A70FF"/>
    <w:rsid w:val="007A7646"/>
    <w:rsid w:val="007B0261"/>
    <w:rsid w:val="007B0BFF"/>
    <w:rsid w:val="007B0C5B"/>
    <w:rsid w:val="007B1A77"/>
    <w:rsid w:val="007B1D4C"/>
    <w:rsid w:val="007B2F16"/>
    <w:rsid w:val="007B3431"/>
    <w:rsid w:val="007B40D0"/>
    <w:rsid w:val="007B482B"/>
    <w:rsid w:val="007B4A8E"/>
    <w:rsid w:val="007B4ED2"/>
    <w:rsid w:val="007B703F"/>
    <w:rsid w:val="007B7BDF"/>
    <w:rsid w:val="007C2546"/>
    <w:rsid w:val="007C2BF2"/>
    <w:rsid w:val="007C32E7"/>
    <w:rsid w:val="007C3816"/>
    <w:rsid w:val="007C3FE2"/>
    <w:rsid w:val="007C521D"/>
    <w:rsid w:val="007C54CD"/>
    <w:rsid w:val="007C5857"/>
    <w:rsid w:val="007C63D8"/>
    <w:rsid w:val="007C67B8"/>
    <w:rsid w:val="007C6CE0"/>
    <w:rsid w:val="007C793F"/>
    <w:rsid w:val="007D0D97"/>
    <w:rsid w:val="007D0E8E"/>
    <w:rsid w:val="007D1E2D"/>
    <w:rsid w:val="007D25D2"/>
    <w:rsid w:val="007D29E3"/>
    <w:rsid w:val="007D2DFE"/>
    <w:rsid w:val="007D2F0F"/>
    <w:rsid w:val="007D3105"/>
    <w:rsid w:val="007D4244"/>
    <w:rsid w:val="007D5BF8"/>
    <w:rsid w:val="007D5CD8"/>
    <w:rsid w:val="007D617F"/>
    <w:rsid w:val="007D6DCA"/>
    <w:rsid w:val="007D7D9F"/>
    <w:rsid w:val="007D7EE9"/>
    <w:rsid w:val="007E0B53"/>
    <w:rsid w:val="007E0C9A"/>
    <w:rsid w:val="007E0F31"/>
    <w:rsid w:val="007E230E"/>
    <w:rsid w:val="007E2B82"/>
    <w:rsid w:val="007E2E45"/>
    <w:rsid w:val="007E3323"/>
    <w:rsid w:val="007F025B"/>
    <w:rsid w:val="007F02C7"/>
    <w:rsid w:val="007F199E"/>
    <w:rsid w:val="007F2258"/>
    <w:rsid w:val="007F23BC"/>
    <w:rsid w:val="007F5D5A"/>
    <w:rsid w:val="007F5ECB"/>
    <w:rsid w:val="007F5F93"/>
    <w:rsid w:val="007F63F2"/>
    <w:rsid w:val="007F7ADA"/>
    <w:rsid w:val="008003F1"/>
    <w:rsid w:val="00801010"/>
    <w:rsid w:val="008025BA"/>
    <w:rsid w:val="00802AEF"/>
    <w:rsid w:val="00802C8E"/>
    <w:rsid w:val="00802F43"/>
    <w:rsid w:val="00803235"/>
    <w:rsid w:val="0080384F"/>
    <w:rsid w:val="00804BEB"/>
    <w:rsid w:val="008072EF"/>
    <w:rsid w:val="008101DE"/>
    <w:rsid w:val="00810DDA"/>
    <w:rsid w:val="00811E52"/>
    <w:rsid w:val="00811F5E"/>
    <w:rsid w:val="00812946"/>
    <w:rsid w:val="00813C10"/>
    <w:rsid w:val="00814EFD"/>
    <w:rsid w:val="008157F0"/>
    <w:rsid w:val="0081608C"/>
    <w:rsid w:val="0081756B"/>
    <w:rsid w:val="008179DF"/>
    <w:rsid w:val="00817C02"/>
    <w:rsid w:val="00820255"/>
    <w:rsid w:val="00820CD0"/>
    <w:rsid w:val="00821505"/>
    <w:rsid w:val="00822059"/>
    <w:rsid w:val="00823A0B"/>
    <w:rsid w:val="00823A23"/>
    <w:rsid w:val="008245C8"/>
    <w:rsid w:val="00825343"/>
    <w:rsid w:val="00825504"/>
    <w:rsid w:val="0082707C"/>
    <w:rsid w:val="00827150"/>
    <w:rsid w:val="00830A29"/>
    <w:rsid w:val="00830ABD"/>
    <w:rsid w:val="008310DA"/>
    <w:rsid w:val="00831733"/>
    <w:rsid w:val="00831DB1"/>
    <w:rsid w:val="00832459"/>
    <w:rsid w:val="008337E4"/>
    <w:rsid w:val="008342E2"/>
    <w:rsid w:val="008354DD"/>
    <w:rsid w:val="008359EA"/>
    <w:rsid w:val="00836ADF"/>
    <w:rsid w:val="00837751"/>
    <w:rsid w:val="0083778D"/>
    <w:rsid w:val="00837FEC"/>
    <w:rsid w:val="00840521"/>
    <w:rsid w:val="00840E74"/>
    <w:rsid w:val="00841EFB"/>
    <w:rsid w:val="008424AB"/>
    <w:rsid w:val="00843AA4"/>
    <w:rsid w:val="008445E5"/>
    <w:rsid w:val="00844E50"/>
    <w:rsid w:val="00844FFF"/>
    <w:rsid w:val="00845D73"/>
    <w:rsid w:val="00846721"/>
    <w:rsid w:val="0084679B"/>
    <w:rsid w:val="008469D6"/>
    <w:rsid w:val="00851D6C"/>
    <w:rsid w:val="00852781"/>
    <w:rsid w:val="00854264"/>
    <w:rsid w:val="00854CE7"/>
    <w:rsid w:val="0085568B"/>
    <w:rsid w:val="00855CEA"/>
    <w:rsid w:val="00855D3E"/>
    <w:rsid w:val="00855E31"/>
    <w:rsid w:val="008561F5"/>
    <w:rsid w:val="00856C7D"/>
    <w:rsid w:val="00856EBF"/>
    <w:rsid w:val="0085703D"/>
    <w:rsid w:val="00860ABB"/>
    <w:rsid w:val="008653B3"/>
    <w:rsid w:val="00865813"/>
    <w:rsid w:val="00865CA1"/>
    <w:rsid w:val="00865F6A"/>
    <w:rsid w:val="0086601F"/>
    <w:rsid w:val="00866F09"/>
    <w:rsid w:val="00867233"/>
    <w:rsid w:val="0086787D"/>
    <w:rsid w:val="00867B8A"/>
    <w:rsid w:val="00867CBB"/>
    <w:rsid w:val="008700CC"/>
    <w:rsid w:val="00871625"/>
    <w:rsid w:val="00872156"/>
    <w:rsid w:val="00872390"/>
    <w:rsid w:val="008726F1"/>
    <w:rsid w:val="00872D15"/>
    <w:rsid w:val="008730F5"/>
    <w:rsid w:val="008732E7"/>
    <w:rsid w:val="00873775"/>
    <w:rsid w:val="008737A5"/>
    <w:rsid w:val="00873DDB"/>
    <w:rsid w:val="00874C56"/>
    <w:rsid w:val="00875361"/>
    <w:rsid w:val="00877FEF"/>
    <w:rsid w:val="00880155"/>
    <w:rsid w:val="00880C0D"/>
    <w:rsid w:val="00880D7B"/>
    <w:rsid w:val="0088237F"/>
    <w:rsid w:val="00882A5B"/>
    <w:rsid w:val="00883189"/>
    <w:rsid w:val="00883335"/>
    <w:rsid w:val="0088400D"/>
    <w:rsid w:val="008841E3"/>
    <w:rsid w:val="00884476"/>
    <w:rsid w:val="008846B1"/>
    <w:rsid w:val="00886C4A"/>
    <w:rsid w:val="008871F0"/>
    <w:rsid w:val="008873FA"/>
    <w:rsid w:val="00887769"/>
    <w:rsid w:val="00892B95"/>
    <w:rsid w:val="00894667"/>
    <w:rsid w:val="00894FB2"/>
    <w:rsid w:val="008952E1"/>
    <w:rsid w:val="00895ABE"/>
    <w:rsid w:val="00895C02"/>
    <w:rsid w:val="008960FF"/>
    <w:rsid w:val="008962C9"/>
    <w:rsid w:val="0089641E"/>
    <w:rsid w:val="00896769"/>
    <w:rsid w:val="00896AD0"/>
    <w:rsid w:val="00897133"/>
    <w:rsid w:val="008973DF"/>
    <w:rsid w:val="008976A4"/>
    <w:rsid w:val="00897FA4"/>
    <w:rsid w:val="008A0130"/>
    <w:rsid w:val="008A05B9"/>
    <w:rsid w:val="008A151B"/>
    <w:rsid w:val="008A2AE7"/>
    <w:rsid w:val="008A3DC6"/>
    <w:rsid w:val="008A4397"/>
    <w:rsid w:val="008A4B21"/>
    <w:rsid w:val="008A4B97"/>
    <w:rsid w:val="008A4DA1"/>
    <w:rsid w:val="008B027E"/>
    <w:rsid w:val="008B1A7B"/>
    <w:rsid w:val="008B2112"/>
    <w:rsid w:val="008B238E"/>
    <w:rsid w:val="008B46FD"/>
    <w:rsid w:val="008B4ACC"/>
    <w:rsid w:val="008C0581"/>
    <w:rsid w:val="008C10F9"/>
    <w:rsid w:val="008C15FF"/>
    <w:rsid w:val="008C1613"/>
    <w:rsid w:val="008C27AC"/>
    <w:rsid w:val="008C29EA"/>
    <w:rsid w:val="008C391E"/>
    <w:rsid w:val="008C3B03"/>
    <w:rsid w:val="008C5BAE"/>
    <w:rsid w:val="008C7185"/>
    <w:rsid w:val="008C7A6E"/>
    <w:rsid w:val="008D1A66"/>
    <w:rsid w:val="008D2720"/>
    <w:rsid w:val="008D394C"/>
    <w:rsid w:val="008D4CF5"/>
    <w:rsid w:val="008D50B1"/>
    <w:rsid w:val="008D53A2"/>
    <w:rsid w:val="008D6039"/>
    <w:rsid w:val="008D650D"/>
    <w:rsid w:val="008D6A6D"/>
    <w:rsid w:val="008D7696"/>
    <w:rsid w:val="008D77E2"/>
    <w:rsid w:val="008E07E2"/>
    <w:rsid w:val="008E143F"/>
    <w:rsid w:val="008E1FD1"/>
    <w:rsid w:val="008E27F4"/>
    <w:rsid w:val="008E2E62"/>
    <w:rsid w:val="008E3253"/>
    <w:rsid w:val="008E3CD1"/>
    <w:rsid w:val="008E53F9"/>
    <w:rsid w:val="008E557E"/>
    <w:rsid w:val="008E67E0"/>
    <w:rsid w:val="008E7653"/>
    <w:rsid w:val="008E7EE9"/>
    <w:rsid w:val="008F020F"/>
    <w:rsid w:val="008F1164"/>
    <w:rsid w:val="008F1352"/>
    <w:rsid w:val="008F2302"/>
    <w:rsid w:val="008F25D6"/>
    <w:rsid w:val="008F2B37"/>
    <w:rsid w:val="008F3189"/>
    <w:rsid w:val="008F3249"/>
    <w:rsid w:val="008F33D9"/>
    <w:rsid w:val="008F3487"/>
    <w:rsid w:val="008F3661"/>
    <w:rsid w:val="008F6CC3"/>
    <w:rsid w:val="0090019D"/>
    <w:rsid w:val="00901A76"/>
    <w:rsid w:val="00902AD5"/>
    <w:rsid w:val="00902DEB"/>
    <w:rsid w:val="00902E6E"/>
    <w:rsid w:val="00902F6A"/>
    <w:rsid w:val="00903256"/>
    <w:rsid w:val="009037AA"/>
    <w:rsid w:val="009042B7"/>
    <w:rsid w:val="00904701"/>
    <w:rsid w:val="009063A2"/>
    <w:rsid w:val="00907759"/>
    <w:rsid w:val="00907E1D"/>
    <w:rsid w:val="0091015A"/>
    <w:rsid w:val="00914D08"/>
    <w:rsid w:val="00914D5C"/>
    <w:rsid w:val="009167B8"/>
    <w:rsid w:val="00917039"/>
    <w:rsid w:val="00917508"/>
    <w:rsid w:val="00917FD7"/>
    <w:rsid w:val="00920C56"/>
    <w:rsid w:val="009213BD"/>
    <w:rsid w:val="00921A91"/>
    <w:rsid w:val="00922153"/>
    <w:rsid w:val="00922AD8"/>
    <w:rsid w:val="009236AC"/>
    <w:rsid w:val="00923DEE"/>
    <w:rsid w:val="00924461"/>
    <w:rsid w:val="00925AFD"/>
    <w:rsid w:val="0092684D"/>
    <w:rsid w:val="00927007"/>
    <w:rsid w:val="009270AB"/>
    <w:rsid w:val="00927227"/>
    <w:rsid w:val="00930D9F"/>
    <w:rsid w:val="009322E8"/>
    <w:rsid w:val="00932B2F"/>
    <w:rsid w:val="00932BFA"/>
    <w:rsid w:val="00933137"/>
    <w:rsid w:val="00933957"/>
    <w:rsid w:val="009353A4"/>
    <w:rsid w:val="00935B3B"/>
    <w:rsid w:val="00935EC9"/>
    <w:rsid w:val="00936D2E"/>
    <w:rsid w:val="00937C0C"/>
    <w:rsid w:val="009402D2"/>
    <w:rsid w:val="0094047E"/>
    <w:rsid w:val="00942F2A"/>
    <w:rsid w:val="00943A5E"/>
    <w:rsid w:val="00943B17"/>
    <w:rsid w:val="00943FB5"/>
    <w:rsid w:val="00944C9E"/>
    <w:rsid w:val="00944F5A"/>
    <w:rsid w:val="00945EDA"/>
    <w:rsid w:val="00946D71"/>
    <w:rsid w:val="00947249"/>
    <w:rsid w:val="00950671"/>
    <w:rsid w:val="00952082"/>
    <w:rsid w:val="00952B0D"/>
    <w:rsid w:val="0095304C"/>
    <w:rsid w:val="00953192"/>
    <w:rsid w:val="009542C3"/>
    <w:rsid w:val="00954D3B"/>
    <w:rsid w:val="00955D09"/>
    <w:rsid w:val="0095641C"/>
    <w:rsid w:val="00956A2B"/>
    <w:rsid w:val="00956C59"/>
    <w:rsid w:val="009575DF"/>
    <w:rsid w:val="0095766B"/>
    <w:rsid w:val="00957A68"/>
    <w:rsid w:val="00957FF7"/>
    <w:rsid w:val="0096406D"/>
    <w:rsid w:val="00964744"/>
    <w:rsid w:val="009654BE"/>
    <w:rsid w:val="009658DD"/>
    <w:rsid w:val="00965B1B"/>
    <w:rsid w:val="00966153"/>
    <w:rsid w:val="00966DBD"/>
    <w:rsid w:val="009703F5"/>
    <w:rsid w:val="009709BE"/>
    <w:rsid w:val="00971448"/>
    <w:rsid w:val="00972F2C"/>
    <w:rsid w:val="00973356"/>
    <w:rsid w:val="00973526"/>
    <w:rsid w:val="00973AC4"/>
    <w:rsid w:val="00974FEE"/>
    <w:rsid w:val="00975607"/>
    <w:rsid w:val="00976ED8"/>
    <w:rsid w:val="00977BBE"/>
    <w:rsid w:val="00980A0F"/>
    <w:rsid w:val="00980D0B"/>
    <w:rsid w:val="0098178F"/>
    <w:rsid w:val="00982856"/>
    <w:rsid w:val="009836BD"/>
    <w:rsid w:val="009837CD"/>
    <w:rsid w:val="00983DF7"/>
    <w:rsid w:val="009849E1"/>
    <w:rsid w:val="00984C40"/>
    <w:rsid w:val="009853CC"/>
    <w:rsid w:val="009858B2"/>
    <w:rsid w:val="009879B6"/>
    <w:rsid w:val="00987D01"/>
    <w:rsid w:val="00990271"/>
    <w:rsid w:val="00991E4E"/>
    <w:rsid w:val="0099236E"/>
    <w:rsid w:val="009923A5"/>
    <w:rsid w:val="009926C0"/>
    <w:rsid w:val="00993DA0"/>
    <w:rsid w:val="009946FD"/>
    <w:rsid w:val="00994F38"/>
    <w:rsid w:val="0099555E"/>
    <w:rsid w:val="0099632B"/>
    <w:rsid w:val="0099648F"/>
    <w:rsid w:val="00997437"/>
    <w:rsid w:val="0099759A"/>
    <w:rsid w:val="009A084C"/>
    <w:rsid w:val="009A0F89"/>
    <w:rsid w:val="009A0FC7"/>
    <w:rsid w:val="009A210C"/>
    <w:rsid w:val="009A2732"/>
    <w:rsid w:val="009A2B1C"/>
    <w:rsid w:val="009A2C02"/>
    <w:rsid w:val="009A31E1"/>
    <w:rsid w:val="009A41FE"/>
    <w:rsid w:val="009A48E4"/>
    <w:rsid w:val="009A499A"/>
    <w:rsid w:val="009A4EA3"/>
    <w:rsid w:val="009A6523"/>
    <w:rsid w:val="009A7091"/>
    <w:rsid w:val="009A73FC"/>
    <w:rsid w:val="009B0FE8"/>
    <w:rsid w:val="009B10CB"/>
    <w:rsid w:val="009B2D65"/>
    <w:rsid w:val="009B37A7"/>
    <w:rsid w:val="009B3926"/>
    <w:rsid w:val="009B4E6F"/>
    <w:rsid w:val="009B5CD5"/>
    <w:rsid w:val="009B6AED"/>
    <w:rsid w:val="009B7392"/>
    <w:rsid w:val="009B7429"/>
    <w:rsid w:val="009C03E3"/>
    <w:rsid w:val="009C2437"/>
    <w:rsid w:val="009C248C"/>
    <w:rsid w:val="009C25D0"/>
    <w:rsid w:val="009C25DF"/>
    <w:rsid w:val="009C2E75"/>
    <w:rsid w:val="009C3196"/>
    <w:rsid w:val="009C446E"/>
    <w:rsid w:val="009C4ADA"/>
    <w:rsid w:val="009C636B"/>
    <w:rsid w:val="009C7202"/>
    <w:rsid w:val="009C76CD"/>
    <w:rsid w:val="009C7B2B"/>
    <w:rsid w:val="009D031D"/>
    <w:rsid w:val="009D270B"/>
    <w:rsid w:val="009D2A5F"/>
    <w:rsid w:val="009D31D7"/>
    <w:rsid w:val="009D32E2"/>
    <w:rsid w:val="009D367F"/>
    <w:rsid w:val="009D60EA"/>
    <w:rsid w:val="009D677F"/>
    <w:rsid w:val="009D7A69"/>
    <w:rsid w:val="009E21DB"/>
    <w:rsid w:val="009E23CD"/>
    <w:rsid w:val="009E23D6"/>
    <w:rsid w:val="009E2D7E"/>
    <w:rsid w:val="009E3043"/>
    <w:rsid w:val="009E3289"/>
    <w:rsid w:val="009E3311"/>
    <w:rsid w:val="009E3567"/>
    <w:rsid w:val="009E4217"/>
    <w:rsid w:val="009E4569"/>
    <w:rsid w:val="009E4848"/>
    <w:rsid w:val="009E60FE"/>
    <w:rsid w:val="009E681D"/>
    <w:rsid w:val="009E68AC"/>
    <w:rsid w:val="009E6DE4"/>
    <w:rsid w:val="009E720F"/>
    <w:rsid w:val="009E7B0A"/>
    <w:rsid w:val="009E7C58"/>
    <w:rsid w:val="009F0C81"/>
    <w:rsid w:val="009F2839"/>
    <w:rsid w:val="009F289F"/>
    <w:rsid w:val="009F3757"/>
    <w:rsid w:val="009F4863"/>
    <w:rsid w:val="009F4D66"/>
    <w:rsid w:val="009F52E4"/>
    <w:rsid w:val="009F6507"/>
    <w:rsid w:val="009F6A13"/>
    <w:rsid w:val="00A00322"/>
    <w:rsid w:val="00A0035A"/>
    <w:rsid w:val="00A019A3"/>
    <w:rsid w:val="00A022EE"/>
    <w:rsid w:val="00A04B6B"/>
    <w:rsid w:val="00A04FE3"/>
    <w:rsid w:val="00A062A3"/>
    <w:rsid w:val="00A06EDA"/>
    <w:rsid w:val="00A102C9"/>
    <w:rsid w:val="00A111E4"/>
    <w:rsid w:val="00A11612"/>
    <w:rsid w:val="00A1395B"/>
    <w:rsid w:val="00A14877"/>
    <w:rsid w:val="00A14D7F"/>
    <w:rsid w:val="00A14FAC"/>
    <w:rsid w:val="00A16299"/>
    <w:rsid w:val="00A164C1"/>
    <w:rsid w:val="00A172F8"/>
    <w:rsid w:val="00A1760B"/>
    <w:rsid w:val="00A2061C"/>
    <w:rsid w:val="00A21B14"/>
    <w:rsid w:val="00A235F2"/>
    <w:rsid w:val="00A23BA8"/>
    <w:rsid w:val="00A24D1E"/>
    <w:rsid w:val="00A250B1"/>
    <w:rsid w:val="00A25FE5"/>
    <w:rsid w:val="00A27478"/>
    <w:rsid w:val="00A31D56"/>
    <w:rsid w:val="00A32CA9"/>
    <w:rsid w:val="00A335DD"/>
    <w:rsid w:val="00A33D97"/>
    <w:rsid w:val="00A34E4E"/>
    <w:rsid w:val="00A35729"/>
    <w:rsid w:val="00A35D9B"/>
    <w:rsid w:val="00A36559"/>
    <w:rsid w:val="00A36C9C"/>
    <w:rsid w:val="00A40290"/>
    <w:rsid w:val="00A4070F"/>
    <w:rsid w:val="00A40CF5"/>
    <w:rsid w:val="00A417D4"/>
    <w:rsid w:val="00A41BE6"/>
    <w:rsid w:val="00A41F30"/>
    <w:rsid w:val="00A44009"/>
    <w:rsid w:val="00A454B5"/>
    <w:rsid w:val="00A45776"/>
    <w:rsid w:val="00A45BEF"/>
    <w:rsid w:val="00A462E7"/>
    <w:rsid w:val="00A4674F"/>
    <w:rsid w:val="00A51124"/>
    <w:rsid w:val="00A5132C"/>
    <w:rsid w:val="00A5150C"/>
    <w:rsid w:val="00A515B8"/>
    <w:rsid w:val="00A52993"/>
    <w:rsid w:val="00A52BCB"/>
    <w:rsid w:val="00A52D21"/>
    <w:rsid w:val="00A530D6"/>
    <w:rsid w:val="00A5463E"/>
    <w:rsid w:val="00A549F5"/>
    <w:rsid w:val="00A54EED"/>
    <w:rsid w:val="00A5520A"/>
    <w:rsid w:val="00A557DA"/>
    <w:rsid w:val="00A560C0"/>
    <w:rsid w:val="00A5695D"/>
    <w:rsid w:val="00A56A98"/>
    <w:rsid w:val="00A57ABA"/>
    <w:rsid w:val="00A612AF"/>
    <w:rsid w:val="00A615D6"/>
    <w:rsid w:val="00A616C1"/>
    <w:rsid w:val="00A61924"/>
    <w:rsid w:val="00A62459"/>
    <w:rsid w:val="00A62604"/>
    <w:rsid w:val="00A6287E"/>
    <w:rsid w:val="00A632D2"/>
    <w:rsid w:val="00A632F0"/>
    <w:rsid w:val="00A646A7"/>
    <w:rsid w:val="00A6538F"/>
    <w:rsid w:val="00A71ABF"/>
    <w:rsid w:val="00A71B6D"/>
    <w:rsid w:val="00A72D57"/>
    <w:rsid w:val="00A73CF0"/>
    <w:rsid w:val="00A73DEB"/>
    <w:rsid w:val="00A74309"/>
    <w:rsid w:val="00A74532"/>
    <w:rsid w:val="00A74A31"/>
    <w:rsid w:val="00A754D2"/>
    <w:rsid w:val="00A765CA"/>
    <w:rsid w:val="00A771DD"/>
    <w:rsid w:val="00A77540"/>
    <w:rsid w:val="00A777B2"/>
    <w:rsid w:val="00A801AC"/>
    <w:rsid w:val="00A8025E"/>
    <w:rsid w:val="00A81235"/>
    <w:rsid w:val="00A81320"/>
    <w:rsid w:val="00A826A7"/>
    <w:rsid w:val="00A82A8B"/>
    <w:rsid w:val="00A82BAF"/>
    <w:rsid w:val="00A82F7D"/>
    <w:rsid w:val="00A835F1"/>
    <w:rsid w:val="00A83EAA"/>
    <w:rsid w:val="00A84215"/>
    <w:rsid w:val="00A8514C"/>
    <w:rsid w:val="00A859A8"/>
    <w:rsid w:val="00A85E80"/>
    <w:rsid w:val="00A862C2"/>
    <w:rsid w:val="00A86CDE"/>
    <w:rsid w:val="00A8705A"/>
    <w:rsid w:val="00A901FE"/>
    <w:rsid w:val="00A911F3"/>
    <w:rsid w:val="00A922E3"/>
    <w:rsid w:val="00A93081"/>
    <w:rsid w:val="00A93E2E"/>
    <w:rsid w:val="00A9418D"/>
    <w:rsid w:val="00A94585"/>
    <w:rsid w:val="00A94755"/>
    <w:rsid w:val="00A94775"/>
    <w:rsid w:val="00A9569F"/>
    <w:rsid w:val="00A97E5B"/>
    <w:rsid w:val="00AA144E"/>
    <w:rsid w:val="00AA14D5"/>
    <w:rsid w:val="00AA2820"/>
    <w:rsid w:val="00AA2B9A"/>
    <w:rsid w:val="00AA46AE"/>
    <w:rsid w:val="00AA51AD"/>
    <w:rsid w:val="00AB07E9"/>
    <w:rsid w:val="00AB0997"/>
    <w:rsid w:val="00AB0C7E"/>
    <w:rsid w:val="00AB106E"/>
    <w:rsid w:val="00AB12FE"/>
    <w:rsid w:val="00AB1365"/>
    <w:rsid w:val="00AB243A"/>
    <w:rsid w:val="00AB3150"/>
    <w:rsid w:val="00AB3820"/>
    <w:rsid w:val="00AB4B25"/>
    <w:rsid w:val="00AB5A87"/>
    <w:rsid w:val="00AB61D0"/>
    <w:rsid w:val="00AB66C7"/>
    <w:rsid w:val="00AB6A2D"/>
    <w:rsid w:val="00AB7D76"/>
    <w:rsid w:val="00AC0749"/>
    <w:rsid w:val="00AC14A9"/>
    <w:rsid w:val="00AC2222"/>
    <w:rsid w:val="00AC25F8"/>
    <w:rsid w:val="00AC25FF"/>
    <w:rsid w:val="00AC2CF9"/>
    <w:rsid w:val="00AC2CFA"/>
    <w:rsid w:val="00AC346D"/>
    <w:rsid w:val="00AC43F6"/>
    <w:rsid w:val="00AC44BD"/>
    <w:rsid w:val="00AC5A9C"/>
    <w:rsid w:val="00AC7908"/>
    <w:rsid w:val="00AD1D9B"/>
    <w:rsid w:val="00AD2362"/>
    <w:rsid w:val="00AD25A3"/>
    <w:rsid w:val="00AD2709"/>
    <w:rsid w:val="00AD29A7"/>
    <w:rsid w:val="00AD2B7F"/>
    <w:rsid w:val="00AD2D7B"/>
    <w:rsid w:val="00AD2FEC"/>
    <w:rsid w:val="00AD34FD"/>
    <w:rsid w:val="00AD3A3B"/>
    <w:rsid w:val="00AD48A9"/>
    <w:rsid w:val="00AD5A25"/>
    <w:rsid w:val="00AD61EA"/>
    <w:rsid w:val="00AD6378"/>
    <w:rsid w:val="00AD6DB2"/>
    <w:rsid w:val="00AD7283"/>
    <w:rsid w:val="00AD7E75"/>
    <w:rsid w:val="00AE06A0"/>
    <w:rsid w:val="00AE2434"/>
    <w:rsid w:val="00AE414F"/>
    <w:rsid w:val="00AE5C7E"/>
    <w:rsid w:val="00AE6990"/>
    <w:rsid w:val="00AE7082"/>
    <w:rsid w:val="00AE7229"/>
    <w:rsid w:val="00AE7F5C"/>
    <w:rsid w:val="00AF06EB"/>
    <w:rsid w:val="00AF0BA3"/>
    <w:rsid w:val="00AF0EF5"/>
    <w:rsid w:val="00AF1B0B"/>
    <w:rsid w:val="00AF5117"/>
    <w:rsid w:val="00AF5DAA"/>
    <w:rsid w:val="00AF5E8D"/>
    <w:rsid w:val="00AF6443"/>
    <w:rsid w:val="00AF6AF9"/>
    <w:rsid w:val="00AF716D"/>
    <w:rsid w:val="00AF7540"/>
    <w:rsid w:val="00B00469"/>
    <w:rsid w:val="00B009E9"/>
    <w:rsid w:val="00B00D63"/>
    <w:rsid w:val="00B02E9A"/>
    <w:rsid w:val="00B03A00"/>
    <w:rsid w:val="00B043A1"/>
    <w:rsid w:val="00B04507"/>
    <w:rsid w:val="00B049A1"/>
    <w:rsid w:val="00B06522"/>
    <w:rsid w:val="00B069EA"/>
    <w:rsid w:val="00B074C3"/>
    <w:rsid w:val="00B100B7"/>
    <w:rsid w:val="00B10613"/>
    <w:rsid w:val="00B10C90"/>
    <w:rsid w:val="00B10F23"/>
    <w:rsid w:val="00B10F4B"/>
    <w:rsid w:val="00B1104D"/>
    <w:rsid w:val="00B11A8E"/>
    <w:rsid w:val="00B12451"/>
    <w:rsid w:val="00B12726"/>
    <w:rsid w:val="00B13626"/>
    <w:rsid w:val="00B13A63"/>
    <w:rsid w:val="00B1424C"/>
    <w:rsid w:val="00B14A6F"/>
    <w:rsid w:val="00B20E1B"/>
    <w:rsid w:val="00B21119"/>
    <w:rsid w:val="00B21148"/>
    <w:rsid w:val="00B213CB"/>
    <w:rsid w:val="00B2158B"/>
    <w:rsid w:val="00B23C0B"/>
    <w:rsid w:val="00B23D8B"/>
    <w:rsid w:val="00B240EF"/>
    <w:rsid w:val="00B2419B"/>
    <w:rsid w:val="00B24812"/>
    <w:rsid w:val="00B253C3"/>
    <w:rsid w:val="00B257FC"/>
    <w:rsid w:val="00B26299"/>
    <w:rsid w:val="00B27FD9"/>
    <w:rsid w:val="00B3009D"/>
    <w:rsid w:val="00B31F4F"/>
    <w:rsid w:val="00B320F0"/>
    <w:rsid w:val="00B321A5"/>
    <w:rsid w:val="00B327B7"/>
    <w:rsid w:val="00B33F2D"/>
    <w:rsid w:val="00B349C3"/>
    <w:rsid w:val="00B362B7"/>
    <w:rsid w:val="00B36B45"/>
    <w:rsid w:val="00B36F1D"/>
    <w:rsid w:val="00B36FC9"/>
    <w:rsid w:val="00B37F07"/>
    <w:rsid w:val="00B40818"/>
    <w:rsid w:val="00B41B7E"/>
    <w:rsid w:val="00B41CE2"/>
    <w:rsid w:val="00B41E47"/>
    <w:rsid w:val="00B442AE"/>
    <w:rsid w:val="00B44B5D"/>
    <w:rsid w:val="00B44E5B"/>
    <w:rsid w:val="00B45526"/>
    <w:rsid w:val="00B47357"/>
    <w:rsid w:val="00B51D60"/>
    <w:rsid w:val="00B5278C"/>
    <w:rsid w:val="00B5375A"/>
    <w:rsid w:val="00B540FA"/>
    <w:rsid w:val="00B5422F"/>
    <w:rsid w:val="00B561B5"/>
    <w:rsid w:val="00B56887"/>
    <w:rsid w:val="00B56C79"/>
    <w:rsid w:val="00B56F68"/>
    <w:rsid w:val="00B57729"/>
    <w:rsid w:val="00B602E0"/>
    <w:rsid w:val="00B60444"/>
    <w:rsid w:val="00B6068A"/>
    <w:rsid w:val="00B608C5"/>
    <w:rsid w:val="00B60B7F"/>
    <w:rsid w:val="00B614FC"/>
    <w:rsid w:val="00B61661"/>
    <w:rsid w:val="00B62595"/>
    <w:rsid w:val="00B629BB"/>
    <w:rsid w:val="00B63DE0"/>
    <w:rsid w:val="00B64431"/>
    <w:rsid w:val="00B65651"/>
    <w:rsid w:val="00B66244"/>
    <w:rsid w:val="00B669D9"/>
    <w:rsid w:val="00B66FCC"/>
    <w:rsid w:val="00B67087"/>
    <w:rsid w:val="00B70702"/>
    <w:rsid w:val="00B73647"/>
    <w:rsid w:val="00B73891"/>
    <w:rsid w:val="00B7482F"/>
    <w:rsid w:val="00B763E0"/>
    <w:rsid w:val="00B77542"/>
    <w:rsid w:val="00B80807"/>
    <w:rsid w:val="00B80ABD"/>
    <w:rsid w:val="00B826F9"/>
    <w:rsid w:val="00B84C5F"/>
    <w:rsid w:val="00B84FB6"/>
    <w:rsid w:val="00B85072"/>
    <w:rsid w:val="00B8558F"/>
    <w:rsid w:val="00B858C6"/>
    <w:rsid w:val="00B86F8F"/>
    <w:rsid w:val="00B8713E"/>
    <w:rsid w:val="00B9009A"/>
    <w:rsid w:val="00B903D1"/>
    <w:rsid w:val="00B905AC"/>
    <w:rsid w:val="00B91069"/>
    <w:rsid w:val="00B92166"/>
    <w:rsid w:val="00B922D2"/>
    <w:rsid w:val="00B92E13"/>
    <w:rsid w:val="00B935AD"/>
    <w:rsid w:val="00B93D24"/>
    <w:rsid w:val="00B94026"/>
    <w:rsid w:val="00B9410F"/>
    <w:rsid w:val="00B941AF"/>
    <w:rsid w:val="00B97677"/>
    <w:rsid w:val="00B97E74"/>
    <w:rsid w:val="00B97F3B"/>
    <w:rsid w:val="00BA070A"/>
    <w:rsid w:val="00BA0864"/>
    <w:rsid w:val="00BA0B57"/>
    <w:rsid w:val="00BA1C1E"/>
    <w:rsid w:val="00BA1EAB"/>
    <w:rsid w:val="00BA30A3"/>
    <w:rsid w:val="00BA35D4"/>
    <w:rsid w:val="00BA3CE2"/>
    <w:rsid w:val="00BA5458"/>
    <w:rsid w:val="00BA5C18"/>
    <w:rsid w:val="00BA5DBC"/>
    <w:rsid w:val="00BA68B8"/>
    <w:rsid w:val="00BA71BE"/>
    <w:rsid w:val="00BA7B44"/>
    <w:rsid w:val="00BB001D"/>
    <w:rsid w:val="00BB1364"/>
    <w:rsid w:val="00BB20E6"/>
    <w:rsid w:val="00BB2F90"/>
    <w:rsid w:val="00BB4CEC"/>
    <w:rsid w:val="00BB5820"/>
    <w:rsid w:val="00BB6001"/>
    <w:rsid w:val="00BB61CD"/>
    <w:rsid w:val="00BB6375"/>
    <w:rsid w:val="00BB6686"/>
    <w:rsid w:val="00BC0120"/>
    <w:rsid w:val="00BC0157"/>
    <w:rsid w:val="00BC08C0"/>
    <w:rsid w:val="00BC21A4"/>
    <w:rsid w:val="00BC29D1"/>
    <w:rsid w:val="00BC3544"/>
    <w:rsid w:val="00BC36DC"/>
    <w:rsid w:val="00BC481D"/>
    <w:rsid w:val="00BC58D2"/>
    <w:rsid w:val="00BC7669"/>
    <w:rsid w:val="00BC79F3"/>
    <w:rsid w:val="00BD175C"/>
    <w:rsid w:val="00BD19B1"/>
    <w:rsid w:val="00BD4F63"/>
    <w:rsid w:val="00BD5396"/>
    <w:rsid w:val="00BD5E97"/>
    <w:rsid w:val="00BD6053"/>
    <w:rsid w:val="00BD6C6D"/>
    <w:rsid w:val="00BD79F6"/>
    <w:rsid w:val="00BE075E"/>
    <w:rsid w:val="00BE1189"/>
    <w:rsid w:val="00BE1C1B"/>
    <w:rsid w:val="00BE1CD9"/>
    <w:rsid w:val="00BE1EF9"/>
    <w:rsid w:val="00BE207A"/>
    <w:rsid w:val="00BE2415"/>
    <w:rsid w:val="00BE3626"/>
    <w:rsid w:val="00BE404A"/>
    <w:rsid w:val="00BE58F4"/>
    <w:rsid w:val="00BE5D0A"/>
    <w:rsid w:val="00BE6138"/>
    <w:rsid w:val="00BE6308"/>
    <w:rsid w:val="00BE6B2E"/>
    <w:rsid w:val="00BE7AD8"/>
    <w:rsid w:val="00BE7F19"/>
    <w:rsid w:val="00BF0197"/>
    <w:rsid w:val="00BF0C41"/>
    <w:rsid w:val="00BF1DE3"/>
    <w:rsid w:val="00BF24F8"/>
    <w:rsid w:val="00BF2F81"/>
    <w:rsid w:val="00BF3106"/>
    <w:rsid w:val="00BF311A"/>
    <w:rsid w:val="00BF3785"/>
    <w:rsid w:val="00BF37AE"/>
    <w:rsid w:val="00BF45FD"/>
    <w:rsid w:val="00BF4930"/>
    <w:rsid w:val="00BF5763"/>
    <w:rsid w:val="00C001F5"/>
    <w:rsid w:val="00C01955"/>
    <w:rsid w:val="00C05868"/>
    <w:rsid w:val="00C05D08"/>
    <w:rsid w:val="00C07561"/>
    <w:rsid w:val="00C07718"/>
    <w:rsid w:val="00C07FD5"/>
    <w:rsid w:val="00C10531"/>
    <w:rsid w:val="00C11C19"/>
    <w:rsid w:val="00C1211A"/>
    <w:rsid w:val="00C14944"/>
    <w:rsid w:val="00C14B0C"/>
    <w:rsid w:val="00C14D1A"/>
    <w:rsid w:val="00C15C4D"/>
    <w:rsid w:val="00C15D2B"/>
    <w:rsid w:val="00C165D8"/>
    <w:rsid w:val="00C16683"/>
    <w:rsid w:val="00C171C4"/>
    <w:rsid w:val="00C17937"/>
    <w:rsid w:val="00C17AC1"/>
    <w:rsid w:val="00C20525"/>
    <w:rsid w:val="00C208D6"/>
    <w:rsid w:val="00C20C90"/>
    <w:rsid w:val="00C20E24"/>
    <w:rsid w:val="00C226BA"/>
    <w:rsid w:val="00C248FC"/>
    <w:rsid w:val="00C24BEF"/>
    <w:rsid w:val="00C25D6D"/>
    <w:rsid w:val="00C25E33"/>
    <w:rsid w:val="00C306E8"/>
    <w:rsid w:val="00C3115C"/>
    <w:rsid w:val="00C32B88"/>
    <w:rsid w:val="00C32BDC"/>
    <w:rsid w:val="00C33A8F"/>
    <w:rsid w:val="00C342BD"/>
    <w:rsid w:val="00C34FD9"/>
    <w:rsid w:val="00C3579C"/>
    <w:rsid w:val="00C37855"/>
    <w:rsid w:val="00C37AE7"/>
    <w:rsid w:val="00C37B74"/>
    <w:rsid w:val="00C40F3F"/>
    <w:rsid w:val="00C4211F"/>
    <w:rsid w:val="00C426DC"/>
    <w:rsid w:val="00C4283E"/>
    <w:rsid w:val="00C4348B"/>
    <w:rsid w:val="00C43997"/>
    <w:rsid w:val="00C440EE"/>
    <w:rsid w:val="00C44206"/>
    <w:rsid w:val="00C446E7"/>
    <w:rsid w:val="00C44CA4"/>
    <w:rsid w:val="00C46089"/>
    <w:rsid w:val="00C47714"/>
    <w:rsid w:val="00C5021B"/>
    <w:rsid w:val="00C502E8"/>
    <w:rsid w:val="00C515B4"/>
    <w:rsid w:val="00C51725"/>
    <w:rsid w:val="00C52123"/>
    <w:rsid w:val="00C521A7"/>
    <w:rsid w:val="00C52405"/>
    <w:rsid w:val="00C52901"/>
    <w:rsid w:val="00C52D56"/>
    <w:rsid w:val="00C53B33"/>
    <w:rsid w:val="00C55622"/>
    <w:rsid w:val="00C55C47"/>
    <w:rsid w:val="00C56300"/>
    <w:rsid w:val="00C56BCF"/>
    <w:rsid w:val="00C56D3C"/>
    <w:rsid w:val="00C576AB"/>
    <w:rsid w:val="00C57C2D"/>
    <w:rsid w:val="00C60901"/>
    <w:rsid w:val="00C62CF2"/>
    <w:rsid w:val="00C63AA7"/>
    <w:rsid w:val="00C643AC"/>
    <w:rsid w:val="00C64929"/>
    <w:rsid w:val="00C65A33"/>
    <w:rsid w:val="00C662AA"/>
    <w:rsid w:val="00C664AF"/>
    <w:rsid w:val="00C66F66"/>
    <w:rsid w:val="00C70306"/>
    <w:rsid w:val="00C71EF2"/>
    <w:rsid w:val="00C724C6"/>
    <w:rsid w:val="00C72A8A"/>
    <w:rsid w:val="00C73D9D"/>
    <w:rsid w:val="00C75387"/>
    <w:rsid w:val="00C757B6"/>
    <w:rsid w:val="00C76FD4"/>
    <w:rsid w:val="00C772DE"/>
    <w:rsid w:val="00C776CB"/>
    <w:rsid w:val="00C8014D"/>
    <w:rsid w:val="00C80166"/>
    <w:rsid w:val="00C806D5"/>
    <w:rsid w:val="00C81F25"/>
    <w:rsid w:val="00C81F9D"/>
    <w:rsid w:val="00C8225D"/>
    <w:rsid w:val="00C8268A"/>
    <w:rsid w:val="00C830E0"/>
    <w:rsid w:val="00C8322A"/>
    <w:rsid w:val="00C8499B"/>
    <w:rsid w:val="00C8529F"/>
    <w:rsid w:val="00C860D4"/>
    <w:rsid w:val="00C8757C"/>
    <w:rsid w:val="00C909B4"/>
    <w:rsid w:val="00C91602"/>
    <w:rsid w:val="00C91EC9"/>
    <w:rsid w:val="00C9257A"/>
    <w:rsid w:val="00C92A08"/>
    <w:rsid w:val="00C938A8"/>
    <w:rsid w:val="00C94223"/>
    <w:rsid w:val="00C943CE"/>
    <w:rsid w:val="00C94913"/>
    <w:rsid w:val="00C96088"/>
    <w:rsid w:val="00C96ACC"/>
    <w:rsid w:val="00C96B4B"/>
    <w:rsid w:val="00C97125"/>
    <w:rsid w:val="00C971F4"/>
    <w:rsid w:val="00C975A6"/>
    <w:rsid w:val="00C978ED"/>
    <w:rsid w:val="00CA1CCD"/>
    <w:rsid w:val="00CA3CB6"/>
    <w:rsid w:val="00CA3DBA"/>
    <w:rsid w:val="00CA44EE"/>
    <w:rsid w:val="00CA4629"/>
    <w:rsid w:val="00CA5823"/>
    <w:rsid w:val="00CA6438"/>
    <w:rsid w:val="00CA674B"/>
    <w:rsid w:val="00CB0F70"/>
    <w:rsid w:val="00CB2978"/>
    <w:rsid w:val="00CB2F80"/>
    <w:rsid w:val="00CB3255"/>
    <w:rsid w:val="00CB4158"/>
    <w:rsid w:val="00CB52E6"/>
    <w:rsid w:val="00CB581A"/>
    <w:rsid w:val="00CB707F"/>
    <w:rsid w:val="00CC0E9E"/>
    <w:rsid w:val="00CC20A1"/>
    <w:rsid w:val="00CC2C9B"/>
    <w:rsid w:val="00CC32AC"/>
    <w:rsid w:val="00CC385A"/>
    <w:rsid w:val="00CC3EB2"/>
    <w:rsid w:val="00CC4840"/>
    <w:rsid w:val="00CC4E09"/>
    <w:rsid w:val="00CC5FD7"/>
    <w:rsid w:val="00CC6D14"/>
    <w:rsid w:val="00CC7D83"/>
    <w:rsid w:val="00CD00B0"/>
    <w:rsid w:val="00CD0939"/>
    <w:rsid w:val="00CD137C"/>
    <w:rsid w:val="00CD1AC6"/>
    <w:rsid w:val="00CD1C09"/>
    <w:rsid w:val="00CD20EF"/>
    <w:rsid w:val="00CD2901"/>
    <w:rsid w:val="00CD2B77"/>
    <w:rsid w:val="00CD2C7E"/>
    <w:rsid w:val="00CD3DB8"/>
    <w:rsid w:val="00CD46F8"/>
    <w:rsid w:val="00CD4EDC"/>
    <w:rsid w:val="00CD71D0"/>
    <w:rsid w:val="00CD733F"/>
    <w:rsid w:val="00CD7486"/>
    <w:rsid w:val="00CD7AEE"/>
    <w:rsid w:val="00CD7DA8"/>
    <w:rsid w:val="00CD7F09"/>
    <w:rsid w:val="00CE01A9"/>
    <w:rsid w:val="00CE07E6"/>
    <w:rsid w:val="00CE0A0E"/>
    <w:rsid w:val="00CE15A3"/>
    <w:rsid w:val="00CE1B96"/>
    <w:rsid w:val="00CE4398"/>
    <w:rsid w:val="00CE4B43"/>
    <w:rsid w:val="00CE5608"/>
    <w:rsid w:val="00CE5710"/>
    <w:rsid w:val="00CE661F"/>
    <w:rsid w:val="00CE6FC2"/>
    <w:rsid w:val="00CE7D21"/>
    <w:rsid w:val="00CE7DC3"/>
    <w:rsid w:val="00CF0792"/>
    <w:rsid w:val="00CF0BDC"/>
    <w:rsid w:val="00CF1075"/>
    <w:rsid w:val="00CF2751"/>
    <w:rsid w:val="00CF6C3A"/>
    <w:rsid w:val="00D00A03"/>
    <w:rsid w:val="00D00F9F"/>
    <w:rsid w:val="00D01E4F"/>
    <w:rsid w:val="00D02523"/>
    <w:rsid w:val="00D03744"/>
    <w:rsid w:val="00D038A2"/>
    <w:rsid w:val="00D0414B"/>
    <w:rsid w:val="00D06C4F"/>
    <w:rsid w:val="00D14375"/>
    <w:rsid w:val="00D15239"/>
    <w:rsid w:val="00D168FC"/>
    <w:rsid w:val="00D16BAF"/>
    <w:rsid w:val="00D20820"/>
    <w:rsid w:val="00D216E0"/>
    <w:rsid w:val="00D22037"/>
    <w:rsid w:val="00D222CF"/>
    <w:rsid w:val="00D23611"/>
    <w:rsid w:val="00D23EB0"/>
    <w:rsid w:val="00D25A8B"/>
    <w:rsid w:val="00D263D0"/>
    <w:rsid w:val="00D26EF3"/>
    <w:rsid w:val="00D27BAD"/>
    <w:rsid w:val="00D27F05"/>
    <w:rsid w:val="00D335B3"/>
    <w:rsid w:val="00D3362A"/>
    <w:rsid w:val="00D343A1"/>
    <w:rsid w:val="00D343D1"/>
    <w:rsid w:val="00D34929"/>
    <w:rsid w:val="00D35946"/>
    <w:rsid w:val="00D372D4"/>
    <w:rsid w:val="00D37D05"/>
    <w:rsid w:val="00D4003A"/>
    <w:rsid w:val="00D400E2"/>
    <w:rsid w:val="00D40C01"/>
    <w:rsid w:val="00D4246D"/>
    <w:rsid w:val="00D436D2"/>
    <w:rsid w:val="00D43FC4"/>
    <w:rsid w:val="00D44678"/>
    <w:rsid w:val="00D446D4"/>
    <w:rsid w:val="00D44EB3"/>
    <w:rsid w:val="00D457FC"/>
    <w:rsid w:val="00D45E2D"/>
    <w:rsid w:val="00D45E69"/>
    <w:rsid w:val="00D472E2"/>
    <w:rsid w:val="00D47A28"/>
    <w:rsid w:val="00D5075B"/>
    <w:rsid w:val="00D52D50"/>
    <w:rsid w:val="00D53196"/>
    <w:rsid w:val="00D53DA1"/>
    <w:rsid w:val="00D53E00"/>
    <w:rsid w:val="00D54F6B"/>
    <w:rsid w:val="00D55318"/>
    <w:rsid w:val="00D55BE3"/>
    <w:rsid w:val="00D56515"/>
    <w:rsid w:val="00D572B7"/>
    <w:rsid w:val="00D57304"/>
    <w:rsid w:val="00D57994"/>
    <w:rsid w:val="00D57A72"/>
    <w:rsid w:val="00D60334"/>
    <w:rsid w:val="00D609E1"/>
    <w:rsid w:val="00D618CF"/>
    <w:rsid w:val="00D633E6"/>
    <w:rsid w:val="00D642B6"/>
    <w:rsid w:val="00D65866"/>
    <w:rsid w:val="00D660E7"/>
    <w:rsid w:val="00D665FF"/>
    <w:rsid w:val="00D70147"/>
    <w:rsid w:val="00D702ED"/>
    <w:rsid w:val="00D70645"/>
    <w:rsid w:val="00D71523"/>
    <w:rsid w:val="00D74483"/>
    <w:rsid w:val="00D748F3"/>
    <w:rsid w:val="00D74B95"/>
    <w:rsid w:val="00D74BD1"/>
    <w:rsid w:val="00D7502A"/>
    <w:rsid w:val="00D75766"/>
    <w:rsid w:val="00D758CD"/>
    <w:rsid w:val="00D7604A"/>
    <w:rsid w:val="00D763A1"/>
    <w:rsid w:val="00D7640E"/>
    <w:rsid w:val="00D76579"/>
    <w:rsid w:val="00D77850"/>
    <w:rsid w:val="00D77BA7"/>
    <w:rsid w:val="00D80520"/>
    <w:rsid w:val="00D80C1E"/>
    <w:rsid w:val="00D80C30"/>
    <w:rsid w:val="00D80F0D"/>
    <w:rsid w:val="00D827A5"/>
    <w:rsid w:val="00D82B56"/>
    <w:rsid w:val="00D82D36"/>
    <w:rsid w:val="00D831B3"/>
    <w:rsid w:val="00D83F83"/>
    <w:rsid w:val="00D84619"/>
    <w:rsid w:val="00D84E78"/>
    <w:rsid w:val="00D85CC7"/>
    <w:rsid w:val="00D85D76"/>
    <w:rsid w:val="00D866E8"/>
    <w:rsid w:val="00D86782"/>
    <w:rsid w:val="00D872DF"/>
    <w:rsid w:val="00D87467"/>
    <w:rsid w:val="00D93D74"/>
    <w:rsid w:val="00D946D9"/>
    <w:rsid w:val="00D965A3"/>
    <w:rsid w:val="00D9670B"/>
    <w:rsid w:val="00D97996"/>
    <w:rsid w:val="00DA0422"/>
    <w:rsid w:val="00DA0928"/>
    <w:rsid w:val="00DA2E60"/>
    <w:rsid w:val="00DA36F8"/>
    <w:rsid w:val="00DA40DA"/>
    <w:rsid w:val="00DA6482"/>
    <w:rsid w:val="00DA6B78"/>
    <w:rsid w:val="00DA75E5"/>
    <w:rsid w:val="00DB095B"/>
    <w:rsid w:val="00DB13C7"/>
    <w:rsid w:val="00DB153A"/>
    <w:rsid w:val="00DB2AAB"/>
    <w:rsid w:val="00DB2C8B"/>
    <w:rsid w:val="00DB3378"/>
    <w:rsid w:val="00DB36A3"/>
    <w:rsid w:val="00DB3EA0"/>
    <w:rsid w:val="00DB4E59"/>
    <w:rsid w:val="00DB51DE"/>
    <w:rsid w:val="00DB55E7"/>
    <w:rsid w:val="00DB770C"/>
    <w:rsid w:val="00DB794C"/>
    <w:rsid w:val="00DB7972"/>
    <w:rsid w:val="00DC0453"/>
    <w:rsid w:val="00DC10DE"/>
    <w:rsid w:val="00DC5962"/>
    <w:rsid w:val="00DC6581"/>
    <w:rsid w:val="00DC79C1"/>
    <w:rsid w:val="00DD00A3"/>
    <w:rsid w:val="00DD05D4"/>
    <w:rsid w:val="00DD1DF6"/>
    <w:rsid w:val="00DD1FF6"/>
    <w:rsid w:val="00DD3016"/>
    <w:rsid w:val="00DD4341"/>
    <w:rsid w:val="00DD4E87"/>
    <w:rsid w:val="00DD5F27"/>
    <w:rsid w:val="00DD69F1"/>
    <w:rsid w:val="00DE0D42"/>
    <w:rsid w:val="00DE392F"/>
    <w:rsid w:val="00DE4C8B"/>
    <w:rsid w:val="00DE52DA"/>
    <w:rsid w:val="00DE5A9E"/>
    <w:rsid w:val="00DE60A2"/>
    <w:rsid w:val="00DE6373"/>
    <w:rsid w:val="00DE76A6"/>
    <w:rsid w:val="00DF0C1A"/>
    <w:rsid w:val="00DF0CAA"/>
    <w:rsid w:val="00DF593E"/>
    <w:rsid w:val="00DF762D"/>
    <w:rsid w:val="00E001BB"/>
    <w:rsid w:val="00E005A0"/>
    <w:rsid w:val="00E00CB0"/>
    <w:rsid w:val="00E014C8"/>
    <w:rsid w:val="00E03332"/>
    <w:rsid w:val="00E03BD0"/>
    <w:rsid w:val="00E03D58"/>
    <w:rsid w:val="00E05C7F"/>
    <w:rsid w:val="00E063E7"/>
    <w:rsid w:val="00E06863"/>
    <w:rsid w:val="00E07686"/>
    <w:rsid w:val="00E10678"/>
    <w:rsid w:val="00E10E40"/>
    <w:rsid w:val="00E11A0C"/>
    <w:rsid w:val="00E11A7A"/>
    <w:rsid w:val="00E11B48"/>
    <w:rsid w:val="00E12B83"/>
    <w:rsid w:val="00E14307"/>
    <w:rsid w:val="00E15048"/>
    <w:rsid w:val="00E1519E"/>
    <w:rsid w:val="00E15384"/>
    <w:rsid w:val="00E15D3C"/>
    <w:rsid w:val="00E1673E"/>
    <w:rsid w:val="00E16CEB"/>
    <w:rsid w:val="00E20862"/>
    <w:rsid w:val="00E21CE4"/>
    <w:rsid w:val="00E21DD9"/>
    <w:rsid w:val="00E224F0"/>
    <w:rsid w:val="00E268A4"/>
    <w:rsid w:val="00E27385"/>
    <w:rsid w:val="00E27A6B"/>
    <w:rsid w:val="00E27F85"/>
    <w:rsid w:val="00E306F1"/>
    <w:rsid w:val="00E31EB6"/>
    <w:rsid w:val="00E330E0"/>
    <w:rsid w:val="00E336BD"/>
    <w:rsid w:val="00E34D69"/>
    <w:rsid w:val="00E34EC0"/>
    <w:rsid w:val="00E3526C"/>
    <w:rsid w:val="00E35D7E"/>
    <w:rsid w:val="00E361AD"/>
    <w:rsid w:val="00E36473"/>
    <w:rsid w:val="00E36614"/>
    <w:rsid w:val="00E36747"/>
    <w:rsid w:val="00E3684D"/>
    <w:rsid w:val="00E36D15"/>
    <w:rsid w:val="00E43F98"/>
    <w:rsid w:val="00E444CE"/>
    <w:rsid w:val="00E4520C"/>
    <w:rsid w:val="00E452B2"/>
    <w:rsid w:val="00E46701"/>
    <w:rsid w:val="00E46DB4"/>
    <w:rsid w:val="00E470B5"/>
    <w:rsid w:val="00E47BF8"/>
    <w:rsid w:val="00E50650"/>
    <w:rsid w:val="00E510FA"/>
    <w:rsid w:val="00E51E2C"/>
    <w:rsid w:val="00E51E31"/>
    <w:rsid w:val="00E52637"/>
    <w:rsid w:val="00E52B59"/>
    <w:rsid w:val="00E53B42"/>
    <w:rsid w:val="00E55E00"/>
    <w:rsid w:val="00E5628C"/>
    <w:rsid w:val="00E56BF0"/>
    <w:rsid w:val="00E56D21"/>
    <w:rsid w:val="00E6033B"/>
    <w:rsid w:val="00E62370"/>
    <w:rsid w:val="00E633AC"/>
    <w:rsid w:val="00E63C9D"/>
    <w:rsid w:val="00E6426D"/>
    <w:rsid w:val="00E64592"/>
    <w:rsid w:val="00E65180"/>
    <w:rsid w:val="00E67125"/>
    <w:rsid w:val="00E6762F"/>
    <w:rsid w:val="00E67879"/>
    <w:rsid w:val="00E67A91"/>
    <w:rsid w:val="00E70E6A"/>
    <w:rsid w:val="00E71036"/>
    <w:rsid w:val="00E71155"/>
    <w:rsid w:val="00E71CA7"/>
    <w:rsid w:val="00E72803"/>
    <w:rsid w:val="00E72877"/>
    <w:rsid w:val="00E72F00"/>
    <w:rsid w:val="00E73526"/>
    <w:rsid w:val="00E75B42"/>
    <w:rsid w:val="00E764D5"/>
    <w:rsid w:val="00E775F7"/>
    <w:rsid w:val="00E80970"/>
    <w:rsid w:val="00E80AA8"/>
    <w:rsid w:val="00E81AE9"/>
    <w:rsid w:val="00E81B7E"/>
    <w:rsid w:val="00E81F70"/>
    <w:rsid w:val="00E83B6A"/>
    <w:rsid w:val="00E855B7"/>
    <w:rsid w:val="00E8570A"/>
    <w:rsid w:val="00E85CBE"/>
    <w:rsid w:val="00E86A7E"/>
    <w:rsid w:val="00E91794"/>
    <w:rsid w:val="00E91A08"/>
    <w:rsid w:val="00E93F8D"/>
    <w:rsid w:val="00E9401C"/>
    <w:rsid w:val="00E94448"/>
    <w:rsid w:val="00E94734"/>
    <w:rsid w:val="00E94A63"/>
    <w:rsid w:val="00E95008"/>
    <w:rsid w:val="00E97EC8"/>
    <w:rsid w:val="00E97F5A"/>
    <w:rsid w:val="00EA06FA"/>
    <w:rsid w:val="00EA0F56"/>
    <w:rsid w:val="00EA1A0A"/>
    <w:rsid w:val="00EA1AC3"/>
    <w:rsid w:val="00EA2581"/>
    <w:rsid w:val="00EA30B5"/>
    <w:rsid w:val="00EA30FC"/>
    <w:rsid w:val="00EA382F"/>
    <w:rsid w:val="00EA3E45"/>
    <w:rsid w:val="00EA4912"/>
    <w:rsid w:val="00EA4B93"/>
    <w:rsid w:val="00EA5B01"/>
    <w:rsid w:val="00EA635B"/>
    <w:rsid w:val="00EA68CC"/>
    <w:rsid w:val="00EA78E9"/>
    <w:rsid w:val="00EA7A59"/>
    <w:rsid w:val="00EA7FD6"/>
    <w:rsid w:val="00EB0ACA"/>
    <w:rsid w:val="00EB1222"/>
    <w:rsid w:val="00EB12AF"/>
    <w:rsid w:val="00EB27AF"/>
    <w:rsid w:val="00EB27FD"/>
    <w:rsid w:val="00EB2A5D"/>
    <w:rsid w:val="00EB34B6"/>
    <w:rsid w:val="00EB4746"/>
    <w:rsid w:val="00EB490E"/>
    <w:rsid w:val="00EB52EF"/>
    <w:rsid w:val="00EB5646"/>
    <w:rsid w:val="00EB5924"/>
    <w:rsid w:val="00EB673B"/>
    <w:rsid w:val="00EB6E77"/>
    <w:rsid w:val="00EC1A4F"/>
    <w:rsid w:val="00EC219A"/>
    <w:rsid w:val="00EC2543"/>
    <w:rsid w:val="00EC2F34"/>
    <w:rsid w:val="00EC3AA2"/>
    <w:rsid w:val="00EC3BF5"/>
    <w:rsid w:val="00EC3F29"/>
    <w:rsid w:val="00EC43C6"/>
    <w:rsid w:val="00EC4753"/>
    <w:rsid w:val="00EC4B9A"/>
    <w:rsid w:val="00EC6DAB"/>
    <w:rsid w:val="00EC73B4"/>
    <w:rsid w:val="00EC743D"/>
    <w:rsid w:val="00ED17ED"/>
    <w:rsid w:val="00ED2608"/>
    <w:rsid w:val="00ED2A31"/>
    <w:rsid w:val="00ED3175"/>
    <w:rsid w:val="00ED39A6"/>
    <w:rsid w:val="00ED5CBF"/>
    <w:rsid w:val="00ED601F"/>
    <w:rsid w:val="00ED675D"/>
    <w:rsid w:val="00EE0A41"/>
    <w:rsid w:val="00EE1218"/>
    <w:rsid w:val="00EE223B"/>
    <w:rsid w:val="00EE258C"/>
    <w:rsid w:val="00EE351B"/>
    <w:rsid w:val="00EE3B8E"/>
    <w:rsid w:val="00EE3F5C"/>
    <w:rsid w:val="00EE471F"/>
    <w:rsid w:val="00EE47DE"/>
    <w:rsid w:val="00EE5442"/>
    <w:rsid w:val="00EE5FD2"/>
    <w:rsid w:val="00EE660E"/>
    <w:rsid w:val="00EF01E1"/>
    <w:rsid w:val="00EF098D"/>
    <w:rsid w:val="00EF1185"/>
    <w:rsid w:val="00EF12CB"/>
    <w:rsid w:val="00EF1930"/>
    <w:rsid w:val="00EF1981"/>
    <w:rsid w:val="00EF257A"/>
    <w:rsid w:val="00EF261F"/>
    <w:rsid w:val="00EF2AED"/>
    <w:rsid w:val="00EF331D"/>
    <w:rsid w:val="00EF3AF9"/>
    <w:rsid w:val="00EF559C"/>
    <w:rsid w:val="00EF6841"/>
    <w:rsid w:val="00EF6E4E"/>
    <w:rsid w:val="00EF76AE"/>
    <w:rsid w:val="00F016EA"/>
    <w:rsid w:val="00F01A58"/>
    <w:rsid w:val="00F02D73"/>
    <w:rsid w:val="00F03AF3"/>
    <w:rsid w:val="00F0460E"/>
    <w:rsid w:val="00F04746"/>
    <w:rsid w:val="00F06AB9"/>
    <w:rsid w:val="00F06BB1"/>
    <w:rsid w:val="00F06EB6"/>
    <w:rsid w:val="00F077AB"/>
    <w:rsid w:val="00F11637"/>
    <w:rsid w:val="00F11E33"/>
    <w:rsid w:val="00F12BDA"/>
    <w:rsid w:val="00F12D78"/>
    <w:rsid w:val="00F1385E"/>
    <w:rsid w:val="00F1519C"/>
    <w:rsid w:val="00F15925"/>
    <w:rsid w:val="00F16A38"/>
    <w:rsid w:val="00F16DF1"/>
    <w:rsid w:val="00F1736A"/>
    <w:rsid w:val="00F21694"/>
    <w:rsid w:val="00F21B14"/>
    <w:rsid w:val="00F227D1"/>
    <w:rsid w:val="00F23345"/>
    <w:rsid w:val="00F23358"/>
    <w:rsid w:val="00F23751"/>
    <w:rsid w:val="00F23A1F"/>
    <w:rsid w:val="00F240A5"/>
    <w:rsid w:val="00F24430"/>
    <w:rsid w:val="00F2571D"/>
    <w:rsid w:val="00F26019"/>
    <w:rsid w:val="00F26313"/>
    <w:rsid w:val="00F26462"/>
    <w:rsid w:val="00F2661B"/>
    <w:rsid w:val="00F26F03"/>
    <w:rsid w:val="00F26F5B"/>
    <w:rsid w:val="00F26FFD"/>
    <w:rsid w:val="00F275A9"/>
    <w:rsid w:val="00F276C2"/>
    <w:rsid w:val="00F27C7F"/>
    <w:rsid w:val="00F300C9"/>
    <w:rsid w:val="00F321D9"/>
    <w:rsid w:val="00F32390"/>
    <w:rsid w:val="00F3334D"/>
    <w:rsid w:val="00F33572"/>
    <w:rsid w:val="00F3375C"/>
    <w:rsid w:val="00F345A5"/>
    <w:rsid w:val="00F347A9"/>
    <w:rsid w:val="00F34895"/>
    <w:rsid w:val="00F35430"/>
    <w:rsid w:val="00F36901"/>
    <w:rsid w:val="00F36BE8"/>
    <w:rsid w:val="00F41AB8"/>
    <w:rsid w:val="00F41ABB"/>
    <w:rsid w:val="00F42557"/>
    <w:rsid w:val="00F42896"/>
    <w:rsid w:val="00F443CC"/>
    <w:rsid w:val="00F44EB9"/>
    <w:rsid w:val="00F45B5C"/>
    <w:rsid w:val="00F471E3"/>
    <w:rsid w:val="00F472F9"/>
    <w:rsid w:val="00F47BDC"/>
    <w:rsid w:val="00F51052"/>
    <w:rsid w:val="00F51805"/>
    <w:rsid w:val="00F51AF9"/>
    <w:rsid w:val="00F53CC6"/>
    <w:rsid w:val="00F54DBB"/>
    <w:rsid w:val="00F55216"/>
    <w:rsid w:val="00F555DE"/>
    <w:rsid w:val="00F55B82"/>
    <w:rsid w:val="00F56916"/>
    <w:rsid w:val="00F569E4"/>
    <w:rsid w:val="00F56CD3"/>
    <w:rsid w:val="00F57116"/>
    <w:rsid w:val="00F574F7"/>
    <w:rsid w:val="00F577AB"/>
    <w:rsid w:val="00F57873"/>
    <w:rsid w:val="00F611DE"/>
    <w:rsid w:val="00F6138B"/>
    <w:rsid w:val="00F61FEE"/>
    <w:rsid w:val="00F626AB"/>
    <w:rsid w:val="00F62B0C"/>
    <w:rsid w:val="00F637DD"/>
    <w:rsid w:val="00F6458E"/>
    <w:rsid w:val="00F64825"/>
    <w:rsid w:val="00F64AEC"/>
    <w:rsid w:val="00F64C2E"/>
    <w:rsid w:val="00F64D0E"/>
    <w:rsid w:val="00F65CC9"/>
    <w:rsid w:val="00F700B8"/>
    <w:rsid w:val="00F71720"/>
    <w:rsid w:val="00F71A08"/>
    <w:rsid w:val="00F71B97"/>
    <w:rsid w:val="00F72577"/>
    <w:rsid w:val="00F727F7"/>
    <w:rsid w:val="00F72EE6"/>
    <w:rsid w:val="00F74B89"/>
    <w:rsid w:val="00F76134"/>
    <w:rsid w:val="00F76306"/>
    <w:rsid w:val="00F77234"/>
    <w:rsid w:val="00F77419"/>
    <w:rsid w:val="00F7772B"/>
    <w:rsid w:val="00F77AB3"/>
    <w:rsid w:val="00F8021C"/>
    <w:rsid w:val="00F8072A"/>
    <w:rsid w:val="00F810A7"/>
    <w:rsid w:val="00F8208A"/>
    <w:rsid w:val="00F82C90"/>
    <w:rsid w:val="00F82D46"/>
    <w:rsid w:val="00F83C7E"/>
    <w:rsid w:val="00F852C3"/>
    <w:rsid w:val="00F8612D"/>
    <w:rsid w:val="00F870CA"/>
    <w:rsid w:val="00F872B3"/>
    <w:rsid w:val="00F87B9E"/>
    <w:rsid w:val="00F87EA2"/>
    <w:rsid w:val="00F90EE7"/>
    <w:rsid w:val="00F919CC"/>
    <w:rsid w:val="00F91FD6"/>
    <w:rsid w:val="00F92CA3"/>
    <w:rsid w:val="00F93301"/>
    <w:rsid w:val="00F93493"/>
    <w:rsid w:val="00F95040"/>
    <w:rsid w:val="00F9599F"/>
    <w:rsid w:val="00F9602C"/>
    <w:rsid w:val="00F96D9D"/>
    <w:rsid w:val="00FA068B"/>
    <w:rsid w:val="00FA1098"/>
    <w:rsid w:val="00FA1C1B"/>
    <w:rsid w:val="00FA272C"/>
    <w:rsid w:val="00FA2A76"/>
    <w:rsid w:val="00FA3674"/>
    <w:rsid w:val="00FA3A4D"/>
    <w:rsid w:val="00FA3B27"/>
    <w:rsid w:val="00FA47DB"/>
    <w:rsid w:val="00FA4D6A"/>
    <w:rsid w:val="00FA5624"/>
    <w:rsid w:val="00FA56E0"/>
    <w:rsid w:val="00FA5DCD"/>
    <w:rsid w:val="00FA6A1F"/>
    <w:rsid w:val="00FA7008"/>
    <w:rsid w:val="00FA7826"/>
    <w:rsid w:val="00FA7AA3"/>
    <w:rsid w:val="00FB0079"/>
    <w:rsid w:val="00FB170A"/>
    <w:rsid w:val="00FB1746"/>
    <w:rsid w:val="00FB2416"/>
    <w:rsid w:val="00FB2BE5"/>
    <w:rsid w:val="00FB304A"/>
    <w:rsid w:val="00FB30A3"/>
    <w:rsid w:val="00FB334E"/>
    <w:rsid w:val="00FB33C4"/>
    <w:rsid w:val="00FB4671"/>
    <w:rsid w:val="00FB4C62"/>
    <w:rsid w:val="00FB4D3A"/>
    <w:rsid w:val="00FB4D94"/>
    <w:rsid w:val="00FB5F66"/>
    <w:rsid w:val="00FB60AB"/>
    <w:rsid w:val="00FB6124"/>
    <w:rsid w:val="00FB7640"/>
    <w:rsid w:val="00FC0262"/>
    <w:rsid w:val="00FC16B1"/>
    <w:rsid w:val="00FC18D8"/>
    <w:rsid w:val="00FC28D5"/>
    <w:rsid w:val="00FC2A88"/>
    <w:rsid w:val="00FC31AC"/>
    <w:rsid w:val="00FC3D3E"/>
    <w:rsid w:val="00FC442F"/>
    <w:rsid w:val="00FC4764"/>
    <w:rsid w:val="00FC5254"/>
    <w:rsid w:val="00FC7217"/>
    <w:rsid w:val="00FC77E9"/>
    <w:rsid w:val="00FC7923"/>
    <w:rsid w:val="00FD0977"/>
    <w:rsid w:val="00FD133B"/>
    <w:rsid w:val="00FD2032"/>
    <w:rsid w:val="00FD2329"/>
    <w:rsid w:val="00FD2B7B"/>
    <w:rsid w:val="00FD2EEF"/>
    <w:rsid w:val="00FD3A12"/>
    <w:rsid w:val="00FD3C28"/>
    <w:rsid w:val="00FD4894"/>
    <w:rsid w:val="00FD4F39"/>
    <w:rsid w:val="00FD60A0"/>
    <w:rsid w:val="00FD6FD7"/>
    <w:rsid w:val="00FE09F1"/>
    <w:rsid w:val="00FE0A2D"/>
    <w:rsid w:val="00FE17B6"/>
    <w:rsid w:val="00FE1801"/>
    <w:rsid w:val="00FE1E11"/>
    <w:rsid w:val="00FE2070"/>
    <w:rsid w:val="00FE230A"/>
    <w:rsid w:val="00FE248D"/>
    <w:rsid w:val="00FE3C6A"/>
    <w:rsid w:val="00FE5E65"/>
    <w:rsid w:val="00FE6E6F"/>
    <w:rsid w:val="00FE7610"/>
    <w:rsid w:val="00FE7835"/>
    <w:rsid w:val="00FF1F4D"/>
    <w:rsid w:val="00FF27BC"/>
    <w:rsid w:val="00FF4C90"/>
    <w:rsid w:val="00FF6716"/>
    <w:rsid w:val="00FF7614"/>
    <w:rsid w:val="00FF7A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FDAD9A"/>
  <w14:defaultImageDpi w14:val="96"/>
  <w15:docId w15:val="{342F0A64-DA0B-4973-B268-9F952295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qFormat="1"/>
    <w:lsdException w:name="caption" w:semiHidden="1" w:uiPriority="35" w:unhideWhenUsed="1" w:qFormat="1"/>
    <w:lsdException w:name="footnote reference"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4C"/>
    <w:rPr>
      <w:rFonts w:cs="Times New Roman"/>
      <w:szCs w:val="36"/>
    </w:rPr>
  </w:style>
  <w:style w:type="paragraph" w:styleId="Nadpis1">
    <w:name w:val="heading 1"/>
    <w:basedOn w:val="Normlny"/>
    <w:next w:val="Normlny"/>
    <w:link w:val="Nadpis1Char"/>
    <w:uiPriority w:val="9"/>
    <w:qFormat/>
    <w:rsid w:val="00BF1DE3"/>
    <w:pPr>
      <w:keepNext/>
      <w:keepLines/>
      <w:spacing w:before="480" w:after="0"/>
      <w:outlineLvl w:val="0"/>
    </w:pPr>
    <w:rPr>
      <w:rFonts w:asciiTheme="majorHAnsi" w:eastAsiaTheme="majorEastAsia" w:hAnsiTheme="majorHAnsi"/>
      <w:b/>
      <w:bCs/>
      <w:color w:val="1C74A9" w:themeColor="accent1" w:themeShade="BF"/>
      <w:sz w:val="28"/>
      <w:szCs w:val="28"/>
    </w:rPr>
  </w:style>
  <w:style w:type="paragraph" w:styleId="Nadpis2">
    <w:name w:val="heading 2"/>
    <w:basedOn w:val="Normlny"/>
    <w:next w:val="Normlny"/>
    <w:link w:val="Nadpis2Char"/>
    <w:uiPriority w:val="9"/>
    <w:unhideWhenUsed/>
    <w:qFormat/>
    <w:rsid w:val="00BF1DE3"/>
    <w:pPr>
      <w:keepNext/>
      <w:keepLines/>
      <w:spacing w:before="200" w:after="0"/>
      <w:outlineLvl w:val="1"/>
    </w:pPr>
    <w:rPr>
      <w:rFonts w:asciiTheme="majorHAnsi" w:eastAsiaTheme="majorEastAsia" w:hAnsiTheme="majorHAnsi"/>
      <w:b/>
      <w:bCs/>
      <w:color w:val="2C9ADC" w:themeColor="accent1"/>
      <w:sz w:val="26"/>
      <w:szCs w:val="26"/>
    </w:rPr>
  </w:style>
  <w:style w:type="paragraph" w:styleId="Nadpis3">
    <w:name w:val="heading 3"/>
    <w:aliases w:val="Tab"/>
    <w:basedOn w:val="Normlny"/>
    <w:next w:val="Normlny"/>
    <w:link w:val="Nadpis3Char"/>
    <w:uiPriority w:val="9"/>
    <w:qFormat/>
    <w:rsid w:val="00C8529F"/>
    <w:pPr>
      <w:keepNext/>
      <w:spacing w:after="0" w:line="240" w:lineRule="auto"/>
      <w:outlineLvl w:val="2"/>
    </w:pPr>
    <w:rPr>
      <w:rFonts w:cs="Arial"/>
      <w:b/>
      <w:bCs/>
      <w:sz w:val="20"/>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BF1DE3"/>
    <w:rPr>
      <w:rFonts w:asciiTheme="majorHAnsi" w:eastAsiaTheme="majorEastAsia" w:hAnsiTheme="majorHAnsi" w:cs="Times New Roman"/>
      <w:b/>
      <w:bCs/>
      <w:color w:val="1C74A9" w:themeColor="accent1" w:themeShade="BF"/>
      <w:sz w:val="28"/>
      <w:szCs w:val="28"/>
    </w:rPr>
  </w:style>
  <w:style w:type="character" w:customStyle="1" w:styleId="Nadpis2Char">
    <w:name w:val="Nadpis 2 Char"/>
    <w:basedOn w:val="Predvolenpsmoodseku"/>
    <w:link w:val="Nadpis2"/>
    <w:uiPriority w:val="9"/>
    <w:locked/>
    <w:rsid w:val="00BF1DE3"/>
    <w:rPr>
      <w:rFonts w:asciiTheme="majorHAnsi" w:eastAsiaTheme="majorEastAsia" w:hAnsiTheme="majorHAnsi" w:cs="Times New Roman"/>
      <w:b/>
      <w:bCs/>
      <w:color w:val="2C9ADC" w:themeColor="accent1"/>
      <w:sz w:val="26"/>
      <w:szCs w:val="26"/>
    </w:rPr>
  </w:style>
  <w:style w:type="character" w:customStyle="1" w:styleId="Nadpis3Char">
    <w:name w:val="Nadpis 3 Char"/>
    <w:aliases w:val="Tab Char"/>
    <w:basedOn w:val="Predvolenpsmoodseku"/>
    <w:link w:val="Nadpis3"/>
    <w:uiPriority w:val="9"/>
    <w:locked/>
    <w:rsid w:val="00C8529F"/>
    <w:rPr>
      <w:rFonts w:eastAsia="Times New Roman" w:cs="Arial"/>
      <w:b/>
      <w:bCs/>
      <w:sz w:val="26"/>
      <w:szCs w:val="26"/>
      <w:lang w:val="x-none" w:eastAsia="sk-SK"/>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 Char Char Char Char Char,f,Plonk"/>
    <w:basedOn w:val="Normlny"/>
    <w:link w:val="TextpoznmkypodiarouChar"/>
    <w:uiPriority w:val="99"/>
    <w:unhideWhenUsed/>
    <w:qFormat/>
    <w:rsid w:val="00936D2E"/>
    <w:pPr>
      <w:spacing w:after="0" w:line="240" w:lineRule="auto"/>
    </w:pPr>
    <w:rPr>
      <w:sz w:val="20"/>
      <w:szCs w:val="20"/>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 Char,Plonk Char"/>
    <w:basedOn w:val="Predvolenpsmoodseku"/>
    <w:link w:val="Textpoznmkypodiarou"/>
    <w:uiPriority w:val="99"/>
    <w:locked/>
    <w:rsid w:val="00936D2E"/>
    <w:rPr>
      <w:rFonts w:cs="Times New Roman"/>
      <w:sz w:val="20"/>
      <w:szCs w:val="20"/>
    </w:rPr>
  </w:style>
  <w:style w:type="paragraph" w:styleId="Odsekzoznamu">
    <w:name w:val="List Paragraph"/>
    <w:aliases w:val="body,Odsek zoznamu2,Dot pt,F5 List Paragraph,No Spacing1,List Paragraph Char Char Char,Indicator Text,Numbered Para 1,Colorful List - Accent 11,Bullet 1,Bullet Points,Párrafo de lista,MAIN CONTENT,Recommendation"/>
    <w:basedOn w:val="Normlny"/>
    <w:link w:val="OdsekzoznamuChar"/>
    <w:uiPriority w:val="34"/>
    <w:qFormat/>
    <w:rsid w:val="00F44EB9"/>
    <w:pPr>
      <w:spacing w:after="0" w:line="240" w:lineRule="auto"/>
      <w:ind w:left="720"/>
    </w:pPr>
    <w:rPr>
      <w:rFonts w:ascii="Calibri" w:hAnsi="Calibri"/>
      <w:szCs w:val="22"/>
      <w:lang w:val="en-US"/>
    </w:rPr>
  </w:style>
  <w:style w:type="paragraph" w:styleId="Zkladntext2">
    <w:name w:val="Body Text 2"/>
    <w:basedOn w:val="Normlny"/>
    <w:link w:val="Zkladntext2Char"/>
    <w:uiPriority w:val="99"/>
    <w:unhideWhenUsed/>
    <w:rsid w:val="001729A5"/>
    <w:pPr>
      <w:spacing w:after="120" w:line="480" w:lineRule="auto"/>
    </w:pPr>
    <w:rPr>
      <w:rFonts w:cs="Book Antiqua"/>
      <w:szCs w:val="22"/>
      <w:lang w:eastAsia="sk-SK"/>
    </w:rPr>
  </w:style>
  <w:style w:type="character" w:customStyle="1" w:styleId="Zkladntext2Char">
    <w:name w:val="Základný text 2 Char"/>
    <w:basedOn w:val="Predvolenpsmoodseku"/>
    <w:link w:val="Zkladntext2"/>
    <w:uiPriority w:val="99"/>
    <w:locked/>
    <w:rsid w:val="001729A5"/>
    <w:rPr>
      <w:rFonts w:eastAsia="Times New Roman" w:cs="Book Antiqua"/>
      <w:sz w:val="22"/>
      <w:szCs w:val="22"/>
      <w:lang w:val="x-none" w:eastAsia="sk-SK"/>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link w:val="Char2"/>
    <w:uiPriority w:val="99"/>
    <w:unhideWhenUsed/>
    <w:qFormat/>
    <w:rsid w:val="00936D2E"/>
    <w:rPr>
      <w:rFonts w:cs="Times New Roman"/>
      <w:vertAlign w:val="superscript"/>
    </w:rPr>
  </w:style>
  <w:style w:type="paragraph" w:styleId="Hlavika">
    <w:name w:val="header"/>
    <w:basedOn w:val="Normlny"/>
    <w:link w:val="HlavikaChar"/>
    <w:uiPriority w:val="99"/>
    <w:unhideWhenUsed/>
    <w:rsid w:val="002B3044"/>
    <w:pPr>
      <w:tabs>
        <w:tab w:val="center" w:pos="4703"/>
        <w:tab w:val="right" w:pos="9406"/>
      </w:tabs>
      <w:spacing w:after="0" w:line="240" w:lineRule="auto"/>
    </w:pPr>
  </w:style>
  <w:style w:type="character" w:customStyle="1" w:styleId="HlavikaChar">
    <w:name w:val="Hlavička Char"/>
    <w:basedOn w:val="Predvolenpsmoodseku"/>
    <w:link w:val="Hlavika"/>
    <w:uiPriority w:val="99"/>
    <w:locked/>
    <w:rsid w:val="002B3044"/>
    <w:rPr>
      <w:rFonts w:cs="Times New Roman"/>
    </w:rPr>
  </w:style>
  <w:style w:type="paragraph" w:styleId="Textbubliny">
    <w:name w:val="Balloon Text"/>
    <w:basedOn w:val="Normlny"/>
    <w:link w:val="TextbublinyChar"/>
    <w:uiPriority w:val="99"/>
    <w:semiHidden/>
    <w:unhideWhenUsed/>
    <w:rsid w:val="00C8499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C8499B"/>
    <w:rPr>
      <w:rFonts w:ascii="Tahoma" w:hAnsi="Tahoma" w:cs="Tahoma"/>
      <w:sz w:val="16"/>
      <w:szCs w:val="16"/>
    </w:rPr>
  </w:style>
  <w:style w:type="paragraph" w:styleId="Pta">
    <w:name w:val="footer"/>
    <w:basedOn w:val="Normlny"/>
    <w:link w:val="PtaChar"/>
    <w:uiPriority w:val="99"/>
    <w:unhideWhenUsed/>
    <w:rsid w:val="002B3044"/>
    <w:pPr>
      <w:tabs>
        <w:tab w:val="center" w:pos="4703"/>
        <w:tab w:val="right" w:pos="9406"/>
      </w:tabs>
      <w:spacing w:after="0" w:line="240" w:lineRule="auto"/>
    </w:pPr>
  </w:style>
  <w:style w:type="character" w:customStyle="1" w:styleId="PtaChar">
    <w:name w:val="Päta Char"/>
    <w:basedOn w:val="Predvolenpsmoodseku"/>
    <w:link w:val="Pta"/>
    <w:uiPriority w:val="99"/>
    <w:locked/>
    <w:rsid w:val="002B3044"/>
    <w:rPr>
      <w:rFonts w:cs="Times New Roman"/>
    </w:rPr>
  </w:style>
  <w:style w:type="paragraph" w:styleId="Bezriadkovania">
    <w:name w:val="No Spacing"/>
    <w:uiPriority w:val="1"/>
    <w:qFormat/>
    <w:rsid w:val="00416013"/>
    <w:pPr>
      <w:spacing w:after="0" w:line="240" w:lineRule="auto"/>
    </w:pPr>
    <w:rPr>
      <w:rFonts w:cs="Times New Roman"/>
      <w:szCs w:val="36"/>
    </w:rPr>
  </w:style>
  <w:style w:type="paragraph" w:customStyle="1" w:styleId="ListParagraph1">
    <w:name w:val="List Paragraph1"/>
    <w:basedOn w:val="Normlny"/>
    <w:rsid w:val="00937C0C"/>
    <w:pPr>
      <w:ind w:left="720"/>
    </w:pPr>
    <w:rPr>
      <w:rFonts w:ascii="Calibri" w:hAnsi="Calibri"/>
      <w:szCs w:val="22"/>
    </w:rPr>
  </w:style>
  <w:style w:type="character" w:styleId="Hypertextovprepojenie">
    <w:name w:val="Hyperlink"/>
    <w:basedOn w:val="Predvolenpsmoodseku"/>
    <w:uiPriority w:val="99"/>
    <w:unhideWhenUsed/>
    <w:rsid w:val="00B074C3"/>
    <w:rPr>
      <w:rFonts w:cs="Times New Roman"/>
      <w:color w:val="0000FF" w:themeColor="hyperlink"/>
      <w:u w:val="single"/>
    </w:rPr>
  </w:style>
  <w:style w:type="paragraph" w:styleId="Normlnywebov">
    <w:name w:val="Normal (Web)"/>
    <w:basedOn w:val="Normlny"/>
    <w:uiPriority w:val="99"/>
    <w:semiHidden/>
    <w:unhideWhenUsed/>
    <w:rsid w:val="0021223F"/>
    <w:pPr>
      <w:spacing w:before="100" w:beforeAutospacing="1" w:after="100" w:afterAutospacing="1" w:line="240" w:lineRule="auto"/>
    </w:pPr>
    <w:rPr>
      <w:rFonts w:ascii="Times New Roman" w:eastAsiaTheme="minorEastAsia" w:hAnsi="Times New Roman"/>
      <w:sz w:val="24"/>
      <w:szCs w:val="24"/>
      <w:lang w:val="en-US"/>
    </w:rPr>
  </w:style>
  <w:style w:type="character" w:styleId="Odkaznakomentr">
    <w:name w:val="annotation reference"/>
    <w:basedOn w:val="Predvolenpsmoodseku"/>
    <w:uiPriority w:val="99"/>
    <w:semiHidden/>
    <w:unhideWhenUsed/>
    <w:rsid w:val="00A616C1"/>
    <w:rPr>
      <w:rFonts w:cs="Times New Roman"/>
      <w:sz w:val="16"/>
      <w:szCs w:val="16"/>
    </w:rPr>
  </w:style>
  <w:style w:type="paragraph" w:styleId="Textkomentra">
    <w:name w:val="annotation text"/>
    <w:basedOn w:val="Normlny"/>
    <w:link w:val="TextkomentraChar"/>
    <w:uiPriority w:val="99"/>
    <w:semiHidden/>
    <w:unhideWhenUsed/>
    <w:rsid w:val="00A616C1"/>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A616C1"/>
    <w:rPr>
      <w:rFonts w:cs="Times New Roman"/>
      <w:sz w:val="20"/>
      <w:szCs w:val="20"/>
    </w:rPr>
  </w:style>
  <w:style w:type="paragraph" w:styleId="Hlavikaobsahu">
    <w:name w:val="TOC Heading"/>
    <w:basedOn w:val="Nadpis1"/>
    <w:next w:val="Normlny"/>
    <w:uiPriority w:val="39"/>
    <w:semiHidden/>
    <w:unhideWhenUsed/>
    <w:qFormat/>
    <w:rsid w:val="00BF1DE3"/>
    <w:pPr>
      <w:outlineLvl w:val="9"/>
    </w:pPr>
    <w:rPr>
      <w:lang w:val="en-US"/>
    </w:rPr>
  </w:style>
  <w:style w:type="paragraph" w:styleId="Predmetkomentra">
    <w:name w:val="annotation subject"/>
    <w:basedOn w:val="Textkomentra"/>
    <w:next w:val="Textkomentra"/>
    <w:link w:val="PredmetkomentraChar"/>
    <w:uiPriority w:val="99"/>
    <w:semiHidden/>
    <w:unhideWhenUsed/>
    <w:rsid w:val="00A616C1"/>
    <w:rPr>
      <w:b/>
      <w:bCs/>
    </w:rPr>
  </w:style>
  <w:style w:type="character" w:customStyle="1" w:styleId="PredmetkomentraChar">
    <w:name w:val="Predmet komentára Char"/>
    <w:basedOn w:val="TextkomentraChar"/>
    <w:link w:val="Predmetkomentra"/>
    <w:uiPriority w:val="99"/>
    <w:semiHidden/>
    <w:locked/>
    <w:rsid w:val="00A616C1"/>
    <w:rPr>
      <w:rFonts w:cs="Times New Roman"/>
      <w:b/>
      <w:bCs/>
      <w:sz w:val="20"/>
      <w:szCs w:val="20"/>
    </w:rPr>
  </w:style>
  <w:style w:type="paragraph" w:styleId="Obsah3">
    <w:name w:val="toc 3"/>
    <w:basedOn w:val="Normlny"/>
    <w:next w:val="Normlny"/>
    <w:autoRedefine/>
    <w:uiPriority w:val="39"/>
    <w:unhideWhenUsed/>
    <w:rsid w:val="00BF1DE3"/>
    <w:pPr>
      <w:spacing w:after="100"/>
      <w:ind w:left="440"/>
    </w:pPr>
  </w:style>
  <w:style w:type="paragraph" w:styleId="Obsah1">
    <w:name w:val="toc 1"/>
    <w:basedOn w:val="Normlny"/>
    <w:next w:val="Normlny"/>
    <w:autoRedefine/>
    <w:uiPriority w:val="39"/>
    <w:unhideWhenUsed/>
    <w:rsid w:val="00524ACE"/>
    <w:pPr>
      <w:tabs>
        <w:tab w:val="left" w:pos="440"/>
        <w:tab w:val="right" w:leader="dot" w:pos="9062"/>
      </w:tabs>
      <w:spacing w:after="100"/>
    </w:pPr>
  </w:style>
  <w:style w:type="paragraph" w:styleId="Obsah2">
    <w:name w:val="toc 2"/>
    <w:basedOn w:val="Normlny"/>
    <w:next w:val="Normlny"/>
    <w:autoRedefine/>
    <w:uiPriority w:val="39"/>
    <w:unhideWhenUsed/>
    <w:rsid w:val="00922153"/>
    <w:pPr>
      <w:tabs>
        <w:tab w:val="left" w:pos="880"/>
        <w:tab w:val="right" w:leader="dot" w:pos="9062"/>
      </w:tabs>
      <w:spacing w:after="100"/>
    </w:pPr>
  </w:style>
  <w:style w:type="character" w:customStyle="1" w:styleId="OdsekzoznamuChar">
    <w:name w:val="Odsek zoznamu Char"/>
    <w:aliases w:val="body Char,Odsek zoznamu2 Char,Dot pt Char,F5 List Paragraph Char,No Spacing1 Char,List Paragraph Char Char Char Char,Indicator Text Char,Numbered Para 1 Char,Colorful List - Accent 11 Char,Bullet 1 Char,Bullet Points Char"/>
    <w:link w:val="Odsekzoznamu"/>
    <w:uiPriority w:val="34"/>
    <w:qFormat/>
    <w:locked/>
    <w:rsid w:val="00ED2608"/>
    <w:rPr>
      <w:rFonts w:ascii="Calibri" w:hAnsi="Calibri"/>
      <w:sz w:val="22"/>
      <w:lang w:val="en-US" w:eastAsia="x-none"/>
    </w:rPr>
  </w:style>
  <w:style w:type="table" w:styleId="Mriekatabuky">
    <w:name w:val="Table Grid"/>
    <w:basedOn w:val="Normlnatabuka"/>
    <w:uiPriority w:val="59"/>
    <w:rsid w:val="0056042D"/>
    <w:pPr>
      <w:spacing w:after="0" w:line="240" w:lineRule="auto"/>
    </w:pPr>
    <w:rPr>
      <w:rFonts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ist">
    <w:name w:val="NormalList"/>
    <w:basedOn w:val="Normlny"/>
    <w:qFormat/>
    <w:rsid w:val="000D0075"/>
    <w:pPr>
      <w:spacing w:after="0" w:line="240" w:lineRule="auto"/>
      <w:jc w:val="both"/>
    </w:pPr>
    <w:rPr>
      <w:rFonts w:cs="Book Antiqua"/>
      <w:szCs w:val="22"/>
    </w:rPr>
  </w:style>
  <w:style w:type="paragraph" w:styleId="Revzia">
    <w:name w:val="Revision"/>
    <w:hidden/>
    <w:uiPriority w:val="99"/>
    <w:semiHidden/>
    <w:rsid w:val="00FD3C28"/>
    <w:pPr>
      <w:spacing w:after="0" w:line="240" w:lineRule="auto"/>
    </w:pPr>
    <w:rPr>
      <w:rFonts w:cs="Times New Roman"/>
      <w:szCs w:val="36"/>
    </w:rPr>
  </w:style>
  <w:style w:type="character" w:styleId="PouitHypertextovPrepojenie">
    <w:name w:val="FollowedHyperlink"/>
    <w:basedOn w:val="Predvolenpsmoodseku"/>
    <w:uiPriority w:val="99"/>
    <w:rsid w:val="00C4348B"/>
    <w:rPr>
      <w:color w:val="800080" w:themeColor="followedHyperlink"/>
      <w:u w:val="single"/>
    </w:rPr>
  </w:style>
  <w:style w:type="paragraph" w:customStyle="1" w:styleId="Char2">
    <w:name w:val="Char2"/>
    <w:basedOn w:val="Normlny"/>
    <w:link w:val="Odkaznapoznmkupodiarou"/>
    <w:uiPriority w:val="99"/>
    <w:rsid w:val="005A2AC0"/>
    <w:pPr>
      <w:spacing w:after="0" w:line="240" w:lineRule="exact"/>
    </w:pPr>
    <w:rPr>
      <w:szCs w:val="22"/>
      <w:vertAlign w:val="superscript"/>
    </w:rPr>
  </w:style>
  <w:style w:type="paragraph" w:customStyle="1" w:styleId="Graf">
    <w:name w:val="Graf"/>
    <w:autoRedefine/>
    <w:qFormat/>
    <w:rsid w:val="00B349C3"/>
    <w:pPr>
      <w:framePr w:hSpace="141" w:wrap="around" w:vAnchor="text" w:hAnchor="margin" w:y="2742"/>
      <w:spacing w:after="0" w:line="240" w:lineRule="auto"/>
    </w:pPr>
    <w:rPr>
      <w:rFonts w:ascii="Times New Roman" w:eastAsia="Arial Narrow" w:hAnsi="Times New Roman" w:cs="Times New Roman"/>
      <w:b/>
      <w:bCs/>
      <w:noProof/>
      <w:color w:val="2C9ADC" w:themeColor="accent1"/>
      <w:sz w:val="20"/>
      <w:szCs w:val="36"/>
      <w:lang w:eastAsia="sk-SK"/>
    </w:rPr>
  </w:style>
  <w:style w:type="character" w:styleId="Zvraznenie">
    <w:name w:val="Emphasis"/>
    <w:basedOn w:val="Predvolenpsmoodseku"/>
    <w:uiPriority w:val="20"/>
    <w:qFormat/>
    <w:rsid w:val="001A6F83"/>
    <w:rPr>
      <w:i/>
      <w:iCs/>
    </w:rPr>
  </w:style>
  <w:style w:type="paragraph" w:styleId="Popis">
    <w:name w:val="caption"/>
    <w:basedOn w:val="Normlny"/>
    <w:next w:val="Normlny"/>
    <w:uiPriority w:val="35"/>
    <w:unhideWhenUsed/>
    <w:qFormat/>
    <w:rsid w:val="00A549F5"/>
    <w:pPr>
      <w:spacing w:line="240" w:lineRule="auto"/>
    </w:pPr>
    <w:rPr>
      <w:rFonts w:eastAsiaTheme="minorHAnsi" w:cstheme="minorBidi"/>
      <w:b/>
      <w:bCs/>
      <w:color w:val="2C9ADC"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6255">
      <w:marLeft w:val="0"/>
      <w:marRight w:val="0"/>
      <w:marTop w:val="0"/>
      <w:marBottom w:val="0"/>
      <w:divBdr>
        <w:top w:val="none" w:sz="0" w:space="0" w:color="auto"/>
        <w:left w:val="none" w:sz="0" w:space="0" w:color="auto"/>
        <w:bottom w:val="none" w:sz="0" w:space="0" w:color="auto"/>
        <w:right w:val="none" w:sz="0" w:space="0" w:color="auto"/>
      </w:divBdr>
    </w:div>
    <w:div w:id="126356256">
      <w:marLeft w:val="0"/>
      <w:marRight w:val="0"/>
      <w:marTop w:val="0"/>
      <w:marBottom w:val="0"/>
      <w:divBdr>
        <w:top w:val="none" w:sz="0" w:space="0" w:color="auto"/>
        <w:left w:val="none" w:sz="0" w:space="0" w:color="auto"/>
        <w:bottom w:val="none" w:sz="0" w:space="0" w:color="auto"/>
        <w:right w:val="none" w:sz="0" w:space="0" w:color="auto"/>
      </w:divBdr>
    </w:div>
    <w:div w:id="126356257">
      <w:marLeft w:val="0"/>
      <w:marRight w:val="0"/>
      <w:marTop w:val="0"/>
      <w:marBottom w:val="0"/>
      <w:divBdr>
        <w:top w:val="none" w:sz="0" w:space="0" w:color="auto"/>
        <w:left w:val="none" w:sz="0" w:space="0" w:color="auto"/>
        <w:bottom w:val="none" w:sz="0" w:space="0" w:color="auto"/>
        <w:right w:val="none" w:sz="0" w:space="0" w:color="auto"/>
      </w:divBdr>
    </w:div>
    <w:div w:id="126356258">
      <w:marLeft w:val="0"/>
      <w:marRight w:val="0"/>
      <w:marTop w:val="0"/>
      <w:marBottom w:val="0"/>
      <w:divBdr>
        <w:top w:val="none" w:sz="0" w:space="0" w:color="auto"/>
        <w:left w:val="none" w:sz="0" w:space="0" w:color="auto"/>
        <w:bottom w:val="none" w:sz="0" w:space="0" w:color="auto"/>
        <w:right w:val="none" w:sz="0" w:space="0" w:color="auto"/>
      </w:divBdr>
    </w:div>
    <w:div w:id="126356259">
      <w:marLeft w:val="0"/>
      <w:marRight w:val="0"/>
      <w:marTop w:val="0"/>
      <w:marBottom w:val="0"/>
      <w:divBdr>
        <w:top w:val="none" w:sz="0" w:space="0" w:color="auto"/>
        <w:left w:val="none" w:sz="0" w:space="0" w:color="auto"/>
        <w:bottom w:val="none" w:sz="0" w:space="0" w:color="auto"/>
        <w:right w:val="none" w:sz="0" w:space="0" w:color="auto"/>
      </w:divBdr>
    </w:div>
    <w:div w:id="126356260">
      <w:marLeft w:val="0"/>
      <w:marRight w:val="0"/>
      <w:marTop w:val="0"/>
      <w:marBottom w:val="0"/>
      <w:divBdr>
        <w:top w:val="none" w:sz="0" w:space="0" w:color="auto"/>
        <w:left w:val="none" w:sz="0" w:space="0" w:color="auto"/>
        <w:bottom w:val="none" w:sz="0" w:space="0" w:color="auto"/>
        <w:right w:val="none" w:sz="0" w:space="0" w:color="auto"/>
      </w:divBdr>
    </w:div>
    <w:div w:id="126356261">
      <w:marLeft w:val="0"/>
      <w:marRight w:val="0"/>
      <w:marTop w:val="0"/>
      <w:marBottom w:val="0"/>
      <w:divBdr>
        <w:top w:val="none" w:sz="0" w:space="0" w:color="auto"/>
        <w:left w:val="none" w:sz="0" w:space="0" w:color="auto"/>
        <w:bottom w:val="none" w:sz="0" w:space="0" w:color="auto"/>
        <w:right w:val="none" w:sz="0" w:space="0" w:color="auto"/>
      </w:divBdr>
    </w:div>
    <w:div w:id="126356262">
      <w:marLeft w:val="0"/>
      <w:marRight w:val="0"/>
      <w:marTop w:val="0"/>
      <w:marBottom w:val="0"/>
      <w:divBdr>
        <w:top w:val="none" w:sz="0" w:space="0" w:color="auto"/>
        <w:left w:val="none" w:sz="0" w:space="0" w:color="auto"/>
        <w:bottom w:val="none" w:sz="0" w:space="0" w:color="auto"/>
        <w:right w:val="none" w:sz="0" w:space="0" w:color="auto"/>
      </w:divBdr>
    </w:div>
    <w:div w:id="126356263">
      <w:marLeft w:val="0"/>
      <w:marRight w:val="0"/>
      <w:marTop w:val="0"/>
      <w:marBottom w:val="0"/>
      <w:divBdr>
        <w:top w:val="none" w:sz="0" w:space="0" w:color="auto"/>
        <w:left w:val="none" w:sz="0" w:space="0" w:color="auto"/>
        <w:bottom w:val="none" w:sz="0" w:space="0" w:color="auto"/>
        <w:right w:val="none" w:sz="0" w:space="0" w:color="auto"/>
      </w:divBdr>
    </w:div>
    <w:div w:id="126356264">
      <w:marLeft w:val="0"/>
      <w:marRight w:val="0"/>
      <w:marTop w:val="0"/>
      <w:marBottom w:val="0"/>
      <w:divBdr>
        <w:top w:val="none" w:sz="0" w:space="0" w:color="auto"/>
        <w:left w:val="none" w:sz="0" w:space="0" w:color="auto"/>
        <w:bottom w:val="none" w:sz="0" w:space="0" w:color="auto"/>
        <w:right w:val="none" w:sz="0" w:space="0" w:color="auto"/>
      </w:divBdr>
    </w:div>
    <w:div w:id="126356265">
      <w:marLeft w:val="0"/>
      <w:marRight w:val="0"/>
      <w:marTop w:val="0"/>
      <w:marBottom w:val="0"/>
      <w:divBdr>
        <w:top w:val="none" w:sz="0" w:space="0" w:color="auto"/>
        <w:left w:val="none" w:sz="0" w:space="0" w:color="auto"/>
        <w:bottom w:val="none" w:sz="0" w:space="0" w:color="auto"/>
        <w:right w:val="none" w:sz="0" w:space="0" w:color="auto"/>
      </w:divBdr>
    </w:div>
    <w:div w:id="126356266">
      <w:marLeft w:val="0"/>
      <w:marRight w:val="0"/>
      <w:marTop w:val="0"/>
      <w:marBottom w:val="0"/>
      <w:divBdr>
        <w:top w:val="none" w:sz="0" w:space="0" w:color="auto"/>
        <w:left w:val="none" w:sz="0" w:space="0" w:color="auto"/>
        <w:bottom w:val="none" w:sz="0" w:space="0" w:color="auto"/>
        <w:right w:val="none" w:sz="0" w:space="0" w:color="auto"/>
      </w:divBdr>
    </w:div>
    <w:div w:id="126356267">
      <w:marLeft w:val="0"/>
      <w:marRight w:val="0"/>
      <w:marTop w:val="0"/>
      <w:marBottom w:val="0"/>
      <w:divBdr>
        <w:top w:val="none" w:sz="0" w:space="0" w:color="auto"/>
        <w:left w:val="none" w:sz="0" w:space="0" w:color="auto"/>
        <w:bottom w:val="none" w:sz="0" w:space="0" w:color="auto"/>
        <w:right w:val="none" w:sz="0" w:space="0" w:color="auto"/>
      </w:divBdr>
    </w:div>
    <w:div w:id="319702199">
      <w:bodyDiv w:val="1"/>
      <w:marLeft w:val="0"/>
      <w:marRight w:val="0"/>
      <w:marTop w:val="0"/>
      <w:marBottom w:val="0"/>
      <w:divBdr>
        <w:top w:val="none" w:sz="0" w:space="0" w:color="auto"/>
        <w:left w:val="none" w:sz="0" w:space="0" w:color="auto"/>
        <w:bottom w:val="none" w:sz="0" w:space="0" w:color="auto"/>
        <w:right w:val="none" w:sz="0" w:space="0" w:color="auto"/>
      </w:divBdr>
    </w:div>
    <w:div w:id="655305555">
      <w:bodyDiv w:val="1"/>
      <w:marLeft w:val="0"/>
      <w:marRight w:val="0"/>
      <w:marTop w:val="0"/>
      <w:marBottom w:val="0"/>
      <w:divBdr>
        <w:top w:val="none" w:sz="0" w:space="0" w:color="auto"/>
        <w:left w:val="none" w:sz="0" w:space="0" w:color="auto"/>
        <w:bottom w:val="none" w:sz="0" w:space="0" w:color="auto"/>
        <w:right w:val="none" w:sz="0" w:space="0" w:color="auto"/>
      </w:divBdr>
    </w:div>
    <w:div w:id="766267637">
      <w:bodyDiv w:val="1"/>
      <w:marLeft w:val="0"/>
      <w:marRight w:val="0"/>
      <w:marTop w:val="0"/>
      <w:marBottom w:val="0"/>
      <w:divBdr>
        <w:top w:val="none" w:sz="0" w:space="0" w:color="auto"/>
        <w:left w:val="none" w:sz="0" w:space="0" w:color="auto"/>
        <w:bottom w:val="none" w:sz="0" w:space="0" w:color="auto"/>
        <w:right w:val="none" w:sz="0" w:space="0" w:color="auto"/>
      </w:divBdr>
    </w:div>
    <w:div w:id="925923513">
      <w:bodyDiv w:val="1"/>
      <w:marLeft w:val="0"/>
      <w:marRight w:val="0"/>
      <w:marTop w:val="0"/>
      <w:marBottom w:val="0"/>
      <w:divBdr>
        <w:top w:val="none" w:sz="0" w:space="0" w:color="auto"/>
        <w:left w:val="none" w:sz="0" w:space="0" w:color="auto"/>
        <w:bottom w:val="none" w:sz="0" w:space="0" w:color="auto"/>
        <w:right w:val="none" w:sz="0" w:space="0" w:color="auto"/>
      </w:divBdr>
    </w:div>
    <w:div w:id="943345133">
      <w:bodyDiv w:val="1"/>
      <w:marLeft w:val="0"/>
      <w:marRight w:val="0"/>
      <w:marTop w:val="0"/>
      <w:marBottom w:val="0"/>
      <w:divBdr>
        <w:top w:val="none" w:sz="0" w:space="0" w:color="auto"/>
        <w:left w:val="none" w:sz="0" w:space="0" w:color="auto"/>
        <w:bottom w:val="none" w:sz="0" w:space="0" w:color="auto"/>
        <w:right w:val="none" w:sz="0" w:space="0" w:color="auto"/>
      </w:divBdr>
    </w:div>
    <w:div w:id="953899035">
      <w:bodyDiv w:val="1"/>
      <w:marLeft w:val="0"/>
      <w:marRight w:val="0"/>
      <w:marTop w:val="0"/>
      <w:marBottom w:val="0"/>
      <w:divBdr>
        <w:top w:val="none" w:sz="0" w:space="0" w:color="auto"/>
        <w:left w:val="none" w:sz="0" w:space="0" w:color="auto"/>
        <w:bottom w:val="none" w:sz="0" w:space="0" w:color="auto"/>
        <w:right w:val="none" w:sz="0" w:space="0" w:color="auto"/>
      </w:divBdr>
    </w:div>
    <w:div w:id="1191645156">
      <w:bodyDiv w:val="1"/>
      <w:marLeft w:val="0"/>
      <w:marRight w:val="0"/>
      <w:marTop w:val="0"/>
      <w:marBottom w:val="0"/>
      <w:divBdr>
        <w:top w:val="none" w:sz="0" w:space="0" w:color="auto"/>
        <w:left w:val="none" w:sz="0" w:space="0" w:color="auto"/>
        <w:bottom w:val="none" w:sz="0" w:space="0" w:color="auto"/>
        <w:right w:val="none" w:sz="0" w:space="0" w:color="auto"/>
      </w:divBdr>
    </w:div>
    <w:div w:id="1643390592">
      <w:bodyDiv w:val="1"/>
      <w:marLeft w:val="0"/>
      <w:marRight w:val="0"/>
      <w:marTop w:val="0"/>
      <w:marBottom w:val="0"/>
      <w:divBdr>
        <w:top w:val="none" w:sz="0" w:space="0" w:color="auto"/>
        <w:left w:val="none" w:sz="0" w:space="0" w:color="auto"/>
        <w:bottom w:val="none" w:sz="0" w:space="0" w:color="auto"/>
        <w:right w:val="none" w:sz="0" w:space="0" w:color="auto"/>
      </w:divBdr>
    </w:div>
    <w:div w:id="1726905596">
      <w:bodyDiv w:val="1"/>
      <w:marLeft w:val="0"/>
      <w:marRight w:val="0"/>
      <w:marTop w:val="0"/>
      <w:marBottom w:val="0"/>
      <w:divBdr>
        <w:top w:val="none" w:sz="0" w:space="0" w:color="auto"/>
        <w:left w:val="none" w:sz="0" w:space="0" w:color="auto"/>
        <w:bottom w:val="none" w:sz="0" w:space="0" w:color="auto"/>
        <w:right w:val="none" w:sz="0" w:space="0" w:color="auto"/>
      </w:divBdr>
    </w:div>
    <w:div w:id="1793595001">
      <w:bodyDiv w:val="1"/>
      <w:marLeft w:val="0"/>
      <w:marRight w:val="0"/>
      <w:marTop w:val="0"/>
      <w:marBottom w:val="0"/>
      <w:divBdr>
        <w:top w:val="none" w:sz="0" w:space="0" w:color="auto"/>
        <w:left w:val="none" w:sz="0" w:space="0" w:color="auto"/>
        <w:bottom w:val="none" w:sz="0" w:space="0" w:color="auto"/>
        <w:right w:val="none" w:sz="0" w:space="0" w:color="auto"/>
      </w:divBdr>
    </w:div>
    <w:div w:id="1815948578">
      <w:bodyDiv w:val="1"/>
      <w:marLeft w:val="0"/>
      <w:marRight w:val="0"/>
      <w:marTop w:val="0"/>
      <w:marBottom w:val="0"/>
      <w:divBdr>
        <w:top w:val="none" w:sz="0" w:space="0" w:color="auto"/>
        <w:left w:val="none" w:sz="0" w:space="0" w:color="auto"/>
        <w:bottom w:val="none" w:sz="0" w:space="0" w:color="auto"/>
        <w:right w:val="none" w:sz="0" w:space="0" w:color="auto"/>
      </w:divBdr>
    </w:div>
    <w:div w:id="1882328560">
      <w:bodyDiv w:val="1"/>
      <w:marLeft w:val="0"/>
      <w:marRight w:val="0"/>
      <w:marTop w:val="0"/>
      <w:marBottom w:val="0"/>
      <w:divBdr>
        <w:top w:val="none" w:sz="0" w:space="0" w:color="auto"/>
        <w:left w:val="none" w:sz="0" w:space="0" w:color="auto"/>
        <w:bottom w:val="none" w:sz="0" w:space="0" w:color="auto"/>
        <w:right w:val="none" w:sz="0" w:space="0" w:color="auto"/>
      </w:divBdr>
    </w:div>
    <w:div w:id="1928608396">
      <w:bodyDiv w:val="1"/>
      <w:marLeft w:val="0"/>
      <w:marRight w:val="0"/>
      <w:marTop w:val="0"/>
      <w:marBottom w:val="0"/>
      <w:divBdr>
        <w:top w:val="none" w:sz="0" w:space="0" w:color="auto"/>
        <w:left w:val="none" w:sz="0" w:space="0" w:color="auto"/>
        <w:bottom w:val="none" w:sz="0" w:space="0" w:color="auto"/>
        <w:right w:val="none" w:sz="0" w:space="0" w:color="auto"/>
      </w:divBdr>
    </w:div>
    <w:div w:id="2065054744">
      <w:bodyDiv w:val="1"/>
      <w:marLeft w:val="0"/>
      <w:marRight w:val="0"/>
      <w:marTop w:val="0"/>
      <w:marBottom w:val="0"/>
      <w:divBdr>
        <w:top w:val="none" w:sz="0" w:space="0" w:color="auto"/>
        <w:left w:val="none" w:sz="0" w:space="0" w:color="auto"/>
        <w:bottom w:val="none" w:sz="0" w:space="0" w:color="auto"/>
        <w:right w:val="none" w:sz="0" w:space="0" w:color="auto"/>
      </w:divBdr>
    </w:div>
    <w:div w:id="211008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fsr.sk/files/archiv/85/2021_07_Hodnotenie_dani_20220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mf.mfsr.sk\DfsRoot\ADRESARE\IFP_NEW\5_MATERIALY\5_3_Strategicke_materialy\List%20dlh\2022\DLH_Model_2022_List_dlh.xlsm"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mf.mfsr.sk\DfsRoot\ADRESARE\IFP_NEW\5_MATERIALY\5_3_Strategicke_materialy\List%20dlh\2022\DLH_Model_2022_List_dlh.xlsm"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mf.mfsr.sk\DfsRoot\ADRESARE\IFP_NEW\5_MATERIALY\5_3_Strategicke_materialy\List%20dlh\2022\DLH_Model_2022_List_dlh.xlsm"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mf.mfsr.sk\DfsRoot\ADRESARE\IFP_NEW\5_MATERIALY\5_3_Strategicke_materialy\List%20dlh\2022\Dlh_dlhodoba%20projekcia_2040_altscena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3192709210695847E-2"/>
          <c:y val="4.2553191489361701E-2"/>
          <c:w val="0.90847981747355289"/>
          <c:h val="0.79580878782365005"/>
        </c:manualLayout>
      </c:layout>
      <c:areaChart>
        <c:grouping val="stacked"/>
        <c:varyColors val="0"/>
        <c:ser>
          <c:idx val="0"/>
          <c:order val="0"/>
          <c:tx>
            <c:v>Čistý dlh VS</c:v>
          </c:tx>
          <c:spPr>
            <a:solidFill>
              <a:schemeClr val="accent1">
                <a:lumMod val="75000"/>
              </a:schemeClr>
            </a:solidFill>
            <a:ln w="19050" cap="rnd">
              <a:noFill/>
              <a:round/>
            </a:ln>
            <a:effectLst/>
          </c:spPr>
          <c:cat>
            <c:numRef>
              <c:f>'Cisty dlh'!$D$2:$AB$2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extLst/>
            </c:numRef>
          </c:cat>
          <c:val>
            <c:numRef>
              <c:f>'Cisty dlh'!$D$21:$AB$21</c:f>
              <c:numCache>
                <c:formatCode>#\ ##0.0</c:formatCode>
                <c:ptCount val="18"/>
                <c:pt idx="0">
                  <c:v>22.598307807313471</c:v>
                </c:pt>
                <c:pt idx="1">
                  <c:v>31.683494130065476</c:v>
                </c:pt>
                <c:pt idx="2">
                  <c:v>37.068734443693771</c:v>
                </c:pt>
                <c:pt idx="3">
                  <c:v>40.927685019601448</c:v>
                </c:pt>
                <c:pt idx="4">
                  <c:v>45.136737716228204</c:v>
                </c:pt>
                <c:pt idx="5">
                  <c:v>47.881345190081426</c:v>
                </c:pt>
                <c:pt idx="6">
                  <c:v>49.543867162149482</c:v>
                </c:pt>
                <c:pt idx="7">
                  <c:v>47.484021642515039</c:v>
                </c:pt>
                <c:pt idx="8">
                  <c:v>47.052183451906302</c:v>
                </c:pt>
                <c:pt idx="9">
                  <c:v>45.864679034753259</c:v>
                </c:pt>
                <c:pt idx="10">
                  <c:v>43.330589179314366</c:v>
                </c:pt>
                <c:pt idx="11">
                  <c:v>43.081329264143989</c:v>
                </c:pt>
                <c:pt idx="12">
                  <c:v>48.930578275859077</c:v>
                </c:pt>
                <c:pt idx="13">
                  <c:v>50.544197398980451</c:v>
                </c:pt>
                <c:pt idx="14">
                  <c:v>49.887839548411122</c:v>
                </c:pt>
                <c:pt idx="15">
                  <c:v>51.769937780728348</c:v>
                </c:pt>
                <c:pt idx="16">
                  <c:v>53.311734806601166</c:v>
                </c:pt>
                <c:pt idx="17">
                  <c:v>54.154001298975508</c:v>
                </c:pt>
              </c:numCache>
              <c:extLst/>
            </c:numRef>
          </c:val>
          <c:extLst>
            <c:ext xmlns:c16="http://schemas.microsoft.com/office/drawing/2014/chart" uri="{C3380CC4-5D6E-409C-BE32-E72D297353CC}">
              <c16:uniqueId val="{00000000-FB2B-409E-80E3-E3CB467D2FB0}"/>
            </c:ext>
          </c:extLst>
        </c:ser>
        <c:ser>
          <c:idx val="1"/>
          <c:order val="1"/>
          <c:tx>
            <c:v>Likvidné finančné aktíva</c:v>
          </c:tx>
          <c:spPr>
            <a:ln w="25400">
              <a:noFill/>
            </a:ln>
          </c:spPr>
          <c:cat>
            <c:numRef>
              <c:f>'Cisty dlh'!$D$2:$AB$2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extLst/>
            </c:numRef>
          </c:cat>
          <c:val>
            <c:numRef>
              <c:f>'Cisty dlh'!$D$14:$AB$14</c:f>
              <c:numCache>
                <c:formatCode>#\ ##0.0</c:formatCode>
                <c:ptCount val="18"/>
                <c:pt idx="0">
                  <c:v>6.0005364588647181</c:v>
                </c:pt>
                <c:pt idx="1">
                  <c:v>4.6773940624460817</c:v>
                </c:pt>
                <c:pt idx="2">
                  <c:v>3.9469569866278689</c:v>
                </c:pt>
                <c:pt idx="3">
                  <c:v>2.5746202098179962</c:v>
                </c:pt>
                <c:pt idx="4">
                  <c:v>6.7088236101818435</c:v>
                </c:pt>
                <c:pt idx="5">
                  <c:v>6.9126631896011617</c:v>
                </c:pt>
                <c:pt idx="6">
                  <c:v>4.0179209318691536</c:v>
                </c:pt>
                <c:pt idx="7">
                  <c:v>4.4396690105761918</c:v>
                </c:pt>
                <c:pt idx="8">
                  <c:v>5.3605424373459156</c:v>
                </c:pt>
                <c:pt idx="9">
                  <c:v>5.7352388505529737</c:v>
                </c:pt>
                <c:pt idx="10">
                  <c:v>6.0774616498550937</c:v>
                </c:pt>
                <c:pt idx="11">
                  <c:v>4.8932900932990773</c:v>
                </c:pt>
                <c:pt idx="12">
                  <c:v>9.9717647580726769</c:v>
                </c:pt>
                <c:pt idx="13">
                  <c:v>11.641649373154877</c:v>
                </c:pt>
                <c:pt idx="14">
                  <c:v>8.6647098584915199</c:v>
                </c:pt>
                <c:pt idx="15">
                  <c:v>6.0931917945818537</c:v>
                </c:pt>
                <c:pt idx="16">
                  <c:v>5.2099522061443997</c:v>
                </c:pt>
                <c:pt idx="17">
                  <c:v>4.1169398873054259</c:v>
                </c:pt>
              </c:numCache>
              <c:extLst/>
            </c:numRef>
          </c:val>
          <c:extLst>
            <c:ext xmlns:c16="http://schemas.microsoft.com/office/drawing/2014/chart" uri="{C3380CC4-5D6E-409C-BE32-E72D297353CC}">
              <c16:uniqueId val="{00000001-FB2B-409E-80E3-E3CB467D2FB0}"/>
            </c:ext>
          </c:extLst>
        </c:ser>
        <c:dLbls>
          <c:showLegendKey val="0"/>
          <c:showVal val="0"/>
          <c:showCatName val="0"/>
          <c:showSerName val="0"/>
          <c:showPercent val="0"/>
          <c:showBubbleSize val="0"/>
        </c:dLbls>
        <c:axId val="560515240"/>
        <c:axId val="560515632"/>
      </c:areaChart>
      <c:lineChart>
        <c:grouping val="standard"/>
        <c:varyColors val="0"/>
        <c:ser>
          <c:idx val="2"/>
          <c:order val="2"/>
          <c:tx>
            <c:v>Hrubý dlh VS</c:v>
          </c:tx>
          <c:spPr>
            <a:ln>
              <a:noFill/>
            </a:ln>
          </c:spPr>
          <c:marker>
            <c:symbol val="circle"/>
            <c:size val="5"/>
            <c:spPr>
              <a:solidFill>
                <a:schemeClr val="tx1"/>
              </a:solidFill>
              <a:ln>
                <a:noFill/>
              </a:ln>
            </c:spPr>
          </c:marker>
          <c:dLbls>
            <c:numFmt formatCode="#,##0.0" sourceLinked="0"/>
            <c:spPr>
              <a:solidFill>
                <a:schemeClr val="bg1"/>
              </a:solidFill>
              <a:ln w="3175">
                <a:solidFill>
                  <a:schemeClr val="tx1"/>
                </a:solidFill>
              </a:ln>
              <a:effectLst/>
            </c:spPr>
            <c:txPr>
              <a:bodyPr/>
              <a:lstStyle/>
              <a:p>
                <a:pPr>
                  <a:defRPr sz="800"/>
                </a:pPr>
                <a:endParaRPr lang="sk-S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extLst>
                <c:ext xmlns:c15="http://schemas.microsoft.com/office/drawing/2012/chart" uri="{02D57815-91ED-43cb-92C2-25804820EDAC}">
                  <c15:autoCat val="1"/>
                </c:ext>
              </c:extLst>
            </c:strLit>
          </c:cat>
          <c:val>
            <c:numRef>
              <c:f>'Cisty dlh'!$D$4:$AB$4</c:f>
              <c:numCache>
                <c:formatCode>#\ ##0.0</c:formatCode>
                <c:ptCount val="18"/>
                <c:pt idx="0">
                  <c:v>28.598844266178187</c:v>
                </c:pt>
                <c:pt idx="1">
                  <c:v>36.360888192511553</c:v>
                </c:pt>
                <c:pt idx="2">
                  <c:v>41.015691430321638</c:v>
                </c:pt>
                <c:pt idx="3">
                  <c:v>43.502305229419441</c:v>
                </c:pt>
                <c:pt idx="4">
                  <c:v>51.845561326410049</c:v>
                </c:pt>
                <c:pt idx="5">
                  <c:v>54.794008379682587</c:v>
                </c:pt>
                <c:pt idx="6">
                  <c:v>53.561788094018638</c:v>
                </c:pt>
                <c:pt idx="7">
                  <c:v>51.923690653091235</c:v>
                </c:pt>
                <c:pt idx="8">
                  <c:v>52.412725889252222</c:v>
                </c:pt>
                <c:pt idx="9">
                  <c:v>51.599917885306233</c:v>
                </c:pt>
                <c:pt idx="10">
                  <c:v>49.408050829169454</c:v>
                </c:pt>
                <c:pt idx="11">
                  <c:v>47.974619357443068</c:v>
                </c:pt>
                <c:pt idx="12">
                  <c:v>58.902343033931757</c:v>
                </c:pt>
                <c:pt idx="13">
                  <c:v>62.185846772135321</c:v>
                </c:pt>
                <c:pt idx="14">
                  <c:v>58.552549406902642</c:v>
                </c:pt>
                <c:pt idx="15">
                  <c:v>57.863129575310204</c:v>
                </c:pt>
                <c:pt idx="16">
                  <c:v>58.521687012745559</c:v>
                </c:pt>
                <c:pt idx="17">
                  <c:v>58.270941186280943</c:v>
                </c:pt>
              </c:numCache>
              <c:extLst/>
            </c:numRef>
          </c:val>
          <c:smooth val="0"/>
          <c:extLst>
            <c:ext xmlns:c16="http://schemas.microsoft.com/office/drawing/2014/chart" uri="{C3380CC4-5D6E-409C-BE32-E72D297353CC}">
              <c16:uniqueId val="{00000002-FB2B-409E-80E3-E3CB467D2FB0}"/>
            </c:ext>
          </c:extLst>
        </c:ser>
        <c:ser>
          <c:idx val="3"/>
          <c:order val="3"/>
          <c:spPr>
            <a:ln w="28575">
              <a:noFill/>
            </a:ln>
          </c:spPr>
          <c:marker>
            <c:symbol val="diamond"/>
            <c:size val="7"/>
            <c:spPr>
              <a:noFill/>
              <a:ln>
                <a:noFill/>
              </a:ln>
            </c:spPr>
          </c:marker>
          <c:cat>
            <c:strLit>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extLst>
                <c:ext xmlns:c15="http://schemas.microsoft.com/office/drawing/2012/chart" uri="{02D57815-91ED-43cb-92C2-25804820EDAC}">
                  <c15:autoCat val="1"/>
                </c:ext>
              </c:extLst>
            </c:strLit>
          </c:cat>
          <c:val>
            <c:numRef>
              <c:f>'Cisty dlh'!$D$21:$AB$21</c:f>
              <c:numCache>
                <c:formatCode>#\ ##0.0</c:formatCode>
                <c:ptCount val="18"/>
                <c:pt idx="0">
                  <c:v>22.598307807313471</c:v>
                </c:pt>
                <c:pt idx="1">
                  <c:v>31.683494130065476</c:v>
                </c:pt>
                <c:pt idx="2">
                  <c:v>37.068734443693771</c:v>
                </c:pt>
                <c:pt idx="3">
                  <c:v>40.927685019601448</c:v>
                </c:pt>
                <c:pt idx="4">
                  <c:v>45.136737716228204</c:v>
                </c:pt>
                <c:pt idx="5">
                  <c:v>47.881345190081426</c:v>
                </c:pt>
                <c:pt idx="6">
                  <c:v>49.543867162149482</c:v>
                </c:pt>
                <c:pt idx="7">
                  <c:v>47.484021642515039</c:v>
                </c:pt>
                <c:pt idx="8">
                  <c:v>47.052183451906302</c:v>
                </c:pt>
                <c:pt idx="9">
                  <c:v>45.864679034753259</c:v>
                </c:pt>
                <c:pt idx="10">
                  <c:v>43.330589179314366</c:v>
                </c:pt>
                <c:pt idx="11">
                  <c:v>43.081329264143989</c:v>
                </c:pt>
                <c:pt idx="12">
                  <c:v>48.930578275859077</c:v>
                </c:pt>
                <c:pt idx="13">
                  <c:v>50.544197398980451</c:v>
                </c:pt>
                <c:pt idx="14">
                  <c:v>49.887839548411122</c:v>
                </c:pt>
                <c:pt idx="15">
                  <c:v>51.769937780728348</c:v>
                </c:pt>
                <c:pt idx="16">
                  <c:v>53.311734806601166</c:v>
                </c:pt>
                <c:pt idx="17">
                  <c:v>54.154001298975508</c:v>
                </c:pt>
              </c:numCache>
              <c:extLst/>
            </c:numRef>
          </c:val>
          <c:smooth val="0"/>
          <c:extLst>
            <c:ext xmlns:c16="http://schemas.microsoft.com/office/drawing/2014/chart" uri="{C3380CC4-5D6E-409C-BE32-E72D297353CC}">
              <c16:uniqueId val="{00000003-FB2B-409E-80E3-E3CB467D2FB0}"/>
            </c:ext>
          </c:extLst>
        </c:ser>
        <c:ser>
          <c:idx val="4"/>
          <c:order val="4"/>
          <c:tx>
            <c:v>Horné a spodné sankčné pásmo hrubého dlhu</c:v>
          </c:tx>
          <c:spPr>
            <a:ln w="19050">
              <a:solidFill>
                <a:srgbClr val="FF0000"/>
              </a:solidFill>
              <a:prstDash val="sysDot"/>
            </a:ln>
          </c:spPr>
          <c:marker>
            <c:symbol val="none"/>
          </c:marker>
          <c:cat>
            <c:strLit>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extLst>
                <c:ext xmlns:c15="http://schemas.microsoft.com/office/drawing/2012/chart" uri="{02D57815-91ED-43cb-92C2-25804820EDAC}">
                  <c15:autoCat val="1"/>
                </c:ext>
              </c:extLst>
            </c:strLit>
          </c:cat>
          <c:val>
            <c:numRef>
              <c:f>'Cisty dlh'!$D$29:$AB$29</c:f>
              <c:numCache>
                <c:formatCode>General</c:formatCode>
                <c:ptCount val="18"/>
                <c:pt idx="0">
                  <c:v>#N/A</c:v>
                </c:pt>
                <c:pt idx="1">
                  <c:v>#N/A</c:v>
                </c:pt>
                <c:pt idx="2">
                  <c:v>#N/A</c:v>
                </c:pt>
                <c:pt idx="3">
                  <c:v>#N/A</c:v>
                </c:pt>
                <c:pt idx="4">
                  <c:v>60</c:v>
                </c:pt>
                <c:pt idx="5">
                  <c:v>60</c:v>
                </c:pt>
                <c:pt idx="6">
                  <c:v>60</c:v>
                </c:pt>
                <c:pt idx="7">
                  <c:v>60</c:v>
                </c:pt>
                <c:pt idx="8">
                  <c:v>60</c:v>
                </c:pt>
                <c:pt idx="9">
                  <c:v>60</c:v>
                </c:pt>
                <c:pt idx="10">
                  <c:v>59</c:v>
                </c:pt>
                <c:pt idx="11">
                  <c:v>58</c:v>
                </c:pt>
                <c:pt idx="12">
                  <c:v>57</c:v>
                </c:pt>
                <c:pt idx="13">
                  <c:v>56</c:v>
                </c:pt>
                <c:pt idx="14">
                  <c:v>55</c:v>
                </c:pt>
                <c:pt idx="15">
                  <c:v>54</c:v>
                </c:pt>
                <c:pt idx="16">
                  <c:v>53</c:v>
                </c:pt>
                <c:pt idx="17">
                  <c:v>52</c:v>
                </c:pt>
              </c:numCache>
              <c:extLst/>
            </c:numRef>
          </c:val>
          <c:smooth val="0"/>
          <c:extLst>
            <c:ext xmlns:c16="http://schemas.microsoft.com/office/drawing/2014/chart" uri="{C3380CC4-5D6E-409C-BE32-E72D297353CC}">
              <c16:uniqueId val="{00000004-FB2B-409E-80E3-E3CB467D2FB0}"/>
            </c:ext>
          </c:extLst>
        </c:ser>
        <c:ser>
          <c:idx val="5"/>
          <c:order val="5"/>
          <c:tx>
            <c:v>Spodné sankčné pásmo</c:v>
          </c:tx>
          <c:spPr>
            <a:ln w="19050">
              <a:solidFill>
                <a:srgbClr val="FF0000"/>
              </a:solidFill>
              <a:prstDash val="sysDot"/>
            </a:ln>
          </c:spPr>
          <c:marker>
            <c:symbol val="none"/>
          </c:marker>
          <c:cat>
            <c:strLit>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extLst>
                <c:ext xmlns:c15="http://schemas.microsoft.com/office/drawing/2012/chart" uri="{02D57815-91ED-43cb-92C2-25804820EDAC}">
                  <c15:autoCat val="1"/>
                </c:ext>
              </c:extLst>
            </c:strLit>
          </c:cat>
          <c:val>
            <c:numRef>
              <c:f>'Cisty dlh'!$D$30:$AB$30</c:f>
              <c:numCache>
                <c:formatCode>General</c:formatCode>
                <c:ptCount val="18"/>
                <c:pt idx="0">
                  <c:v>#N/A</c:v>
                </c:pt>
                <c:pt idx="1">
                  <c:v>#N/A</c:v>
                </c:pt>
                <c:pt idx="2">
                  <c:v>#N/A</c:v>
                </c:pt>
                <c:pt idx="3">
                  <c:v>#N/A</c:v>
                </c:pt>
                <c:pt idx="4">
                  <c:v>50</c:v>
                </c:pt>
                <c:pt idx="5">
                  <c:v>50</c:v>
                </c:pt>
                <c:pt idx="6">
                  <c:v>50</c:v>
                </c:pt>
                <c:pt idx="7">
                  <c:v>50</c:v>
                </c:pt>
                <c:pt idx="8">
                  <c:v>50</c:v>
                </c:pt>
                <c:pt idx="9">
                  <c:v>50</c:v>
                </c:pt>
                <c:pt idx="10">
                  <c:v>49</c:v>
                </c:pt>
                <c:pt idx="11">
                  <c:v>48</c:v>
                </c:pt>
                <c:pt idx="12">
                  <c:v>47</c:v>
                </c:pt>
                <c:pt idx="13">
                  <c:v>46</c:v>
                </c:pt>
                <c:pt idx="14">
                  <c:v>45</c:v>
                </c:pt>
                <c:pt idx="15">
                  <c:v>44</c:v>
                </c:pt>
                <c:pt idx="16">
                  <c:v>43</c:v>
                </c:pt>
                <c:pt idx="17">
                  <c:v>42</c:v>
                </c:pt>
              </c:numCache>
              <c:extLst/>
            </c:numRef>
          </c:val>
          <c:smooth val="0"/>
          <c:extLst>
            <c:ext xmlns:c16="http://schemas.microsoft.com/office/drawing/2014/chart" uri="{C3380CC4-5D6E-409C-BE32-E72D297353CC}">
              <c16:uniqueId val="{00000005-FB2B-409E-80E3-E3CB467D2FB0}"/>
            </c:ext>
          </c:extLst>
        </c:ser>
        <c:ser>
          <c:idx val="6"/>
          <c:order val="8"/>
          <c:spPr>
            <a:ln w="28575">
              <a:noFill/>
            </a:ln>
          </c:spPr>
          <c:marker>
            <c:symbol val="circle"/>
            <c:size val="5"/>
            <c:spPr>
              <a:ln w="3175">
                <a:solidFill>
                  <a:schemeClr val="tx1"/>
                </a:solidFill>
              </a:ln>
            </c:spPr>
          </c:marker>
          <c:cat>
            <c:strLit>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extLst>
                <c:ext xmlns:c15="http://schemas.microsoft.com/office/drawing/2012/chart" uri="{02D57815-91ED-43cb-92C2-25804820EDAC}">
                  <c15:autoCat val="1"/>
                </c:ext>
              </c:extLst>
            </c:strLit>
          </c:cat>
          <c:val>
            <c:numRef>
              <c:f>'Cisty dlh'!$D$21:$AB$21</c:f>
              <c:numCache>
                <c:formatCode>#\ ##0.0</c:formatCode>
                <c:ptCount val="18"/>
                <c:pt idx="0">
                  <c:v>22.598307807313471</c:v>
                </c:pt>
                <c:pt idx="1">
                  <c:v>31.683494130065476</c:v>
                </c:pt>
                <c:pt idx="2">
                  <c:v>37.068734443693771</c:v>
                </c:pt>
                <c:pt idx="3">
                  <c:v>40.927685019601448</c:v>
                </c:pt>
                <c:pt idx="4">
                  <c:v>45.136737716228204</c:v>
                </c:pt>
                <c:pt idx="5">
                  <c:v>47.881345190081426</c:v>
                </c:pt>
                <c:pt idx="6">
                  <c:v>49.543867162149482</c:v>
                </c:pt>
                <c:pt idx="7">
                  <c:v>47.484021642515039</c:v>
                </c:pt>
                <c:pt idx="8">
                  <c:v>47.052183451906302</c:v>
                </c:pt>
                <c:pt idx="9">
                  <c:v>45.864679034753259</c:v>
                </c:pt>
                <c:pt idx="10">
                  <c:v>43.330589179314366</c:v>
                </c:pt>
                <c:pt idx="11">
                  <c:v>43.081329264143989</c:v>
                </c:pt>
                <c:pt idx="12">
                  <c:v>48.930578275859077</c:v>
                </c:pt>
                <c:pt idx="13">
                  <c:v>50.544197398980451</c:v>
                </c:pt>
                <c:pt idx="14">
                  <c:v>49.887839548411122</c:v>
                </c:pt>
                <c:pt idx="15">
                  <c:v>51.769937780728348</c:v>
                </c:pt>
                <c:pt idx="16">
                  <c:v>53.311734806601166</c:v>
                </c:pt>
                <c:pt idx="17">
                  <c:v>54.154001298975508</c:v>
                </c:pt>
              </c:numCache>
              <c:extLst/>
            </c:numRef>
          </c:val>
          <c:smooth val="0"/>
          <c:extLst>
            <c:ext xmlns:c16="http://schemas.microsoft.com/office/drawing/2014/chart" uri="{C3380CC4-5D6E-409C-BE32-E72D297353CC}">
              <c16:uniqueId val="{00000006-FB2B-409E-80E3-E3CB467D2FB0}"/>
            </c:ext>
          </c:extLst>
        </c:ser>
        <c:dLbls>
          <c:showLegendKey val="0"/>
          <c:showVal val="0"/>
          <c:showCatName val="0"/>
          <c:showSerName val="0"/>
          <c:showPercent val="0"/>
          <c:showBubbleSize val="0"/>
        </c:dLbls>
        <c:marker val="1"/>
        <c:smooth val="0"/>
        <c:axId val="560515240"/>
        <c:axId val="560515632"/>
        <c:extLst>
          <c:ext xmlns:c15="http://schemas.microsoft.com/office/drawing/2012/chart" uri="{02D57815-91ED-43cb-92C2-25804820EDAC}">
            <c15:filteredLineSeries>
              <c15:ser>
                <c:idx val="7"/>
                <c:order val="6"/>
                <c:tx>
                  <c:v>Gross debt (reaching budgetary targets)</c:v>
                </c:tx>
                <c:spPr>
                  <a:ln w="19050">
                    <a:solidFill>
                      <a:schemeClr val="tx1"/>
                    </a:solidFill>
                    <a:prstDash val="sysDash"/>
                  </a:ln>
                </c:spPr>
                <c:marker>
                  <c:symbol val="none"/>
                </c:marker>
                <c:val>
                  <c:numRef>
                    <c:extLst>
                      <c:ext uri="{02D57815-91ED-43cb-92C2-25804820EDAC}">
                        <c15:formulaRef>
                          <c15:sqref>'Súhrnná tabuľka'!$AB$127:$AS$127</c15:sqref>
                        </c15:formulaRef>
                      </c:ext>
                    </c:extLst>
                    <c:numCache>
                      <c:formatCode>General</c:formatCode>
                      <c:ptCount val="11"/>
                      <c:pt idx="7" formatCode="0.0">
                        <c:v>58.552549406902642</c:v>
                      </c:pt>
                      <c:pt idx="8" formatCode="0.0">
                        <c:v>57.863129393800818</c:v>
                      </c:pt>
                      <c:pt idx="9" formatCode="0.0">
                        <c:v>57.645550803080802</c:v>
                      </c:pt>
                      <c:pt idx="10" formatCode="0.0">
                        <c:v>56.089614869088336</c:v>
                      </c:pt>
                    </c:numCache>
                  </c:numRef>
                </c:val>
                <c:smooth val="0"/>
                <c:extLst>
                  <c:ext xmlns:c16="http://schemas.microsoft.com/office/drawing/2014/chart" uri="{C3380CC4-5D6E-409C-BE32-E72D297353CC}">
                    <c16:uniqueId val="{00000007-FB2B-409E-80E3-E3CB467D2FB0}"/>
                  </c:ext>
                </c:extLst>
              </c15:ser>
            </c15:filteredLineSeries>
            <c15:filteredLineSeries>
              <c15:ser>
                <c:idx val="8"/>
                <c:order val="7"/>
                <c:tx>
                  <c:v>Net debt (reaching budgetary targets)</c:v>
                </c:tx>
                <c:spPr>
                  <a:ln w="19050">
                    <a:solidFill>
                      <a:schemeClr val="bg1">
                        <a:lumMod val="85000"/>
                      </a:schemeClr>
                    </a:solidFill>
                    <a:prstDash val="sysDash"/>
                  </a:ln>
                </c:spPr>
                <c:marker>
                  <c:symbol val="none"/>
                </c:marker>
                <c:val>
                  <c:numRef>
                    <c:extLst xmlns:c15="http://schemas.microsoft.com/office/drawing/2012/chart">
                      <c:ext xmlns:c15="http://schemas.microsoft.com/office/drawing/2012/chart" uri="{02D57815-91ED-43cb-92C2-25804820EDAC}">
                        <c15:formulaRef>
                          <c15:sqref>'Súhrnná tabuľka'!$AB$128:$AS$128</c15:sqref>
                        </c15:formulaRef>
                      </c:ext>
                    </c:extLst>
                    <c:numCache>
                      <c:formatCode>General</c:formatCode>
                      <c:ptCount val="11"/>
                      <c:pt idx="7" formatCode="0.0">
                        <c:v>49.887839548411122</c:v>
                      </c:pt>
                      <c:pt idx="8" formatCode="0.0">
                        <c:v>51.769937599218963</c:v>
                      </c:pt>
                      <c:pt idx="9" formatCode="0.0">
                        <c:v>52.435598596936408</c:v>
                      </c:pt>
                      <c:pt idx="10" formatCode="0.0">
                        <c:v>51.972674981782909</c:v>
                      </c:pt>
                    </c:numCache>
                  </c:numRef>
                </c:val>
                <c:smooth val="0"/>
                <c:extLst xmlns:c15="http://schemas.microsoft.com/office/drawing/2012/chart">
                  <c:ext xmlns:c16="http://schemas.microsoft.com/office/drawing/2014/chart" uri="{C3380CC4-5D6E-409C-BE32-E72D297353CC}">
                    <c16:uniqueId val="{00000008-FB2B-409E-80E3-E3CB467D2FB0}"/>
                  </c:ext>
                </c:extLst>
              </c15:ser>
            </c15:filteredLineSeries>
          </c:ext>
        </c:extLst>
      </c:lineChart>
      <c:catAx>
        <c:axId val="560515240"/>
        <c:scaling>
          <c:orientation val="minMax"/>
        </c:scaling>
        <c:delete val="0"/>
        <c:axPos val="b"/>
        <c:numFmt formatCode="General" sourceLinked="1"/>
        <c:majorTickMark val="out"/>
        <c:minorTickMark val="none"/>
        <c:tickLblPos val="low"/>
        <c:spPr>
          <a:noFill/>
          <a:ln w="3175" cap="flat" cmpd="sng" algn="ctr">
            <a:solidFill>
              <a:schemeClr val="tx1"/>
            </a:solidFill>
            <a:round/>
          </a:ln>
          <a:effectLst/>
        </c:spPr>
        <c:txPr>
          <a:bodyPr rot="-60000000" vert="horz"/>
          <a:lstStyle/>
          <a:p>
            <a:pPr>
              <a:defRPr/>
            </a:pPr>
            <a:endParaRPr lang="sk-SK"/>
          </a:p>
        </c:txPr>
        <c:crossAx val="560515632"/>
        <c:crosses val="autoZero"/>
        <c:auto val="0"/>
        <c:lblAlgn val="ctr"/>
        <c:lblOffset val="100"/>
        <c:noMultiLvlLbl val="0"/>
      </c:catAx>
      <c:valAx>
        <c:axId val="560515632"/>
        <c:scaling>
          <c:orientation val="minMax"/>
          <c:min val="10"/>
        </c:scaling>
        <c:delete val="0"/>
        <c:axPos val="l"/>
        <c:majorGridlines>
          <c:spPr>
            <a:ln w="3175" cap="flat" cmpd="sng" algn="ctr">
              <a:solidFill>
                <a:schemeClr val="tx1">
                  <a:lumMod val="15000"/>
                  <a:lumOff val="85000"/>
                </a:schemeClr>
              </a:solidFill>
              <a:prstDash val="sysDot"/>
              <a:round/>
            </a:ln>
            <a:effectLst/>
          </c:spPr>
        </c:majorGridlines>
        <c:numFmt formatCode="0" sourceLinked="0"/>
        <c:majorTickMark val="none"/>
        <c:minorTickMark val="none"/>
        <c:tickLblPos val="nextTo"/>
        <c:spPr>
          <a:noFill/>
          <a:ln w="3175">
            <a:solidFill>
              <a:schemeClr val="tx1"/>
            </a:solidFill>
          </a:ln>
          <a:effectLst/>
        </c:spPr>
        <c:txPr>
          <a:bodyPr rot="-60000000" vert="horz"/>
          <a:lstStyle/>
          <a:p>
            <a:pPr>
              <a:defRPr/>
            </a:pPr>
            <a:endParaRPr lang="sk-SK"/>
          </a:p>
        </c:txPr>
        <c:crossAx val="560515240"/>
        <c:crosses val="autoZero"/>
        <c:crossBetween val="between"/>
      </c:valAx>
      <c:spPr>
        <a:noFill/>
        <a:ln w="3175">
          <a:noFill/>
          <a:prstDash val="sysDot"/>
        </a:ln>
        <a:effectLst/>
      </c:spPr>
    </c:plotArea>
    <c:legend>
      <c:legendPos val="t"/>
      <c:legendEntry>
        <c:idx val="3"/>
        <c:delete val="1"/>
      </c:legendEntry>
      <c:legendEntry>
        <c:idx val="5"/>
        <c:delete val="1"/>
      </c:legendEntry>
      <c:legendEntry>
        <c:idx val="6"/>
        <c:delete val="1"/>
      </c:legendEntry>
      <c:layout>
        <c:manualLayout>
          <c:xMode val="edge"/>
          <c:yMode val="edge"/>
          <c:x val="4.8309933480537156E-3"/>
          <c:y val="0.92821204187955708"/>
          <c:w val="0.98854448749461876"/>
          <c:h val="7.1787958120442905E-2"/>
        </c:manualLayout>
      </c:layout>
      <c:overlay val="0"/>
      <c:txPr>
        <a:bodyPr/>
        <a:lstStyle/>
        <a:p>
          <a:pPr>
            <a:defRPr sz="800"/>
          </a:pPr>
          <a:endParaRPr lang="sk-SK"/>
        </a:p>
      </c:txPr>
    </c:legend>
    <c:plotVisOnly val="1"/>
    <c:dispBlanksAs val="gap"/>
    <c:showDLblsOverMax val="0"/>
  </c:chart>
  <c:spPr>
    <a:solidFill>
      <a:schemeClr val="bg1"/>
    </a:solidFill>
    <a:ln w="9525" cap="flat" cmpd="sng" algn="ctr">
      <a:noFill/>
      <a:round/>
    </a:ln>
    <a:effectLst/>
  </c:spPr>
  <c:txPr>
    <a:bodyPr/>
    <a:lstStyle/>
    <a:p>
      <a:pPr>
        <a:defRPr sz="700">
          <a:latin typeface="Arial Narrow" panose="020B0606020202030204" pitchFamily="34" charset="0"/>
        </a:defRPr>
      </a:pPr>
      <a:endParaRPr lang="sk-SK"/>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658207975436682"/>
          <c:y val="5.5096418732782371E-2"/>
          <c:w val="0.80489564410977077"/>
          <c:h val="0.71454533622816307"/>
        </c:manualLayout>
      </c:layout>
      <c:barChart>
        <c:barDir val="col"/>
        <c:grouping val="stacked"/>
        <c:varyColors val="0"/>
        <c:ser>
          <c:idx val="0"/>
          <c:order val="0"/>
          <c:tx>
            <c:strRef>
              <c:f>'Súhrnná tabuľka'!$A$37</c:f>
              <c:strCache>
                <c:ptCount val="1"/>
                <c:pt idx="0">
                  <c:v>Primárne saldo</c:v>
                </c:pt>
              </c:strCache>
            </c:strRef>
          </c:tx>
          <c:spPr>
            <a:solidFill>
              <a:srgbClr val="002060"/>
            </a:solidFill>
            <a:ln>
              <a:noFill/>
            </a:ln>
            <a:effectLst/>
          </c:spPr>
          <c:invertIfNegative val="0"/>
          <c:dLbls>
            <c:dLbl>
              <c:idx val="0"/>
              <c:layout>
                <c:manualLayout>
                  <c:x val="-3.7656788611464085E-17"/>
                  <c:y val="2.22365364386406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8E-4661-83CD-B829C1DE94AB}"/>
                </c:ext>
              </c:extLst>
            </c:dLbl>
            <c:spPr>
              <a:noFill/>
              <a:ln>
                <a:noFill/>
              </a:ln>
              <a:effectLst/>
            </c:spPr>
            <c:txPr>
              <a:bodyPr rot="0" spcFirstLastPara="1" vertOverflow="ellipsis" vert="horz" wrap="square" anchor="ctr" anchorCtr="1"/>
              <a:lstStyle/>
              <a:p>
                <a:pPr>
                  <a:defRPr sz="700" b="1" i="0" u="none" strike="noStrike" kern="1200" baseline="0">
                    <a:solidFill>
                      <a:schemeClr val="bg1"/>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'Súhrnná tabuľka'!$AM$36:$AN$36</c:f>
              <c:strCache>
                <c:ptCount val="2"/>
                <c:pt idx="0">
                  <c:v>2012-2019</c:v>
                </c:pt>
                <c:pt idx="1">
                  <c:v>2020-2021</c:v>
                </c:pt>
              </c:strCache>
            </c:strRef>
          </c:cat>
          <c:val>
            <c:numRef>
              <c:f>'Súhrnná tabuľka'!$AM$37:$AN$37</c:f>
              <c:numCache>
                <c:formatCode>#\ ##0.0</c:formatCode>
                <c:ptCount val="2"/>
                <c:pt idx="0">
                  <c:v>5.7008646157374461</c:v>
                </c:pt>
                <c:pt idx="1">
                  <c:v>8.5417411237052541</c:v>
                </c:pt>
              </c:numCache>
            </c:numRef>
          </c:val>
          <c:extLst>
            <c:ext xmlns:c16="http://schemas.microsoft.com/office/drawing/2014/chart" uri="{C3380CC4-5D6E-409C-BE32-E72D297353CC}">
              <c16:uniqueId val="{00000001-B48E-4661-83CD-B829C1DE94AB}"/>
            </c:ext>
          </c:extLst>
        </c:ser>
        <c:ser>
          <c:idx val="1"/>
          <c:order val="1"/>
          <c:tx>
            <c:strRef>
              <c:f>'Súhrnná tabuľka'!$A$39</c:f>
              <c:strCache>
                <c:ptCount val="1"/>
                <c:pt idx="0">
                  <c:v>Úroky</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'Súhrnná tabuľka'!$AM$36:$AN$36</c:f>
              <c:strCache>
                <c:ptCount val="2"/>
                <c:pt idx="0">
                  <c:v>2012-2019</c:v>
                </c:pt>
                <c:pt idx="1">
                  <c:v>2020-2021</c:v>
                </c:pt>
              </c:strCache>
            </c:strRef>
          </c:cat>
          <c:val>
            <c:numRef>
              <c:f>'Súhrnná tabuľka'!$AM$39:$AN$39</c:f>
              <c:numCache>
                <c:formatCode>#\ ##0.0</c:formatCode>
                <c:ptCount val="2"/>
                <c:pt idx="0">
                  <c:v>13.12281143515173</c:v>
                </c:pt>
                <c:pt idx="1">
                  <c:v>2.2795067630448402</c:v>
                </c:pt>
              </c:numCache>
            </c:numRef>
          </c:val>
          <c:extLst>
            <c:ext xmlns:c16="http://schemas.microsoft.com/office/drawing/2014/chart" uri="{C3380CC4-5D6E-409C-BE32-E72D297353CC}">
              <c16:uniqueId val="{00000002-B48E-4661-83CD-B829C1DE94AB}"/>
            </c:ext>
          </c:extLst>
        </c:ser>
        <c:ser>
          <c:idx val="5"/>
          <c:order val="2"/>
          <c:tx>
            <c:strRef>
              <c:f>'Súhrnná tabuľka'!$A$40</c:f>
              <c:strCache>
                <c:ptCount val="1"/>
                <c:pt idx="0">
                  <c:v>Rast nominálneho HDP</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'Súhrnná tabuľka'!$AM$40:$AN$40</c:f>
              <c:numCache>
                <c:formatCode>#\ ##0.0</c:formatCode>
                <c:ptCount val="2"/>
                <c:pt idx="0">
                  <c:v>-14.108089729449382</c:v>
                </c:pt>
                <c:pt idx="1">
                  <c:v>-2.5288130581858264</c:v>
                </c:pt>
              </c:numCache>
            </c:numRef>
          </c:val>
          <c:extLst>
            <c:ext xmlns:c16="http://schemas.microsoft.com/office/drawing/2014/chart" uri="{C3380CC4-5D6E-409C-BE32-E72D297353CC}">
              <c16:uniqueId val="{00000003-B48E-4661-83CD-B829C1DE94AB}"/>
            </c:ext>
          </c:extLst>
        </c:ser>
        <c:ser>
          <c:idx val="2"/>
          <c:order val="3"/>
          <c:tx>
            <c:strRef>
              <c:f>'Súhrnná tabuľka'!$AL$56</c:f>
              <c:strCache>
                <c:ptCount val="1"/>
                <c:pt idx="0">
                  <c:v>Zosúladenie deficitu a dlhu - bez hotovosti VS</c:v>
                </c:pt>
              </c:strCache>
            </c:strRef>
          </c:tx>
          <c:spPr>
            <a:solidFill>
              <a:schemeClr val="bg1">
                <a:lumMod val="85000"/>
              </a:schemeClr>
            </a:solidFill>
            <a:ln>
              <a:noFill/>
            </a:ln>
            <a:effectLst/>
          </c:spPr>
          <c:invertIfNegative val="0"/>
          <c:dLbls>
            <c:dLbl>
              <c:idx val="1"/>
              <c:layout>
                <c:manualLayout>
                  <c:x val="8.2511140672920952E-2"/>
                  <c:y val="-6.0855315700112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48E-4661-83CD-B829C1DE94AB}"/>
                </c:ext>
              </c:extLst>
            </c:dLbl>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'Súhrnná tabuľka'!$AM$36:$AN$36</c:f>
              <c:strCache>
                <c:ptCount val="2"/>
                <c:pt idx="0">
                  <c:v>2012-2019</c:v>
                </c:pt>
                <c:pt idx="1">
                  <c:v>2020-2021</c:v>
                </c:pt>
              </c:strCache>
            </c:strRef>
          </c:cat>
          <c:val>
            <c:numRef>
              <c:f>'Súhrnná tabuľka'!$AM$41:$AN$41</c:f>
              <c:numCache>
                <c:formatCode>#\ ##0.0</c:formatCode>
                <c:ptCount val="2"/>
                <c:pt idx="0">
                  <c:v>-3.6236761866339897</c:v>
                </c:pt>
                <c:pt idx="1">
                  <c:v>-1.3279239586899489</c:v>
                </c:pt>
              </c:numCache>
            </c:numRef>
          </c:val>
          <c:extLst>
            <c:ext xmlns:c16="http://schemas.microsoft.com/office/drawing/2014/chart" uri="{C3380CC4-5D6E-409C-BE32-E72D297353CC}">
              <c16:uniqueId val="{00000005-B48E-4661-83CD-B829C1DE94AB}"/>
            </c:ext>
          </c:extLst>
        </c:ser>
        <c:ser>
          <c:idx val="3"/>
          <c:order val="4"/>
          <c:tx>
            <c:strRef>
              <c:f>'Súhrnná tabuľka'!$AL$60</c:f>
              <c:strCache>
                <c:ptCount val="1"/>
                <c:pt idx="0">
                  <c:v>Zmena hotovosti VS</c:v>
                </c:pt>
              </c:strCache>
            </c:strRef>
          </c:tx>
          <c:spPr>
            <a:solidFill>
              <a:schemeClr val="accent1">
                <a:lumMod val="40000"/>
                <a:lumOff val="60000"/>
              </a:schemeClr>
            </a:solidFill>
            <a:ln>
              <a:noFill/>
            </a:ln>
            <a:effectLst/>
          </c:spPr>
          <c:invertIfNegative val="0"/>
          <c:dLbls>
            <c:dLbl>
              <c:idx val="1"/>
              <c:layout>
                <c:manualLayout>
                  <c:x val="0"/>
                  <c:y val="-3.95316203353612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48E-4661-83CD-B829C1DE94AB}"/>
                </c:ext>
              </c:extLst>
            </c:dLbl>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'Súhrnná tabuľka'!$AM$36:$AN$36</c:f>
              <c:strCache>
                <c:ptCount val="2"/>
                <c:pt idx="0">
                  <c:v>2012-2019</c:v>
                </c:pt>
                <c:pt idx="1">
                  <c:v>2020-2021</c:v>
                </c:pt>
              </c:strCache>
            </c:strRef>
          </c:cat>
          <c:val>
            <c:numRef>
              <c:f>'Súhrnná tabuľka'!$AM$44:$AN$44</c:f>
              <c:numCache>
                <c:formatCode>#\ ##0.0</c:formatCode>
                <c:ptCount val="2"/>
                <c:pt idx="0">
                  <c:v>3.3804039932178225</c:v>
                </c:pt>
                <c:pt idx="1">
                  <c:v>7.246716544817934</c:v>
                </c:pt>
              </c:numCache>
            </c:numRef>
          </c:val>
          <c:extLst>
            <c:ext xmlns:c16="http://schemas.microsoft.com/office/drawing/2014/chart" uri="{C3380CC4-5D6E-409C-BE32-E72D297353CC}">
              <c16:uniqueId val="{00000007-B48E-4661-83CD-B829C1DE94AB}"/>
            </c:ext>
          </c:extLst>
        </c:ser>
        <c:dLbls>
          <c:showLegendKey val="0"/>
          <c:showVal val="0"/>
          <c:showCatName val="0"/>
          <c:showSerName val="0"/>
          <c:showPercent val="0"/>
          <c:showBubbleSize val="0"/>
        </c:dLbls>
        <c:gapWidth val="150"/>
        <c:overlap val="100"/>
        <c:axId val="814423016"/>
        <c:axId val="814423672"/>
      </c:barChart>
      <c:lineChart>
        <c:grouping val="standard"/>
        <c:varyColors val="0"/>
        <c:ser>
          <c:idx val="4"/>
          <c:order val="5"/>
          <c:tx>
            <c:strRef>
              <c:f>'Súhrnná tabuľka'!$A$34</c:f>
              <c:strCache>
                <c:ptCount val="1"/>
                <c:pt idx="0">
                  <c:v>Zmena hrubého dlhu VS</c:v>
                </c:pt>
              </c:strCache>
            </c:strRef>
          </c:tx>
          <c:spPr>
            <a:ln w="28575" cap="rnd">
              <a:noFill/>
              <a:round/>
            </a:ln>
            <a:effectLst/>
          </c:spPr>
          <c:marker>
            <c:symbol val="diamond"/>
            <c:size val="6"/>
            <c:spPr>
              <a:solidFill>
                <a:schemeClr val="tx1"/>
              </a:solidFill>
              <a:ln w="3175">
                <a:solidFill>
                  <a:schemeClr val="bg1"/>
                </a:solidFill>
              </a:ln>
              <a:effectLst/>
            </c:spPr>
          </c:marker>
          <c:dLbls>
            <c:spPr>
              <a:solidFill>
                <a:schemeClr val="bg1"/>
              </a:solidFill>
              <a:ln w="3175">
                <a:solidFill>
                  <a:schemeClr val="tx1"/>
                </a:solidFill>
              </a:ln>
              <a:effectLst/>
            </c:spPr>
            <c:txPr>
              <a:bodyPr rot="0" spcFirstLastPara="1" vertOverflow="ellipsis" vert="horz" wrap="square" anchor="ctr" anchorCtr="1"/>
              <a:lstStyle/>
              <a:p>
                <a:pPr>
                  <a:defRPr sz="800" b="1" i="0" u="none" strike="noStrike" kern="1200" baseline="0">
                    <a:solidFill>
                      <a:schemeClr val="tx1"/>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'Súhrnná tabuľka'!$AM$34:$AN$34</c:f>
              <c:numCache>
                <c:formatCode>#\ ##0.0</c:formatCode>
                <c:ptCount val="2"/>
                <c:pt idx="0">
                  <c:v>4.4723141280236263</c:v>
                </c:pt>
                <c:pt idx="1">
                  <c:v>14.211227414692253</c:v>
                </c:pt>
              </c:numCache>
            </c:numRef>
          </c:val>
          <c:smooth val="0"/>
          <c:extLst>
            <c:ext xmlns:c16="http://schemas.microsoft.com/office/drawing/2014/chart" uri="{C3380CC4-5D6E-409C-BE32-E72D297353CC}">
              <c16:uniqueId val="{00000008-B48E-4661-83CD-B829C1DE94AB}"/>
            </c:ext>
          </c:extLst>
        </c:ser>
        <c:dLbls>
          <c:showLegendKey val="0"/>
          <c:showVal val="0"/>
          <c:showCatName val="0"/>
          <c:showSerName val="0"/>
          <c:showPercent val="0"/>
          <c:showBubbleSize val="0"/>
        </c:dLbls>
        <c:marker val="1"/>
        <c:smooth val="0"/>
        <c:axId val="814423016"/>
        <c:axId val="814423672"/>
      </c:lineChart>
      <c:catAx>
        <c:axId val="814423016"/>
        <c:scaling>
          <c:orientation val="minMax"/>
        </c:scaling>
        <c:delete val="0"/>
        <c:axPos val="b"/>
        <c:numFmt formatCode="General" sourceLinked="1"/>
        <c:majorTickMark val="none"/>
        <c:minorTickMark val="none"/>
        <c:tickLblPos val="low"/>
        <c:spPr>
          <a:noFill/>
          <a:ln w="317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solidFill>
                <a:latin typeface="Arial Narrow" panose="020B0606020202030204" pitchFamily="34" charset="0"/>
                <a:ea typeface="+mn-ea"/>
                <a:cs typeface="+mn-cs"/>
              </a:defRPr>
            </a:pPr>
            <a:endParaRPr lang="sk-SK"/>
          </a:p>
        </c:txPr>
        <c:crossAx val="814423672"/>
        <c:crosses val="autoZero"/>
        <c:auto val="1"/>
        <c:lblAlgn val="ctr"/>
        <c:lblOffset val="100"/>
        <c:noMultiLvlLbl val="0"/>
      </c:catAx>
      <c:valAx>
        <c:axId val="814423672"/>
        <c:scaling>
          <c:orientation val="minMax"/>
          <c:max val="22"/>
          <c:min val="-18"/>
        </c:scaling>
        <c:delete val="0"/>
        <c:axPos val="l"/>
        <c:majorGridlines>
          <c:spPr>
            <a:ln w="3175" cap="flat" cmpd="sng" algn="ctr">
              <a:solidFill>
                <a:schemeClr val="tx1">
                  <a:lumMod val="15000"/>
                  <a:lumOff val="85000"/>
                </a:schemeClr>
              </a:solidFill>
              <a:prstDash val="sysDot"/>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sk-SK"/>
          </a:p>
        </c:txPr>
        <c:crossAx val="814423016"/>
        <c:crosses val="autoZero"/>
        <c:crossBetween val="between"/>
        <c:majorUnit val="5"/>
      </c:valAx>
      <c:spPr>
        <a:noFill/>
        <a:ln>
          <a:noFill/>
        </a:ln>
        <a:effectLst/>
      </c:spPr>
    </c:plotArea>
    <c:legend>
      <c:legendPos val="b"/>
      <c:layout>
        <c:manualLayout>
          <c:xMode val="edge"/>
          <c:yMode val="edge"/>
          <c:x val="0"/>
          <c:y val="0.88465483888142837"/>
          <c:w val="1"/>
          <c:h val="0.11534516111857167"/>
        </c:manualLayout>
      </c:layout>
      <c:overlay val="0"/>
      <c:spPr>
        <a:noFill/>
        <a:ln>
          <a:noFill/>
        </a:ln>
        <a:effectLst/>
      </c:spPr>
      <c:txPr>
        <a:bodyPr rot="0" spcFirstLastPara="1" vertOverflow="ellipsis" vert="horz" wrap="square" anchor="ctr" anchorCtr="1"/>
        <a:lstStyle/>
        <a:p>
          <a:pPr>
            <a:defRPr sz="620" b="0" i="0" u="none" strike="noStrike" kern="1200" baseline="0">
              <a:solidFill>
                <a:schemeClr val="tx1"/>
              </a:solidFill>
              <a:latin typeface="Arial Narrow" panose="020B0606020202030204" pitchFamily="34" charset="0"/>
              <a:ea typeface="+mn-ea"/>
              <a:cs typeface="+mn-cs"/>
            </a:defRPr>
          </a:pPr>
          <a:endParaRPr lang="sk-SK"/>
        </a:p>
      </c:txPr>
    </c:legend>
    <c:plotVisOnly val="1"/>
    <c:dispBlanksAs val="gap"/>
    <c:showDLblsOverMax val="0"/>
  </c:chart>
  <c:spPr>
    <a:noFill/>
    <a:ln w="9525" cap="flat" cmpd="sng" algn="ctr">
      <a:noFill/>
      <a:round/>
    </a:ln>
    <a:effectLst/>
  </c:spPr>
  <c:txPr>
    <a:bodyPr/>
    <a:lstStyle/>
    <a:p>
      <a:pPr>
        <a:defRPr sz="700">
          <a:solidFill>
            <a:schemeClr val="tx1"/>
          </a:solidFill>
          <a:latin typeface="Arial Narrow" panose="020B0606020202030204" pitchFamily="34" charset="0"/>
        </a:defRPr>
      </a:pPr>
      <a:endParaRPr lang="sk-SK"/>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50308282470608"/>
          <c:y val="0.13670886075949368"/>
          <c:w val="0.80725628601158583"/>
          <c:h val="0.71226392903418723"/>
        </c:manualLayout>
      </c:layout>
      <c:barChart>
        <c:barDir val="col"/>
        <c:grouping val="stacked"/>
        <c:varyColors val="0"/>
        <c:ser>
          <c:idx val="1"/>
          <c:order val="1"/>
          <c:tx>
            <c:strRef>
              <c:f>'Cisty dlh'!$AI$45</c:f>
              <c:strCache>
                <c:ptCount val="1"/>
                <c:pt idx="0">
                  <c:v>Hotovosť verejnej správy (bez ARDAL)</c:v>
                </c:pt>
              </c:strCache>
            </c:strRef>
          </c:tx>
          <c:spPr>
            <a:solidFill>
              <a:srgbClr val="2C9ADC"/>
            </a:solidFill>
            <a:ln>
              <a:noFill/>
            </a:ln>
            <a:effectLst/>
          </c:spPr>
          <c:invertIfNegative val="0"/>
          <c:val>
            <c:numRef>
              <c:f>'Cisty dlh'!$AJ$45:$AU$45</c:f>
              <c:numCache>
                <c:formatCode>#\ ##0.0</c:formatCode>
                <c:ptCount val="12"/>
                <c:pt idx="0">
                  <c:v>1.6174064621419619</c:v>
                </c:pt>
                <c:pt idx="1">
                  <c:v>1.6425185264881939</c:v>
                </c:pt>
                <c:pt idx="2">
                  <c:v>2.3076428941836333</c:v>
                </c:pt>
                <c:pt idx="3">
                  <c:v>2.3157872227425127</c:v>
                </c:pt>
                <c:pt idx="4">
                  <c:v>2.0920360529426092</c:v>
                </c:pt>
                <c:pt idx="5">
                  <c:v>2.0082082295791088</c:v>
                </c:pt>
                <c:pt idx="6">
                  <c:v>2.3788866225533969</c:v>
                </c:pt>
                <c:pt idx="7">
                  <c:v>2.0417355569354489</c:v>
                </c:pt>
                <c:pt idx="8">
                  <c:v>2.3213987501464963</c:v>
                </c:pt>
                <c:pt idx="9">
                  <c:v>2.1192432669981267</c:v>
                </c:pt>
                <c:pt idx="10">
                  <c:v>2.4200932462238223</c:v>
                </c:pt>
                <c:pt idx="11">
                  <c:v>2.4916115763894702</c:v>
                </c:pt>
              </c:numCache>
            </c:numRef>
          </c:val>
          <c:extLst>
            <c:ext xmlns:c16="http://schemas.microsoft.com/office/drawing/2014/chart" uri="{C3380CC4-5D6E-409C-BE32-E72D297353CC}">
              <c16:uniqueId val="{00000000-B3F5-401B-A554-16E69AAB5BAF}"/>
            </c:ext>
          </c:extLst>
        </c:ser>
        <c:ser>
          <c:idx val="3"/>
          <c:order val="2"/>
          <c:tx>
            <c:strRef>
              <c:f>'Cisty dlh'!$AI$47</c:f>
              <c:strCache>
                <c:ptCount val="1"/>
                <c:pt idx="0">
                  <c:v>Hotovostná rezerva ARDAL</c:v>
                </c:pt>
              </c:strCache>
            </c:strRef>
          </c:tx>
          <c:spPr>
            <a:solidFill>
              <a:srgbClr val="666699"/>
            </a:solidFill>
            <a:ln>
              <a:noFill/>
            </a:ln>
            <a:effectLst/>
          </c:spPr>
          <c:invertIfNegative val="0"/>
          <c:val>
            <c:numRef>
              <c:f>'Cisty dlh'!$AJ$47:$AU$47</c:f>
              <c:numCache>
                <c:formatCode>#\ ##0.0</c:formatCode>
                <c:ptCount val="12"/>
                <c:pt idx="0">
                  <c:v>2.3295505244859069</c:v>
                </c:pt>
                <c:pt idx="1">
                  <c:v>0.93210168332980237</c:v>
                </c:pt>
                <c:pt idx="2">
                  <c:v>4.4011807159982101</c:v>
                </c:pt>
                <c:pt idx="3">
                  <c:v>4.596875966858649</c:v>
                </c:pt>
                <c:pt idx="4">
                  <c:v>1.9258848789265444</c:v>
                </c:pt>
                <c:pt idx="5">
                  <c:v>2.431460780997083</c:v>
                </c:pt>
                <c:pt idx="6">
                  <c:v>2.9816558147925187</c:v>
                </c:pt>
                <c:pt idx="7">
                  <c:v>3.6935032936175247</c:v>
                </c:pt>
                <c:pt idx="8">
                  <c:v>3.7560628997085974</c:v>
                </c:pt>
                <c:pt idx="9">
                  <c:v>2.7740468263009506</c:v>
                </c:pt>
                <c:pt idx="10">
                  <c:v>7.5516715118488547</c:v>
                </c:pt>
                <c:pt idx="11">
                  <c:v>9.1500377967654067</c:v>
                </c:pt>
              </c:numCache>
            </c:numRef>
          </c:val>
          <c:extLst>
            <c:ext xmlns:c16="http://schemas.microsoft.com/office/drawing/2014/chart" uri="{C3380CC4-5D6E-409C-BE32-E72D297353CC}">
              <c16:uniqueId val="{00000001-B3F5-401B-A554-16E69AAB5BAF}"/>
            </c:ext>
          </c:extLst>
        </c:ser>
        <c:dLbls>
          <c:showLegendKey val="0"/>
          <c:showVal val="0"/>
          <c:showCatName val="0"/>
          <c:showSerName val="0"/>
          <c:showPercent val="0"/>
          <c:showBubbleSize val="0"/>
        </c:dLbls>
        <c:gapWidth val="150"/>
        <c:overlap val="100"/>
        <c:axId val="775527488"/>
        <c:axId val="775518960"/>
      </c:barChart>
      <c:lineChart>
        <c:grouping val="standard"/>
        <c:varyColors val="0"/>
        <c:ser>
          <c:idx val="0"/>
          <c:order val="0"/>
          <c:tx>
            <c:strRef>
              <c:f>'Cisty dlh'!$AI$44</c:f>
              <c:strCache>
                <c:ptCount val="1"/>
                <c:pt idx="0">
                  <c:v>Likvidné finančné aktíva spolu</c:v>
                </c:pt>
              </c:strCache>
            </c:strRef>
          </c:tx>
          <c:spPr>
            <a:ln w="28575" cap="rnd">
              <a:noFill/>
              <a:round/>
            </a:ln>
            <a:effectLst/>
          </c:spPr>
          <c:marker>
            <c:symbol val="circle"/>
            <c:size val="5"/>
            <c:spPr>
              <a:solidFill>
                <a:schemeClr val="tx1"/>
              </a:solidFill>
              <a:ln w="9525">
                <a:noFill/>
              </a:ln>
              <a:effectLst/>
            </c:spPr>
          </c:marker>
          <c:dLbls>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Arial Narrow" panose="020B0606020202030204" pitchFamily="34" charset="0"/>
                    <a:ea typeface="+mn-ea"/>
                    <a:cs typeface="+mn-cs"/>
                  </a:defRPr>
                </a:pPr>
                <a:endParaRPr lang="sk-S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'Cisty dlh'!$AJ$43:$AU$43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'Cisty dlh'!$AJ$44:$AU$44</c:f>
              <c:numCache>
                <c:formatCode>#\ ##0.0</c:formatCode>
                <c:ptCount val="12"/>
                <c:pt idx="0">
                  <c:v>3.9469569866278689</c:v>
                </c:pt>
                <c:pt idx="1">
                  <c:v>2.5746202098179962</c:v>
                </c:pt>
                <c:pt idx="2">
                  <c:v>6.7088236101818435</c:v>
                </c:pt>
                <c:pt idx="3">
                  <c:v>6.9126631896011617</c:v>
                </c:pt>
                <c:pt idx="4">
                  <c:v>4.0179209318691536</c:v>
                </c:pt>
                <c:pt idx="5">
                  <c:v>4.4396690105761918</c:v>
                </c:pt>
                <c:pt idx="6">
                  <c:v>5.3605424373459156</c:v>
                </c:pt>
                <c:pt idx="7">
                  <c:v>5.7352388505529737</c:v>
                </c:pt>
                <c:pt idx="8">
                  <c:v>6.0774616498550937</c:v>
                </c:pt>
                <c:pt idx="9">
                  <c:v>4.8932900932990773</c:v>
                </c:pt>
                <c:pt idx="10">
                  <c:v>9.9717647580726769</c:v>
                </c:pt>
                <c:pt idx="11">
                  <c:v>11.641649373154877</c:v>
                </c:pt>
              </c:numCache>
            </c:numRef>
          </c:val>
          <c:smooth val="0"/>
          <c:extLst>
            <c:ext xmlns:c16="http://schemas.microsoft.com/office/drawing/2014/chart" uri="{C3380CC4-5D6E-409C-BE32-E72D297353CC}">
              <c16:uniqueId val="{00000002-B3F5-401B-A554-16E69AAB5BAF}"/>
            </c:ext>
          </c:extLst>
        </c:ser>
        <c:dLbls>
          <c:showLegendKey val="0"/>
          <c:showVal val="0"/>
          <c:showCatName val="0"/>
          <c:showSerName val="0"/>
          <c:showPercent val="0"/>
          <c:showBubbleSize val="0"/>
        </c:dLbls>
        <c:marker val="1"/>
        <c:smooth val="0"/>
        <c:axId val="775527488"/>
        <c:axId val="775518960"/>
      </c:lineChart>
      <c:catAx>
        <c:axId val="7755274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1" i="0" u="none" strike="noStrike" kern="1200" baseline="0">
                <a:solidFill>
                  <a:schemeClr val="tx1"/>
                </a:solidFill>
                <a:latin typeface="Arial Narrow" panose="020B0606020202030204" pitchFamily="34" charset="0"/>
                <a:ea typeface="+mn-ea"/>
                <a:cs typeface="+mn-cs"/>
              </a:defRPr>
            </a:pPr>
            <a:endParaRPr lang="sk-SK"/>
          </a:p>
        </c:txPr>
        <c:crossAx val="775518960"/>
        <c:crosses val="autoZero"/>
        <c:auto val="1"/>
        <c:lblAlgn val="ctr"/>
        <c:lblOffset val="100"/>
        <c:noMultiLvlLbl val="0"/>
      </c:catAx>
      <c:valAx>
        <c:axId val="775518960"/>
        <c:scaling>
          <c:orientation val="minMax"/>
        </c:scaling>
        <c:delete val="0"/>
        <c:axPos val="l"/>
        <c:majorGridlines>
          <c:spPr>
            <a:ln w="3175" cap="flat" cmpd="sng" algn="ctr">
              <a:solidFill>
                <a:schemeClr val="tx1">
                  <a:lumMod val="15000"/>
                  <a:lumOff val="85000"/>
                </a:schemeClr>
              </a:solidFill>
              <a:prstDash val="sysDot"/>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sk-SK"/>
          </a:p>
        </c:txPr>
        <c:crossAx val="775527488"/>
        <c:crosses val="autoZero"/>
        <c:crossBetween val="between"/>
      </c:valAx>
      <c:spPr>
        <a:noFill/>
        <a:ln>
          <a:noFill/>
        </a:ln>
        <a:effectLst/>
      </c:spPr>
    </c:plotArea>
    <c:legend>
      <c:legendPos val="b"/>
      <c:layout>
        <c:manualLayout>
          <c:xMode val="edge"/>
          <c:yMode val="edge"/>
          <c:x val="0.16765285996055226"/>
          <c:y val="0.10859683045948371"/>
          <c:w val="0.63075641802171167"/>
          <c:h val="0.1622892454898834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Narrow" panose="020B0606020202030204" pitchFamily="34" charset="0"/>
              <a:ea typeface="+mn-ea"/>
              <a:cs typeface="+mn-cs"/>
            </a:defRPr>
          </a:pPr>
          <a:endParaRPr lang="sk-SK"/>
        </a:p>
      </c:txPr>
    </c:legend>
    <c:plotVisOnly val="1"/>
    <c:dispBlanksAs val="gap"/>
    <c:showDLblsOverMax val="0"/>
  </c:chart>
  <c:spPr>
    <a:noFill/>
    <a:ln w="9525" cap="flat" cmpd="sng" algn="ctr">
      <a:noFill/>
      <a:round/>
    </a:ln>
    <a:effectLst/>
  </c:spPr>
  <c:txPr>
    <a:bodyPr/>
    <a:lstStyle/>
    <a:p>
      <a:pPr>
        <a:defRPr sz="800">
          <a:solidFill>
            <a:schemeClr val="tx1"/>
          </a:solidFill>
          <a:latin typeface="Arial Narrow" panose="020B0606020202030204" pitchFamily="34" charset="0"/>
        </a:defRPr>
      </a:pPr>
      <a:endParaRPr lang="sk-SK"/>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013135306197789E-2"/>
          <c:y val="2.5279179917620274E-2"/>
          <c:w val="0.9099527272336293"/>
          <c:h val="0.87520312808279377"/>
        </c:manualLayout>
      </c:layout>
      <c:areaChart>
        <c:grouping val="standard"/>
        <c:varyColors val="0"/>
        <c:ser>
          <c:idx val="2"/>
          <c:order val="2"/>
          <c:tx>
            <c:strRef>
              <c:f>Graf!$A$24</c:f>
              <c:strCache>
                <c:ptCount val="1"/>
                <c:pt idx="0">
                  <c:v>Hrubý dlh v NPC scenári</c:v>
                </c:pt>
              </c:strCache>
            </c:strRef>
          </c:tx>
          <c:spPr>
            <a:solidFill>
              <a:schemeClr val="accent1">
                <a:lumMod val="40000"/>
                <a:lumOff val="60000"/>
              </a:schemeClr>
            </a:solidFill>
            <a:ln w="25400">
              <a:noFill/>
            </a:ln>
            <a:effectLst/>
          </c:spPr>
          <c:cat>
            <c:numRef>
              <c:f>Graf!$B$15:$Z$15</c:f>
              <c:numCache>
                <c:formatCode>General</c:formatCode>
                <c:ptCount val="25"/>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numCache>
            </c:numRef>
          </c:cat>
          <c:val>
            <c:numRef>
              <c:f>Graf!$B$24:$Z$24</c:f>
              <c:numCache>
                <c:formatCode>#\ ##0.0</c:formatCode>
                <c:ptCount val="25"/>
                <c:pt idx="0">
                  <c:v>52.412725889252222</c:v>
                </c:pt>
                <c:pt idx="1">
                  <c:v>51.599917885306233</c:v>
                </c:pt>
                <c:pt idx="2">
                  <c:v>49.629580785317003</c:v>
                </c:pt>
                <c:pt idx="3">
                  <c:v>48.142494378377911</c:v>
                </c:pt>
                <c:pt idx="4">
                  <c:v>58.902343033931757</c:v>
                </c:pt>
                <c:pt idx="5">
                  <c:v>62.185846772135321</c:v>
                </c:pt>
                <c:pt idx="6" formatCode="0.0">
                  <c:v>58.552549406902642</c:v>
                </c:pt>
                <c:pt idx="7" formatCode="0.0">
                  <c:v>57.863129575310204</c:v>
                </c:pt>
                <c:pt idx="8" formatCode="0.0">
                  <c:v>57.809934019339778</c:v>
                </c:pt>
                <c:pt idx="9" formatCode="0.0">
                  <c:v>57.38780991937562</c:v>
                </c:pt>
                <c:pt idx="10" formatCode="0.0">
                  <c:v>58.817575442273586</c:v>
                </c:pt>
                <c:pt idx="11" formatCode="0.0">
                  <c:v>61.406353611720967</c:v>
                </c:pt>
                <c:pt idx="12" formatCode="0.0">
                  <c:v>63.604712592996705</c:v>
                </c:pt>
                <c:pt idx="13" formatCode="0.0">
                  <c:v>65.894954674677308</c:v>
                </c:pt>
                <c:pt idx="14" formatCode="0.0">
                  <c:v>68.048736641854276</c:v>
                </c:pt>
                <c:pt idx="15" formatCode="0.0">
                  <c:v>70.234208389432055</c:v>
                </c:pt>
                <c:pt idx="16" formatCode="0.0">
                  <c:v>72.416259298885834</c:v>
                </c:pt>
                <c:pt idx="17" formatCode="0.0">
                  <c:v>74.61247808027673</c:v>
                </c:pt>
                <c:pt idx="18" formatCode="0.0">
                  <c:v>76.892893504137461</c:v>
                </c:pt>
                <c:pt idx="19" formatCode="0.0">
                  <c:v>79.305581763056068</c:v>
                </c:pt>
                <c:pt idx="20" formatCode="0.0">
                  <c:v>81.950074986815011</c:v>
                </c:pt>
                <c:pt idx="21" formatCode="0.0">
                  <c:v>84.850606937250816</c:v>
                </c:pt>
                <c:pt idx="22" formatCode="0.0">
                  <c:v>87.90350036086636</c:v>
                </c:pt>
                <c:pt idx="23" formatCode="0.0">
                  <c:v>91.067393431821117</c:v>
                </c:pt>
                <c:pt idx="24" formatCode="0.0">
                  <c:v>94.342201154646588</c:v>
                </c:pt>
              </c:numCache>
            </c:numRef>
          </c:val>
          <c:extLst>
            <c:ext xmlns:c16="http://schemas.microsoft.com/office/drawing/2014/chart" uri="{C3380CC4-5D6E-409C-BE32-E72D297353CC}">
              <c16:uniqueId val="{00000000-40BD-420C-A9E5-9D5480532C74}"/>
            </c:ext>
          </c:extLst>
        </c:ser>
        <c:ser>
          <c:idx val="8"/>
          <c:order val="8"/>
          <c:tx>
            <c:v>Hrubý dlh v konsolidačnom scenári</c:v>
          </c:tx>
          <c:spPr>
            <a:solidFill>
              <a:schemeClr val="accent1">
                <a:lumMod val="75000"/>
              </a:schemeClr>
            </a:solidFill>
            <a:ln>
              <a:noFill/>
            </a:ln>
            <a:effectLst/>
          </c:spPr>
          <c:cat>
            <c:numRef>
              <c:f>Graf!$B$15:$Z$15</c:f>
              <c:numCache>
                <c:formatCode>General</c:formatCode>
                <c:ptCount val="25"/>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numCache>
            </c:numRef>
          </c:cat>
          <c:val>
            <c:numRef>
              <c:f>Graf!$B$17:$Z$17</c:f>
              <c:numCache>
                <c:formatCode>#\ ##0.0</c:formatCode>
                <c:ptCount val="25"/>
                <c:pt idx="0">
                  <c:v>52.412725889252222</c:v>
                </c:pt>
                <c:pt idx="1">
                  <c:v>51.599917885306233</c:v>
                </c:pt>
                <c:pt idx="2">
                  <c:v>49.629580785317003</c:v>
                </c:pt>
                <c:pt idx="3">
                  <c:v>48.142494378377911</c:v>
                </c:pt>
                <c:pt idx="4">
                  <c:v>58.902343033931757</c:v>
                </c:pt>
                <c:pt idx="5">
                  <c:v>62.185846772135321</c:v>
                </c:pt>
                <c:pt idx="6" formatCode="0.0">
                  <c:v>58.552549406902642</c:v>
                </c:pt>
                <c:pt idx="7" formatCode="0.0">
                  <c:v>57.863129393800818</c:v>
                </c:pt>
                <c:pt idx="8" formatCode="0.0">
                  <c:v>57.645550803080802</c:v>
                </c:pt>
                <c:pt idx="9" formatCode="0.0">
                  <c:v>56.089614869088322</c:v>
                </c:pt>
                <c:pt idx="10" formatCode="0.0">
                  <c:v>55.683875288624144</c:v>
                </c:pt>
                <c:pt idx="11" formatCode="0.0">
                  <c:v>55.758478149473213</c:v>
                </c:pt>
                <c:pt idx="12" formatCode="0.0">
                  <c:v>54.757263773447448</c:v>
                </c:pt>
                <c:pt idx="13" formatCode="0.0">
                  <c:v>53.179246720395021</c:v>
                </c:pt>
                <c:pt idx="14" formatCode="0.0">
                  <c:v>50.993178124567919</c:v>
                </c:pt>
                <c:pt idx="15" formatCode="0.0">
                  <c:v>48.767125907186291</c:v>
                </c:pt>
                <c:pt idx="16" formatCode="0.0">
                  <c:v>46.626537810629365</c:v>
                </c:pt>
                <c:pt idx="17" formatCode="0.0">
                  <c:v>44.570592909948736</c:v>
                </c:pt>
                <c:pt idx="18" formatCode="0.0">
                  <c:v>42.598875718616675</c:v>
                </c:pt>
                <c:pt idx="19" formatCode="0.0">
                  <c:v>40.727877876435571</c:v>
                </c:pt>
                <c:pt idx="20" formatCode="0.0">
                  <c:v>38.954322444915725</c:v>
                </c:pt>
                <c:pt idx="21" formatCode="0.0">
                  <c:v>37.275792894773083</c:v>
                </c:pt>
                <c:pt idx="22" formatCode="0.0">
                  <c:v>35.673598066873801</c:v>
                </c:pt>
                <c:pt idx="23" formatCode="0.0">
                  <c:v>34.138288682533997</c:v>
                </c:pt>
                <c:pt idx="24" formatCode="0.0">
                  <c:v>32.665583714286853</c:v>
                </c:pt>
              </c:numCache>
            </c:numRef>
          </c:val>
          <c:extLst xmlns:c15="http://schemas.microsoft.com/office/drawing/2012/chart">
            <c:ext xmlns:c16="http://schemas.microsoft.com/office/drawing/2014/chart" uri="{C3380CC4-5D6E-409C-BE32-E72D297353CC}">
              <c16:uniqueId val="{00000001-40BD-420C-A9E5-9D5480532C74}"/>
            </c:ext>
          </c:extLst>
        </c:ser>
        <c:dLbls>
          <c:showLegendKey val="0"/>
          <c:showVal val="0"/>
          <c:showCatName val="0"/>
          <c:showSerName val="0"/>
          <c:showPercent val="0"/>
          <c:showBubbleSize val="0"/>
        </c:dLbls>
        <c:axId val="319272512"/>
        <c:axId val="319271336"/>
        <c:extLst>
          <c:ext xmlns:c15="http://schemas.microsoft.com/office/drawing/2012/chart" uri="{02D57815-91ED-43cb-92C2-25804820EDAC}">
            <c15:filteredAreaSeries>
              <c15:ser>
                <c:idx val="0"/>
                <c:order val="0"/>
                <c:tx>
                  <c:strRef>
                    <c:extLst>
                      <c:ext uri="{02D57815-91ED-43cb-92C2-25804820EDAC}">
                        <c15:formulaRef>
                          <c15:sqref>Graf!$A$25</c15:sqref>
                        </c15:formulaRef>
                      </c:ext>
                    </c:extLst>
                    <c:strCache>
                      <c:ptCount val="1"/>
                      <c:pt idx="0">
                        <c:v>Čistý dlh (% HDP)</c:v>
                      </c:pt>
                    </c:strCache>
                  </c:strRef>
                </c:tx>
                <c:spPr>
                  <a:solidFill>
                    <a:srgbClr val="369ADC"/>
                  </a:solidFill>
                  <a:ln w="25400">
                    <a:noFill/>
                  </a:ln>
                  <a:effectLst/>
                </c:spPr>
                <c:cat>
                  <c:numRef>
                    <c:extLst>
                      <c:ext uri="{02D57815-91ED-43cb-92C2-25804820EDAC}">
                        <c15:formulaRef>
                          <c15:sqref>Graf!$B$15:$Z$15</c15:sqref>
                        </c15:formulaRef>
                      </c:ext>
                    </c:extLst>
                    <c:numCache>
                      <c:formatCode>General</c:formatCode>
                      <c:ptCount val="25"/>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numCache>
                  </c:numRef>
                </c:cat>
                <c:val>
                  <c:numRef>
                    <c:extLst>
                      <c:ext uri="{02D57815-91ED-43cb-92C2-25804820EDAC}">
                        <c15:formulaRef>
                          <c15:sqref>Graf!$B$25:$Z$25</c15:sqref>
                        </c15:formulaRef>
                      </c:ext>
                    </c:extLst>
                    <c:numCache>
                      <c:formatCode>#\ ##0.0</c:formatCode>
                      <c:ptCount val="25"/>
                      <c:pt idx="0">
                        <c:v>47.052183451906302</c:v>
                      </c:pt>
                      <c:pt idx="1">
                        <c:v>45.864679034753259</c:v>
                      </c:pt>
                      <c:pt idx="2">
                        <c:v>43.562043692126409</c:v>
                      </c:pt>
                      <c:pt idx="3">
                        <c:v>43.250632365697648</c:v>
                      </c:pt>
                      <c:pt idx="4">
                        <c:v>48.930578275859077</c:v>
                      </c:pt>
                      <c:pt idx="5">
                        <c:v>50.544197398980451</c:v>
                      </c:pt>
                      <c:pt idx="6" formatCode="0.0">
                        <c:v>49.887839548411122</c:v>
                      </c:pt>
                      <c:pt idx="7" formatCode="0.0">
                        <c:v>51.769937780728348</c:v>
                      </c:pt>
                      <c:pt idx="8" formatCode="0.0">
                        <c:v>52.599981813195384</c:v>
                      </c:pt>
                      <c:pt idx="9" formatCode="0.0">
                        <c:v>53.270870032070206</c:v>
                      </c:pt>
                      <c:pt idx="10" formatCode="0.0">
                        <c:v>55.817575442273579</c:v>
                      </c:pt>
                      <c:pt idx="11" formatCode="0.0">
                        <c:v>58.406353611720959</c:v>
                      </c:pt>
                      <c:pt idx="12" formatCode="0.0">
                        <c:v>60.604712592996712</c:v>
                      </c:pt>
                      <c:pt idx="13" formatCode="0.0">
                        <c:v>62.894954674677308</c:v>
                      </c:pt>
                      <c:pt idx="14" formatCode="0.0">
                        <c:v>65.048736641854276</c:v>
                      </c:pt>
                      <c:pt idx="15" formatCode="0.0">
                        <c:v>67.234208389432055</c:v>
                      </c:pt>
                      <c:pt idx="16" formatCode="0.0">
                        <c:v>69.416259298885848</c:v>
                      </c:pt>
                      <c:pt idx="17" formatCode="0.0">
                        <c:v>71.61247808027673</c:v>
                      </c:pt>
                      <c:pt idx="18" formatCode="0.0">
                        <c:v>73.892893504137476</c:v>
                      </c:pt>
                      <c:pt idx="19" formatCode="0.0">
                        <c:v>76.305581763056068</c:v>
                      </c:pt>
                      <c:pt idx="20" formatCode="0.0">
                        <c:v>78.950074986815011</c:v>
                      </c:pt>
                      <c:pt idx="21" formatCode="0.0">
                        <c:v>81.850606937250816</c:v>
                      </c:pt>
                      <c:pt idx="22" formatCode="0.0">
                        <c:v>84.90350036086636</c:v>
                      </c:pt>
                      <c:pt idx="23" formatCode="0.0">
                        <c:v>88.067393431821131</c:v>
                      </c:pt>
                      <c:pt idx="24" formatCode="0.0">
                        <c:v>91.342201154646588</c:v>
                      </c:pt>
                    </c:numCache>
                  </c:numRef>
                </c:val>
                <c:extLst>
                  <c:ext xmlns:c16="http://schemas.microsoft.com/office/drawing/2014/chart" uri="{C3380CC4-5D6E-409C-BE32-E72D297353CC}">
                    <c16:uniqueId val="{0000000F-40BD-420C-A9E5-9D5480532C74}"/>
                  </c:ext>
                </c:extLst>
              </c15:ser>
            </c15:filteredAreaSeries>
            <c15:filteredAreaSeries>
              <c15:ser>
                <c:idx val="1"/>
                <c:order val="1"/>
                <c:tx>
                  <c:strRef>
                    <c:extLst xmlns:c15="http://schemas.microsoft.com/office/drawing/2012/chart">
                      <c:ext xmlns:c15="http://schemas.microsoft.com/office/drawing/2012/chart" uri="{02D57815-91ED-43cb-92C2-25804820EDAC}">
                        <c15:formulaRef>
                          <c15:sqref>Graf!$A$26</c15:sqref>
                        </c15:formulaRef>
                      </c:ext>
                    </c:extLst>
                    <c:strCache>
                      <c:ptCount val="1"/>
                      <c:pt idx="0">
                        <c:v>Likvidné finančné aktíva (% HDP)</c:v>
                      </c:pt>
                    </c:strCache>
                  </c:strRef>
                </c:tx>
                <c:spPr>
                  <a:solidFill>
                    <a:schemeClr val="accent2"/>
                  </a:solidFill>
                  <a:ln w="25400">
                    <a:noFill/>
                  </a:ln>
                  <a:effectLst/>
                </c:spPr>
                <c:cat>
                  <c:numRef>
                    <c:extLst xmlns:c15="http://schemas.microsoft.com/office/drawing/2012/chart">
                      <c:ext xmlns:c15="http://schemas.microsoft.com/office/drawing/2012/chart" uri="{02D57815-91ED-43cb-92C2-25804820EDAC}">
                        <c15:formulaRef>
                          <c15:sqref>Graf!$B$15:$Z$15</c15:sqref>
                        </c15:formulaRef>
                      </c:ext>
                    </c:extLst>
                    <c:numCache>
                      <c:formatCode>General</c:formatCode>
                      <c:ptCount val="25"/>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numCache>
                  </c:numRef>
                </c:cat>
                <c:val>
                  <c:numRef>
                    <c:extLst xmlns:c15="http://schemas.microsoft.com/office/drawing/2012/chart">
                      <c:ext xmlns:c15="http://schemas.microsoft.com/office/drawing/2012/chart" uri="{02D57815-91ED-43cb-92C2-25804820EDAC}">
                        <c15:formulaRef>
                          <c15:sqref>Graf!$B$26:$Z$26</c15:sqref>
                        </c15:formulaRef>
                      </c:ext>
                    </c:extLst>
                    <c:numCache>
                      <c:formatCode>#\ ##0.0</c:formatCode>
                      <c:ptCount val="25"/>
                      <c:pt idx="0">
                        <c:v>5.3605424373459201</c:v>
                      </c:pt>
                      <c:pt idx="1">
                        <c:v>5.7352388505529746</c:v>
                      </c:pt>
                      <c:pt idx="2">
                        <c:v>6.0675370931905945</c:v>
                      </c:pt>
                      <c:pt idx="3">
                        <c:v>4.8918620126802637</c:v>
                      </c:pt>
                      <c:pt idx="4">
                        <c:v>9.9717647580726805</c:v>
                      </c:pt>
                      <c:pt idx="5">
                        <c:v>11.64164937315487</c:v>
                      </c:pt>
                      <c:pt idx="6">
                        <c:v>8.6647098584915199</c:v>
                      </c:pt>
                      <c:pt idx="7">
                        <c:v>6.0931917945818554</c:v>
                      </c:pt>
                      <c:pt idx="8">
                        <c:v>5.2099522061443935</c:v>
                      </c:pt>
                      <c:pt idx="9">
                        <c:v>4.1169398873054135</c:v>
                      </c:pt>
                      <c:pt idx="10">
                        <c:v>3.0000000000000071</c:v>
                      </c:pt>
                      <c:pt idx="11">
                        <c:v>3.0000000000000071</c:v>
                      </c:pt>
                      <c:pt idx="12">
                        <c:v>2.9999999999999929</c:v>
                      </c:pt>
                      <c:pt idx="13">
                        <c:v>3</c:v>
                      </c:pt>
                      <c:pt idx="14">
                        <c:v>3</c:v>
                      </c:pt>
                      <c:pt idx="15">
                        <c:v>3</c:v>
                      </c:pt>
                      <c:pt idx="16">
                        <c:v>2.9999999999999858</c:v>
                      </c:pt>
                      <c:pt idx="17">
                        <c:v>3</c:v>
                      </c:pt>
                      <c:pt idx="18">
                        <c:v>2.9999999999999858</c:v>
                      </c:pt>
                      <c:pt idx="19">
                        <c:v>3</c:v>
                      </c:pt>
                      <c:pt idx="20">
                        <c:v>3</c:v>
                      </c:pt>
                      <c:pt idx="21">
                        <c:v>3</c:v>
                      </c:pt>
                      <c:pt idx="22">
                        <c:v>3</c:v>
                      </c:pt>
                      <c:pt idx="23">
                        <c:v>2.9999999999999858</c:v>
                      </c:pt>
                      <c:pt idx="24">
                        <c:v>3</c:v>
                      </c:pt>
                    </c:numCache>
                  </c:numRef>
                </c:val>
                <c:extLst xmlns:c15="http://schemas.microsoft.com/office/drawing/2012/chart">
                  <c:ext xmlns:c16="http://schemas.microsoft.com/office/drawing/2014/chart" uri="{C3380CC4-5D6E-409C-BE32-E72D297353CC}">
                    <c16:uniqueId val="{00000010-40BD-420C-A9E5-9D5480532C74}"/>
                  </c:ext>
                </c:extLst>
              </c15:ser>
            </c15:filteredAreaSeries>
          </c:ext>
        </c:extLst>
      </c:areaChart>
      <c:lineChart>
        <c:grouping val="standard"/>
        <c:varyColors val="0"/>
        <c:ser>
          <c:idx val="3"/>
          <c:order val="3"/>
          <c:tx>
            <c:v>Horné a dolné pásmo dlhovej brzdy</c:v>
          </c:tx>
          <c:spPr>
            <a:ln w="19050" cap="rnd">
              <a:solidFill>
                <a:srgbClr val="FF0000"/>
              </a:solidFill>
              <a:prstDash val="sysDot"/>
              <a:round/>
            </a:ln>
            <a:effectLst/>
          </c:spPr>
          <c:marker>
            <c:symbol val="none"/>
          </c:marker>
          <c:val>
            <c:numRef>
              <c:f>Graf!$B$30:$Z$30</c:f>
              <c:numCache>
                <c:formatCode>General</c:formatCode>
                <c:ptCount val="25"/>
                <c:pt idx="0">
                  <c:v>60</c:v>
                </c:pt>
                <c:pt idx="1">
                  <c:v>60</c:v>
                </c:pt>
                <c:pt idx="2">
                  <c:v>59</c:v>
                </c:pt>
                <c:pt idx="3">
                  <c:v>58</c:v>
                </c:pt>
                <c:pt idx="4">
                  <c:v>57</c:v>
                </c:pt>
                <c:pt idx="5">
                  <c:v>56</c:v>
                </c:pt>
                <c:pt idx="6">
                  <c:v>55</c:v>
                </c:pt>
                <c:pt idx="7">
                  <c:v>54</c:v>
                </c:pt>
                <c:pt idx="8">
                  <c:v>53</c:v>
                </c:pt>
                <c:pt idx="9">
                  <c:v>52</c:v>
                </c:pt>
                <c:pt idx="10">
                  <c:v>51</c:v>
                </c:pt>
                <c:pt idx="11">
                  <c:v>50</c:v>
                </c:pt>
                <c:pt idx="12">
                  <c:v>50</c:v>
                </c:pt>
                <c:pt idx="13">
                  <c:v>50</c:v>
                </c:pt>
                <c:pt idx="14">
                  <c:v>50</c:v>
                </c:pt>
                <c:pt idx="15">
                  <c:v>50</c:v>
                </c:pt>
                <c:pt idx="16">
                  <c:v>50</c:v>
                </c:pt>
                <c:pt idx="17">
                  <c:v>50</c:v>
                </c:pt>
                <c:pt idx="18">
                  <c:v>50</c:v>
                </c:pt>
                <c:pt idx="19">
                  <c:v>50</c:v>
                </c:pt>
                <c:pt idx="20">
                  <c:v>50</c:v>
                </c:pt>
                <c:pt idx="21">
                  <c:v>50</c:v>
                </c:pt>
                <c:pt idx="22">
                  <c:v>50</c:v>
                </c:pt>
                <c:pt idx="23">
                  <c:v>50</c:v>
                </c:pt>
                <c:pt idx="24">
                  <c:v>50</c:v>
                </c:pt>
              </c:numCache>
            </c:numRef>
          </c:val>
          <c:smooth val="0"/>
          <c:extLst>
            <c:ext xmlns:c16="http://schemas.microsoft.com/office/drawing/2014/chart" uri="{C3380CC4-5D6E-409C-BE32-E72D297353CC}">
              <c16:uniqueId val="{00000002-40BD-420C-A9E5-9D5480532C74}"/>
            </c:ext>
          </c:extLst>
        </c:ser>
        <c:ser>
          <c:idx val="7"/>
          <c:order val="7"/>
          <c:tx>
            <c:strRef>
              <c:f>Graf!$A$34</c:f>
              <c:strCache>
                <c:ptCount val="1"/>
                <c:pt idx="0">
                  <c:v>1. pásmo</c:v>
                </c:pt>
              </c:strCache>
            </c:strRef>
          </c:tx>
          <c:spPr>
            <a:ln w="19050" cap="rnd">
              <a:solidFill>
                <a:srgbClr val="FF0000"/>
              </a:solidFill>
              <a:prstDash val="sysDot"/>
              <a:round/>
            </a:ln>
            <a:effectLst/>
          </c:spPr>
          <c:marker>
            <c:symbol val="none"/>
          </c:marker>
          <c:val>
            <c:numRef>
              <c:f>Graf!$B$34:$Z$34</c:f>
              <c:numCache>
                <c:formatCode>General</c:formatCode>
                <c:ptCount val="25"/>
                <c:pt idx="0">
                  <c:v>50</c:v>
                </c:pt>
                <c:pt idx="1">
                  <c:v>50</c:v>
                </c:pt>
                <c:pt idx="2">
                  <c:v>49</c:v>
                </c:pt>
                <c:pt idx="3">
                  <c:v>48</c:v>
                </c:pt>
                <c:pt idx="4">
                  <c:v>47</c:v>
                </c:pt>
                <c:pt idx="5">
                  <c:v>46</c:v>
                </c:pt>
                <c:pt idx="6">
                  <c:v>45</c:v>
                </c:pt>
                <c:pt idx="7">
                  <c:v>44</c:v>
                </c:pt>
                <c:pt idx="8">
                  <c:v>43</c:v>
                </c:pt>
                <c:pt idx="9">
                  <c:v>42</c:v>
                </c:pt>
                <c:pt idx="10">
                  <c:v>41</c:v>
                </c:pt>
                <c:pt idx="11">
                  <c:v>40</c:v>
                </c:pt>
                <c:pt idx="12">
                  <c:v>40</c:v>
                </c:pt>
                <c:pt idx="13">
                  <c:v>40</c:v>
                </c:pt>
                <c:pt idx="14">
                  <c:v>40</c:v>
                </c:pt>
                <c:pt idx="15">
                  <c:v>40</c:v>
                </c:pt>
                <c:pt idx="16">
                  <c:v>40</c:v>
                </c:pt>
                <c:pt idx="17">
                  <c:v>40</c:v>
                </c:pt>
                <c:pt idx="18">
                  <c:v>40</c:v>
                </c:pt>
                <c:pt idx="19">
                  <c:v>40</c:v>
                </c:pt>
                <c:pt idx="20">
                  <c:v>40</c:v>
                </c:pt>
                <c:pt idx="21">
                  <c:v>40</c:v>
                </c:pt>
                <c:pt idx="22">
                  <c:v>40</c:v>
                </c:pt>
                <c:pt idx="23">
                  <c:v>40</c:v>
                </c:pt>
                <c:pt idx="24">
                  <c:v>40</c:v>
                </c:pt>
              </c:numCache>
            </c:numRef>
          </c:val>
          <c:smooth val="0"/>
          <c:extLst>
            <c:ext xmlns:c16="http://schemas.microsoft.com/office/drawing/2014/chart" uri="{C3380CC4-5D6E-409C-BE32-E72D297353CC}">
              <c16:uniqueId val="{00000003-40BD-420C-A9E5-9D5480532C74}"/>
            </c:ext>
          </c:extLst>
        </c:ser>
        <c:ser>
          <c:idx val="9"/>
          <c:order val="9"/>
          <c:spPr>
            <a:ln w="28575" cap="rnd">
              <a:noFill/>
              <a:round/>
            </a:ln>
            <a:effectLst/>
          </c:spPr>
          <c:marker>
            <c:symbol val="circle"/>
            <c:size val="4"/>
            <c:spPr>
              <a:solidFill>
                <a:srgbClr val="2C9ADC">
                  <a:lumMod val="40000"/>
                  <a:lumOff val="60000"/>
                </a:srgbClr>
              </a:solidFill>
              <a:ln w="3175">
                <a:solidFill>
                  <a:sysClr val="windowText" lastClr="000000"/>
                </a:solidFill>
              </a:ln>
              <a:effectLst/>
            </c:spPr>
          </c:marker>
          <c:dLbls>
            <c:dLbl>
              <c:idx val="0"/>
              <c:layout>
                <c:manualLayout>
                  <c:x val="-3.0911514986434616E-2"/>
                  <c:y val="-5.5434300780739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BD-420C-A9E5-9D5480532C74}"/>
                </c:ext>
              </c:extLst>
            </c:dLbl>
            <c:dLbl>
              <c:idx val="1"/>
              <c:layout>
                <c:manualLayout>
                  <c:x val="-2.8635684308237073E-2"/>
                  <c:y val="-5.54343007807395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BD-420C-A9E5-9D5480532C74}"/>
                </c:ext>
              </c:extLst>
            </c:dLbl>
            <c:dLbl>
              <c:idx val="2"/>
              <c:layout>
                <c:manualLayout>
                  <c:x val="-3.0911514986434636E-2"/>
                  <c:y val="-6.19425988607916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BD-420C-A9E5-9D5480532C74}"/>
                </c:ext>
              </c:extLst>
            </c:dLbl>
            <c:dLbl>
              <c:idx val="3"/>
              <c:layout>
                <c:manualLayout>
                  <c:x val="-3.0911514986434616E-2"/>
                  <c:y val="-6.19425988607916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0BD-420C-A9E5-9D5480532C74}"/>
                </c:ext>
              </c:extLst>
            </c:dLbl>
            <c:numFmt formatCode="#,##0.0" sourceLinked="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Arial Narrow" panose="020B0606020202030204" pitchFamily="34" charset="0"/>
                    <a:ea typeface="+mn-ea"/>
                    <a:cs typeface="+mn-cs"/>
                  </a:defRPr>
                </a:pPr>
                <a:endParaRPr lang="sk-S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Graf!$B$24:$Z$24</c:f>
              <c:numCache>
                <c:formatCode>#\ ##0.0</c:formatCode>
                <c:ptCount val="25"/>
                <c:pt idx="0">
                  <c:v>52.412725889252222</c:v>
                </c:pt>
                <c:pt idx="1">
                  <c:v>51.599917885306233</c:v>
                </c:pt>
                <c:pt idx="2">
                  <c:v>49.629580785317003</c:v>
                </c:pt>
                <c:pt idx="3">
                  <c:v>48.142494378377911</c:v>
                </c:pt>
                <c:pt idx="4">
                  <c:v>58.902343033931757</c:v>
                </c:pt>
                <c:pt idx="5">
                  <c:v>62.185846772135321</c:v>
                </c:pt>
                <c:pt idx="6" formatCode="0.0">
                  <c:v>58.552549406902642</c:v>
                </c:pt>
                <c:pt idx="7" formatCode="0.0">
                  <c:v>57.863129575310204</c:v>
                </c:pt>
                <c:pt idx="8" formatCode="0.0">
                  <c:v>57.809934019339778</c:v>
                </c:pt>
                <c:pt idx="9" formatCode="0.0">
                  <c:v>57.38780991937562</c:v>
                </c:pt>
                <c:pt idx="10" formatCode="0.0">
                  <c:v>58.817575442273586</c:v>
                </c:pt>
                <c:pt idx="11" formatCode="0.0">
                  <c:v>61.406353611720967</c:v>
                </c:pt>
                <c:pt idx="12" formatCode="0.0">
                  <c:v>63.604712592996705</c:v>
                </c:pt>
                <c:pt idx="13" formatCode="0.0">
                  <c:v>65.894954674677308</c:v>
                </c:pt>
                <c:pt idx="14" formatCode="0.0">
                  <c:v>68.048736641854276</c:v>
                </c:pt>
                <c:pt idx="15" formatCode="0.0">
                  <c:v>70.234208389432055</c:v>
                </c:pt>
                <c:pt idx="16" formatCode="0.0">
                  <c:v>72.416259298885834</c:v>
                </c:pt>
                <c:pt idx="17" formatCode="0.0">
                  <c:v>74.61247808027673</c:v>
                </c:pt>
                <c:pt idx="18" formatCode="0.0">
                  <c:v>76.892893504137461</c:v>
                </c:pt>
                <c:pt idx="19" formatCode="0.0">
                  <c:v>79.305581763056068</c:v>
                </c:pt>
                <c:pt idx="20" formatCode="0.0">
                  <c:v>81.950074986815011</c:v>
                </c:pt>
                <c:pt idx="21" formatCode="0.0">
                  <c:v>84.850606937250816</c:v>
                </c:pt>
                <c:pt idx="22" formatCode="0.0">
                  <c:v>87.90350036086636</c:v>
                </c:pt>
                <c:pt idx="23" formatCode="0.0">
                  <c:v>91.067393431821117</c:v>
                </c:pt>
                <c:pt idx="24" formatCode="0.0">
                  <c:v>94.342201154646588</c:v>
                </c:pt>
              </c:numCache>
            </c:numRef>
          </c:val>
          <c:smooth val="0"/>
          <c:extLst>
            <c:ext xmlns:c16="http://schemas.microsoft.com/office/drawing/2014/chart" uri="{C3380CC4-5D6E-409C-BE32-E72D297353CC}">
              <c16:uniqueId val="{00000008-40BD-420C-A9E5-9D5480532C74}"/>
            </c:ext>
          </c:extLst>
        </c:ser>
        <c:ser>
          <c:idx val="10"/>
          <c:order val="10"/>
          <c:spPr>
            <a:ln w="28575" cap="rnd">
              <a:noFill/>
              <a:round/>
            </a:ln>
            <a:effectLst/>
          </c:spPr>
          <c:marker>
            <c:symbol val="circle"/>
            <c:size val="4"/>
            <c:spPr>
              <a:solidFill>
                <a:srgbClr val="2C9ADC">
                  <a:lumMod val="75000"/>
                </a:srgbClr>
              </a:solidFill>
              <a:ln w="3175">
                <a:solidFill>
                  <a:sysClr val="windowText" lastClr="000000"/>
                </a:solidFill>
              </a:ln>
              <a:effectLst/>
            </c:spPr>
          </c:marker>
          <c:dLbls>
            <c:dLbl>
              <c:idx val="0"/>
              <c:layout>
                <c:manualLayout>
                  <c:x val="-1.772316580591287E-2"/>
                  <c:y val="4.31588787888000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0BD-420C-A9E5-9D5480532C74}"/>
                </c:ext>
              </c:extLst>
            </c:dLbl>
            <c:dLbl>
              <c:idx val="1"/>
              <c:layout>
                <c:manualLayout>
                  <c:x val="-2.9102319196900591E-2"/>
                  <c:y val="4.79851336150548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0BD-420C-A9E5-9D5480532C74}"/>
                </c:ext>
              </c:extLst>
            </c:dLbl>
            <c:dLbl>
              <c:idx val="2"/>
              <c:layout>
                <c:manualLayout>
                  <c:x val="-3.3653980553295652E-2"/>
                  <c:y val="5.28113884413096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0BD-420C-A9E5-9D5480532C74}"/>
                </c:ext>
              </c:extLst>
            </c:dLbl>
            <c:dLbl>
              <c:idx val="23"/>
              <c:layout>
                <c:manualLayout>
                  <c:x val="-3.5929811231493365E-2"/>
                  <c:y val="6.26836224059690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0BD-420C-A9E5-9D5480532C74}"/>
                </c:ext>
              </c:extLst>
            </c:dLbl>
            <c:dLbl>
              <c:idx val="24"/>
              <c:layout>
                <c:manualLayout>
                  <c:x val="-3.9165253979119699E-2"/>
                  <c:y val="6.26836224059690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0BD-420C-A9E5-9D5480532C74}"/>
                </c:ext>
              </c:extLst>
            </c:dLbl>
            <c:numFmt formatCode="#,##0.0" sourceLinked="0"/>
            <c:spPr>
              <a:noFill/>
              <a:ln>
                <a:noFill/>
              </a:ln>
              <a:effectLst/>
            </c:spPr>
            <c:txPr>
              <a:bodyPr rot="0" spcFirstLastPara="1" vertOverflow="ellipsis" vert="horz" wrap="square" anchor="ctr" anchorCtr="1"/>
              <a:lstStyle/>
              <a:p>
                <a:pPr>
                  <a:defRPr sz="600" b="0" i="0" u="none" strike="noStrike" kern="1200" baseline="0">
                    <a:solidFill>
                      <a:schemeClr val="bg1"/>
                    </a:solidFill>
                    <a:latin typeface="Arial Narrow" panose="020B0606020202030204" pitchFamily="34" charset="0"/>
                    <a:ea typeface="+mn-ea"/>
                    <a:cs typeface="+mn-cs"/>
                  </a:defRPr>
                </a:pPr>
                <a:endParaRPr lang="sk-SK"/>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Graf!$B$17:$Z$17</c:f>
              <c:numCache>
                <c:formatCode>#\ ##0.0</c:formatCode>
                <c:ptCount val="25"/>
                <c:pt idx="0">
                  <c:v>52.412725889252222</c:v>
                </c:pt>
                <c:pt idx="1">
                  <c:v>51.599917885306233</c:v>
                </c:pt>
                <c:pt idx="2">
                  <c:v>49.629580785317003</c:v>
                </c:pt>
                <c:pt idx="3">
                  <c:v>48.142494378377911</c:v>
                </c:pt>
                <c:pt idx="4">
                  <c:v>58.902343033931757</c:v>
                </c:pt>
                <c:pt idx="5">
                  <c:v>62.185846772135321</c:v>
                </c:pt>
                <c:pt idx="6" formatCode="0.0">
                  <c:v>58.552549406902642</c:v>
                </c:pt>
                <c:pt idx="7" formatCode="0.0">
                  <c:v>57.863129393800818</c:v>
                </c:pt>
                <c:pt idx="8" formatCode="0.0">
                  <c:v>57.645550803080802</c:v>
                </c:pt>
                <c:pt idx="9" formatCode="0.0">
                  <c:v>56.089614869088322</c:v>
                </c:pt>
                <c:pt idx="10" formatCode="0.0">
                  <c:v>55.683875288624144</c:v>
                </c:pt>
                <c:pt idx="11" formatCode="0.0">
                  <c:v>55.758478149473213</c:v>
                </c:pt>
                <c:pt idx="12" formatCode="0.0">
                  <c:v>54.757263773447448</c:v>
                </c:pt>
                <c:pt idx="13" formatCode="0.0">
                  <c:v>53.179246720395021</c:v>
                </c:pt>
                <c:pt idx="14" formatCode="0.0">
                  <c:v>50.993178124567919</c:v>
                </c:pt>
                <c:pt idx="15" formatCode="0.0">
                  <c:v>48.767125907186291</c:v>
                </c:pt>
                <c:pt idx="16" formatCode="0.0">
                  <c:v>46.626537810629365</c:v>
                </c:pt>
                <c:pt idx="17" formatCode="0.0">
                  <c:v>44.570592909948736</c:v>
                </c:pt>
                <c:pt idx="18" formatCode="0.0">
                  <c:v>42.598875718616675</c:v>
                </c:pt>
                <c:pt idx="19" formatCode="0.0">
                  <c:v>40.727877876435571</c:v>
                </c:pt>
                <c:pt idx="20" formatCode="0.0">
                  <c:v>38.954322444915725</c:v>
                </c:pt>
                <c:pt idx="21" formatCode="0.0">
                  <c:v>37.275792894773083</c:v>
                </c:pt>
                <c:pt idx="22" formatCode="0.0">
                  <c:v>35.673598066873801</c:v>
                </c:pt>
                <c:pt idx="23" formatCode="0.0">
                  <c:v>34.138288682533997</c:v>
                </c:pt>
                <c:pt idx="24" formatCode="0.0">
                  <c:v>32.665583714286853</c:v>
                </c:pt>
              </c:numCache>
            </c:numRef>
          </c:val>
          <c:smooth val="0"/>
          <c:extLst>
            <c:ext xmlns:c16="http://schemas.microsoft.com/office/drawing/2014/chart" uri="{C3380CC4-5D6E-409C-BE32-E72D297353CC}">
              <c16:uniqueId val="{0000000E-40BD-420C-A9E5-9D5480532C74}"/>
            </c:ext>
          </c:extLst>
        </c:ser>
        <c:dLbls>
          <c:showLegendKey val="0"/>
          <c:showVal val="0"/>
          <c:showCatName val="0"/>
          <c:showSerName val="0"/>
          <c:showPercent val="0"/>
          <c:showBubbleSize val="0"/>
        </c:dLbls>
        <c:marker val="1"/>
        <c:smooth val="0"/>
        <c:axId val="319272512"/>
        <c:axId val="319271336"/>
        <c:extLst>
          <c:ext xmlns:c15="http://schemas.microsoft.com/office/drawing/2012/chart" uri="{02D57815-91ED-43cb-92C2-25804820EDAC}">
            <c15:filteredLineSeries>
              <c15:ser>
                <c:idx val="4"/>
                <c:order val="4"/>
                <c:tx>
                  <c:strRef>
                    <c:extLst>
                      <c:ext uri="{02D57815-91ED-43cb-92C2-25804820EDAC}">
                        <c15:formulaRef>
                          <c15:sqref>Graf!$A$31</c15:sqref>
                        </c15:formulaRef>
                      </c:ext>
                    </c:extLst>
                    <c:strCache>
                      <c:ptCount val="1"/>
                      <c:pt idx="0">
                        <c:v>4. pásmo</c:v>
                      </c:pt>
                    </c:strCache>
                  </c:strRef>
                </c:tx>
                <c:spPr>
                  <a:ln w="19050" cap="rnd">
                    <a:solidFill>
                      <a:srgbClr val="FF7C80"/>
                    </a:solidFill>
                    <a:prstDash val="sysDash"/>
                    <a:round/>
                  </a:ln>
                  <a:effectLst/>
                </c:spPr>
                <c:marker>
                  <c:symbol val="none"/>
                </c:marker>
                <c:val>
                  <c:numRef>
                    <c:extLst>
                      <c:ext uri="{02D57815-91ED-43cb-92C2-25804820EDAC}">
                        <c15:formulaRef>
                          <c15:sqref>Graf!$B$31:$Z$31</c15:sqref>
                        </c15:formulaRef>
                      </c:ext>
                    </c:extLst>
                    <c:numCache>
                      <c:formatCode>General</c:formatCode>
                      <c:ptCount val="25"/>
                      <c:pt idx="0">
                        <c:v>57</c:v>
                      </c:pt>
                      <c:pt idx="1">
                        <c:v>57</c:v>
                      </c:pt>
                      <c:pt idx="2">
                        <c:v>56</c:v>
                      </c:pt>
                      <c:pt idx="3">
                        <c:v>55</c:v>
                      </c:pt>
                      <c:pt idx="4">
                        <c:v>54</c:v>
                      </c:pt>
                      <c:pt idx="5">
                        <c:v>53</c:v>
                      </c:pt>
                      <c:pt idx="6">
                        <c:v>52</c:v>
                      </c:pt>
                      <c:pt idx="7">
                        <c:v>51</c:v>
                      </c:pt>
                      <c:pt idx="8">
                        <c:v>50</c:v>
                      </c:pt>
                      <c:pt idx="9">
                        <c:v>49</c:v>
                      </c:pt>
                      <c:pt idx="10">
                        <c:v>48</c:v>
                      </c:pt>
                      <c:pt idx="11">
                        <c:v>47</c:v>
                      </c:pt>
                      <c:pt idx="12">
                        <c:v>47</c:v>
                      </c:pt>
                      <c:pt idx="13">
                        <c:v>47</c:v>
                      </c:pt>
                      <c:pt idx="14">
                        <c:v>47</c:v>
                      </c:pt>
                      <c:pt idx="15">
                        <c:v>47</c:v>
                      </c:pt>
                      <c:pt idx="16">
                        <c:v>47</c:v>
                      </c:pt>
                      <c:pt idx="17">
                        <c:v>47</c:v>
                      </c:pt>
                      <c:pt idx="18">
                        <c:v>47</c:v>
                      </c:pt>
                      <c:pt idx="19">
                        <c:v>47</c:v>
                      </c:pt>
                      <c:pt idx="20">
                        <c:v>47</c:v>
                      </c:pt>
                      <c:pt idx="21">
                        <c:v>47</c:v>
                      </c:pt>
                      <c:pt idx="22">
                        <c:v>47</c:v>
                      </c:pt>
                      <c:pt idx="23">
                        <c:v>47</c:v>
                      </c:pt>
                      <c:pt idx="24">
                        <c:v>47</c:v>
                      </c:pt>
                    </c:numCache>
                  </c:numRef>
                </c:val>
                <c:smooth val="0"/>
                <c:extLst>
                  <c:ext xmlns:c16="http://schemas.microsoft.com/office/drawing/2014/chart" uri="{C3380CC4-5D6E-409C-BE32-E72D297353CC}">
                    <c16:uniqueId val="{00000011-40BD-420C-A9E5-9D5480532C74}"/>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Graf!$A$32</c15:sqref>
                        </c15:formulaRef>
                      </c:ext>
                    </c:extLst>
                    <c:strCache>
                      <c:ptCount val="1"/>
                      <c:pt idx="0">
                        <c:v>3. pásmo</c:v>
                      </c:pt>
                    </c:strCache>
                  </c:strRef>
                </c:tx>
                <c:spPr>
                  <a:ln w="19050" cap="rnd">
                    <a:solidFill>
                      <a:srgbClr val="FF7C80"/>
                    </a:solidFill>
                    <a:prstDash val="sysDash"/>
                    <a:round/>
                  </a:ln>
                  <a:effectLst/>
                </c:spPr>
                <c:marker>
                  <c:symbol val="none"/>
                </c:marker>
                <c:val>
                  <c:numRef>
                    <c:extLst xmlns:c15="http://schemas.microsoft.com/office/drawing/2012/chart">
                      <c:ext xmlns:c15="http://schemas.microsoft.com/office/drawing/2012/chart" uri="{02D57815-91ED-43cb-92C2-25804820EDAC}">
                        <c15:formulaRef>
                          <c15:sqref>Graf!$B$32:$Z$32</c15:sqref>
                        </c15:formulaRef>
                      </c:ext>
                    </c:extLst>
                    <c:numCache>
                      <c:formatCode>General</c:formatCode>
                      <c:ptCount val="25"/>
                      <c:pt idx="0">
                        <c:v>55</c:v>
                      </c:pt>
                      <c:pt idx="1">
                        <c:v>55</c:v>
                      </c:pt>
                      <c:pt idx="2">
                        <c:v>54</c:v>
                      </c:pt>
                      <c:pt idx="3">
                        <c:v>53</c:v>
                      </c:pt>
                      <c:pt idx="4">
                        <c:v>52</c:v>
                      </c:pt>
                      <c:pt idx="5">
                        <c:v>51</c:v>
                      </c:pt>
                      <c:pt idx="6">
                        <c:v>50</c:v>
                      </c:pt>
                      <c:pt idx="7">
                        <c:v>49</c:v>
                      </c:pt>
                      <c:pt idx="8">
                        <c:v>48</c:v>
                      </c:pt>
                      <c:pt idx="9">
                        <c:v>47</c:v>
                      </c:pt>
                      <c:pt idx="10">
                        <c:v>46</c:v>
                      </c:pt>
                      <c:pt idx="11">
                        <c:v>45</c:v>
                      </c:pt>
                      <c:pt idx="12">
                        <c:v>45</c:v>
                      </c:pt>
                      <c:pt idx="13">
                        <c:v>45</c:v>
                      </c:pt>
                      <c:pt idx="14">
                        <c:v>45</c:v>
                      </c:pt>
                      <c:pt idx="15">
                        <c:v>45</c:v>
                      </c:pt>
                      <c:pt idx="16">
                        <c:v>45</c:v>
                      </c:pt>
                      <c:pt idx="17">
                        <c:v>45</c:v>
                      </c:pt>
                      <c:pt idx="18">
                        <c:v>45</c:v>
                      </c:pt>
                      <c:pt idx="19">
                        <c:v>45</c:v>
                      </c:pt>
                      <c:pt idx="20">
                        <c:v>45</c:v>
                      </c:pt>
                      <c:pt idx="21">
                        <c:v>45</c:v>
                      </c:pt>
                      <c:pt idx="22">
                        <c:v>45</c:v>
                      </c:pt>
                      <c:pt idx="23">
                        <c:v>45</c:v>
                      </c:pt>
                      <c:pt idx="24">
                        <c:v>45</c:v>
                      </c:pt>
                    </c:numCache>
                  </c:numRef>
                </c:val>
                <c:smooth val="0"/>
                <c:extLst xmlns:c15="http://schemas.microsoft.com/office/drawing/2012/chart">
                  <c:ext xmlns:c16="http://schemas.microsoft.com/office/drawing/2014/chart" uri="{C3380CC4-5D6E-409C-BE32-E72D297353CC}">
                    <c16:uniqueId val="{00000012-40BD-420C-A9E5-9D5480532C74}"/>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Graf!$A$33</c15:sqref>
                        </c15:formulaRef>
                      </c:ext>
                    </c:extLst>
                    <c:strCache>
                      <c:ptCount val="1"/>
                      <c:pt idx="0">
                        <c:v>2. pásmo</c:v>
                      </c:pt>
                    </c:strCache>
                  </c:strRef>
                </c:tx>
                <c:spPr>
                  <a:ln w="19050" cap="rnd">
                    <a:solidFill>
                      <a:srgbClr val="FF7C80"/>
                    </a:solidFill>
                    <a:prstDash val="sysDash"/>
                    <a:round/>
                  </a:ln>
                  <a:effectLst/>
                </c:spPr>
                <c:marker>
                  <c:symbol val="none"/>
                </c:marker>
                <c:val>
                  <c:numRef>
                    <c:extLst xmlns:c15="http://schemas.microsoft.com/office/drawing/2012/chart">
                      <c:ext xmlns:c15="http://schemas.microsoft.com/office/drawing/2012/chart" uri="{02D57815-91ED-43cb-92C2-25804820EDAC}">
                        <c15:formulaRef>
                          <c15:sqref>Graf!$B$33:$Z$33</c15:sqref>
                        </c15:formulaRef>
                      </c:ext>
                    </c:extLst>
                    <c:numCache>
                      <c:formatCode>General</c:formatCode>
                      <c:ptCount val="25"/>
                      <c:pt idx="0">
                        <c:v>53</c:v>
                      </c:pt>
                      <c:pt idx="1">
                        <c:v>53</c:v>
                      </c:pt>
                      <c:pt idx="2">
                        <c:v>52</c:v>
                      </c:pt>
                      <c:pt idx="3">
                        <c:v>51</c:v>
                      </c:pt>
                      <c:pt idx="4">
                        <c:v>50</c:v>
                      </c:pt>
                      <c:pt idx="5">
                        <c:v>49</c:v>
                      </c:pt>
                      <c:pt idx="6">
                        <c:v>48</c:v>
                      </c:pt>
                      <c:pt idx="7">
                        <c:v>47</c:v>
                      </c:pt>
                      <c:pt idx="8">
                        <c:v>46</c:v>
                      </c:pt>
                      <c:pt idx="9">
                        <c:v>45</c:v>
                      </c:pt>
                      <c:pt idx="10">
                        <c:v>44</c:v>
                      </c:pt>
                      <c:pt idx="11">
                        <c:v>43</c:v>
                      </c:pt>
                      <c:pt idx="12">
                        <c:v>43</c:v>
                      </c:pt>
                      <c:pt idx="13">
                        <c:v>43</c:v>
                      </c:pt>
                      <c:pt idx="14">
                        <c:v>43</c:v>
                      </c:pt>
                      <c:pt idx="15">
                        <c:v>43</c:v>
                      </c:pt>
                      <c:pt idx="16">
                        <c:v>43</c:v>
                      </c:pt>
                      <c:pt idx="17">
                        <c:v>43</c:v>
                      </c:pt>
                      <c:pt idx="18">
                        <c:v>43</c:v>
                      </c:pt>
                      <c:pt idx="19">
                        <c:v>43</c:v>
                      </c:pt>
                      <c:pt idx="20">
                        <c:v>43</c:v>
                      </c:pt>
                      <c:pt idx="21">
                        <c:v>43</c:v>
                      </c:pt>
                      <c:pt idx="22">
                        <c:v>43</c:v>
                      </c:pt>
                      <c:pt idx="23">
                        <c:v>43</c:v>
                      </c:pt>
                      <c:pt idx="24">
                        <c:v>43</c:v>
                      </c:pt>
                    </c:numCache>
                  </c:numRef>
                </c:val>
                <c:smooth val="0"/>
                <c:extLst xmlns:c15="http://schemas.microsoft.com/office/drawing/2012/chart">
                  <c:ext xmlns:c16="http://schemas.microsoft.com/office/drawing/2014/chart" uri="{C3380CC4-5D6E-409C-BE32-E72D297353CC}">
                    <c16:uniqueId val="{00000013-40BD-420C-A9E5-9D5480532C74}"/>
                  </c:ext>
                </c:extLst>
              </c15:ser>
            </c15:filteredLineSeries>
          </c:ext>
        </c:extLst>
      </c:lineChart>
      <c:catAx>
        <c:axId val="3192725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Narrow" panose="020B0606020202030204" pitchFamily="34" charset="0"/>
                <a:ea typeface="+mn-ea"/>
                <a:cs typeface="+mn-cs"/>
              </a:defRPr>
            </a:pPr>
            <a:endParaRPr lang="sk-SK"/>
          </a:p>
        </c:txPr>
        <c:crossAx val="319271336"/>
        <c:crosses val="autoZero"/>
        <c:auto val="1"/>
        <c:lblAlgn val="ctr"/>
        <c:lblOffset val="100"/>
        <c:noMultiLvlLbl val="0"/>
      </c:catAx>
      <c:valAx>
        <c:axId val="319271336"/>
        <c:scaling>
          <c:orientation val="minMax"/>
          <c:min val="20"/>
        </c:scaling>
        <c:delete val="0"/>
        <c:axPos val="l"/>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Narrow" panose="020B0606020202030204" pitchFamily="34" charset="0"/>
                <a:ea typeface="+mn-ea"/>
                <a:cs typeface="+mn-cs"/>
              </a:defRPr>
            </a:pPr>
            <a:endParaRPr lang="sk-SK"/>
          </a:p>
        </c:txPr>
        <c:crossAx val="319272512"/>
        <c:crosses val="autoZero"/>
        <c:crossBetween val="between"/>
      </c:valAx>
      <c:spPr>
        <a:noFill/>
        <a:ln>
          <a:noFill/>
        </a:ln>
        <a:effectLst/>
      </c:spPr>
    </c:plotArea>
    <c:legend>
      <c:legendPos val="b"/>
      <c:legendEntry>
        <c:idx val="3"/>
        <c:delete val="1"/>
      </c:legendEntry>
      <c:legendEntry>
        <c:idx val="4"/>
        <c:delete val="1"/>
      </c:legendEntry>
      <c:legendEntry>
        <c:idx val="5"/>
        <c:delete val="1"/>
      </c:legendEntry>
      <c:layout>
        <c:manualLayout>
          <c:xMode val="edge"/>
          <c:yMode val="edge"/>
          <c:x val="8.1861629494765595E-2"/>
          <c:y val="3.8679165104361944E-2"/>
          <c:w val="0.3219390077378243"/>
          <c:h val="0.17966912567551629"/>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Narrow" panose="020B0606020202030204" pitchFamily="34" charset="0"/>
              <a:ea typeface="+mn-ea"/>
              <a:cs typeface="+mn-cs"/>
            </a:defRPr>
          </a:pPr>
          <a:endParaRPr lang="sk-SK"/>
        </a:p>
      </c:txPr>
    </c:legend>
    <c:plotVisOnly val="1"/>
    <c:dispBlanksAs val="zero"/>
    <c:showDLblsOverMax val="0"/>
  </c:chart>
  <c:spPr>
    <a:noFill/>
    <a:ln w="9525" cap="flat" cmpd="sng" algn="ctr">
      <a:noFill/>
      <a:round/>
    </a:ln>
    <a:effectLst/>
  </c:spPr>
  <c:txPr>
    <a:bodyPr/>
    <a:lstStyle/>
    <a:p>
      <a:pPr>
        <a:defRPr sz="700">
          <a:solidFill>
            <a:schemeClr val="tx1"/>
          </a:solidFill>
          <a:latin typeface="Arial Narrow" panose="020B0606020202030204" pitchFamily="34" charset="0"/>
        </a:defRPr>
      </a:pPr>
      <a:endParaRPr lang="sk-SK"/>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Office">
  <a:themeElements>
    <a:clrScheme name="IFP">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Vlastné 2">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Vlastné 2">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Vlastné 2">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IFP">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622A4-D581-4668-B5EF-F431A0C4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2887</Words>
  <Characters>16462</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Grizli777</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Ujlakyova Andrea</cp:lastModifiedBy>
  <cp:revision>2</cp:revision>
  <cp:lastPrinted>2021-12-10T07:49:00Z</cp:lastPrinted>
  <dcterms:created xsi:type="dcterms:W3CDTF">2023-01-25T10:14:00Z</dcterms:created>
  <dcterms:modified xsi:type="dcterms:W3CDTF">2023-01-25T10:14:00Z</dcterms:modified>
</cp:coreProperties>
</file>