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BC0B92" w:rsidRPr="00C57D4E" w:rsidP="00BC0B92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BC0B92" w:rsidRPr="00C57D4E" w:rsidP="00BC0B92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0B92" w:rsidRPr="00C57D4E" w:rsidP="00BC0B92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VIII. volebné  obdobie</w:t>
      </w:r>
    </w:p>
    <w:p w:rsidR="00BC0B92" w:rsidRPr="00C57D4E" w:rsidP="00BC0B92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C0B92" w:rsidRPr="00C57D4E" w:rsidP="00BC0B92">
      <w:pPr>
        <w:bidi w:val="0"/>
        <w:jc w:val="left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CRD-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2518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BC0B92" w:rsidRPr="00C57D4E" w:rsidP="00BC0B92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C0B92" w:rsidP="00BC0B92">
      <w:pPr>
        <w:bidi w:val="0"/>
        <w:jc w:val="left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BC0B92" w:rsidP="00BC0B92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C0B92" w:rsidRPr="00C57D4E" w:rsidP="00BC0B92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294</w:t>
      </w:r>
      <w:r w:rsidRPr="00C57D4E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BC0B92" w:rsidRPr="00C57D4E" w:rsidP="00BC0B92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 a</w:t>
      </w: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BC0B92" w:rsidRPr="00C57D4E" w:rsidP="00BC0B92">
      <w:pPr>
        <w:pStyle w:val="BodyTextIndent"/>
        <w:bidi w:val="0"/>
        <w:ind w:left="0" w:firstLine="360"/>
        <w:jc w:val="both"/>
        <w:rPr>
          <w:rFonts w:ascii="Times New Roman" w:eastAsia="Times New Roman" w:hAnsi="Times New Roman"/>
        </w:rPr>
      </w:pPr>
      <w:r w:rsidRPr="00CD24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CD246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962C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</w:t>
      </w:r>
      <w:r w:rsidRPr="00962C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návrhu zákona, ktorým sa dopĺňa zákon č. 344/2004 Z. z. o patentových zástupcoch, o zmene zákona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962C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444/2002 Z. z. o dizajnoch a zákona č. 55/1997 Z. z. o ochranných známkach v znení zákona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962C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577/2001 Z. z. a zákona č. 14/2004 Z. z. v znení neskorších predpisov a ktorým sa dopĺňa zákon č. 517/2007 Z. z. o úžitkových vzoroch a o zmene a doplnení niektorých zákonov v znení neskorších predpisov</w:t>
      </w:r>
      <w:r w:rsidRPr="0054024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1294</w:t>
      </w:r>
      <w:r w:rsidRPr="0054024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BC0B92" w:rsidRPr="00C57D4E" w:rsidP="00BC0B92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C0B92" w:rsidRPr="00C57D4E" w:rsidP="00BC0B9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C0B92" w:rsidRPr="00C57D4E" w:rsidP="00BC0B9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BC0B92" w:rsidRPr="00C57D4E" w:rsidP="00BC0B92">
      <w:pPr>
        <w:pStyle w:val="BodyTextIndent"/>
        <w:bidi w:val="0"/>
        <w:ind w:left="0" w:firstLine="360"/>
        <w:jc w:val="both"/>
        <w:rPr>
          <w:rFonts w:ascii="Times New Roman" w:eastAsia="Times New Roman" w:hAnsi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pre hospodárske záležitosti ako gestorský výbor k </w:t>
      </w:r>
      <w:r w:rsidRPr="00962C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 návrhu zákona, ktorým sa dopĺňa zákon č. 344/2004 Z. z. o patentových zástupcoch, o zmene zákona č. 444/2002 Z. z. o dizajnoch a zákona č. 55/1997 Z. z. o ochranných známkach v znení zákona č. 577/2001 Z. z. a zákona č. 14/2004 Z. z. v znení neskorších predpisov a ktorým sa dopĺňa zákon č. 517/2007 Z. z. o úžitkových vzoroch a o zmene a doplnení niektorých zákonov v znení neskorších predpisov</w:t>
      </w:r>
      <w:r w:rsidRPr="0054024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1294</w:t>
      </w:r>
      <w:r w:rsidRPr="0054024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 § 79 ods. 1 zákona Národnej rady Slovenskej republiky č. 350/1996 Z. z. o rokovacom poriadku Národnej rady Slovenskej republiky v znení neskorších predpisov (ďalej len „rokovací poriadok“) spoločnú správu výborov Národnej rady Slovenskej republiky.</w:t>
      </w:r>
    </w:p>
    <w:p w:rsidR="00BC0B92" w:rsidRPr="00C57D4E" w:rsidP="00BC0B9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C0B92" w:rsidRPr="00C57D4E" w:rsidP="00BC0B92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Národná rada Slovenskej republiky uznesením </w:t>
      </w:r>
      <w:r w:rsidRPr="00CD24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CD2466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192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5</w:t>
      </w:r>
      <w:r w:rsidRPr="00CD2466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zo dňa 8. decembra 2022</w:t>
      </w:r>
      <w:r>
        <w:rPr>
          <w:rFonts w:ascii="Arial" w:eastAsia="Times New Roman" w:hAnsi="Arial" w:cs="Arial" w:hint="cs"/>
          <w:color w:val="000000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pridelila predmetný návrh zákona na prerokovanie týmto výborom:</w:t>
      </w:r>
    </w:p>
    <w:p w:rsidR="00BC0B92" w:rsidRPr="00C57D4E" w:rsidP="00BC0B9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BC0B92" w:rsidRPr="00C57D4E" w:rsidP="00BC0B9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  a</w:t>
      </w:r>
    </w:p>
    <w:p w:rsidR="00BC0B92" w:rsidRPr="00C57D4E" w:rsidP="00BC0B9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hospodárske záležitosti.</w:t>
      </w:r>
    </w:p>
    <w:p w:rsidR="00BC0B92" w:rsidRPr="00C57D4E" w:rsidP="00BC0B9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BC0B92" w:rsidRPr="00C57D4E" w:rsidP="00BC0B9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Určila zároveň Výbor Národnej rady Slovenskej republiky pre hospodárske záležitosti ako gestorský výbor a lehoty na prerokovanie predmetného vládneho návrhu zákona v druhom čítaní vo výboroch.</w:t>
      </w:r>
    </w:p>
    <w:p w:rsidR="00BC0B92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C0B92" w:rsidRPr="00C57D4E" w:rsidP="00BC0B92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C0B92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C0B92" w:rsidRPr="00C57D4E" w:rsidP="00BC0B92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zákona</w:t>
      </w: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BC0B92" w:rsidRPr="00C57D4E" w:rsidP="00BC0B92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BC0B92" w:rsidRPr="00C57D4E" w:rsidP="00BC0B92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uznesením č. 6</w:t>
      </w:r>
      <w:r w:rsidR="00B81EA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70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 30. januára 2023</w:t>
      </w:r>
    </w:p>
    <w:p w:rsidR="00BC0B92" w:rsidRPr="00C57D4E" w:rsidP="00BC0B92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5054D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uznesením č. 40</w:t>
      </w:r>
      <w:r w:rsidR="008A79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30. januára 2023.</w:t>
      </w: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C0B92" w:rsidRPr="00C57D4E" w:rsidP="00BC0B92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uvedených pod bodom III tejto správy vyplýva </w:t>
      </w:r>
      <w:r w:rsidRPr="00C57D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="00944F1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pozmeňujúc</w:t>
      </w:r>
      <w:r w:rsidR="00944F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944F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návrh:</w:t>
      </w:r>
    </w:p>
    <w:p w:rsidR="00BC0B92" w:rsidP="00BC0B92">
      <w:pPr>
        <w:bidi w:val="0"/>
        <w:jc w:val="both"/>
        <w:rPr>
          <w:rFonts w:ascii="Times New Roman" w:eastAsia="Times New Roman" w:hAnsi="Times New Roman" w:cs="Times New Roman"/>
        </w:rPr>
      </w:pPr>
    </w:p>
    <w:p w:rsidR="00322C9F" w:rsidP="00322C9F">
      <w:pPr>
        <w:bidi w:val="0"/>
        <w:spacing w:line="240" w:lineRule="atLeast"/>
        <w:jc w:val="both"/>
        <w:rPr>
          <w:rFonts w:eastAsia="Times New Roman"/>
        </w:rPr>
      </w:pPr>
    </w:p>
    <w:p w:rsidR="00CB60E1" w:rsidRPr="00CD2466" w:rsidP="00CB60E1">
      <w:pPr>
        <w:bidi w:val="0"/>
        <w:spacing w:after="16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CD24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III sa slová „1. marca“ nahrádzajú slovami „1. apríla“. </w:t>
      </w:r>
    </w:p>
    <w:p w:rsidR="00CB60E1" w:rsidRPr="00CD2466" w:rsidP="00CB60E1">
      <w:pPr>
        <w:bidi w:val="0"/>
        <w:spacing w:after="160" w:line="259" w:lineRule="auto"/>
        <w:ind w:left="2880"/>
        <w:jc w:val="both"/>
        <w:rPr>
          <w:rFonts w:ascii="Times New Roman" w:eastAsia="Times New Roman" w:hAnsi="Times New Roman" w:cs="Times New Roman"/>
          <w:lang w:eastAsia="en-US"/>
        </w:rPr>
      </w:pPr>
      <w:r w:rsidRPr="00CD24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Vzhľadom na priebeh legislatívneho procesu, potreby dodržania ústavnej 15 dňovej lehoty pre prezidentku Slovenskej republiky na podpis zákona a primeranej lehoty na zverejnenie zákona v Zbierke zákonov Slovenskej republiky, ako aj zabezpečenia dostatočnej legisvakančnej lehoty pre adresátov právnej normy,  sa primerane posúva navrhovaná účinnosť zákona. </w:t>
      </w:r>
    </w:p>
    <w:p w:rsidR="00CB60E1" w:rsidRPr="00CD2466" w:rsidP="00CB60E1">
      <w:pPr>
        <w:bidi w:val="0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 w:rsidRPr="00CD246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CB60E1" w:rsidRPr="00CD2466" w:rsidP="00CB60E1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246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CB60E1" w:rsidRPr="00CD2466" w:rsidP="00CB60E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B60E1" w:rsidRPr="00CD2466" w:rsidP="00CB60E1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D2466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CB60E1" w:rsidRPr="00C57D4E" w:rsidP="00CB60E1">
      <w:pPr>
        <w:bidi w:val="0"/>
        <w:ind w:left="2835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CB60E1" w:rsidRPr="00C57D4E" w:rsidP="00CB60E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CB60E1" w:rsidRPr="00ED3E6A" w:rsidP="00CB60E1">
      <w:pPr>
        <w:bidi w:val="0"/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tento bod 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CB60E1" w:rsidRPr="00C57D4E" w:rsidP="00CB60E1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C0B92" w:rsidRPr="00C57D4E" w:rsidP="00BC0B92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BC0B92" w:rsidRPr="00C57D4E" w:rsidP="00BC0B92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BC0B92" w:rsidRPr="00C57D4E" w:rsidP="00BC0B92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BC0B92" w:rsidRPr="00C57D4E" w:rsidP="00BC0B92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BC0B92" w:rsidRPr="00C57D4E" w:rsidP="00BC0B92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962CB1" w:rsidR="008A79F6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vládn</w:t>
      </w:r>
      <w:r w:rsidR="008A79F6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y</w:t>
      </w:r>
      <w:r w:rsidRPr="00962CB1" w:rsidR="008A79F6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návrh zákona, ktorým sa dopĺňa zákon č. 344/2004 Z. z. o patentových zástupcoch, o zmene zákona</w:t>
      </w:r>
      <w:r w:rsidR="008A79F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62CB1" w:rsidR="008A79F6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č. 444/2002 Z. z. o dizajnoch a zákona č. 55/1997 Z. z. o ochranných známkach v znení zákona č. 577/2001 Z. z. a zákona č. 14/2004 Z. z. v znení neskorších predpisov a ktorým sa dopĺňa zákon č. 517/2007 Z. z. o úžitkových vzoroch a o zmene a doplnení niektorých zákonov v znení neskorších predpisov</w:t>
      </w:r>
      <w:r w:rsidRPr="00540240" w:rsidR="008A79F6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1294</w:t>
      </w:r>
      <w:r w:rsidRPr="00540240" w:rsidR="008A79F6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="008A79F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</w:t>
      </w:r>
      <w:r w:rsidR="00944F1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eho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="008A79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="00944F1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eho</w:t>
      </w:r>
      <w:r w:rsidR="008A79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944F1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944F1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ého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tejto spoločnej správe, ktor</w:t>
      </w:r>
      <w:r w:rsidR="00944F1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BC0B92" w:rsidRPr="00C57D4E" w:rsidP="00BC0B92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C0B92" w:rsidRPr="00C57D4E" w:rsidP="00BC0B92">
      <w:pPr>
        <w:bidi w:val="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  <w:tab/>
        <w:t xml:space="preserve">Spoločná správa výborov Národnej rady Slovenskej republiky o výsledku prerokovania návrhu zákona v druhom čítaní bola schválená uznesením Výboru Národnej rady Slovenskej republiky pre hospodárske záležitosti č. </w:t>
      </w:r>
      <w:r w:rsidRPr="00537D6E" w:rsidR="00537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400</w:t>
      </w:r>
      <w:r w:rsidRPr="00537D6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 31. januára 2023.</w:t>
      </w:r>
    </w:p>
    <w:p w:rsidR="00BC0B92" w:rsidRPr="00C57D4E" w:rsidP="00BC0B92">
      <w:pPr>
        <w:bidi w:val="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C0B92" w:rsidRPr="00C57D4E" w:rsidP="00BC0B92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výbor zároveň poveril spoločného spravodajcu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Karola Galeka</w:t>
      </w: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v zmysle príslušných ustanovení rokovacieho poriadku Národnej rady Slovenskej republiky.</w:t>
      </w:r>
    </w:p>
    <w:p w:rsidR="00BC0B92" w:rsidRPr="00C57D4E" w:rsidP="00BC0B92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BC0B92" w:rsidRPr="00C57D4E" w:rsidP="00BC0B92">
      <w:pPr>
        <w:bidi w:val="0"/>
        <w:jc w:val="both"/>
        <w:rPr>
          <w:rFonts w:ascii="Times New Roman" w:eastAsia="Times New Roman" w:hAnsi="Times New Roman" w:cs="Times New Roman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31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</w:p>
    <w:p w:rsidR="00BC0B92" w:rsidRPr="00C57D4E" w:rsidP="00BC0B92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C0B92" w:rsidRPr="00C57D4E" w:rsidP="00BC0B92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C0B92" w:rsidRPr="00C57D4E" w:rsidP="00BC0B92">
      <w:pPr>
        <w:bidi w:val="0"/>
        <w:jc w:val="both"/>
        <w:rPr>
          <w:rFonts w:ascii="Times New Roman" w:eastAsia="Times New Roman" w:hAnsi="Times New Roman" w:cs="Times New Roman"/>
        </w:rPr>
      </w:pP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C57D4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C57D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C57D4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predseda Výboru NR SR </w:t>
      </w:r>
    </w:p>
    <w:p w:rsidR="00BC0B92" w:rsidRPr="00C57D4E" w:rsidP="00BC0B92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C57D4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pre hospodárske záležitosti </w:t>
      </w:r>
    </w:p>
    <w:p w:rsidR="00313A20" w:rsidRPr="00BC0B92" w:rsidP="00BC0B92">
      <w:pPr>
        <w:bidi w:val="0"/>
        <w:jc w:val="left"/>
        <w:rPr>
          <w:rFonts w:eastAsia="Times New Roman"/>
        </w:rPr>
      </w:pP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944F19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15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7"/>
  </w:num>
  <w:num w:numId="12">
    <w:abstractNumId w:val="1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2"/>
  </w:num>
  <w:num w:numId="17">
    <w:abstractNumId w:val="19"/>
  </w:num>
  <w:num w:numId="18">
    <w:abstractNumId w:val="2"/>
  </w:num>
  <w:num w:numId="19">
    <w:abstractNumId w:val="21"/>
  </w:num>
  <w:num w:numId="20">
    <w:abstractNumId w:val="42"/>
  </w:num>
  <w:num w:numId="21">
    <w:abstractNumId w:val="7"/>
  </w:num>
  <w:num w:numId="22">
    <w:abstractNumId w:val="30"/>
  </w:num>
  <w:num w:numId="23">
    <w:abstractNumId w:val="6"/>
  </w:num>
  <w:num w:numId="24">
    <w:abstractNumId w:val="38"/>
  </w:num>
  <w:num w:numId="25">
    <w:abstractNumId w:val="3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9"/>
  </w:num>
  <w:num w:numId="31">
    <w:abstractNumId w:val="28"/>
  </w:num>
  <w:num w:numId="32">
    <w:abstractNumId w:val="22"/>
  </w:num>
  <w:num w:numId="33">
    <w:abstractNumId w:val="37"/>
  </w:num>
  <w:num w:numId="34">
    <w:abstractNumId w:val="23"/>
  </w:num>
  <w:num w:numId="35">
    <w:abstractNumId w:val="11"/>
  </w:num>
  <w:num w:numId="36">
    <w:abstractNumId w:val="41"/>
  </w:num>
  <w:num w:numId="37">
    <w:abstractNumId w:val="40"/>
  </w:num>
  <w:num w:numId="38">
    <w:abstractNumId w:val="10"/>
  </w:num>
  <w:num w:numId="39">
    <w:abstractNumId w:val="16"/>
  </w:num>
  <w:num w:numId="40">
    <w:abstractNumId w:val="20"/>
  </w:num>
  <w:num w:numId="41">
    <w:abstractNumId w:val="3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Bullet 1,Bullet Points,Conclusion de partie,Dot pt,Indicator Text,List Paragraph Char Char Char,List Paragraph1,List Paragraph12,MAIN CONTENT,No Spacing1,Numbered Para 1,Odsek,Odsek zoznamu1,Odsek zoznamu2,Odsek zákon,body,tabulk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Conclusion de partie Char,Dot pt Char,Indicator Text Char,List Paragraph Char Char Char Char,No Spacing1 Char,Numbered Para 1 Char,Odsek Char,Odsek zoznamu1 Char,Odsek zoznamu2 Char,Odsek zákon Char,body Char,tabulky Char"/>
    <w:link w:val="ListParagraph"/>
    <w:uiPriority w:val="34"/>
    <w:qFormat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3</Pages>
  <Words>682</Words>
  <Characters>3888</Characters>
  <Application>Microsoft Office Word</Application>
  <DocSecurity>0</DocSecurity>
  <Lines>0</Lines>
  <Paragraphs>0</Paragraphs>
  <ScaleCrop>false</ScaleCrop>
  <Company>Kancelária NR SR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18</cp:revision>
  <cp:lastPrinted>2020-05-20T15:53:00Z</cp:lastPrinted>
  <dcterms:created xsi:type="dcterms:W3CDTF">2022-03-02T09:31:00Z</dcterms:created>
  <dcterms:modified xsi:type="dcterms:W3CDTF">2023-01-31T13:17:00Z</dcterms:modified>
</cp:coreProperties>
</file>