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59" w:rsidRDefault="00D61159" w:rsidP="00D61159">
      <w:pPr>
        <w:jc w:val="center"/>
        <w:rPr>
          <w:rFonts w:ascii="Times New Roman" w:hAnsi="Times New Roman" w:cs="Times New Roman"/>
          <w:b/>
          <w:bCs/>
          <w:sz w:val="24"/>
          <w:szCs w:val="24"/>
        </w:rPr>
      </w:pPr>
      <w:bookmarkStart w:id="0" w:name="_GoBack"/>
      <w:bookmarkEnd w:id="0"/>
      <w:r w:rsidRPr="00EA4C47">
        <w:rPr>
          <w:rFonts w:ascii="Times New Roman" w:hAnsi="Times New Roman" w:cs="Times New Roman"/>
          <w:b/>
          <w:bCs/>
          <w:sz w:val="24"/>
          <w:szCs w:val="24"/>
        </w:rPr>
        <w:t>DOHODA</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o založení Medzinárodnej nadácie EÚ – LAK</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Zmluvné strany tejto dohody,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strategické partnerstvo medzi Latinskou Amerikou a Karibikom (LAK) a Európskou úniou (EÚ), ktoré sa nadviazalo v júni 1999 v rámci prvého samitu EÚ – LAK v Riu de Janeiro;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SO ZRETEĽOM NA iniciatívu, ktorú prijali hlavy štátov a predsedovia vlád LAK a EÚ počas piateho samitu EÚ – LAK, ktorý sa konal 16. mája 2008 v peruánskej Lime;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rozhodnutie hláv štátov a predsedov vlád EÚ a LAK, predsedu Európskej rady a predsedu Komisie o založení nadácie EÚ – LAK, ktoré sa prijalo na šiestom samite EÚ – LAK 18. mája 2010 v španielskom Madride;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že v roku 2011 sa v Spolkovej republike Nemecko založila tranzitórna nadácia, ktorá ukončí svoju činnosť a zanikne, keď nadobudne platnosť medzinárodná dohoda o založení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ZDÔRAZŇUJÚC potrebu založiť medzinárodnú organizáciu medzivládneho charakteru podľa medzinárodného práva verejného prostredníctvom „Medzinárodnej dohody o založení nadácie EÚ – LAK na základe referenčného rámca prijatého na ministerskom zasadnutí popri šiestom samite EÚ – LAK v Madride,“ čo prispeje k posilneniu existujúcich väzieb medzi štátmi Latinskej Ameriky a Karibiku, EÚ a členskými štátmi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SA DOHODLI takto: </w:t>
      </w:r>
    </w:p>
    <w:p w:rsidR="00D61159" w:rsidRDefault="00D61159"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Predmet</w:t>
      </w:r>
    </w:p>
    <w:p w:rsidR="000A5D25"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Touto dohodou sa zakladá Medzinárodná nadácia EÚ – LAK (ďalej len „nadácia“ alebo „nadácia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sidR="000A5D25">
        <w:rPr>
          <w:rFonts w:ascii="Times New Roman" w:hAnsi="Times New Roman" w:cs="Times New Roman"/>
          <w:sz w:val="24"/>
          <w:szCs w:val="24"/>
        </w:rPr>
        <w:t xml:space="preserve"> </w:t>
      </w:r>
      <w:r w:rsidRPr="00EA4C47">
        <w:rPr>
          <w:rFonts w:ascii="Times New Roman" w:hAnsi="Times New Roman" w:cs="Times New Roman"/>
          <w:sz w:val="24"/>
          <w:szCs w:val="24"/>
        </w:rPr>
        <w:t xml:space="preserve">V tejto dohode sa stanovujú ciele nadácie a ustanovujú všeobecné pravidlá a usmernenia, ktorými sa riadia jej činnosti, štruktúra a fungovanie.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Charakter a sídlo</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je medzinárodná organizácia medzivládneho charakteru založená podľa medzinárodného práva verejného. Zameriava sa na posilnenie medziregionálneho partnerstva medzi EÚ a členskými štátmi EÚ a Spoločenstvom štátov Latinskej Ameriky a Karibiku (CELAC).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má sídlo v Slobodnom a hanzovom meste Hamburg v Spolkovej republike Nemecko.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3</w:t>
      </w:r>
    </w:p>
    <w:p w:rsidR="00D61159" w:rsidRPr="00EA4C47" w:rsidRDefault="00D61159" w:rsidP="00D61159">
      <w:pPr>
        <w:jc w:val="center"/>
        <w:rPr>
          <w:rFonts w:ascii="Times New Roman" w:hAnsi="Times New Roman" w:cs="Times New Roman"/>
          <w:i/>
          <w:iCs/>
          <w:sz w:val="24"/>
          <w:szCs w:val="24"/>
        </w:rPr>
      </w:pPr>
      <w:r w:rsidRPr="00EA4C47">
        <w:rPr>
          <w:rFonts w:ascii="Times New Roman" w:hAnsi="Times New Roman" w:cs="Times New Roman"/>
          <w:b/>
          <w:bCs/>
          <w:sz w:val="24"/>
          <w:szCs w:val="24"/>
        </w:rPr>
        <w:t>Členovia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Jedinými členmi nadácie EÚ – LAK sú štáty Latinskej Ameriky a Karibiku, členské štáty EÚ a EÚ, ktoré prostredníctvom svojich vnútroštátnych právnych postupov vyjadrili súhlas s tým, že budú vi</w:t>
      </w:r>
      <w:r w:rsidR="00DE5824">
        <w:rPr>
          <w:rFonts w:ascii="Times New Roman" w:hAnsi="Times New Roman" w:cs="Times New Roman"/>
          <w:sz w:val="24"/>
          <w:szCs w:val="24"/>
        </w:rPr>
        <w:t>azané touto dohodou.</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je otvorená aj pre účasť Spoločenstva štátov Latinskej Ameriky a Karibiku (CELAC).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Právna subjektivita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má medzinárodnú právnu subjektivitu a právnu spôsobilosť v rozsahu potrebnom na plnenie svojich cieľov a úloh na území každého zo svojich členov v súlade s ich vnútroštátnymi právnymi predpismi.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má tiež spôsobilosť uzatvárať zmluvy, získavať hnuteľný a nehnuteľný majetok, nakladať s ním a iniciovať súdne konania.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Pr>
          <w:rFonts w:ascii="Times New Roman" w:hAnsi="Times New Roman" w:cs="Times New Roman"/>
          <w:i/>
          <w:iCs/>
          <w:sz w:val="24"/>
          <w:szCs w:val="24"/>
        </w:rPr>
        <w:t>Článok 5</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Ciele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prispieva k posilneniu procesu medziregionálneho partnerstva CELAC – EÚ za účasti a s príspevkom občianskej spoločnosti a iných sociálnych aktérov;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w:t>
      </w:r>
      <w:r w:rsidRPr="00AF1632">
        <w:rPr>
          <w:rFonts w:ascii="Times New Roman" w:hAnsi="Times New Roman" w:cs="Times New Roman"/>
          <w:sz w:val="24"/>
          <w:szCs w:val="24"/>
        </w:rPr>
        <w:t>podnecuje ďalšie vzájomné poznanie a porozumenie medzi oboma regiónmi;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posilňuje vzájomnú viditeľnosť medzi oboma regiónmi, ako aj viditeľnosť samotného medziregionálneho partnerstva.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2.Nadácia EÚ – LAK predovšetkým: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presadzuje a koordinuje činnosti zamerané na výsledky v záujme podpory medziregionálnych vzťahov a s dôrazom na plnenie priorít stanovených na samitoch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presadzuje diskusiu o spoločných stratégiách zameraných na realizáciu uvedených priorít podnecovaním výskumu a štúdií;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podporuje plodné výmeny a nové príležitosti na nadväzovanie kontaktov medzi občianskou spoločnosťou a ďalšími sociálnymi aktérmi. </w:t>
      </w:r>
    </w:p>
    <w:p w:rsidR="00D61159" w:rsidRDefault="00D61159" w:rsidP="00D61159">
      <w:pPr>
        <w:jc w:val="both"/>
        <w:rPr>
          <w:rFonts w:ascii="Times New Roman" w:hAnsi="Times New Roman" w:cs="Times New Roman"/>
          <w:i/>
          <w:iCs/>
          <w:sz w:val="24"/>
          <w:szCs w:val="24"/>
        </w:rPr>
      </w:pPr>
    </w:p>
    <w:p w:rsidR="00D61159" w:rsidRDefault="00D61159" w:rsidP="00D61159">
      <w:pPr>
        <w:jc w:val="both"/>
        <w:rPr>
          <w:rFonts w:ascii="Times New Roman" w:hAnsi="Times New Roman" w:cs="Times New Roman"/>
          <w:i/>
          <w:iCs/>
          <w:sz w:val="24"/>
          <w:szCs w:val="24"/>
        </w:rPr>
      </w:pP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Kritériá pre činnosti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záujme dosiahnutia cieľov stanovených v článku 5 tejto dohody činnosti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vychádzajú z priorít a tém, ktorým sa venujú hlavy štátov a predsedovia vlád na samitoch, pričom sa zameriavajú na identifikované potreby v záujme podpory medziregionálnych vzťahov;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zahŕňajú v maximálnej možnej miere a v rámci činností nadácie občiansku spoločnosť a iných sociálnych aktérov, ako sú akademické inštitúcie, a na nezáväznom základe zohľadňujú ich príspevky. Na tento účel by každý člen mohol identifikovať vhodné inštitúcie a organizácie, ktoré sa snažia zlepšiť medziregionálny dialóg na vnútroštátnej úrovni;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zvyšujú hodnotu existujúcich iniciatív;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zviditeľňujú partnerstvo s osobitným dôrazom na činnosti, ktoré majú multiplikačný efekt.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Pri začínaní činností alebo zapájaní sa do nich nadácia EÚ – LAK koná so zameraním na danú činnosť, dynamicky a s orientáciou na výsledky. </w:t>
      </w:r>
    </w:p>
    <w:p w:rsidR="0062025B" w:rsidRDefault="0062025B"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Činnosti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záujme dosiahnutia cieľov stanovených v článku 5 nadácia EÚ – LAK vykonáva okrem iných aj tieto činnosti: </w:t>
      </w:r>
    </w:p>
    <w:p w:rsidR="00D61159" w:rsidRDefault="00F04E3F" w:rsidP="00D61159">
      <w:pPr>
        <w:jc w:val="both"/>
        <w:rPr>
          <w:rFonts w:ascii="Times New Roman" w:hAnsi="Times New Roman" w:cs="Times New Roman"/>
          <w:sz w:val="24"/>
          <w:szCs w:val="24"/>
        </w:rPr>
      </w:pPr>
      <w:r>
        <w:rPr>
          <w:rFonts w:ascii="Times New Roman" w:hAnsi="Times New Roman" w:cs="Times New Roman"/>
          <w:sz w:val="24"/>
          <w:szCs w:val="24"/>
        </w:rPr>
        <w:t xml:space="preserve">a) </w:t>
      </w:r>
      <w:r w:rsidR="00D61159" w:rsidRPr="00AF1632">
        <w:rPr>
          <w:rFonts w:ascii="Times New Roman" w:hAnsi="Times New Roman" w:cs="Times New Roman"/>
          <w:sz w:val="24"/>
          <w:szCs w:val="24"/>
        </w:rPr>
        <w:t>podnecuje</w:t>
      </w:r>
      <w:r w:rsidR="00D61159" w:rsidRPr="00EA4C47">
        <w:rPr>
          <w:rFonts w:ascii="Times New Roman" w:hAnsi="Times New Roman" w:cs="Times New Roman"/>
          <w:sz w:val="24"/>
          <w:szCs w:val="24"/>
        </w:rPr>
        <w:t xml:space="preserve"> diskusiu prostredníctvom seminárov, konferencií, workshopov, diskusných skupín, kurzov, výstav, publikácií, prednášok, odbornej prípravy, výmeny najlepších postupov a odborných znalostí;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presadzuje a podporuje podujatia súvisiace s témami, o ktorých sa diskutuje na samitoch CELAC – EÚ, a s prioritami zasadnutí vysokých úradníkov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zavádza medziregionálne programy a iniciatívy na zvyšovanie povedomia vrátane výmen v stanovených prioritných oblastiach;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podnecuje štúdie o otázkach identifikovaných oboma regiónmi;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e)</w:t>
      </w:r>
      <w:r w:rsidR="00F04E3F">
        <w:rPr>
          <w:rFonts w:ascii="Times New Roman" w:hAnsi="Times New Roman" w:cs="Times New Roman"/>
          <w:sz w:val="24"/>
          <w:szCs w:val="24"/>
        </w:rPr>
        <w:t xml:space="preserve"> </w:t>
      </w:r>
      <w:r w:rsidRPr="00EA4C47">
        <w:rPr>
          <w:rFonts w:ascii="Times New Roman" w:hAnsi="Times New Roman" w:cs="Times New Roman"/>
          <w:sz w:val="24"/>
          <w:szCs w:val="24"/>
        </w:rPr>
        <w:t xml:space="preserve">oslovuje a ponúka nové príležitosti kontaktov najmä s ohľadom na tie osoby alebo inštitúcie, ktoré ešte medziregionálne partnerstvo CELAC – EÚ nepoznajú;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f) vytvorí internetovú platformu a/alebo vydáva elektronickú publikáciu.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môže uskutočňovať iniciatívy v spolupráci s verejnými a súkromnými inštitúciami, inštitúciami EÚ, medzinárodnými a regionálnymi inštitúciami, štátmi Latinskej Ameriky a Karibiku a členskými štátmi EÚ. </w:t>
      </w:r>
    </w:p>
    <w:p w:rsidR="00D61159" w:rsidRDefault="00D61159" w:rsidP="00D61159">
      <w:pPr>
        <w:jc w:val="both"/>
        <w:rPr>
          <w:rFonts w:ascii="Times New Roman" w:hAnsi="Times New Roman" w:cs="Times New Roman"/>
          <w:i/>
          <w:iCs/>
          <w:sz w:val="24"/>
          <w:szCs w:val="24"/>
        </w:rPr>
      </w:pPr>
    </w:p>
    <w:p w:rsidR="0062025B" w:rsidRDefault="0062025B"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Štruktúra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Nadácia EÚ – LAK má tieto orgány: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správna rada,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predseda 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výkonný riaditeľ.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Správna rada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sa skladá zo zástupcov členov nadácie EÚ – LAK. Zasadá na úrovni vysokých úradníkov a v prípade potreby na úrovni ministrov zahraničných vecí pri príležitosti samitov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Spoločenstvo štátov Latinskej Ameriky a Karibiku (CELAC) zastupuje v správnej rade predsedníctvo </w:t>
      </w:r>
      <w:r w:rsidRPr="00EA4C47">
        <w:rPr>
          <w:rFonts w:ascii="Times New Roman" w:hAnsi="Times New Roman" w:cs="Times New Roman"/>
          <w:i/>
          <w:iCs/>
          <w:sz w:val="24"/>
          <w:szCs w:val="24"/>
        </w:rPr>
        <w:t xml:space="preserve">pro tempore </w:t>
      </w:r>
      <w:r w:rsidRPr="00EA4C47">
        <w:rPr>
          <w:rFonts w:ascii="Times New Roman" w:hAnsi="Times New Roman" w:cs="Times New Roman"/>
          <w:sz w:val="24"/>
          <w:szCs w:val="24"/>
        </w:rPr>
        <w:t xml:space="preserve">bez toho, aby bola dotknutá účasť danej krajiny na vnútroštátnej úrovni.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výbor Euro-latinskoamerického parlamentného zhromaždenia (EuroLat) sa vyzve, aby ako pozorovateľov do správnej rady vymenoval jedného zástupcu z každého regiónu.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Spoločné parlamentné zhromaždenie AKT – EÚ sa vyzve, aby ako pozorovateľov do správnej rady vymenovalo jedného zástupcu za EÚ a jedného za Karibik.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Predsedníctvo správnej 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Správna rada má dvoch predsedov, jedného zástupcu za EÚ a druhého za štáty Latinskej Ameriky</w:t>
      </w:r>
      <w:r w:rsidR="00DE5824">
        <w:rPr>
          <w:rFonts w:ascii="Times New Roman" w:hAnsi="Times New Roman" w:cs="Times New Roman"/>
          <w:sz w:val="24"/>
          <w:szCs w:val="24"/>
        </w:rPr>
        <w:t xml:space="preserve"> a Karibiku.</w:t>
      </w:r>
      <w:r w:rsidRPr="00EA4C47">
        <w:rPr>
          <w:rFonts w:ascii="Times New Roman" w:hAnsi="Times New Roman" w:cs="Times New Roman"/>
          <w:sz w:val="24"/>
          <w:szCs w:val="24"/>
        </w:rPr>
        <w:t xml:space="preserv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 xml:space="preserve">Právomoci správnej rady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Správna rada nadácie EÚ – LAK vykonáva tieto právomoci: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vymenúva predsedu a výkonného riaditeľa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prijíma všeobecné usmernenia pre prácu nadácie a stanovuje jej operačné priority a rokovací poriadok, ako aj primerané opatrenia na zaručenie transparentnosti a zodpovednosti, najmä pokiaľ ide o externé financovanie;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 xml:space="preserve">c) schvaľuje uzavretie dohody o sídle, ako aj akejkoľvek inej dohody alebo dojednania, ktoré nadácia uzavrie so štátmi Latinskej Ameriky a Karibiku, ako aj s členskými štátmi EÚ, pokiaľ ide o výsady a imunity;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prijíma rozpočet a služobný poriadok na základe návrhu výkonného riaditeľa;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e) schvaľuje úpravy organizačnej štruktúry nadácie na základe návrhu výkonného riaditeľa;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f) prijíma viacročný pracovný program, ktorý zahŕňa aj viacročný odhad rozpočtu, v zásade na obdobie štyroch rokov na základe návrhu predloženého výkonným riaditeľom;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g) prijíma ročný pracovný program vrátane projektov a činností na nasledujúci rok na základe návrhu predloženého výkonným riaditeľom a v rámci viacročného programu;</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h) prijíma ročný rozpočet na nasledujúci rok;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i) schvaľuje kritériá pre monitorovanie a audit projektov nadácie, ako aj pre podávanie správ o nich;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j) prijíma výročnú správu a účtovnú závierku nadácie za predchádzajúci rok;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k) poskytuje usmernenia a poradenstvo predsedovi a výkonnému riaditeľovi;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l) navrhuje zmluvným stranám zmeny tejto dohody;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m) hodnotí rozvoj činností nadácie a prijíma opatrenia na základe správ predložených výkonným riaditeľom;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n) urovnáva prípadné spory medzi zmluvnými stranami týkajúce sa výkladu alebo vykonávania tejto dohody a jej zmien;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o) odvoláva predsedu a/alebo výkonného riaditeľa;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 schvaľuje nadviazanie strategických partnerstiev;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q) schvaľuje uzatvorenie akejkoľvek dohody alebo právneho nástroja dojednaných v súlade s článkom 15 ods. 4 písm. i).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w:t>
      </w:r>
      <w:r w:rsidR="007F74C3">
        <w:rPr>
          <w:rFonts w:ascii="Times New Roman" w:hAnsi="Times New Roman" w:cs="Times New Roman"/>
          <w:i/>
          <w:iCs/>
          <w:sz w:val="24"/>
          <w:szCs w:val="24"/>
        </w:rPr>
        <w:t xml:space="preserve"> </w:t>
      </w:r>
      <w:r w:rsidRPr="00EA4C47">
        <w:rPr>
          <w:rFonts w:ascii="Times New Roman" w:hAnsi="Times New Roman" w:cs="Times New Roman"/>
          <w:i/>
          <w:iCs/>
          <w:sz w:val="24"/>
          <w:szCs w:val="24"/>
        </w:rPr>
        <w:t>12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Zasadnutia správnej 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Riadne zasadnutia správnej rady sa konajú dvakrát ročne. Konajú sa zároveň so zasadnutiami vysokých úradníkov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Mimoriadne zasadnutia správnej rady sa konajú na podnet jedného z predsedov správnej rady, výkonného riaditeľa alebo na žiadosť aspoň jednej tretiny jej členov. </w:t>
      </w:r>
    </w:p>
    <w:p w:rsidR="008A113E" w:rsidRDefault="00D61159" w:rsidP="00D61159">
      <w:pPr>
        <w:jc w:val="both"/>
        <w:rPr>
          <w:rFonts w:ascii="Times New Roman" w:hAnsi="Times New Roman" w:cs="Times New Roman"/>
          <w:i/>
          <w:iCs/>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Funkcia sekretariátu správnej rady sa vykonáva pod vedením výkonného riaditeľa nadácie.</w:t>
      </w:r>
      <w:r w:rsidR="00E469FE">
        <w:rPr>
          <w:rFonts w:ascii="Times New Roman" w:hAnsi="Times New Roman" w:cs="Times New Roman"/>
          <w:i/>
          <w:iCs/>
          <w:sz w:val="24"/>
          <w:szCs w:val="24"/>
        </w:rPr>
        <w:t xml:space="preserve">   </w:t>
      </w:r>
    </w:p>
    <w:p w:rsidR="00E469FE" w:rsidRDefault="00E469FE" w:rsidP="00D61159">
      <w:pPr>
        <w:jc w:val="both"/>
        <w:rPr>
          <w:rFonts w:ascii="Times New Roman" w:hAnsi="Times New Roman" w:cs="Times New Roman"/>
          <w:i/>
          <w:iCs/>
          <w:sz w:val="24"/>
          <w:szCs w:val="24"/>
        </w:rPr>
      </w:pPr>
    </w:p>
    <w:p w:rsidR="001A2BE8" w:rsidRDefault="001A2BE8" w:rsidP="00D61159">
      <w:pPr>
        <w:jc w:val="both"/>
        <w:rPr>
          <w:rFonts w:ascii="Times New Roman" w:hAnsi="Times New Roman" w:cs="Times New Roman"/>
          <w:i/>
          <w:iCs/>
          <w:sz w:val="24"/>
          <w:szCs w:val="24"/>
        </w:rPr>
      </w:pPr>
    </w:p>
    <w:p w:rsidR="001A2BE8" w:rsidRDefault="001A2BE8"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lastRenderedPageBreak/>
        <w:t>Článok 13</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Rozhodovanie správnej rady</w:t>
      </w:r>
    </w:p>
    <w:p w:rsidR="00D61159" w:rsidRPr="009D7028"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Správna rada sa uznáša za prítomnosti viac ako polovice jej členov z každého regiónu.</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Rozhodnutia sa prijímajú konsenzom prítomných členov. </w:t>
      </w: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Predseda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vyberie predsedu spomedzi kandidátov nominovaných členmi nadácie EÚ – LAK. Predseda sa vymenúva na funkčné obdobie štyroch rokov, ktoré možno jedenkrát obnoviť.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Predsedom je osobnosť, ktorá je v Latinskej Amerike a Karibiku aj v EÚ známa a vysoko uznávaná. Predseda vykonáva svoju funkciu ako čestnú funkciu, ale má nárok na náhradu všetkých potrebných a riadne odôvodnených výdavkov.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Funkciu predsedu zastáva striedavo štátny príslušník členského štátu EÚ a štátny príslušník štátu Latinskej Ameriky alebo Karibiku. Ak vymenovaný predseda pochádza z členského štátu EÚ, vymenovaný výkonný riaditeľ pochádza z niektorého zo štátov Latinskej Ameriky alebo Karibiku a naopak.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Predseda: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zastupuje nadáciu v jej vonkajších vzťahoch, pričom vystupuje viditeľne a reprezentatívne v rámci kontaktov na vysokej úrovni s orgánmi štátov Latinskej Ameriky a Karibiku, EÚ a členských štátov EÚ, ako aj s ostatnými partnermi;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podáva správy na zasadnutia ministrov zahraničných vecí, iné ministerské zasadnutia, zasadnutia správnej rady a podľa potreby aj iné dôležité zasadnutia;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poskytuje poradenstvo výkonnému riaditeľovi pri príprave návrhu viacročného a ročného pracovného programu a návrhu rozpočtu na schválenie správnej rade;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vykonáva iné úlohy, na ktorých sa dohodne správna rada.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15</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Výkonný riaditeľ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b/>
          <w:bCs/>
          <w:sz w:val="24"/>
          <w:szCs w:val="24"/>
        </w:rPr>
        <w:t xml:space="preserve"> </w:t>
      </w: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Nadáciu riadi výkonný riaditeľ, ktorého vymenúva správna rada na štvorročné funkčné obdobie, ktoré možno jedenkrát obnoviť, pričom vyberá spomedzi kandidátov, ktorých nominujú členovia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Bez toho, aby boli dotknuté právomoci správnej rady, výkonný riaditeľ nepožaduje ani neprijíma pokyny od žiadnej vlády ani od žiadneho iného orgánu.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Funkcia výkonného riaditeľa je platená a zastáva ju striedavo štátny príslušník členského štátu EÚ a štátny príslušník štátu Latinskej Ameriky alebo Karibiku. Ak vymenovaný výkonný riaditeľ pochádza z členského štátu EÚ, vymenovaný predseda pochádza z niektorého zo štátov Latinskej Ameriky alebo Karibiku, a naopak.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riaditeľ je zákonným zástupcom nadácie a plní tieto funkcie: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 konzultácii s predsedom pripravuje viacročný a ročný pracovný program nadácie a jej rozpočet;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vymenúva a riadi personál nadácie a zabezpečuje jeho súlad s cieľmi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plní rozpočet;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d) predkladá pravidelné a výročné správy o činnosti, ako aj finančné účty na prijatie správnej rade, pričom zabezpečuje transparentné postupy a správny obeh informácií o všetkých činnostiach, ktoré vykonáva alebo podporuje nadácia, vrátane aktualizovaného zoznamu inštitúcií a organizácií identifikovaných na vnútroštátnej úrovni, ako aj tých, ktoré sa zúčastňujú na činno</w:t>
      </w:r>
      <w:r w:rsidR="00DE5824">
        <w:rPr>
          <w:rFonts w:ascii="Times New Roman" w:hAnsi="Times New Roman" w:cs="Times New Roman"/>
          <w:sz w:val="24"/>
          <w:szCs w:val="24"/>
        </w:rPr>
        <w:t xml:space="preserve">sti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e) predkladá správu uvedenú v článku 18;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f) pripravuje zasadnutia a pomáha správnej rade;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g) v prípade potreby konzultuje s príslušnými predstaviteľmi občianskej spoločnosti a iných sociálnych aktérov, najmä inštitúcií, ktoré mohli identifikovať členovia nadácie EÚ – LAK, v závislosti od danej problematiky a konkrétnych potrieb, pričom o výsledku týchto konzultácií informuje správnu radu na účely ďalšieho zváženia;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h) vedie konzultácie a rokovania s hostiteľskou krajinou nadácie a ostatnými zmluvnými stranami tejto dohody, pokiaľ ide o podrobnosti zariadení, ktoré má nadácia v týchto štátoch využívať;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i) vedie rokovania o akejkoľvek dohode alebo právnom nástroji, ktoré majú medzinárodné účinky, s medzinárodnými organizáciami, štátmi a verejnými alebo súkromnými inštitúciami, pokiaľ ide o záležitosti, ktoré presahujú administratívne každodenné fungovanie nadácie, a to po náležitej konzultácii so správnou radou a po jej informovaní o začiatku a plánovanom ukončení týchto rokovaní, ako aj v rámci pravidelných konzultácií o ich obsahu, rozsahu a pravdepodobnom výsledku; </w:t>
      </w:r>
    </w:p>
    <w:p w:rsidR="00D61159" w:rsidRPr="008073BF"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j) podáva správnej rade správy o všetkých súdnych konaniach, ktoré sa týkajú nadácie.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Financovanie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Príspevky sa poskytujú na dobrovoľnom základe bez toho, aby bola dotknutá účasť v správnej rade.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Nadáciu financujú najmä jej členovia. Správna rada môže s ohľadom na medziregionálnu rovnováhu zvážiť iné spôsoby financovania činností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osobitných prípadoch po predchádzajúcom informovaní správnej rady a po konzultácii s ňou v záujme získania jej súhlasu je nadácia oprávnená získať dodatočné zdroje prostredníctvom externého financovania z verejných a súkromných inštitúcií, okrem iného z vypracúvania správ a analýz na požiadanie. Tieto zdroje sa použijú výlučne na činnosti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Spolková republika Nemecko poskytne na vlastné náklady a v rámci svojho finančného príspevku do nadácie primerane zariadené priestory vhodné na užívanie nadáciou spolu s údržbou, vybavením a zabezpečením tohto zariadenia.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Audit a uverejňovanie účtov</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vymenuje nezávislých audítorov na účely vykonania auditu účtov nadácie. </w:t>
      </w:r>
    </w:p>
    <w:p w:rsidR="000A5D25" w:rsidRDefault="00D61159" w:rsidP="008A113E">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Nezávislý audit výkazov aktív, záväzkov, príjmov a výdavkov nadácie sa poskytne členom čo najskôr po skončení každého rozpočtového roka, najneskôr však šesť mesiacov po ňom, pričom na najbližšom zasadnutí ho posúdi správna rada na účely schválenia.</w:t>
      </w:r>
    </w:p>
    <w:p w:rsidR="00D61159" w:rsidRDefault="00D61159" w:rsidP="008A113E">
      <w:pPr>
        <w:jc w:val="both"/>
        <w:rPr>
          <w:rFonts w:ascii="Times New Roman" w:hAnsi="Times New Roman" w:cs="Times New Roman"/>
          <w:sz w:val="24"/>
          <w:szCs w:val="24"/>
        </w:rPr>
      </w:pPr>
      <w:r w:rsidRPr="00EA4C47">
        <w:rPr>
          <w:rFonts w:ascii="Times New Roman" w:hAnsi="Times New Roman" w:cs="Times New Roman"/>
          <w:sz w:val="24"/>
          <w:szCs w:val="24"/>
        </w:rPr>
        <w:t>3.</w:t>
      </w:r>
      <w:r w:rsidR="000A5D25">
        <w:rPr>
          <w:rFonts w:ascii="Times New Roman" w:hAnsi="Times New Roman" w:cs="Times New Roman"/>
          <w:sz w:val="24"/>
          <w:szCs w:val="24"/>
        </w:rPr>
        <w:t xml:space="preserve"> </w:t>
      </w:r>
      <w:r w:rsidRPr="00EA4C47">
        <w:rPr>
          <w:rFonts w:ascii="Times New Roman" w:hAnsi="Times New Roman" w:cs="Times New Roman"/>
          <w:sz w:val="24"/>
          <w:szCs w:val="24"/>
        </w:rPr>
        <w:t xml:space="preserve">Uverejní sa súhrn auditovaných účtov a súvahy. </w:t>
      </w:r>
    </w:p>
    <w:p w:rsidR="008A113E" w:rsidRDefault="008A113E" w:rsidP="008A113E">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Hodnotenie nadácie</w:t>
      </w:r>
    </w:p>
    <w:p w:rsidR="00D61159" w:rsidRDefault="00D61159" w:rsidP="008A113E">
      <w:pPr>
        <w:jc w:val="both"/>
        <w:rPr>
          <w:rFonts w:ascii="Times New Roman" w:hAnsi="Times New Roman" w:cs="Times New Roman"/>
          <w:sz w:val="24"/>
          <w:szCs w:val="24"/>
        </w:rPr>
      </w:pPr>
      <w:r w:rsidRPr="00EA4C4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4C47">
        <w:rPr>
          <w:rFonts w:ascii="Times New Roman" w:hAnsi="Times New Roman" w:cs="Times New Roman"/>
          <w:sz w:val="24"/>
          <w:szCs w:val="24"/>
        </w:rPr>
        <w:t xml:space="preserve">Od dátumu nadobudnutia platnosti tejto dohody predloží výkonný riaditeľ každé štyri roky správnej rade správu o činnosti nadácie. Správna rada celkovo posúdi tieto činnosti a prijme rozhodnutie o budúcich činnostiach nadácie. </w:t>
      </w: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Strategické partnerstvá</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má na úvod štyroch strategických partnerov: „L'Institut des Amériques“ vo Francúzsku a „Regione Lombardia“ v Taliansku na strane EÚ a Globálna nadácia pre demokraciu a rozvoj (FUNGLODE) v Dominikánskej republike a Hospodárska komisia OSN pre Latinskú Ameriku a Karibik (ECLAC) na strane Latinskej Ameriky a Karibiku.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 splnenie svojich cieľov môže nadácia EÚ – LAK v budúcnosti nadviazať strategické partnerstvá s medzivládnymi organizáciami, štátmi a verejnými alebo súkromnými inštitúciami oboch regiónov, pričom vždy rešpektuje zásadu medziregionálnej rovnováhy.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Výsady a imunity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Charakter a právna subjektivita nadácie sa vymedzujú v článkoch 2 a 4.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Postavenie, výsady a imunity nadácie, správnej rady, predsedu, výkonného riaditeľa, členov personálu a zástupcov členov na území Spolkovej republiky Nemecko na účely vykonávania ich funkcií sa riadia dohodou o sídle uzavretou medzi vládou Spolkovej republiky Nemecko a nadáciou.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Dohoda o sídle uvedená v odseku 2 tohto článku je nezávislá od tejto dohody.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môže uzavrieť s jedným alebo viacerými štátmi Latinskej Ameriky a Karibiku a členskými štátmi EÚ iné dohody, ktoré schvaľuje správna rada, týkajúce sa výsad a imunít, ktoré môžu byť potrebné na riadne fungovanie nadácie na ich príslušných územiach.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5.</w:t>
      </w:r>
      <w:r>
        <w:rPr>
          <w:rFonts w:ascii="Times New Roman" w:hAnsi="Times New Roman" w:cs="Times New Roman"/>
          <w:sz w:val="24"/>
          <w:szCs w:val="24"/>
        </w:rPr>
        <w:t xml:space="preserve">  </w:t>
      </w:r>
      <w:r w:rsidRPr="00EA4C47">
        <w:rPr>
          <w:rFonts w:ascii="Times New Roman" w:hAnsi="Times New Roman" w:cs="Times New Roman"/>
          <w:sz w:val="24"/>
          <w:szCs w:val="24"/>
        </w:rPr>
        <w:t>V rámci svojich oficiálnych činností sú nadácia, jej aktíva, príjmy a iný majetok oslobodené od všetkých priamych daní. Nadácia nie je oslobodená od platieb za poskytnuté služby.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6.</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riaditeľ a personál nadácie sú oslobodení od vnútroštátnych daní z platov a požitkov vyplácaných nadáciou.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7.</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Členovia personálu nadácie sú všetci členovia personálu vymenovaní výkonným riaditeľom s výnimkou tých, ktorí sú prijatí lokálne a zároveň pracujú na základe hodinovej sadzby.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Jazyky nadácie</w:t>
      </w:r>
    </w:p>
    <w:p w:rsidR="00D61159" w:rsidRDefault="00D61159" w:rsidP="00D61159">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Pracovnými jazykmi nadácie sú jazyky používané v strategickom partnerstve medzi Latinskou Amerikou a Karibikom a Európskou úniou od jeho nadviazania v júni 1999. </w:t>
      </w:r>
    </w:p>
    <w:p w:rsidR="00D61159" w:rsidRDefault="00D61159"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Urovnávanie sporov</w:t>
      </w:r>
    </w:p>
    <w:p w:rsidR="00D61159" w:rsidRDefault="00D61159" w:rsidP="00DE5824">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Akýkoľvek spor, ktorý vznikne medzi zmluvnými stranami v súvislosti s vykonávaním alebo výkladom tejto dohody a jej zmien, sa predloží na priame rokovania medzi nimi v záujme včasného urovnania. Ak sa spor týmto spôsobom nevyrieši, predloží sa na rozhodnutie správnej rade. </w:t>
      </w:r>
    </w:p>
    <w:p w:rsidR="00DE5824" w:rsidRDefault="00DE5824" w:rsidP="00DE5824">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23</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Zmeny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sa môže zmeniť na podnet správnej rady nadácie EÚ – LAK alebo na žiadosť ktorejkoľvek zmluvnej strany. Návrhy zmien sa zašlú depozitárovi, ktorý ich oznámi všetkým zmluvným stranám na posúdenie a prerokovanie.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Zmeny sa prijímajú konsenzom a nadobúdajú platnosť tridsať dní po dátume, keď depozitár dostane posledné oznámenie o tom, že sa ukončili všetky formality potrebné na tento účel.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Depozitár oznámi nadobudnutie platnosti zmien všetkým zmluvným stranám. </w:t>
      </w:r>
    </w:p>
    <w:p w:rsid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Ratifikácia a pristúpenie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je otvorená na podpis všetkým štátom Latinskej Ameriky a Karibiku, členským štátom EÚ a EÚ od 25. októbra 2016 do dátumu nadobudnutia jej platnosti, pričom podlieha ratifikácii. Ratifikačné listiny sa uložia u depozitára.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ostáva otvorená pre pristúpenie EÚ a tých štátov Latinskej Ameriky a Karibiku a členských štátov EÚ, ktoré ju nepodpísali. Príslušné listiny o prístupe sa uložia u depozitára.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25</w:t>
      </w:r>
    </w:p>
    <w:p w:rsidR="00D61159" w:rsidRPr="004864EC"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Nadobudnutie platnosti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nadobúda platnosť tridsať dní po tom, ako osem zmluvných strán z každého regiónu, medzi nimi aj Spolková republika Nemecko a EÚ uloží svoje ratifikačné listiny alebo listiny o prístupe u depozitára. V prípade ostatných štátov Latinskej Ameriky a Karibiku a členských štátov EÚ, ktoré uložia svoje ratifikačné listiny alebo listiny o prístupe po nadobudnutí platnosti, nadobudne táto dohoda platnosť tridsať dní po tom, ako tieto štáty Latinskej Ameriky a Karibiku a členské štáty EÚ uložia svoje ratifikačné listiny alebo listiny o prístupe.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Depozitár informuje všetky zmluvné strany o doručení ratifikačných listín alebo listín o prístupe, ako aj o dátume nadobudnutia platnosti tejto dohody, v súlade s odsekom 1 tohto článku.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Doba platnosti a vypovedanie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Doba platnosti tejto dohody je neurčitá.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Každá zo zmluvných strán môže túto dohodu vypovedať prostredníctvom písomného oznámenia adresovaného depozitárovi diplomatickou cestou. Vypovedanie nadobudne účinnosť dvanásť mesiacov po doručení oznámenia. </w:t>
      </w:r>
    </w:p>
    <w:p w:rsidR="00D61159" w:rsidRDefault="00D61159" w:rsidP="00D61159">
      <w:pPr>
        <w:jc w:val="center"/>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Zánik a likvidácia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zanikne: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ak všetci členovia nadácie alebo všetci členovia nadácie okrem jedného vypovedia dohodu, alebo </w:t>
      </w:r>
    </w:p>
    <w:p w:rsidR="00DE5824"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ak členovia nadácie rozhodnú o ukončení jej činnosti. </w:t>
      </w:r>
    </w:p>
    <w:p w:rsidR="00D61159" w:rsidRDefault="00DE5824" w:rsidP="00D61159">
      <w:pPr>
        <w:jc w:val="both"/>
        <w:rPr>
          <w:rFonts w:ascii="Times New Roman" w:hAnsi="Times New Roman" w:cs="Times New Roman"/>
          <w:sz w:val="24"/>
          <w:szCs w:val="24"/>
        </w:rPr>
      </w:pPr>
      <w:r>
        <w:rPr>
          <w:rFonts w:ascii="Times New Roman" w:hAnsi="Times New Roman" w:cs="Times New Roman"/>
          <w:sz w:val="24"/>
          <w:szCs w:val="24"/>
        </w:rPr>
        <w:t xml:space="preserve">2. </w:t>
      </w:r>
      <w:r w:rsidR="00D61159" w:rsidRPr="00EA4C47">
        <w:rPr>
          <w:rFonts w:ascii="Times New Roman" w:hAnsi="Times New Roman" w:cs="Times New Roman"/>
          <w:sz w:val="24"/>
          <w:szCs w:val="24"/>
        </w:rPr>
        <w:t xml:space="preserve">V prípade ukončenia činnosti nadácia existuje len na účely svojej likvidácie. Jej záležitosti uzavrú likvidátori, ktorí pristúpia k predaju majetku nadácie a k splneniu záväzkov. Zostatok sa rozdelí medzi členov úmerne k ich príspevkom.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lastRenderedPageBreak/>
        <w:t>Článok 28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Depozitár</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Depozitárom tejto dohody je Generálny sekretariát Rady Európskej únie.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Výhrady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čase podpísania alebo ratifikácie tejto dohody, alebo pristúpenia k nej môžu zmluvné strany urobiť výhrady a/alebo vyhlásenia k jej zneniu za predpokladu, že nie sú v rozpore s jej cieľom a účelom.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Urobené výhrady a vyhlásenia sa oznámia depozitárovi, ktorý o nich upovedomí ostatné zmluvné strany dohody.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30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Prechodné ustanovenia</w:t>
      </w:r>
    </w:p>
    <w:p w:rsidR="00D61159" w:rsidRDefault="00D61159" w:rsidP="00D61159">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Od nadobudnutia platnosti tejto dohody ukončí svoju činnosť tranzitórna nadácia založená v roku 2011 podľa zákonov Spolkovej republiky Nemecko a zanikne. Aktíva a záväzky, zdroje, finančné prostriedky a ostatné zmluvné záväzky tranzitórnej nadácie prechádzajú na nadáciu EÚ – LAK založenú podľa tejto dohody. Na tento účel nadácia EÚ – LAK a tranzitórna nadácia uplatnia so Spolkovou republikou Nemecko potrebné právne nástroje a splnia príslušné právne požiadavky. Na dôkaz toho splnomocnení zástupcovia, riadne poverení na tento účel, podpísali túto dohodu v jedinom origináli v anglickom, bulharskom, českom, dánskom, estónskom, fínskom, francúzskom, gréckom, holandskom, chorvátskom, litovskom, lotyšskom, maďarskom, maltskom, nemeckom, poľskom, portugalskom, rumunskom, slovenskom, slovinskom, španielskom, švédskom a talianskom jazyku, pričom všetky znenia sú rovnako autentické a sú uložené v archívoch Rady Európskej únie, ktorý doručí overenú kópiu všetkým zmluvným stranám. </w:t>
      </w:r>
    </w:p>
    <w:p w:rsidR="00D61159" w:rsidRDefault="00D6115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1620E9" w:rsidRPr="00EA4C47" w:rsidRDefault="001620E9" w:rsidP="001620E9">
      <w:pPr>
        <w:jc w:val="both"/>
        <w:rPr>
          <w:rFonts w:ascii="Times New Roman" w:hAnsi="Times New Roman" w:cs="Times New Roman"/>
          <w:sz w:val="24"/>
          <w:szCs w:val="24"/>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Pr="00F57AED" w:rsidRDefault="00D61159" w:rsidP="00D61159">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AGREEMENT</w:t>
      </w:r>
    </w:p>
    <w:p w:rsidR="00D61159" w:rsidRPr="00F57AED" w:rsidRDefault="00D61159" w:rsidP="00D61159">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establishing the EU-LAC International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Parties to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strategic partnership established between Latin America and the Caribbean (LAC) and the European Union (EU) in June 1999 within the framework of the first EU-LAC Summit of Rio de Janeiro;</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BEARING IN MIND the initiative adopted by the Heads of State and Government of LAC and the EU, during the fifth EU-LAC Summit, held in Lima, Republic of Peru, on 16 May 2008;</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decision on the creation of the EU-LAC Foundation adopted by the Heads of State and Government of the EU and LAC, the President of the European Council and the President of the Commission, at the sixth EU-LAC Summit, held in Madrid, Spain, on 18 May 2010;</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establishment in 2011 of a transitional foundation in the Federal Republic of Germany, which will conclude its activities and be dissolved when the International Constituent Agreement of the EU-LAC Foundation enters into force;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REITERATING the need to create an international organisation of intergovernmental nature subject to public international law through an ‘International Constituent Agreement of the EU-LAC Foundation based on the Terms of Reference adopted in a Ministerial meeting in the margins of the VI EU-LAC Summit of Madrid,’ which contributes to the strengthening of the existent bonds among the Latin American and the Caribbean States, the EU and the EU Member States;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HAVE AGREED as follows: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Object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International Foundation, (‘the Foundation’ or ‘the EU-LAC Foundation’), is established by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This Agreement sets out the Foundation's objectives and establishes the general rules and guidelines regulating its activities, structure and functioning.</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Nature and Headquarters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is an international organisation of intergovernmental nature, established under public international law. It focuses on the strengthening of the bi-regional partnership between the EU and the EU Member States and the Community of Latin American and Caribbean States (CELAC).</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have its headquarters in the Free and Hanseatic City of Hamburg, Federal Republic of Germany.</w:t>
      </w:r>
    </w:p>
    <w:p w:rsidR="00D61159"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Members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Latin American and Caribbean States, the EU Member States and the EU, having expressed their consent to be bound by this Agreement, following their internal legal procedures, shall become the only Members of the EU-LAC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also be open to the participation of the Community of Latin American and Caribbean States (CELAC).</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Legal Personality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shall enjoy international legal personality and the necessary legal capacity for the fulfilment of its objectives and activities, in the territory of each of its Members, in accordance with their domestic laws.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Foundation shall also have the capacity to contract, to acquire and dispose of movable and immovable property and to institute legal proceedings.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Objectives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contribute to the strengthening of the CELAC-EU bi-regional partnership process involving participation and inputs of civil society and other social actors;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further mutual knowledge and understanding between both regions;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enhance the mutual visibility between both regions, as well as of the bi-regional partnership itself.</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in particular:</w:t>
      </w:r>
    </w:p>
    <w:tbl>
      <w:tblPr>
        <w:tblW w:w="5000" w:type="pct"/>
        <w:tblCellMar>
          <w:left w:w="0" w:type="dxa"/>
          <w:right w:w="0" w:type="dxa"/>
        </w:tblCellMar>
        <w:tblLook w:val="04A0" w:firstRow="1" w:lastRow="0" w:firstColumn="1" w:lastColumn="0" w:noHBand="0" w:noVBand="1"/>
      </w:tblPr>
      <w:tblGrid>
        <w:gridCol w:w="280"/>
        <w:gridCol w:w="7"/>
        <w:gridCol w:w="7"/>
        <w:gridCol w:w="8778"/>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gridSpan w:val="3"/>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and coordinate result-oriented activities in support of bi-regional relations and focused on the implementation of priorities established by CELAC-EU Summits;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p>
        </w:tc>
        <w:tc>
          <w:tcPr>
            <w:tcW w:w="0" w:type="auto"/>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the debate on common strategies aiming at the execution of the aforementioned priorities by stimulating research and studies;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gridSpan w:val="3"/>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foster fruitful exchanges and new networking opportunities among civil society and other social actors.</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Criteria for the Activities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In order to achieve the objectives set out in Article 5 of this Agreement, the activities of the EU-LAC Foundation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be based on the priorities and themes addressed at the level of Heads of State and Government at the Summits, concentrating on the identified needs in furtherance of the bi-regional relationship;</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involve, to the extent possible and under the framework of the activities of the Foundation, civil society and other social actors, such as academic institutions, and take into account their contributions on a non-binding basis. To this end, each Member could identify appropriate institutions and organisations that are working to enhance the bi-regional dialogue at the national level;</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add value to the existing initiatives;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give visibility to the partnership, particularly focusing on actions with multiplier effect.</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When launching or taking part in activities, the EU-LAC Foundation shall be action-guided, dynamic and result-oriented.</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In order to achieve the objectives set out in Article 5, the EU-LAC Foundation shall undertake, among others, the following activities:</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debate, through seminars, conferences, workshops, reflection groups, courses, exhibitions, publications, presentations, professional training, exchange on best practices and special knowledge;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and support events related to topics addressed in CELAC-EU Summits and related to CELAC-EU Senior Officials Meetings (SOM) priorities;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launch bi-regional awareness programmes and initiatives, including exchanges in identified priority fields;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studies on issues identified by both regions;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reach and offer new contact opportunities taking into account especially those individuals or institutions not familiar with the CELAC-EU bi-regional partnership;</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create an internet-based platform and/or generate an electronic publication.</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may launch initiatives in association with public and private institutions, the EU Institutions, international and regional institutions, Latin American and Caribbean States and EU Member States.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Structure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EU-LAC Foundation shall comprise the following:</w:t>
      </w:r>
    </w:p>
    <w:tbl>
      <w:tblPr>
        <w:tblW w:w="5000" w:type="pct"/>
        <w:tblCellMar>
          <w:left w:w="0" w:type="dxa"/>
          <w:right w:w="0" w:type="dxa"/>
        </w:tblCellMar>
        <w:tblLook w:val="04A0" w:firstRow="1" w:lastRow="0" w:firstColumn="1" w:lastColumn="0" w:noHBand="0" w:noVBand="1"/>
      </w:tblPr>
      <w:tblGrid>
        <w:gridCol w:w="970"/>
        <w:gridCol w:w="810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President; and</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Executive Director.</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comprise representatives of the Members of the EU-LAC Foundation. It shall meet at the level of Senior Officials and, if appropriate, at the level of Ministers of Foreign Affairs on the occasion of the CELAC-EU Summits.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2.   The Community of Latin American and Caribbean States (CELAC) shall be represented on the Board of Governors by the Presidency Pro Tempore without prejudice to the participation of the country concerned in its national capacity.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Executive Bureau of the Euro-Latin American Parliamentary Assembly (EuroLat) shall be invited to appoint one representative from each region as observers on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African, Caribbean and Pacific (ACP)-EU Joint Parliamentary Assembly shall be invited to appoint one representative from the EU and one from the Caribbean as observers on the Board of Governors.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Chairmanship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shall have two chairpersons, one representative from the EU and the other from the Latin American and Caribbean States.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Powers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of the EU-LAC Foundation shall exercise the following powers:</w:t>
      </w:r>
    </w:p>
    <w:tbl>
      <w:tblPr>
        <w:tblW w:w="5000" w:type="pct"/>
        <w:tblCellMar>
          <w:left w:w="0" w:type="dxa"/>
          <w:right w:w="0" w:type="dxa"/>
        </w:tblCellMar>
        <w:tblLook w:val="04A0" w:firstRow="1" w:lastRow="0" w:firstColumn="1" w:lastColumn="0" w:noHBand="0" w:noVBand="1"/>
      </w:tblPr>
      <w:tblGrid>
        <w:gridCol w:w="347"/>
        <w:gridCol w:w="8725"/>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appoint the President and the Executive Director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general guidelines for the work of the Foundation and establish its operational priorities and rules of procedure, as well as the appropriate measures to guarantee transparency and accountability regarding, in particular, the external financing;</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conclusion of the Headquarters Agreement as well as any other agreement or arrangement that the Foundation might conclude with Latin American and Caribbean States and EU Member States on the matter of privileges and immunities;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budget and staff regulations on the basis of a proposal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modifications to the organisational structure of the Foundation on the basis of a proposal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a multi-annual work programme, including a multi-annual budget estimate, in principle with a four year perspective, on the basis of the draft submitted by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work programme, including projects and activities for the coming year on the basis of a draft submitted by the Executive Director and within the framework of the multi-annual programme;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budget for the following year;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criteria for the monitoring and auditing of, as well as for the reporting of the projects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(j)</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report and financial statements of the Foundation for the previous year;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(k)</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provide guidance and advice to the President and to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(l)</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propose amendments to this Agreement to the Parties;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(m)</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evaluate the development of the activities of the Foundation and take action on the basis of the reports presented by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(n)</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settle the disputes that may eventually arise between the Parties on the interpretation or application of this Agreement and amendments thereto;</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(o)</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revoke the appointment of the President and/or that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establishment of Strategic Partnerships;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(q)</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conclusion of any agreement or legal instrument negotiated in accordance with paragraph (4)(i) of Article 15.</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Meetings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hold two ordinary meetings a year. They shall coincide with CELAC-EU Senior Officials Meetings (SOM).</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Board of Governors shall hold extraordinary meetings at the instance of one chairperson, the Executive Director or by request of at least one third of its Members.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secretariat functions for the Board of Governors shall be carried out under the authority of the Executive Director of the Foundation.</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Decision-making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shall act in the presence of more than half of its Members from each region. Decisions shall be taken by consensus of the Members who are present.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President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select the President among the nominees submitted by the Members of the EU-LAC Foundation. The President shall be appointed for a four-year term, renewable once.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President shall be a well-known and highly respected personality both in Latin America and the Caribbean and in the EU. The President shall serve in a voluntary capacity, but shall be entitled to reimbursement of any necessary and duly justified expenses.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President's office shall alternate between a national of an EU Member State and a national of a Latin American or Caribbean State. If the appointed President comes from an EU Member State, the appointed Executive Director shall come from a Latin American or Caribbean State, and vice versa.</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President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represent the Foundation in its external relations, ensuring a visible and representative role through high level contacts with authorities from Latin American and Caribbean States and from the EU and the EU Member States, and with other partners;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report to the Foreign Ministers' meetings, other ministerial meetings, the Board of Governors and other important meetings as may be required;</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provide advice to the Executive Director in the preparation of the draft multi-annual and annual work programme and the draft budget for the approval of 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conduct other tasks as agreed by the Board of Governors.</w:t>
            </w:r>
          </w:p>
        </w:tc>
      </w:tr>
    </w:tbl>
    <w:p w:rsidR="00D61159" w:rsidRDefault="00D61159" w:rsidP="008A113E">
      <w:pPr>
        <w:shd w:val="clear" w:color="auto" w:fill="FFFFFF"/>
        <w:spacing w:before="360" w:after="120" w:line="240" w:lineRule="auto"/>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Executive Director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Foundation shall be managed by an Executive Director who shall be appointed by the Board of Governors for a four-year term, renewable once, and shall be selected following the submission of nominees by the Members of the EU-LAC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Without prejudice to the competences of the Board of Governors, the Executive Director shall neither seek nor take instructions from any government or from any other body.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Executive Director's office shall be remunerated and shall alternate between a national of an EU Member State and a national of a Latin American or Caribbean State. If the appointed Executive Director comes from an EU Member State, the appointed President shall come from a Latin American or Caribbean State, and vice versa.</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Executive Director shall be the legal representative of the Foundation and shall exercise the following functions:</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prepare the multi-annual and annual work programme of the Foundation and its budget in consultation with the President;</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appoint and head the staff of the Foundation, ensuring its compliance with the objectives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implement the budget;</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submit periodic and annual activity reports, as well as financial accounts to the Board of Governors for adoption, maintaining transparent procedures and correct circulation of the information concerning all activities done or supported by the Foundation, including an updated list of those institutions and organisations identified at national level, as well as those participating in the activities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submit the report referred to in Article 18;</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prepare the meetings and assist 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consult, when necessary, the appropriate representatives of civil society and other social actors, notably the institutions which might have been identified by the Members of the EU-LAC Foundation, depending on the issue raised and the concrete needs, keeping the Board of Governors informed about the results of these contacts for further consideration;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conduct consultations and negotiations with the Host Country of the Foundation and the other Parties to this Agreement with regard to the details of the facilities to be enjoyed by the Foundation in these States;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 xml:space="preserve">conduct negotiations of any agreement or legal instrument with international effects, with international organisations, States and public or private institutions on matters going beyond the administrative, day-to-day functioning of the Foundation, following due consultation and notification to the Board of Governors about the beginning and foreseen conclusion of these </w:t>
            </w:r>
            <w:r w:rsidRPr="00F57AED">
              <w:rPr>
                <w:rFonts w:ascii="Times New Roman" w:eastAsia="Times New Roman" w:hAnsi="Times New Roman" w:cs="Times New Roman"/>
                <w:color w:val="000000"/>
                <w:sz w:val="24"/>
                <w:szCs w:val="24"/>
                <w:lang w:eastAsia="sk-SK"/>
              </w:rPr>
              <w:lastRenderedPageBreak/>
              <w:t>negotiations as well as periodical consultations about their content, scope and likely outcome;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(j)</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report to the Board of Governors on any legal proceedings involving the Foundation.</w:t>
            </w:r>
          </w:p>
        </w:tc>
      </w:tr>
    </w:tbl>
    <w:p w:rsidR="00D61159" w:rsidRDefault="00D61159" w:rsidP="008A113E">
      <w:pPr>
        <w:shd w:val="clear" w:color="auto" w:fill="FFFFFF"/>
        <w:spacing w:before="360" w:after="120" w:line="240" w:lineRule="auto"/>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Financing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Contributions are made on a voluntary basis without prejudice to the participation on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Foundation shall be financed mainly by its Members. The Board of Governors, respecting the bi-regional balance, may consider other financing modalities of the 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In specific cases following prior notification to and consultation with the Board of Governors for its approval, the Foundation is authorised to generate additional resources through external financing from public and private institutions, including through the production of reports and analyses on request. Those resources shall be used exclusively for the 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Federal Republic of Germany shall provide, at its own expense and in the framework of its financial contribution to the Foundation, appropriately furnished premises suitable for use by the Foundation along with maintenance, utilities and security for the facility.</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Audit and Publication of Accounts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appoint independent auditors for the purpose of auditing the accounts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Independently audited statements of the assets, liabilities, income and expenditure of the Foundation shall be made available to the Members as soon as possible following the end of each financial year, but not later than six months after that date, and be considered for approval by the Board of Governors at its earliest forthcoming meeting.</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A summary of the audited accounts and balance sheet shall be published.</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Assessment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From the date of the entry into force of this Agreement, the Executive Director shall present every four years to the Board of Governors, a report on the activities of the Foundation. The Board of Governors shall globally assess those activities and shall take any decision regarding the future activities of the Foundation.</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Strategic Partnerships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 xml:space="preserve">1.   The Foundation shall have four initial Strategic Partners: ‘L'Institut des Amériques’ in France and ‘Regione Lombardia’ in Italy for the EU side, and Global Foundation for </w:t>
      </w:r>
      <w:r w:rsidRPr="00F57AED">
        <w:rPr>
          <w:rFonts w:ascii="Times New Roman" w:eastAsia="Times New Roman" w:hAnsi="Times New Roman" w:cs="Times New Roman"/>
          <w:color w:val="000000"/>
          <w:sz w:val="24"/>
          <w:szCs w:val="24"/>
          <w:lang w:eastAsia="sk-SK"/>
        </w:rPr>
        <w:lastRenderedPageBreak/>
        <w:t>Democracy and Development (FUNGLODE), in Dominican Republic and United Nations Economic Commission for Latin America and the Caribbean (ECLAC) for the Latin American and Caribbean side.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 order to accomplish its objectives, the EU-LAC Foundation may establish future strategic partnerships with intergovernmental organisations, States and public or private institutions of both regions, always respecting the principle of bi-regional balance.</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Privileges and Immunities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nature and legal personality of the Foundation is defined in Articles 2 and 4.</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status, privileges and immunities of the Foundation, of the Board of Governors, the President, the Executive Director, the staff members, and of representatives of Members in the territory of the Federal Republic of Germany for the purpose of exercising their functions, shall be governed by a Headquarters Agreement concluded between the Government of the Federal Republic of Germany and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Headquarters Agreement referred to in paragraph (2) of this Article shall be independent of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Foundation may conclude with one or more Latin American and Caribbean States and EU Member States other agreements to be approved by the Board of Governors relating to such privileges and immunities as may be necessary for the proper functioning of the Foundation in their respective territories.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5.   In the framework of its official activities, the Foundation, its assets, revenues and other property shall be exempt from all direct taxes. The Foundation shall not be exempt from payment for services rendered.</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6.   The Executive Director and the staff of the Foundation shall be exempt from national taxation on the salaries and emoluments paid by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7.   Staff members of the Foundation means all members of staff appointed by the Executive Director, with the exception of those who are locally recruited and assigned to hourly rates.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Languages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working languages of the Foundation shall be those used by the strategic partnership between Latin America and the Caribbean and the European Union since its establishment in June 1999.</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Settlement of Disputes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Any dispute that may arise between the Parties concerning the application or interpretation of this Agreement and of its amendments shall be submitted to direct negotiations among them with a view to its timely settlement. If the dispute is not settled by these means, it shall be submitted to the decision of the Board of Governors.</w:t>
      </w:r>
    </w:p>
    <w:p w:rsidR="008A113E" w:rsidRDefault="008A113E"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lastRenderedPageBreak/>
        <w:t>Article 23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Amendments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may be amended by initiative of the Board of Governors of the EU-LAC Foundation, or by request of any of the Parties. The amendment proposals shall be forwarded to the depositary, which shall notify them to all the Parties for their consideration and negotiation.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amendments shall be adopted by consensus and shall enter into force thirty days after the date of receipt by the depositary of the last notification that all necessary formalities to that end have been completed.</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depositary shall notify all the Parties of the entry into force of the amendments.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Ratification and Accession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be open for signature by all the Latin American and Caribbean States, by the EU Member States, and by the EU, from 25 October 2016 to the date of its entry into force and shall be subject to ratification. The instruments of ratification shall be deposited with the depositary.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This Agreement shall remain open to accession by the EU, and by those Latin American and Caribbean States and EU Member States that have not signed it. The corresponding instruments of accession shall be deposited with the depositary.</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Entry into Force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enter into force thirty days after eight Parties of each region, including the Federal Republic of Germany and the EU, have deposited their respective instruments of ratification or accession with the depositary. For the other Latin American and Caribbean States and EU Member States that deposit their instruments of ratification or accession after the date of the entry into force, this Agreement shall enter into force thirty days after the deposit by those Latin American and Caribbean States and EU Member States of their instruments of ratification or accession.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depositary shall notify all the Parties of the receipt of the instruments of ratification or accession as well as the date of the entry into force of this Agreement, in accordance with paragraph 1 of this Article.</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Duration and Denunciation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have an indefinite duration.</w:t>
      </w:r>
    </w:p>
    <w:p w:rsidR="00D61159"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Any of the Parties may denounce this Agreement through written notification addressed to the depositary by diplomatic channels. The denunciation shall take effect twelve months after the notification has been received.</w:t>
      </w:r>
    </w:p>
    <w:p w:rsidR="00C35E0C" w:rsidRDefault="00C35E0C"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C35E0C" w:rsidRPr="00F57AED" w:rsidRDefault="00C35E0C"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lastRenderedPageBreak/>
        <w:t>Article 27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Dissolution and Liquidation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Foundation shall be dissolved:</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if all the Members of the Foundation, or all the Members of the Foundation but one, have denounced the Agreement; 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if the Members of the Foundation decide its termination.</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 case of termination, the Foundation only exists for the purposes of its liquidation. Its affairs shall be wound up by liquidators which shall proceed with the assets sale of the Foundation and the extinguishing of the liabilities. The balance shall be allocated among the Members pro rata to their respective contributions.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Depositary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Secretary General of the Council of the European Union shall act as the depositary of this Agreement.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Reservations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At the moment of signing or ratifying this Agreement, or acceding to it, the Parties may formulate reservations and/or declarations regarding its text provided that they are not incompatible with its object and purpose.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formulated reservations and declarations shall be communicated to the depositary, who shall notify them to the other Parties of the Agreement.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30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Transitional Provisions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From the entry into force of this Agreement, the transitional foundation established in 2011 under the laws of the Federal Republic of Germany, shall conclude its activities and be dissolved. The assets and liabilities, resources, funds and other contractual obligations of the transitional foundation shall be transferred to the EU-LAC Foundation established under this Agreement. To this effect the EU-LAC Foundation and the transitional foundation shall complete the necessary legal instruments with the Federal Republic of Germany and satisfy the relevant legal requirements.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In witness whereof the undersigned, duly authorised to this effect, have signed this Agreement in a single original drawn up in the Bulgarian, Croatian, Czech, Danish, Dutch, English, Estonian, Finnish, French, German, Greek, Hungarian, Italian, Latvian, Lithuanian, Maltese, Polish, Portuguese, Romanian, Slovak, Slovenian, Spanish and Swedish languages, each of these texts being equally authentic, which shall be deposited in the archives of the Council of the European Union which shall transmit a true certified copy to all Parties.</w:t>
      </w:r>
    </w:p>
    <w:p w:rsidR="00E469FE" w:rsidRDefault="00E469FE"/>
    <w:sectPr w:rsidR="00E469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FE" w:rsidRDefault="00E469FE" w:rsidP="00E469FE">
      <w:pPr>
        <w:spacing w:after="0" w:line="240" w:lineRule="auto"/>
      </w:pPr>
      <w:r>
        <w:separator/>
      </w:r>
    </w:p>
  </w:endnote>
  <w:endnote w:type="continuationSeparator" w:id="0">
    <w:p w:rsidR="00E469FE" w:rsidRDefault="00E469FE" w:rsidP="00E4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FE" w:rsidRDefault="00E469FE" w:rsidP="00E469FE">
      <w:pPr>
        <w:spacing w:after="0" w:line="240" w:lineRule="auto"/>
      </w:pPr>
      <w:r>
        <w:separator/>
      </w:r>
    </w:p>
  </w:footnote>
  <w:footnote w:type="continuationSeparator" w:id="0">
    <w:p w:rsidR="00E469FE" w:rsidRDefault="00E469FE" w:rsidP="00E46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59"/>
    <w:rsid w:val="000A5D25"/>
    <w:rsid w:val="001620E9"/>
    <w:rsid w:val="001A2BE8"/>
    <w:rsid w:val="00427716"/>
    <w:rsid w:val="00457C06"/>
    <w:rsid w:val="0062025B"/>
    <w:rsid w:val="00735927"/>
    <w:rsid w:val="007F74C3"/>
    <w:rsid w:val="008A113E"/>
    <w:rsid w:val="009B4E07"/>
    <w:rsid w:val="00C35E0C"/>
    <w:rsid w:val="00D61159"/>
    <w:rsid w:val="00DE30D0"/>
    <w:rsid w:val="00DE5824"/>
    <w:rsid w:val="00E469FE"/>
    <w:rsid w:val="00EA097D"/>
    <w:rsid w:val="00F04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5F93-A3D6-425C-A8EB-B48815BD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115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basedOn w:val="Normlny"/>
    <w:link w:val="TextvysvetlivkyChar"/>
    <w:uiPriority w:val="99"/>
    <w:semiHidden/>
    <w:unhideWhenUsed/>
    <w:rsid w:val="00E469F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469FE"/>
    <w:rPr>
      <w:sz w:val="20"/>
      <w:szCs w:val="20"/>
    </w:rPr>
  </w:style>
  <w:style w:type="character" w:styleId="Odkaznavysvetlivku">
    <w:name w:val="endnote reference"/>
    <w:basedOn w:val="Predvolenpsmoodseku"/>
    <w:uiPriority w:val="99"/>
    <w:semiHidden/>
    <w:unhideWhenUsed/>
    <w:rsid w:val="00E469FE"/>
    <w:rPr>
      <w:vertAlign w:val="superscript"/>
    </w:rPr>
  </w:style>
  <w:style w:type="paragraph" w:styleId="Textpoznmkypodiarou">
    <w:name w:val="footnote text"/>
    <w:basedOn w:val="Normlny"/>
    <w:link w:val="TextpoznmkypodiarouChar"/>
    <w:uiPriority w:val="99"/>
    <w:semiHidden/>
    <w:unhideWhenUsed/>
    <w:rsid w:val="00E469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469FE"/>
    <w:rPr>
      <w:sz w:val="20"/>
      <w:szCs w:val="20"/>
    </w:rPr>
  </w:style>
  <w:style w:type="character" w:styleId="Odkaznapoznmkupodiarou">
    <w:name w:val="footnote reference"/>
    <w:basedOn w:val="Predvolenpsmoodseku"/>
    <w:uiPriority w:val="99"/>
    <w:semiHidden/>
    <w:unhideWhenUsed/>
    <w:rsid w:val="00E469FE"/>
    <w:rPr>
      <w:vertAlign w:val="superscript"/>
    </w:rPr>
  </w:style>
  <w:style w:type="paragraph" w:styleId="Textbubliny">
    <w:name w:val="Balloon Text"/>
    <w:basedOn w:val="Normlny"/>
    <w:link w:val="TextbublinyChar"/>
    <w:uiPriority w:val="99"/>
    <w:semiHidden/>
    <w:unhideWhenUsed/>
    <w:rsid w:val="001A2B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39DE-8D13-4B1B-806D-AC34BB32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6727</Words>
  <Characters>38349</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2</cp:revision>
  <cp:lastPrinted>2022-03-14T13:29:00Z</cp:lastPrinted>
  <dcterms:created xsi:type="dcterms:W3CDTF">2023-01-12T11:15:00Z</dcterms:created>
  <dcterms:modified xsi:type="dcterms:W3CDTF">2023-01-12T11:15:00Z</dcterms:modified>
</cp:coreProperties>
</file>