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FF95" w14:textId="77777777" w:rsidR="00602787" w:rsidRPr="00CF66E2" w:rsidRDefault="00851C13">
      <w:pPr>
        <w:pStyle w:val="Normlnywebov"/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F66E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6238FDA0" w14:textId="77777777" w:rsidR="00602787" w:rsidRPr="00CF66E2" w:rsidRDefault="00602787">
      <w:pPr>
        <w:pStyle w:val="Standarduser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F66BEC3" w14:textId="77777777" w:rsidR="00602787" w:rsidRPr="00CF66E2" w:rsidRDefault="00851C13" w:rsidP="0007540C">
      <w:pPr>
        <w:pStyle w:val="Standarduser"/>
        <w:suppressAutoHyphens w:val="0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t>A. Všeobecná časť</w:t>
      </w:r>
    </w:p>
    <w:p w14:paraId="63B11E4C" w14:textId="34B6935F" w:rsidR="00602787" w:rsidRPr="00B71DE9" w:rsidRDefault="00851C13" w:rsidP="00D61400">
      <w:pPr>
        <w:pStyle w:val="Standarduser"/>
        <w:autoSpaceDE/>
        <w:spacing w:after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Poslanci za stranu </w:t>
      </w:r>
      <w:proofErr w:type="spellStart"/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Kotleb</w:t>
      </w:r>
      <w:r w:rsidR="00EE0CB3">
        <w:rPr>
          <w:rFonts w:ascii="Book Antiqua" w:hAnsi="Book Antiqua" w:cs="Book Antiqua"/>
          <w:kern w:val="0"/>
          <w:sz w:val="22"/>
          <w:szCs w:val="22"/>
          <w:lang w:eastAsia="zh-CN"/>
        </w:rPr>
        <w:t>ovci</w:t>
      </w:r>
      <w:proofErr w:type="spellEnd"/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– Ľudová strana Naše Slovensko </w:t>
      </w:r>
      <w:r w:rsidR="00982F14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Rastislav Schlosár, </w:t>
      </w:r>
      <w:r w:rsidR="004B716D">
        <w:rPr>
          <w:rFonts w:ascii="Book Antiqua" w:hAnsi="Book Antiqua" w:cs="Book Antiqua"/>
          <w:kern w:val="0"/>
          <w:sz w:val="22"/>
          <w:szCs w:val="22"/>
          <w:lang w:eastAsia="zh-CN"/>
        </w:rPr>
        <w:br/>
        <w:t xml:space="preserve">Martin </w:t>
      </w:r>
      <w:proofErr w:type="spellStart"/>
      <w:r w:rsidR="004B716D">
        <w:rPr>
          <w:rFonts w:ascii="Book Antiqua" w:hAnsi="Book Antiqua" w:cs="Book Antiqua"/>
          <w:kern w:val="0"/>
          <w:sz w:val="22"/>
          <w:szCs w:val="22"/>
          <w:lang w:eastAsia="zh-CN"/>
        </w:rPr>
        <w:t>Beluský</w:t>
      </w:r>
      <w:proofErr w:type="spellEnd"/>
      <w:r w:rsidR="004B71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, Magdaléna </w:t>
      </w:r>
      <w:proofErr w:type="spellStart"/>
      <w:r w:rsidR="004B716D">
        <w:rPr>
          <w:rFonts w:ascii="Book Antiqua" w:hAnsi="Book Antiqua" w:cs="Book Antiqua"/>
          <w:kern w:val="0"/>
          <w:sz w:val="22"/>
          <w:szCs w:val="22"/>
          <w:lang w:eastAsia="zh-CN"/>
        </w:rPr>
        <w:t>Sulanová</w:t>
      </w:r>
      <w:proofErr w:type="spellEnd"/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982F14">
        <w:rPr>
          <w:rFonts w:ascii="Book Antiqua" w:hAnsi="Book Antiqua" w:cs="Book Antiqua"/>
          <w:kern w:val="0"/>
          <w:sz w:val="22"/>
          <w:szCs w:val="22"/>
          <w:lang w:eastAsia="zh-CN"/>
        </w:rPr>
        <w:t>a</w:t>
      </w:r>
      <w:r w:rsidR="004B71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Peter </w:t>
      </w:r>
      <w:proofErr w:type="spellStart"/>
      <w:r w:rsidR="004B716D">
        <w:rPr>
          <w:rFonts w:ascii="Book Antiqua" w:hAnsi="Book Antiqua" w:cs="Book Antiqua"/>
          <w:kern w:val="0"/>
          <w:sz w:val="22"/>
          <w:szCs w:val="22"/>
          <w:lang w:eastAsia="zh-CN"/>
        </w:rPr>
        <w:t>Krupa</w:t>
      </w:r>
      <w:proofErr w:type="spellEnd"/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predkladajú do Národnej rady 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Slovenskej republiky návrh ústavného zákona, ktorým sa mení a dopĺňa Ú</w:t>
      </w:r>
      <w:r w:rsidR="00960AA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stava Slovenskej republiky č.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460/1992 Zb. v znení </w:t>
      </w:r>
      <w:r w:rsidR="00947463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neskorších predpisov.</w:t>
      </w:r>
    </w:p>
    <w:p w14:paraId="1CE43330" w14:textId="52363442" w:rsidR="00624728" w:rsidRPr="00B71DE9" w:rsidRDefault="003F659A" w:rsidP="00D61400">
      <w:pPr>
        <w:pStyle w:val="Standard"/>
        <w:suppressAutoHyphens/>
        <w:spacing w:after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 cieľom upevňovania demokratických pr</w:t>
      </w:r>
      <w:r w:rsidR="00960AA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incípov a tradícií na Slovensku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prichádza</w:t>
      </w:r>
      <w:r w:rsidR="00947463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me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                   </w:t>
      </w:r>
      <w:r w:rsidR="00D46FC3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 návrhom ústavného zákona, ktorý prehĺbi demokratický systém štátneho zriadenia.</w:t>
      </w:r>
    </w:p>
    <w:p w14:paraId="1AB02635" w14:textId="05F8575C" w:rsidR="003F659A" w:rsidRPr="00B71DE9" w:rsidRDefault="00A10C0C" w:rsidP="00D61400">
      <w:pPr>
        <w:pStyle w:val="Standard"/>
        <w:suppressAutoHyphens/>
        <w:spacing w:after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Každý demokratický štát musí disponovať legislatívnym prostredím, využitím ktorého doc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hádza k naplneniu skutočnej idey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demokracie a nie len jej iluzórnej formy. </w:t>
      </w:r>
      <w:r w:rsidR="004B716D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Občania Slove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n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skej republiky čoraz viac pochybujú o reálnosti demokratického zriadenia v našom štáte. Pochybnosti vyplývajú zo série neúspešných všeľudových hlasovaní, teda nefunkčného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systému referenda na Slovensku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v spojitosti s chýbajúcim imperatívnym mandátom volených zástupcov. Súčasná legislatíva upravujúca demokratické 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inštitúty </w:t>
      </w:r>
      <w:r w:rsidR="004B716D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je nastavená spôsobom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neumožňujúcim ich reálne využitie. Preto si tento legislatívny návrh dáva za cieľ zefektívniť inštitút referenda a presunúť tak moc v štáte do rúk jeho občanov.</w:t>
      </w:r>
    </w:p>
    <w:p w14:paraId="60AC0FF1" w14:textId="77777777" w:rsidR="003F659A" w:rsidRPr="00B71DE9" w:rsidRDefault="00A10C0C" w:rsidP="00D61400">
      <w:pPr>
        <w:pStyle w:val="Standard"/>
        <w:suppressAutoHyphens/>
        <w:spacing w:after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Kvórum minimálnej účasti oprávnených voličov stanovené na 50 % zo všetkých 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opráv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nených voličov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je nastavené spôsobom</w:t>
      </w:r>
      <w:r w:rsidR="0062472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ktorý odrádza občanov zúčastňovať sa referenda</w:t>
      </w:r>
      <w:r w:rsidR="0062472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.</w:t>
      </w:r>
      <w:r w:rsidR="00CF66E2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62472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Tým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sa referendum samotné stáva takmer nerealizovateľným. Nedemokratickým politikom, ignorujúcim potreby a názory svojho národa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sa tak na Slovensku vytvoril ideálny systém, 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kedy sa demokracia stáva iluzórnou a skutočné rozhodovacie právomoci nad osudom miliónov ľudí ostávajú v rukách malej skupiny, v mnohých prípadoch nedisponujúcej žiadnym </w:t>
      </w:r>
      <w:r w:rsidR="00875C09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demokraticky získaným mandátom.</w:t>
      </w:r>
    </w:p>
    <w:p w14:paraId="377FE2F0" w14:textId="42063C42" w:rsidR="00D61400" w:rsidRDefault="00A10C0C" w:rsidP="00D61400">
      <w:pPr>
        <w:pStyle w:val="Standard"/>
        <w:suppressAutoHyphens/>
        <w:spacing w:after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Z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t>rušenie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kvóra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účasti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50 % všetkých oprávnených voličov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zodpovedá skutočnosti, 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br/>
        <w:t xml:space="preserve">že ani vo voľbách do Národnej rady Slovenskej republiky, voľbách do Európskeho parlamentu, voľbách prezidenta Slovenskej republiky, voľbách do orgánov samosprávnych krajov a voľbách do orgánov samosprávy obcí  neexistuje žiadne kvórum minimálnej účasti </w:t>
      </w:r>
      <w:r w:rsidR="00D6140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oprávnených voličov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na to, aby boli výsledky týchto volieb platné.</w:t>
      </w:r>
    </w:p>
    <w:p w14:paraId="229C7C9B" w14:textId="3F06F4EE" w:rsidR="003F659A" w:rsidRPr="00B71DE9" w:rsidRDefault="00A10C0C" w:rsidP="00D61400">
      <w:pPr>
        <w:pStyle w:val="Standard"/>
        <w:suppressAutoHyphens/>
        <w:spacing w:after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Referendum je však pri súčasnej legislatíve</w:t>
      </w:r>
      <w:r w:rsidR="00875B7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z postavenia radových občanov</w:t>
      </w:r>
      <w:r w:rsidR="00875B7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875B7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nerealizovateľným inštitútom. Je potrebné v rámci snahy o zlepšenie úrovne demokracie znížiť aj minimálny počet podpisov slovenských občanov, </w:t>
      </w:r>
      <w:r w:rsidR="0062472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ktorý je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nutný na samotné vyhlásenie </w:t>
      </w:r>
      <w:r w:rsidR="00875B78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referenda. </w:t>
      </w:r>
      <w:r w:rsidR="00D711D6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V návrhu 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ústavného </w:t>
      </w:r>
      <w:r w:rsidR="00D711D6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zákona je preto znížený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minimálny počet </w:t>
      </w:r>
      <w:r w:rsidR="00D711D6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podpisov od občanov Slovenska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z 350 000 na </w:t>
      </w:r>
      <w:r w:rsidR="00D61400">
        <w:rPr>
          <w:rFonts w:ascii="Book Antiqua" w:hAnsi="Book Antiqua" w:cs="Book Antiqua"/>
          <w:kern w:val="0"/>
          <w:sz w:val="22"/>
          <w:szCs w:val="22"/>
          <w:lang w:eastAsia="zh-CN"/>
        </w:rPr>
        <w:t>100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 000, čím sa samotný inštitút referenda výrazným spôsobom priblíži k skutočne demokratickým krajinám, kde je referendum bežnou súčasťou fungovania štátu.</w:t>
      </w:r>
    </w:p>
    <w:p w14:paraId="026E7264" w14:textId="70D9428D" w:rsidR="003F659A" w:rsidRPr="00B71DE9" w:rsidRDefault="00A10C0C" w:rsidP="00D61400">
      <w:pPr>
        <w:pStyle w:val="Standard"/>
        <w:suppressAutoHyphens/>
        <w:spacing w:after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Vzhľadom na navrhované úpravy, ktoré v konečnom dôsledku docielia výrazný posun k reálne funkčnému inštitútu referenda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,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je však potrebné zavie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sť v ústave nové ochranné prvky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 cieľom zabrániť rôznym iredentistickým snahám zo strany protislovensky naladených 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lastRenderedPageBreak/>
        <w:t>jednotlivcov a hnutí. Preto navrhujeme rozšíriť okruh tém, pri k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torých je referendum </w:t>
      </w:r>
      <w:r w:rsidR="005A5310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br/>
        <w:t>neumožnené</w:t>
      </w:r>
      <w:r w:rsidR="004B71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o</w:t>
      </w:r>
      <w:r w:rsidR="004B71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otázku </w:t>
      </w:r>
      <w:r w:rsidR="00E63A3C"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zmeny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štátnych hraníc, postavenie orgánov štátnej moci</w:t>
      </w:r>
      <w:r w:rsidR="004B716D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</w:t>
      </w:r>
      <w:r w:rsidR="004B716D">
        <w:rPr>
          <w:rFonts w:ascii="Book Antiqua" w:hAnsi="Book Antiqua" w:cs="Book Antiqua"/>
          <w:kern w:val="0"/>
          <w:sz w:val="22"/>
          <w:szCs w:val="22"/>
          <w:lang w:eastAsia="zh-CN"/>
        </w:rPr>
        <w:br/>
        <w:t>(teda ich pôsobnosť, právomoci a vzťah, resp. pomer k iným orgánom štátnej moci)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, </w:t>
      </w:r>
      <w:r w:rsidR="004B716D"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jednotnosť a nedeliteľnosť územia Slovenskej republiky.</w:t>
      </w:r>
    </w:p>
    <w:p w14:paraId="13492C2A" w14:textId="77777777" w:rsidR="003F659A" w:rsidRPr="00B71DE9" w:rsidRDefault="00A10C0C" w:rsidP="00D61400">
      <w:pPr>
        <w:pStyle w:val="Standard"/>
        <w:suppressAutoHyphens/>
        <w:spacing w:after="120" w:line="276" w:lineRule="auto"/>
        <w:ind w:firstLine="709"/>
        <w:jc w:val="both"/>
        <w:rPr>
          <w:rFonts w:ascii="Book Antiqua" w:hAnsi="Book Antiqua" w:cs="Book Antiqua"/>
          <w:kern w:val="0"/>
          <w:sz w:val="22"/>
          <w:szCs w:val="22"/>
          <w:lang w:eastAsia="zh-CN"/>
        </w:rPr>
      </w:pP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Sme presvedčení, že týmito legislatívnymi úpravami docielime posun Slovenska smerom k väčšej demokracii, všeobecnej slobode a skutočnej vláde ľudu, ktorá je dnes len iluzórnym javom. Rovnako však pomôžeme obmedziť extrémizmus štandardných politikov, prejavujúci sa v bezbrehom rozkrádaní štátneho majetku, ignorovaní vôle občanov a potlačovaní ich práv.</w:t>
      </w:r>
    </w:p>
    <w:p w14:paraId="79300F30" w14:textId="77777777" w:rsidR="00602787" w:rsidRPr="00CF66E2" w:rsidRDefault="00602787" w:rsidP="0007540C">
      <w:pPr>
        <w:pStyle w:val="Standarduser"/>
        <w:suppressAutoHyphens w:val="0"/>
        <w:autoSpaceDE/>
        <w:spacing w:after="160" w:line="242" w:lineRule="auto"/>
        <w:ind w:firstLine="708"/>
        <w:jc w:val="both"/>
        <w:rPr>
          <w:rFonts w:ascii="Book Antiqua" w:hAnsi="Book Antiqua" w:cs="Book Antiqua"/>
          <w:sz w:val="22"/>
          <w:szCs w:val="22"/>
          <w:lang w:bidi="hi-IN"/>
        </w:rPr>
      </w:pPr>
    </w:p>
    <w:p w14:paraId="43C38CAA" w14:textId="77777777" w:rsidR="003E4691" w:rsidRPr="00CF66E2" w:rsidRDefault="00851C13" w:rsidP="0007540C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sz w:val="22"/>
          <w:szCs w:val="22"/>
          <w:lang w:bidi="hi-IN"/>
        </w:rPr>
        <w:tab/>
      </w:r>
    </w:p>
    <w:p w14:paraId="3FF822B6" w14:textId="77777777" w:rsidR="003E4691" w:rsidRDefault="003E4691" w:rsidP="0007540C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D586880" w14:textId="77777777" w:rsidR="005A5310" w:rsidRDefault="005A5310" w:rsidP="00982F14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3ADBBCF" w14:textId="77777777" w:rsidR="005A5310" w:rsidRDefault="005A5310" w:rsidP="00982F14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B0ACEB7" w14:textId="77777777" w:rsidR="005A5310" w:rsidRDefault="005A5310" w:rsidP="00982F14">
      <w:pPr>
        <w:pStyle w:val="Standarduser"/>
        <w:suppressAutoHyphens w:val="0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58A90624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675D6DBD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0647E3A0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0EF41D30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4610666C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7E36089C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79F53E88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506CDCF8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7B65EFC8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10ACB5C2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4CC58EBF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520202DD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234AB15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9941375" w14:textId="77777777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30BB2647" w14:textId="4C5DC7A4" w:rsidR="005A5310" w:rsidRDefault="005A531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44C0BFD6" w14:textId="318C45BE" w:rsidR="00982F14" w:rsidRDefault="00982F14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6D5C4B0F" w14:textId="08EF2681" w:rsidR="00982F14" w:rsidRDefault="00982F14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59A4E6BF" w14:textId="26351CF5" w:rsidR="00D61400" w:rsidRDefault="00D6140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5EA4A83C" w14:textId="77777777" w:rsidR="00D61400" w:rsidRDefault="00D61400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</w:p>
    <w:p w14:paraId="2727CB6D" w14:textId="77777777" w:rsidR="00602787" w:rsidRPr="00CF66E2" w:rsidRDefault="00851C13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lastRenderedPageBreak/>
        <w:t>B. Osobitná časť</w:t>
      </w:r>
    </w:p>
    <w:p w14:paraId="3CB3DEDA" w14:textId="77777777" w:rsidR="00602787" w:rsidRPr="00CF66E2" w:rsidRDefault="00602787">
      <w:pPr>
        <w:pStyle w:val="Standarduser"/>
        <w:tabs>
          <w:tab w:val="left" w:pos="2835"/>
        </w:tabs>
        <w:autoSpaceDE/>
        <w:spacing w:after="160" w:line="242" w:lineRule="auto"/>
        <w:jc w:val="both"/>
        <w:rPr>
          <w:rFonts w:ascii="Book Antiqua" w:hAnsi="Book Antiqua" w:cs="Book Antiqua"/>
          <w:sz w:val="22"/>
          <w:szCs w:val="22"/>
          <w:lang w:bidi="hi-IN"/>
        </w:rPr>
      </w:pPr>
    </w:p>
    <w:p w14:paraId="5B792B42" w14:textId="77777777" w:rsidR="00602787" w:rsidRPr="00A621EC" w:rsidRDefault="005A5310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Č</w:t>
      </w:r>
      <w:r w:rsidR="00851C13" w:rsidRPr="00A621EC">
        <w:rPr>
          <w:rFonts w:ascii="Book Antiqua" w:hAnsi="Book Antiqua" w:cs="Book Antiqua"/>
          <w:b/>
          <w:bCs/>
          <w:kern w:val="0"/>
          <w:sz w:val="22"/>
          <w:szCs w:val="22"/>
          <w:lang w:eastAsia="zh-CN"/>
        </w:rPr>
        <w:t>l. I</w:t>
      </w:r>
    </w:p>
    <w:p w14:paraId="527D698D" w14:textId="77777777" w:rsidR="00602787" w:rsidRPr="00A621EC" w:rsidRDefault="00851C13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 bodu 1</w:t>
      </w:r>
    </w:p>
    <w:p w14:paraId="3047399D" w14:textId="09BB63C0" w:rsidR="00602787" w:rsidRPr="00A621EC" w:rsidRDefault="00851C13" w:rsidP="00982F14">
      <w:pPr>
        <w:widowControl/>
        <w:autoSpaceDE/>
        <w:autoSpaceDN/>
        <w:spacing w:after="200" w:line="276" w:lineRule="auto"/>
        <w:ind w:firstLine="720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Rozširuje sa okruh otázok, ktoré nemôžu byť predmetom referenda o oblasť zmeny </w:t>
      </w:r>
      <w:r w:rsidR="005A5310"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štátnych hraníc, postavenia orgánov štátnej moci</w:t>
      </w:r>
      <w:r w:rsidR="00D61800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</w:t>
      </w:r>
      <w:r w:rsidR="00D61800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(teda ich pôsobnosť, právomoci a vzťah, </w:t>
      </w:r>
      <w:r w:rsidR="00D61800">
        <w:rPr>
          <w:rFonts w:ascii="Book Antiqua" w:hAnsi="Book Antiqua" w:cs="Book Antiqua"/>
          <w:kern w:val="0"/>
          <w:sz w:val="22"/>
          <w:szCs w:val="22"/>
          <w:lang w:eastAsia="zh-CN"/>
        </w:rPr>
        <w:br/>
        <w:t>resp. pomer k iným orgánom štátnej moci)</w:t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, jednotnosti a nedeliteľnosti územia </w:t>
      </w:r>
      <w:r w:rsidR="00D61800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Slovenskej republiky.</w:t>
      </w:r>
    </w:p>
    <w:p w14:paraId="377A0B63" w14:textId="77777777" w:rsidR="00602787" w:rsidRPr="00A621EC" w:rsidRDefault="00851C13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 bodu 2</w:t>
      </w:r>
    </w:p>
    <w:p w14:paraId="60139627" w14:textId="550BC862" w:rsidR="00602787" w:rsidRPr="00A621EC" w:rsidRDefault="00851C13" w:rsidP="00982F14">
      <w:pPr>
        <w:widowControl/>
        <w:autoSpaceDE/>
        <w:autoSpaceDN/>
        <w:spacing w:after="200" w:line="276" w:lineRule="auto"/>
        <w:ind w:firstLine="720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Znižuje sa požiadavka na počet občanov petíciou pož</w:t>
      </w:r>
      <w:r w:rsidR="005A5310"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adujúcich vyhlásenie referenda,</w:t>
      </w:r>
      <w:r w:rsidR="005A5310"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a to tak</w:t>
      </w:r>
      <w:r w:rsidR="005A5310"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,</w:t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aby na vyhlásenie referenda postačila žiadosť </w:t>
      </w:r>
      <w:r w:rsidR="00D61400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100</w:t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 000 občanov namiesto súčasných </w:t>
      </w:r>
      <w:r w:rsidR="00982F14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br/>
      </w: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350 000 občanov.</w:t>
      </w:r>
    </w:p>
    <w:p w14:paraId="6A74310E" w14:textId="77777777" w:rsidR="00602787" w:rsidRPr="00A621EC" w:rsidRDefault="00851C13" w:rsidP="00A621E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 w:rsidRPr="00A621EC"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>K bodu 3</w:t>
      </w:r>
    </w:p>
    <w:p w14:paraId="068ACC97" w14:textId="56617EB6" w:rsidR="00602787" w:rsidRPr="00A621EC" w:rsidRDefault="00D61400" w:rsidP="00982F14">
      <w:pPr>
        <w:widowControl/>
        <w:autoSpaceDE/>
        <w:autoSpaceDN/>
        <w:spacing w:after="200" w:line="276" w:lineRule="auto"/>
        <w:ind w:firstLine="720"/>
        <w:jc w:val="both"/>
        <w:textAlignment w:val="auto"/>
        <w:rPr>
          <w:rFonts w:ascii="Book Antiqua" w:hAnsi="Book Antiqua" w:cs="Book Antiqua"/>
          <w:bCs/>
          <w:kern w:val="0"/>
          <w:sz w:val="22"/>
          <w:szCs w:val="22"/>
          <w:lang w:eastAsia="zh-CN"/>
        </w:rPr>
      </w:pPr>
      <w:r>
        <w:rPr>
          <w:rFonts w:ascii="Book Antiqua" w:hAnsi="Book Antiqua" w:cs="Book Antiqua"/>
          <w:bCs/>
          <w:kern w:val="0"/>
          <w:sz w:val="22"/>
          <w:szCs w:val="22"/>
          <w:lang w:eastAsia="zh-CN"/>
        </w:rPr>
        <w:t xml:space="preserve">Ruší sa kvórum 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minimálnej účasti oprávnených voličov</w:t>
      </w:r>
      <w:r>
        <w:rPr>
          <w:rFonts w:ascii="Book Antiqua" w:hAnsi="Book Antiqua" w:cs="Book Antiqua"/>
          <w:kern w:val="0"/>
          <w:sz w:val="22"/>
          <w:szCs w:val="22"/>
          <w:lang w:eastAsia="zh-CN"/>
        </w:rPr>
        <w:t>, pôvodne</w:t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stanovené na 50 % </w:t>
      </w:r>
      <w:r>
        <w:rPr>
          <w:rFonts w:ascii="Book Antiqua" w:hAnsi="Book Antiqua" w:cs="Book Antiqua"/>
          <w:kern w:val="0"/>
          <w:sz w:val="22"/>
          <w:szCs w:val="22"/>
          <w:lang w:eastAsia="zh-CN"/>
        </w:rPr>
        <w:br/>
      </w:r>
      <w:r w:rsidRPr="00B71DE9">
        <w:rPr>
          <w:rFonts w:ascii="Book Antiqua" w:hAnsi="Book Antiqua" w:cs="Book Antiqua"/>
          <w:kern w:val="0"/>
          <w:sz w:val="22"/>
          <w:szCs w:val="22"/>
          <w:lang w:eastAsia="zh-CN"/>
        </w:rPr>
        <w:t>zo všetkých oprávnených voličov</w:t>
      </w:r>
      <w:r>
        <w:rPr>
          <w:rFonts w:ascii="Book Antiqua" w:hAnsi="Book Antiqua" w:cs="Book Antiqua"/>
          <w:kern w:val="0"/>
          <w:sz w:val="22"/>
          <w:szCs w:val="22"/>
          <w:lang w:eastAsia="zh-CN"/>
        </w:rPr>
        <w:t xml:space="preserve"> na to, aby boli výsledky referenda platné.</w:t>
      </w:r>
    </w:p>
    <w:p w14:paraId="5EA616D5" w14:textId="77777777" w:rsidR="00982F14" w:rsidRPr="00982F14" w:rsidRDefault="00982F14">
      <w:pPr>
        <w:pStyle w:val="Standarduser"/>
        <w:autoSpaceDE/>
        <w:spacing w:after="160" w:line="242" w:lineRule="auto"/>
        <w:jc w:val="both"/>
        <w:rPr>
          <w:rFonts w:ascii="Book Antiqua" w:hAnsi="Book Antiqua" w:cs="Book Antiqua"/>
          <w:sz w:val="14"/>
          <w:szCs w:val="14"/>
          <w:lang w:bidi="hi-IN"/>
        </w:rPr>
      </w:pPr>
    </w:p>
    <w:p w14:paraId="2D6536DA" w14:textId="77777777" w:rsidR="00602787" w:rsidRPr="00CF66E2" w:rsidRDefault="005A5310">
      <w:pPr>
        <w:pStyle w:val="Standarduser"/>
        <w:autoSpaceDE/>
        <w:spacing w:after="160" w:line="242" w:lineRule="auto"/>
        <w:rPr>
          <w:rFonts w:ascii="Book Antiqua" w:hAnsi="Book Antiqua" w:cs="Book Antiqua"/>
          <w:b/>
          <w:bCs/>
          <w:sz w:val="22"/>
          <w:szCs w:val="22"/>
          <w:lang w:bidi="hi-IN"/>
        </w:rPr>
      </w:pPr>
      <w:r>
        <w:rPr>
          <w:rFonts w:ascii="Book Antiqua" w:hAnsi="Book Antiqua" w:cs="Book Antiqua"/>
          <w:b/>
          <w:bCs/>
          <w:sz w:val="22"/>
          <w:szCs w:val="22"/>
          <w:lang w:bidi="hi-IN"/>
        </w:rPr>
        <w:t>Č</w:t>
      </w:r>
      <w:r w:rsidR="00851C13" w:rsidRPr="00CF66E2">
        <w:rPr>
          <w:rFonts w:ascii="Book Antiqua" w:hAnsi="Book Antiqua" w:cs="Book Antiqua"/>
          <w:b/>
          <w:bCs/>
          <w:sz w:val="22"/>
          <w:szCs w:val="22"/>
          <w:lang w:bidi="hi-IN"/>
        </w:rPr>
        <w:t>l. II</w:t>
      </w:r>
    </w:p>
    <w:p w14:paraId="63DBBFBE" w14:textId="296DCF0D" w:rsidR="00A621EC" w:rsidRPr="00A621EC" w:rsidRDefault="00982F14" w:rsidP="00982F14">
      <w:pPr>
        <w:pStyle w:val="Default"/>
        <w:ind w:firstLine="708"/>
        <w:jc w:val="both"/>
        <w:rPr>
          <w:rFonts w:ascii="Book Antiqua" w:hAnsi="Book Antiqua" w:cs="Book Antiqua"/>
          <w:sz w:val="22"/>
          <w:szCs w:val="22"/>
        </w:rPr>
        <w:sectPr w:rsidR="00A621EC" w:rsidRPr="00A621EC" w:rsidSect="00982F14">
          <w:pgSz w:w="12240" w:h="15840"/>
          <w:pgMar w:top="1417" w:right="1417" w:bottom="851" w:left="1417" w:header="708" w:footer="708" w:gutter="0"/>
          <w:cols w:space="708"/>
        </w:sectPr>
      </w:pPr>
      <w:r w:rsidRPr="00982F14">
        <w:rPr>
          <w:rFonts w:ascii="Book Antiqua" w:hAnsi="Book Antiqua" w:cs="Arial"/>
          <w:sz w:val="22"/>
          <w:szCs w:val="22"/>
        </w:rPr>
        <w:t>Navrhuje sa účinnosť</w:t>
      </w:r>
      <w:r w:rsidR="00D61400">
        <w:rPr>
          <w:rFonts w:ascii="Book Antiqua" w:hAnsi="Book Antiqua" w:cs="Arial"/>
          <w:sz w:val="22"/>
          <w:szCs w:val="22"/>
        </w:rPr>
        <w:t xml:space="preserve"> ústavného</w:t>
      </w:r>
      <w:r w:rsidRPr="00982F14">
        <w:rPr>
          <w:rFonts w:ascii="Book Antiqua" w:hAnsi="Book Antiqua" w:cs="Arial"/>
          <w:sz w:val="22"/>
          <w:szCs w:val="22"/>
        </w:rPr>
        <w:t xml:space="preserve"> zákona </w:t>
      </w:r>
      <w:r w:rsidRPr="00982F14">
        <w:rPr>
          <w:rFonts w:ascii="Book Antiqua" w:hAnsi="Book Antiqua"/>
          <w:sz w:val="22"/>
        </w:rPr>
        <w:t>pätnástym dňom po jeho vyhlásení v Zbierke z</w:t>
      </w:r>
      <w:r>
        <w:rPr>
          <w:rFonts w:ascii="Book Antiqua" w:hAnsi="Book Antiqua"/>
          <w:sz w:val="22"/>
        </w:rPr>
        <w:t>ákonov.</w:t>
      </w:r>
    </w:p>
    <w:p w14:paraId="2B0FD061" w14:textId="158ECAAD" w:rsidR="00982F14" w:rsidRPr="00CF66E2" w:rsidRDefault="00982F14">
      <w:pPr>
        <w:pStyle w:val="Standarduser"/>
        <w:rPr>
          <w:rFonts w:ascii="Book Antiqua" w:hAnsi="Book Antiqua" w:cs="Book Antiqua"/>
          <w:sz w:val="22"/>
          <w:szCs w:val="22"/>
          <w:lang w:eastAsia="zh-CN" w:bidi="hi-IN"/>
        </w:rPr>
      </w:pPr>
    </w:p>
    <w:sectPr w:rsidR="00982F14" w:rsidRPr="00CF66E2">
      <w:type w:val="continuous"/>
      <w:pgSz w:w="12240" w:h="15840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6A44" w14:textId="77777777" w:rsidR="00DC6EC3" w:rsidRDefault="00DC6EC3" w:rsidP="00982F14">
      <w:r>
        <w:separator/>
      </w:r>
    </w:p>
  </w:endnote>
  <w:endnote w:type="continuationSeparator" w:id="0">
    <w:p w14:paraId="720540FC" w14:textId="77777777" w:rsidR="00DC6EC3" w:rsidRDefault="00DC6EC3" w:rsidP="0098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1B33" w14:textId="77777777" w:rsidR="00DC6EC3" w:rsidRDefault="00DC6EC3" w:rsidP="00982F14">
      <w:r>
        <w:separator/>
      </w:r>
    </w:p>
  </w:footnote>
  <w:footnote w:type="continuationSeparator" w:id="0">
    <w:p w14:paraId="6954E0B4" w14:textId="77777777" w:rsidR="00DC6EC3" w:rsidRDefault="00DC6EC3" w:rsidP="0098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867C3"/>
    <w:multiLevelType w:val="multilevel"/>
    <w:tmpl w:val="D31085A8"/>
    <w:styleLink w:val="RTFNum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rtl w:val="0"/>
        <w:cs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cs="Times New Roman"/>
        <w:rtl w:val="0"/>
        <w:cs w:val="0"/>
      </w:rPr>
    </w:lvl>
  </w:abstractNum>
  <w:num w:numId="1" w16cid:durableId="172294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787"/>
    <w:rsid w:val="0003752B"/>
    <w:rsid w:val="0007540C"/>
    <w:rsid w:val="000C0274"/>
    <w:rsid w:val="001C02E1"/>
    <w:rsid w:val="001D4D9A"/>
    <w:rsid w:val="00205EE9"/>
    <w:rsid w:val="002A5D03"/>
    <w:rsid w:val="003E4691"/>
    <w:rsid w:val="003F659A"/>
    <w:rsid w:val="004069DE"/>
    <w:rsid w:val="004B716D"/>
    <w:rsid w:val="005A5310"/>
    <w:rsid w:val="00602787"/>
    <w:rsid w:val="00624728"/>
    <w:rsid w:val="0063075A"/>
    <w:rsid w:val="006C416D"/>
    <w:rsid w:val="00851C13"/>
    <w:rsid w:val="00854B6F"/>
    <w:rsid w:val="00875B78"/>
    <w:rsid w:val="00875C09"/>
    <w:rsid w:val="00947463"/>
    <w:rsid w:val="00960AA9"/>
    <w:rsid w:val="00982F14"/>
    <w:rsid w:val="00A10C0C"/>
    <w:rsid w:val="00A621EC"/>
    <w:rsid w:val="00B50504"/>
    <w:rsid w:val="00B71DE9"/>
    <w:rsid w:val="00CF66E2"/>
    <w:rsid w:val="00D46FC3"/>
    <w:rsid w:val="00D61400"/>
    <w:rsid w:val="00D61800"/>
    <w:rsid w:val="00D711D6"/>
    <w:rsid w:val="00DC6EC3"/>
    <w:rsid w:val="00E63A3C"/>
    <w:rsid w:val="00EA3B6A"/>
    <w:rsid w:val="00EE0CB3"/>
    <w:rsid w:val="00F55B25"/>
    <w:rsid w:val="00F6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DD553"/>
  <w15:docId w15:val="{FD6DAAF3-CF45-4158-9EF3-645A140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autoSpaceDE w:val="0"/>
      <w:autoSpaceDN w:val="0"/>
      <w:textAlignment w:val="baseline"/>
    </w:pPr>
    <w:rPr>
      <w:kern w:val="3"/>
      <w:sz w:val="24"/>
      <w:szCs w:val="24"/>
    </w:rPr>
  </w:style>
  <w:style w:type="paragraph" w:styleId="Nzov">
    <w:name w:val="Title"/>
    <w:basedOn w:val="Standard"/>
    <w:next w:val="Textbody"/>
    <w:link w:val="NzovChar"/>
    <w:uiPriority w:val="99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NzovChar">
    <w:name w:val="Názov Char"/>
    <w:link w:val="Nzov"/>
    <w:uiPriority w:val="99"/>
    <w:locked/>
    <w:rPr>
      <w:rFonts w:ascii="Calibri Light" w:hAnsi="Calibri Light" w:cs="Calibri Light"/>
      <w:b/>
      <w:bCs/>
      <w:kern w:val="3"/>
      <w:sz w:val="32"/>
      <w:szCs w:val="32"/>
      <w:rtl w:val="0"/>
      <w:cs w:val="0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Podtitul">
    <w:name w:val="Subtitle"/>
    <w:basedOn w:val="Nzov"/>
    <w:next w:val="Textbody"/>
    <w:link w:val="PodtitulChar"/>
    <w:uiPriority w:val="99"/>
    <w:qFormat/>
    <w:pPr>
      <w:jc w:val="center"/>
    </w:pPr>
    <w:rPr>
      <w:i/>
      <w:iCs/>
    </w:rPr>
  </w:style>
  <w:style w:type="character" w:customStyle="1" w:styleId="PodtitulChar">
    <w:name w:val="Podtitul Char"/>
    <w:link w:val="Podtitul"/>
    <w:uiPriority w:val="99"/>
    <w:locked/>
    <w:rPr>
      <w:rFonts w:ascii="Calibri Light" w:hAnsi="Calibri Light" w:cs="Times New Roman"/>
      <w:rtl w:val="0"/>
      <w:cs w:val="0"/>
    </w:rPr>
  </w:style>
  <w:style w:type="paragraph" w:styleId="Zoznam">
    <w:name w:val="List"/>
    <w:basedOn w:val="Textbodyuser"/>
    <w:uiPriority w:val="99"/>
    <w:rPr>
      <w:rFonts w:cs="Lucida Sans"/>
    </w:rPr>
  </w:style>
  <w:style w:type="paragraph" w:styleId="Popis">
    <w:name w:val="caption"/>
    <w:basedOn w:val="Standarduser"/>
    <w:uiPriority w:val="99"/>
    <w:qFormat/>
    <w:pPr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uiPriority w:val="99"/>
    <w:rPr>
      <w:rFonts w:cs="Lucida Sans"/>
    </w:rPr>
  </w:style>
  <w:style w:type="paragraph" w:customStyle="1" w:styleId="Standarduser">
    <w:name w:val="Standard (user)"/>
    <w:uiPriority w:val="99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paragraph" w:customStyle="1" w:styleId="Textbodyuser">
    <w:name w:val="Text body (user)"/>
    <w:basedOn w:val="Standarduser"/>
    <w:uiPriority w:val="99"/>
    <w:pPr>
      <w:spacing w:after="120"/>
    </w:pPr>
  </w:style>
  <w:style w:type="paragraph" w:customStyle="1" w:styleId="TableContentsuser">
    <w:name w:val="Table Contents (user)"/>
    <w:basedOn w:val="Standarduser"/>
    <w:uiPriority w:val="99"/>
  </w:style>
  <w:style w:type="paragraph" w:customStyle="1" w:styleId="TableHeadinguser">
    <w:name w:val="Table Heading (user)"/>
    <w:basedOn w:val="TableContentsuser"/>
    <w:uiPriority w:val="99"/>
    <w:pPr>
      <w:jc w:val="center"/>
    </w:pPr>
    <w:rPr>
      <w:b/>
      <w:bCs/>
    </w:rPr>
  </w:style>
  <w:style w:type="paragraph" w:styleId="Normlnywebov">
    <w:name w:val="Normal (Web)"/>
    <w:basedOn w:val="Standarduser"/>
    <w:uiPriority w:val="99"/>
    <w:pPr>
      <w:autoSpaceDE/>
      <w:spacing w:before="280" w:after="280"/>
    </w:p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Internetlinkuser">
    <w:name w:val="Internet link (user)"/>
    <w:uiPriority w:val="99"/>
    <w:rPr>
      <w:color w:val="000080"/>
      <w:u w:val="single"/>
    </w:rPr>
  </w:style>
  <w:style w:type="character" w:customStyle="1" w:styleId="NumberingSymbolsuser">
    <w:name w:val="Numbering Symbols (user)"/>
    <w:uiPriority w:val="99"/>
  </w:style>
  <w:style w:type="numbering" w:customStyle="1" w:styleId="RTFNum2">
    <w:name w:val="RTF_Num 2"/>
    <w:basedOn w:val="Bezzoznamu"/>
    <w:pPr>
      <w:numPr>
        <w:numId w:val="1"/>
      </w:numPr>
    </w:pPr>
  </w:style>
  <w:style w:type="paragraph" w:customStyle="1" w:styleId="Default">
    <w:name w:val="Default"/>
    <w:rsid w:val="00982F14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82F14"/>
    <w:rPr>
      <w:kern w:val="3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82F14"/>
    <w:rPr>
      <w:kern w:val="3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Kupka</dc:creator>
  <cp:lastModifiedBy>Rastislav Schlosár</cp:lastModifiedBy>
  <cp:revision>8</cp:revision>
  <cp:lastPrinted>2023-01-22T16:26:00Z</cp:lastPrinted>
  <dcterms:created xsi:type="dcterms:W3CDTF">2017-05-26T09:36:00Z</dcterms:created>
  <dcterms:modified xsi:type="dcterms:W3CDTF">2023-01-22T16:26:00Z</dcterms:modified>
</cp:coreProperties>
</file>