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77777777" w:rsidR="00CD2E5B" w:rsidRPr="00272C3F" w:rsidRDefault="00FC5E9A" w:rsidP="00CD2E5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272C3F">
        <w:rPr>
          <w:rFonts w:ascii="Book Antiqua" w:hAnsi="Book Antiqua"/>
          <w:b/>
          <w:bCs/>
          <w:sz w:val="22"/>
          <w:szCs w:val="22"/>
        </w:rPr>
        <w:t>NÁVRH</w:t>
      </w:r>
    </w:p>
    <w:p w14:paraId="69C19938" w14:textId="77777777" w:rsidR="00CD2E5B" w:rsidRPr="00272C3F" w:rsidRDefault="00CD2E5B" w:rsidP="00CD2E5B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14:paraId="431FE9E3" w14:textId="77777777" w:rsidR="00CD2E5B" w:rsidRPr="00272C3F" w:rsidRDefault="00FC5E9A" w:rsidP="00CD2E5B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272C3F">
        <w:rPr>
          <w:rFonts w:ascii="Book Antiqua" w:hAnsi="Book Antiqua" w:cs="Times New Roman"/>
          <w:sz w:val="22"/>
          <w:szCs w:val="22"/>
        </w:rPr>
        <w:t>Ústavný zákon</w:t>
      </w:r>
    </w:p>
    <w:p w14:paraId="3A5C7C90" w14:textId="77777777" w:rsidR="00CD2E5B" w:rsidRPr="00272C3F" w:rsidRDefault="00CD2E5B" w:rsidP="00CD2E5B">
      <w:pPr>
        <w:jc w:val="center"/>
        <w:rPr>
          <w:rFonts w:ascii="Book Antiqua" w:hAnsi="Book Antiqua"/>
          <w:sz w:val="22"/>
          <w:szCs w:val="22"/>
        </w:rPr>
      </w:pPr>
    </w:p>
    <w:p w14:paraId="092364A7" w14:textId="1FB5687A" w:rsidR="00CD2E5B" w:rsidRPr="00272C3F" w:rsidRDefault="00FC5E9A" w:rsidP="00CD2E5B">
      <w:pPr>
        <w:jc w:val="center"/>
        <w:rPr>
          <w:rFonts w:ascii="Book Antiqua" w:hAnsi="Book Antiqua"/>
          <w:sz w:val="22"/>
          <w:szCs w:val="22"/>
        </w:rPr>
      </w:pPr>
      <w:r w:rsidRPr="00272C3F">
        <w:rPr>
          <w:rFonts w:ascii="Book Antiqua" w:hAnsi="Book Antiqua"/>
          <w:sz w:val="22"/>
          <w:szCs w:val="22"/>
        </w:rPr>
        <w:t>z ... 202</w:t>
      </w:r>
      <w:r w:rsidR="00490522">
        <w:rPr>
          <w:rFonts w:ascii="Book Antiqua" w:hAnsi="Book Antiqua"/>
          <w:sz w:val="22"/>
          <w:szCs w:val="22"/>
        </w:rPr>
        <w:t>3</w:t>
      </w:r>
      <w:r w:rsidRPr="00272C3F">
        <w:rPr>
          <w:rFonts w:ascii="Book Antiqua" w:hAnsi="Book Antiqua"/>
          <w:sz w:val="22"/>
          <w:szCs w:val="22"/>
        </w:rPr>
        <w:t>,</w:t>
      </w:r>
    </w:p>
    <w:p w14:paraId="2DD900F5" w14:textId="77777777" w:rsidR="00CD2E5B" w:rsidRPr="00272C3F" w:rsidRDefault="00CD2E5B" w:rsidP="00CD2E5B">
      <w:pPr>
        <w:jc w:val="center"/>
        <w:rPr>
          <w:rFonts w:ascii="Book Antiqua" w:hAnsi="Book Antiqua"/>
          <w:sz w:val="22"/>
          <w:szCs w:val="22"/>
        </w:rPr>
      </w:pPr>
    </w:p>
    <w:p w14:paraId="790689DF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 xml:space="preserve">ktorým sa mení a dopĺňa Ústava Slovenskej republiky č. 460/1992 Zb. </w:t>
      </w:r>
    </w:p>
    <w:p w14:paraId="0AE42C2C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>v znení neskorších predpisov</w:t>
      </w:r>
    </w:p>
    <w:p w14:paraId="6E7F46B5" w14:textId="77777777" w:rsidR="00CD2E5B" w:rsidRPr="00272C3F" w:rsidRDefault="00CD2E5B" w:rsidP="00CD2E5B">
      <w:pPr>
        <w:jc w:val="both"/>
        <w:rPr>
          <w:rFonts w:ascii="Book Antiqua" w:hAnsi="Book Antiqua"/>
          <w:sz w:val="22"/>
          <w:szCs w:val="22"/>
        </w:rPr>
      </w:pPr>
    </w:p>
    <w:p w14:paraId="23C88CD6" w14:textId="77777777" w:rsidR="00CD2E5B" w:rsidRPr="00272C3F" w:rsidRDefault="00FC5E9A" w:rsidP="00CD2E5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272C3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5FCFA39D" w14:textId="77777777" w:rsidR="00CD2E5B" w:rsidRPr="00272C3F" w:rsidRDefault="00CD2E5B" w:rsidP="00CD2E5B">
      <w:pPr>
        <w:jc w:val="both"/>
        <w:rPr>
          <w:rFonts w:ascii="Book Antiqua" w:hAnsi="Book Antiqua"/>
          <w:sz w:val="22"/>
          <w:szCs w:val="22"/>
        </w:rPr>
      </w:pPr>
    </w:p>
    <w:p w14:paraId="3BC4AEE1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>Čl. I</w:t>
      </w:r>
    </w:p>
    <w:p w14:paraId="0375B659" w14:textId="77777777" w:rsidR="008503CA" w:rsidRPr="00272C3F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</w:p>
    <w:p w14:paraId="55E1282E" w14:textId="4E8D2307" w:rsidR="00117B6E" w:rsidRPr="00272C3F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  <w:r w:rsidRPr="00272C3F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272C3F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272C3F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Pr="00272C3F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490522">
        <w:rPr>
          <w:rFonts w:ascii="Book Antiqua" w:hAnsi="Book Antiqua"/>
          <w:color w:val="000000" w:themeColor="text1"/>
          <w:sz w:val="22"/>
          <w:szCs w:val="22"/>
        </w:rPr>
        <w:t>,</w:t>
      </w:r>
      <w:r w:rsidR="007F1A40">
        <w:rPr>
          <w:rFonts w:ascii="Book Antiqua" w:hAnsi="Book Antiqua"/>
          <w:color w:val="000000" w:themeColor="text1"/>
          <w:sz w:val="22"/>
          <w:szCs w:val="22"/>
        </w:rPr>
        <w:t> </w:t>
      </w:r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>ústavného</w:t>
      </w:r>
      <w:r w:rsidR="007F1A40">
        <w:rPr>
          <w:rFonts w:ascii="Book Antiqua" w:hAnsi="Book Antiqua"/>
          <w:color w:val="000000" w:themeColor="text1"/>
          <w:sz w:val="22"/>
          <w:szCs w:val="22"/>
        </w:rPr>
        <w:t xml:space="preserve"> zákona č. 422/2020 Z. z.</w:t>
      </w:r>
      <w:r w:rsidR="00490522">
        <w:rPr>
          <w:rFonts w:ascii="Book Antiqua" w:hAnsi="Book Antiqua"/>
          <w:color w:val="000000" w:themeColor="text1"/>
          <w:sz w:val="22"/>
          <w:szCs w:val="22"/>
        </w:rPr>
        <w:t xml:space="preserve"> a </w:t>
      </w:r>
      <w:r w:rsidR="00490522" w:rsidRPr="00272C3F">
        <w:rPr>
          <w:rFonts w:ascii="Book Antiqua" w:hAnsi="Book Antiqua"/>
          <w:color w:val="000000" w:themeColor="text1"/>
          <w:sz w:val="22"/>
          <w:szCs w:val="22"/>
        </w:rPr>
        <w:t>ústavného</w:t>
      </w:r>
      <w:r w:rsidR="00490522">
        <w:rPr>
          <w:rFonts w:ascii="Book Antiqua" w:hAnsi="Book Antiqua"/>
          <w:color w:val="000000" w:themeColor="text1"/>
          <w:sz w:val="22"/>
          <w:szCs w:val="22"/>
        </w:rPr>
        <w:t xml:space="preserve"> zákona č.</w:t>
      </w:r>
      <w:r w:rsidR="00490522">
        <w:rPr>
          <w:rFonts w:ascii="Book Antiqua" w:hAnsi="Book Antiqua"/>
          <w:color w:val="000000" w:themeColor="text1"/>
          <w:sz w:val="22"/>
          <w:szCs w:val="22"/>
        </w:rPr>
        <w:t xml:space="preserve"> 378/2022 Z. z. </w:t>
      </w:r>
      <w:r w:rsidR="00490522">
        <w:rPr>
          <w:rFonts w:ascii="Book Antiqua" w:hAnsi="Book Antiqua"/>
          <w:color w:val="000000" w:themeColor="text1"/>
          <w:sz w:val="22"/>
          <w:szCs w:val="22"/>
        </w:rPr>
        <w:br/>
      </w:r>
      <w:r w:rsidR="00E30491" w:rsidRPr="00272C3F">
        <w:rPr>
          <w:rFonts w:ascii="Book Antiqua" w:hAnsi="Book Antiqua"/>
          <w:bCs/>
          <w:color w:val="070707"/>
          <w:sz w:val="22"/>
          <w:szCs w:val="22"/>
          <w:lang w:eastAsia="sk-SK"/>
        </w:rPr>
        <w:t>sa mení a dopĺňa takto:</w:t>
      </w:r>
    </w:p>
    <w:p w14:paraId="39CF613A" w14:textId="77777777" w:rsidR="002B2057" w:rsidRPr="00272C3F" w:rsidRDefault="002B2057">
      <w:pPr>
        <w:pStyle w:val="Standarduser"/>
        <w:tabs>
          <w:tab w:val="left" w:leader="dot" w:pos="8878"/>
        </w:tabs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3D1B2DA" w14:textId="77777777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93 ods. 3 znie: </w:t>
      </w:r>
    </w:p>
    <w:p w14:paraId="7EC74BA7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3EAE4C8A" w14:textId="7AA05988" w:rsidR="002B2057" w:rsidRPr="00272C3F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,,Predmetom referenda nemôžu byť základné práva a slobody, dane, odvody, </w:t>
      </w:r>
      <w:r w:rsidR="00490522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štátny rozpočet, zmena štátnych hraníc, postavenie orgánov štátnej moci, jednotnosť </w:t>
      </w:r>
      <w:r w:rsidR="004A2ED3"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a nedeliteľnosť územia Slovenskej republiky.“.</w:t>
      </w:r>
    </w:p>
    <w:p w14:paraId="3FBB222D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091ADC3D" w14:textId="50BFE966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V čl. 95 ods. 1 sa slovo ,,350 000“  nahrádza slovom ,,</w:t>
      </w:r>
      <w:r w:rsidR="00F960FA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100</w:t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000 “.</w:t>
      </w:r>
    </w:p>
    <w:p w14:paraId="667FB300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4C02F299" w14:textId="77777777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98 ods. 1 znie: </w:t>
      </w:r>
    </w:p>
    <w:p w14:paraId="2821AB21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2EAED8C5" w14:textId="0F2EE1F8" w:rsidR="002B2057" w:rsidRPr="00272C3F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„Výsledky referenda sú platné, ak bolo rozhodnutie prijaté nadpolovičnou väčšinou účastníkov referenda.“.   </w:t>
      </w:r>
    </w:p>
    <w:p w14:paraId="764C98BB" w14:textId="77777777" w:rsidR="00F960FA" w:rsidRDefault="00F960FA" w:rsidP="007E1CB9">
      <w:pPr>
        <w:widowControl/>
        <w:suppressAutoHyphens w:val="0"/>
        <w:autoSpaceDE/>
        <w:autoSpaceDN/>
        <w:jc w:val="center"/>
        <w:textAlignment w:val="auto"/>
        <w:rPr>
          <w:rFonts w:ascii="Book Antiqua" w:hAnsi="Book Antiqua"/>
          <w:b/>
          <w:kern w:val="0"/>
          <w:sz w:val="22"/>
          <w:szCs w:val="22"/>
          <w:lang w:eastAsia="en-US" w:bidi="ar-SA"/>
        </w:rPr>
      </w:pPr>
    </w:p>
    <w:p w14:paraId="5CFF1254" w14:textId="2C7742DB" w:rsidR="00117B6E" w:rsidRPr="00272C3F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rFonts w:ascii="Book Antiqua" w:hAnsi="Book Antiqua"/>
          <w:b/>
          <w:kern w:val="0"/>
          <w:sz w:val="22"/>
          <w:szCs w:val="22"/>
          <w:lang w:eastAsia="en-US" w:bidi="ar-SA"/>
        </w:rPr>
      </w:pPr>
      <w:r w:rsidRPr="00272C3F">
        <w:rPr>
          <w:rFonts w:ascii="Book Antiqua" w:hAnsi="Book Antiqua"/>
          <w:b/>
          <w:kern w:val="0"/>
          <w:sz w:val="22"/>
          <w:szCs w:val="22"/>
          <w:lang w:eastAsia="en-US" w:bidi="ar-SA"/>
        </w:rPr>
        <w:t>Čl. II</w:t>
      </w:r>
    </w:p>
    <w:p w14:paraId="406EFE8D" w14:textId="77777777" w:rsidR="007E1CB9" w:rsidRPr="00272C3F" w:rsidRDefault="007E1CB9" w:rsidP="007E1CB9">
      <w:pPr>
        <w:widowControl/>
        <w:suppressAutoHyphens w:val="0"/>
        <w:autoSpaceDE/>
        <w:autoSpaceDN/>
        <w:textAlignment w:val="auto"/>
        <w:rPr>
          <w:rFonts w:ascii="Book Antiqua" w:hAnsi="Book Antiqua"/>
          <w:kern w:val="0"/>
          <w:sz w:val="22"/>
          <w:szCs w:val="22"/>
          <w:lang w:eastAsia="en-US" w:bidi="ar-SA"/>
        </w:rPr>
      </w:pPr>
    </w:p>
    <w:p w14:paraId="2730C3FD" w14:textId="738C4194" w:rsidR="00117B6E" w:rsidRPr="00F960FA" w:rsidRDefault="00FC5E9A" w:rsidP="00F960FA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272C3F"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272C3F">
        <w:rPr>
          <w:rFonts w:ascii="Book Antiqua" w:hAnsi="Book Antiqua"/>
          <w:sz w:val="22"/>
          <w:szCs w:val="22"/>
        </w:rPr>
        <w:t>pätnástym dňom po jeho vyhlásení v Zbierke zákonov.</w:t>
      </w:r>
    </w:p>
    <w:p w14:paraId="426E873D" w14:textId="77777777" w:rsidR="00117B6E" w:rsidRPr="00272C3F" w:rsidRDefault="00117B6E">
      <w:pPr>
        <w:pStyle w:val="Standard"/>
        <w:rPr>
          <w:rFonts w:ascii="Book Antiqua" w:hAnsi="Book Antiqua"/>
          <w:szCs w:val="22"/>
        </w:rPr>
      </w:pPr>
    </w:p>
    <w:sectPr w:rsidR="00117B6E" w:rsidRPr="00272C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F864C10C"/>
    <w:lvl w:ilvl="0" w:tplc="37623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 w16cid:durableId="1387756315">
    <w:abstractNumId w:val="3"/>
  </w:num>
  <w:num w:numId="2" w16cid:durableId="1238318117">
    <w:abstractNumId w:val="2"/>
  </w:num>
  <w:num w:numId="3" w16cid:durableId="792753249">
    <w:abstractNumId w:val="3"/>
    <w:lvlOverride w:ilvl="0">
      <w:startOverride w:val="1"/>
    </w:lvlOverride>
  </w:num>
  <w:num w:numId="4" w16cid:durableId="323357054">
    <w:abstractNumId w:val="1"/>
  </w:num>
  <w:num w:numId="5" w16cid:durableId="359861686">
    <w:abstractNumId w:val="1"/>
  </w:num>
  <w:num w:numId="6" w16cid:durableId="184551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86956"/>
    <w:rsid w:val="00117B6E"/>
    <w:rsid w:val="00233C42"/>
    <w:rsid w:val="00272C3F"/>
    <w:rsid w:val="002B2057"/>
    <w:rsid w:val="004241C8"/>
    <w:rsid w:val="00490522"/>
    <w:rsid w:val="004A2ED3"/>
    <w:rsid w:val="006162F1"/>
    <w:rsid w:val="006C7F7F"/>
    <w:rsid w:val="0074172E"/>
    <w:rsid w:val="007E1CB9"/>
    <w:rsid w:val="007F1A40"/>
    <w:rsid w:val="008503CA"/>
    <w:rsid w:val="008D68F6"/>
    <w:rsid w:val="009305A0"/>
    <w:rsid w:val="009463F2"/>
    <w:rsid w:val="00B2697A"/>
    <w:rsid w:val="00CD2E5B"/>
    <w:rsid w:val="00D302D5"/>
    <w:rsid w:val="00E30491"/>
    <w:rsid w:val="00F960FA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Rastislav Schlosár</cp:lastModifiedBy>
  <cp:revision>9</cp:revision>
  <cp:lastPrinted>2017-01-12T17:34:00Z</cp:lastPrinted>
  <dcterms:created xsi:type="dcterms:W3CDTF">2017-05-26T09:36:00Z</dcterms:created>
  <dcterms:modified xsi:type="dcterms:W3CDTF">2023-01-22T16:16:00Z</dcterms:modified>
</cp:coreProperties>
</file>