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4C4F0" w14:textId="711660F1" w:rsidR="001C2709" w:rsidRPr="003E614C" w:rsidRDefault="001C2709" w:rsidP="003E614C">
      <w:pPr>
        <w:spacing w:before="120" w:line="276" w:lineRule="auto"/>
        <w:jc w:val="center"/>
        <w:rPr>
          <w:rFonts w:ascii="Book Antiqua" w:hAnsi="Book Antiqua" w:cs="Times New Roman"/>
          <w:b/>
          <w:caps/>
        </w:rPr>
      </w:pPr>
      <w:bookmarkStart w:id="0" w:name="_GoBack"/>
      <w:bookmarkEnd w:id="0"/>
      <w:r w:rsidRPr="003E614C">
        <w:rPr>
          <w:rFonts w:ascii="Book Antiqua" w:hAnsi="Book Antiqua" w:cs="Times New Roman"/>
          <w:b/>
          <w:caps/>
        </w:rPr>
        <w:t>Dôvodová správa</w:t>
      </w:r>
    </w:p>
    <w:p w14:paraId="68142398" w14:textId="77777777" w:rsidR="001C2709" w:rsidRPr="003E614C" w:rsidRDefault="001C2709" w:rsidP="003E614C">
      <w:pPr>
        <w:spacing w:before="120" w:line="276" w:lineRule="auto"/>
        <w:jc w:val="both"/>
        <w:rPr>
          <w:rFonts w:ascii="Book Antiqua" w:hAnsi="Book Antiqua" w:cs="Times New Roman"/>
          <w:b/>
        </w:rPr>
      </w:pPr>
      <w:r w:rsidRPr="003E614C">
        <w:rPr>
          <w:rFonts w:ascii="Book Antiqua" w:hAnsi="Book Antiqua" w:cs="Times New Roman"/>
          <w:b/>
        </w:rPr>
        <w:t>A. Všeobecná časť</w:t>
      </w:r>
    </w:p>
    <w:p w14:paraId="55009338" w14:textId="66CDB98A" w:rsidR="003E614C" w:rsidRDefault="001C2709" w:rsidP="003E614C">
      <w:pPr>
        <w:spacing w:before="120" w:line="276" w:lineRule="auto"/>
        <w:ind w:firstLine="708"/>
        <w:jc w:val="both"/>
        <w:rPr>
          <w:rFonts w:ascii="Book Antiqua" w:hAnsi="Book Antiqua" w:cs="Times New Roman"/>
        </w:rPr>
      </w:pPr>
      <w:r w:rsidRPr="003E614C">
        <w:rPr>
          <w:rFonts w:ascii="Book Antiqua" w:hAnsi="Book Antiqua" w:cs="Times New Roman"/>
        </w:rPr>
        <w:t>Návrh zákona, ktorým sa mení a dopĺňa zákon č. 54/2019 Z.</w:t>
      </w:r>
      <w:r w:rsidR="003E614C">
        <w:rPr>
          <w:rFonts w:ascii="Book Antiqua" w:hAnsi="Book Antiqua" w:cs="Times New Roman"/>
        </w:rPr>
        <w:t xml:space="preserve"> </w:t>
      </w:r>
      <w:r w:rsidRPr="003E614C">
        <w:rPr>
          <w:rFonts w:ascii="Book Antiqua" w:hAnsi="Book Antiqua" w:cs="Times New Roman"/>
        </w:rPr>
        <w:t>z. o ochrane oznamovateľov protispoločenskej činnosti a o zmene a doplnení niektorých zákonov</w:t>
      </w:r>
      <w:r w:rsidR="003E614C">
        <w:rPr>
          <w:rFonts w:ascii="Book Antiqua" w:hAnsi="Book Antiqua" w:cs="Times New Roman"/>
        </w:rPr>
        <w:t xml:space="preserve"> a ktorým sa menia a dopĺňajú niektoré zákony</w:t>
      </w:r>
      <w:r w:rsidRPr="003E614C">
        <w:rPr>
          <w:rFonts w:ascii="Book Antiqua" w:hAnsi="Book Antiqua" w:cs="Times New Roman"/>
        </w:rPr>
        <w:t xml:space="preserve"> </w:t>
      </w:r>
      <w:r w:rsidR="001C46CD">
        <w:rPr>
          <w:rFonts w:ascii="Book Antiqua" w:hAnsi="Book Antiqua" w:cs="Times New Roman"/>
        </w:rPr>
        <w:t xml:space="preserve">(ďalej len „návrh zákona“) </w:t>
      </w:r>
      <w:r w:rsidRPr="003E614C">
        <w:rPr>
          <w:rFonts w:ascii="Book Antiqua" w:hAnsi="Book Antiqua" w:cs="Times New Roman"/>
        </w:rPr>
        <w:t xml:space="preserve">predkladá na rokovanie Národnej rady Slovenskej republiky </w:t>
      </w:r>
      <w:r w:rsidR="003E614C">
        <w:rPr>
          <w:rFonts w:ascii="Book Antiqua" w:hAnsi="Book Antiqua" w:cs="Times New Roman"/>
        </w:rPr>
        <w:t xml:space="preserve">skupina poslancov </w:t>
      </w:r>
      <w:r w:rsidRPr="003E614C">
        <w:rPr>
          <w:rFonts w:ascii="Book Antiqua" w:hAnsi="Book Antiqua" w:cs="Times New Roman"/>
        </w:rPr>
        <w:t>Národnej rady Sl</w:t>
      </w:r>
      <w:r w:rsidR="003E614C">
        <w:rPr>
          <w:rFonts w:ascii="Book Antiqua" w:hAnsi="Book Antiqua" w:cs="Times New Roman"/>
        </w:rPr>
        <w:t>ovenskej republiky.</w:t>
      </w:r>
    </w:p>
    <w:p w14:paraId="32093198" w14:textId="3BF26E9D" w:rsidR="003E614C" w:rsidRPr="003E614C" w:rsidRDefault="003E614C" w:rsidP="003E614C">
      <w:pPr>
        <w:spacing w:before="120" w:line="276" w:lineRule="auto"/>
        <w:jc w:val="both"/>
        <w:rPr>
          <w:rFonts w:ascii="Book Antiqua" w:hAnsi="Book Antiqua" w:cs="Times New Roman"/>
        </w:rPr>
      </w:pPr>
      <w:r>
        <w:rPr>
          <w:rFonts w:ascii="Book Antiqua" w:hAnsi="Book Antiqua" w:cs="Times New Roman"/>
        </w:rPr>
        <w:tab/>
        <w:t>V Programovom vyhlásení vlády Slovenskej republiky na roky 2020 (2021) – 2024 sa uvádza, že: „</w:t>
      </w:r>
      <w:r w:rsidRPr="003E614C">
        <w:rPr>
          <w:rFonts w:ascii="Book Antiqua" w:hAnsi="Book Antiqua"/>
          <w:i/>
        </w:rPr>
        <w:t xml:space="preserve">Vláda SR zavedie pravidlo, že ak priamy aktér usvedčí toho, kto dáva alebo berie úplatok, súčasťou rozhodnutia súdu bude finančná kompenzácia pre </w:t>
      </w:r>
      <w:proofErr w:type="spellStart"/>
      <w:r w:rsidRPr="003E614C">
        <w:rPr>
          <w:rFonts w:ascii="Book Antiqua" w:hAnsi="Book Antiqua"/>
          <w:i/>
        </w:rPr>
        <w:t>nahlasovateľa</w:t>
      </w:r>
      <w:proofErr w:type="spellEnd"/>
      <w:r w:rsidRPr="003E614C">
        <w:rPr>
          <w:rFonts w:ascii="Book Antiqua" w:hAnsi="Book Antiqua"/>
          <w:i/>
        </w:rPr>
        <w:t xml:space="preserve"> (vo výške 50 % z výšky úplatku), ktorú zaplatí iniciátor korupcie.“</w:t>
      </w:r>
      <w:r>
        <w:rPr>
          <w:rFonts w:ascii="Book Antiqua" w:hAnsi="Book Antiqua"/>
        </w:rPr>
        <w:t>. Ide o významný aspekt boja proti korupcii, ktorý je dlhodobo odskúšaný najmä v Spojených štátoch amerických, ale aj v niektorých ďalších predovšetkým anglosaských krajinách mimo kontinentálnej Európy, kde sa k odmeňovaniu bojovníkov proti korupcii stavajú skôr rezervovane.</w:t>
      </w:r>
    </w:p>
    <w:p w14:paraId="15343A0F" w14:textId="4842B6EE" w:rsidR="003E614C" w:rsidRPr="001C46CD" w:rsidRDefault="001C46CD" w:rsidP="003E614C">
      <w:pPr>
        <w:spacing w:before="120" w:line="276" w:lineRule="auto"/>
        <w:ind w:firstLine="708"/>
        <w:jc w:val="both"/>
        <w:rPr>
          <w:rFonts w:ascii="Book Antiqua" w:hAnsi="Book Antiqua" w:cs="Times New Roman"/>
          <w:b/>
        </w:rPr>
      </w:pPr>
      <w:r w:rsidRPr="001C46CD">
        <w:rPr>
          <w:rFonts w:ascii="Book Antiqua" w:hAnsi="Book Antiqua" w:cs="Times New Roman"/>
          <w:b/>
        </w:rPr>
        <w:t>Cieľom návrhu zákona je</w:t>
      </w:r>
      <w:r w:rsidR="003E614C" w:rsidRPr="001C46CD">
        <w:rPr>
          <w:rFonts w:ascii="Book Antiqua" w:hAnsi="Book Antiqua" w:cs="Times New Roman"/>
          <w:b/>
        </w:rPr>
        <w:t>:</w:t>
      </w:r>
    </w:p>
    <w:p w14:paraId="6F6B3D3D" w14:textId="77777777" w:rsidR="003E614C" w:rsidRPr="001C46CD" w:rsidRDefault="001C2709" w:rsidP="003E614C">
      <w:pPr>
        <w:pStyle w:val="Odsekzoznamu"/>
        <w:numPr>
          <w:ilvl w:val="0"/>
          <w:numId w:val="2"/>
        </w:numPr>
        <w:spacing w:before="120" w:line="276" w:lineRule="auto"/>
        <w:jc w:val="both"/>
        <w:rPr>
          <w:rFonts w:ascii="Book Antiqua" w:hAnsi="Book Antiqua" w:cs="Times New Roman"/>
          <w:b/>
        </w:rPr>
      </w:pPr>
      <w:r w:rsidRPr="001C46CD">
        <w:rPr>
          <w:rFonts w:ascii="Book Antiqua" w:hAnsi="Book Antiqua" w:cs="Times New Roman"/>
          <w:b/>
        </w:rPr>
        <w:t xml:space="preserve">upraviť </w:t>
      </w:r>
      <w:r w:rsidR="003E614C" w:rsidRPr="001C46CD">
        <w:rPr>
          <w:rFonts w:ascii="Book Antiqua" w:hAnsi="Book Antiqua" w:cs="Times New Roman"/>
          <w:b/>
        </w:rPr>
        <w:t>okrem terajšej paušálnej a </w:t>
      </w:r>
      <w:proofErr w:type="spellStart"/>
      <w:r w:rsidR="003E614C" w:rsidRPr="001C46CD">
        <w:rPr>
          <w:rFonts w:ascii="Book Antiqua" w:hAnsi="Book Antiqua" w:cs="Times New Roman"/>
          <w:b/>
        </w:rPr>
        <w:t>nenárokovateľnej</w:t>
      </w:r>
      <w:proofErr w:type="spellEnd"/>
      <w:r w:rsidR="003E614C" w:rsidRPr="001C46CD">
        <w:rPr>
          <w:rFonts w:ascii="Book Antiqua" w:hAnsi="Book Antiqua" w:cs="Times New Roman"/>
          <w:b/>
        </w:rPr>
        <w:t xml:space="preserve"> odmeny oznamovateľa korupcie aj podielovú odmenu, ktorá je </w:t>
      </w:r>
      <w:proofErr w:type="spellStart"/>
      <w:r w:rsidR="003E614C" w:rsidRPr="001C46CD">
        <w:rPr>
          <w:rFonts w:ascii="Book Antiqua" w:hAnsi="Book Antiqua" w:cs="Times New Roman"/>
          <w:b/>
        </w:rPr>
        <w:t>nárokovateľná</w:t>
      </w:r>
      <w:proofErr w:type="spellEnd"/>
      <w:r w:rsidR="003E614C" w:rsidRPr="001C46CD">
        <w:rPr>
          <w:rFonts w:ascii="Book Antiqua" w:hAnsi="Book Antiqua" w:cs="Times New Roman"/>
          <w:b/>
        </w:rPr>
        <w:t xml:space="preserve">, a to </w:t>
      </w:r>
      <w:r w:rsidRPr="001C46CD">
        <w:rPr>
          <w:rFonts w:ascii="Book Antiqua" w:hAnsi="Book Antiqua" w:cs="Times New Roman"/>
          <w:b/>
        </w:rPr>
        <w:t>vo výške 50% zo sumy vymoženej pre štát</w:t>
      </w:r>
      <w:r w:rsidR="003E614C" w:rsidRPr="001C46CD">
        <w:rPr>
          <w:rFonts w:ascii="Book Antiqua" w:hAnsi="Book Antiqua" w:cs="Times New Roman"/>
          <w:b/>
        </w:rPr>
        <w:t xml:space="preserve"> (nestačí len uchránená suma pre štát),</w:t>
      </w:r>
    </w:p>
    <w:p w14:paraId="7FA93C57" w14:textId="15638FA6" w:rsidR="003E614C" w:rsidRPr="001C46CD" w:rsidRDefault="003E614C" w:rsidP="003E614C">
      <w:pPr>
        <w:pStyle w:val="Odsekzoznamu"/>
        <w:numPr>
          <w:ilvl w:val="0"/>
          <w:numId w:val="2"/>
        </w:numPr>
        <w:spacing w:before="120" w:line="276" w:lineRule="auto"/>
        <w:jc w:val="both"/>
        <w:rPr>
          <w:rFonts w:ascii="Book Antiqua" w:hAnsi="Book Antiqua" w:cs="Times New Roman"/>
          <w:b/>
        </w:rPr>
      </w:pPr>
      <w:r w:rsidRPr="001C46CD">
        <w:rPr>
          <w:rFonts w:ascii="Book Antiqua" w:hAnsi="Book Antiqua" w:cs="Times New Roman"/>
          <w:b/>
        </w:rPr>
        <w:t xml:space="preserve">rozšírenie okruhu osôb, ktoré môžu byť </w:t>
      </w:r>
      <w:proofErr w:type="spellStart"/>
      <w:r w:rsidRPr="001C46CD">
        <w:rPr>
          <w:rFonts w:ascii="Book Antiqua" w:hAnsi="Book Antiqua" w:cs="Times New Roman"/>
          <w:b/>
        </w:rPr>
        <w:t>nahlasovateľmi</w:t>
      </w:r>
      <w:proofErr w:type="spellEnd"/>
      <w:r w:rsidRPr="001C46CD">
        <w:rPr>
          <w:rFonts w:ascii="Book Antiqua" w:hAnsi="Book Antiqua" w:cs="Times New Roman"/>
          <w:b/>
        </w:rPr>
        <w:t xml:space="preserve"> korupcie aj o ďalšie osoby, ktoré sa o korupcii dozvedia v rámci svojej činnosti, osobitne pri poskytovaní bezpečnostných (detektívnych) služieb, ako aj o osoby, ktoré podajú podnet podľa ústavného zákona č. 357/2004 Z. z. o ochrane verejného záujmu pri výkone funkcií verejných funkcionárov </w:t>
      </w:r>
      <w:r w:rsidR="001C46CD">
        <w:rPr>
          <w:rFonts w:ascii="Book Antiqua" w:hAnsi="Book Antiqua" w:cs="Times New Roman"/>
          <w:b/>
        </w:rPr>
        <w:t xml:space="preserve">v znení neskorších predpisov </w:t>
      </w:r>
      <w:r w:rsidRPr="001C46CD">
        <w:rPr>
          <w:rFonts w:ascii="Book Antiqua" w:hAnsi="Book Antiqua" w:cs="Times New Roman"/>
          <w:b/>
        </w:rPr>
        <w:t>a taký podnet bude z hľadiska jeho relevantnosti postúpený v zmysle správneho poriadku orgánu príslušnému na prijímanie oznámení o korupcii,</w:t>
      </w:r>
    </w:p>
    <w:p w14:paraId="5F997BB8" w14:textId="77777777" w:rsidR="003E614C" w:rsidRPr="001C46CD" w:rsidRDefault="003E614C" w:rsidP="003E614C">
      <w:pPr>
        <w:pStyle w:val="Odsekzoznamu"/>
        <w:numPr>
          <w:ilvl w:val="0"/>
          <w:numId w:val="2"/>
        </w:numPr>
        <w:spacing w:before="120" w:line="276" w:lineRule="auto"/>
        <w:jc w:val="both"/>
        <w:rPr>
          <w:rFonts w:ascii="Book Antiqua" w:hAnsi="Book Antiqua" w:cs="Times New Roman"/>
          <w:b/>
        </w:rPr>
      </w:pPr>
      <w:r w:rsidRPr="001C46CD">
        <w:rPr>
          <w:rFonts w:ascii="Book Antiqua" w:hAnsi="Book Antiqua" w:cs="Times New Roman"/>
          <w:b/>
        </w:rPr>
        <w:t xml:space="preserve">zvýšenie ochrany pred postihom a prenasledovaním za oznámenie korupcie, a to v podobe šesťnásobku priemernej mesačnej mzdy, ktorú bude povinný zaplatiť zamestnávateľ zamestnancovi, ak zamestnanec podá výpoveď z dôvodu, že ho zamestnávateľ preukázateľne </w:t>
      </w:r>
      <w:proofErr w:type="spellStart"/>
      <w:r w:rsidRPr="001C46CD">
        <w:rPr>
          <w:rFonts w:ascii="Book Antiqua" w:hAnsi="Book Antiqua" w:cs="Times New Roman"/>
          <w:b/>
        </w:rPr>
        <w:t>viktimizuje</w:t>
      </w:r>
      <w:proofErr w:type="spellEnd"/>
      <w:r w:rsidRPr="001C46CD">
        <w:rPr>
          <w:rFonts w:ascii="Book Antiqua" w:hAnsi="Book Antiqua" w:cs="Times New Roman"/>
          <w:b/>
        </w:rPr>
        <w:t>,</w:t>
      </w:r>
    </w:p>
    <w:p w14:paraId="6923389A" w14:textId="77777777" w:rsidR="001C46CD" w:rsidRDefault="001C46CD" w:rsidP="001C46CD">
      <w:pPr>
        <w:pStyle w:val="Odsekzoznamu"/>
        <w:numPr>
          <w:ilvl w:val="0"/>
          <w:numId w:val="2"/>
        </w:numPr>
        <w:spacing w:before="120" w:line="276" w:lineRule="auto"/>
        <w:jc w:val="both"/>
        <w:rPr>
          <w:rFonts w:ascii="Book Antiqua" w:hAnsi="Book Antiqua" w:cs="Times New Roman"/>
        </w:rPr>
      </w:pPr>
      <w:r w:rsidRPr="001C46CD">
        <w:rPr>
          <w:rFonts w:ascii="Book Antiqua" w:hAnsi="Book Antiqua" w:cs="Times New Roman"/>
          <w:b/>
        </w:rPr>
        <w:t>vytvorenie možnosti m</w:t>
      </w:r>
      <w:r w:rsidR="003E614C" w:rsidRPr="001C46CD">
        <w:rPr>
          <w:rFonts w:ascii="Book Antiqua" w:hAnsi="Book Antiqua" w:cs="Times New Roman"/>
          <w:b/>
        </w:rPr>
        <w:t>orálne</w:t>
      </w:r>
      <w:r w:rsidRPr="001C46CD">
        <w:rPr>
          <w:rFonts w:ascii="Book Antiqua" w:hAnsi="Book Antiqua" w:cs="Times New Roman"/>
          <w:b/>
        </w:rPr>
        <w:t>ho ocenenia</w:t>
      </w:r>
      <w:r w:rsidR="003E614C" w:rsidRPr="001C46CD">
        <w:rPr>
          <w:rFonts w:ascii="Book Antiqua" w:hAnsi="Book Antiqua" w:cs="Times New Roman"/>
          <w:b/>
        </w:rPr>
        <w:t xml:space="preserve"> osôb, ktoré kvalifikovane oznámia korupciu</w:t>
      </w:r>
      <w:r w:rsidRPr="001C46CD">
        <w:rPr>
          <w:rFonts w:ascii="Book Antiqua" w:hAnsi="Book Antiqua" w:cs="Times New Roman"/>
          <w:b/>
        </w:rPr>
        <w:t xml:space="preserve">, formou ceny Juraja </w:t>
      </w:r>
      <w:proofErr w:type="spellStart"/>
      <w:r w:rsidRPr="001C46CD">
        <w:rPr>
          <w:rFonts w:ascii="Book Antiqua" w:hAnsi="Book Antiqua" w:cs="Times New Roman"/>
          <w:b/>
        </w:rPr>
        <w:t>Langsfelda</w:t>
      </w:r>
      <w:proofErr w:type="spellEnd"/>
      <w:r w:rsidRPr="001C46CD">
        <w:rPr>
          <w:rFonts w:ascii="Book Antiqua" w:hAnsi="Book Antiqua" w:cs="Times New Roman"/>
          <w:b/>
        </w:rPr>
        <w:t xml:space="preserve"> udelenej predsedom vlády Slovenskej republiky.</w:t>
      </w:r>
      <w:r w:rsidR="001C2709" w:rsidRPr="001C46CD">
        <w:rPr>
          <w:rFonts w:ascii="Book Antiqua" w:hAnsi="Book Antiqua" w:cs="Times New Roman"/>
          <w:b/>
        </w:rPr>
        <w:t xml:space="preserve"> </w:t>
      </w:r>
    </w:p>
    <w:p w14:paraId="4798A4AD" w14:textId="5B99558E" w:rsidR="001C46CD" w:rsidRDefault="0001587B" w:rsidP="001C46CD">
      <w:pPr>
        <w:spacing w:before="120" w:line="276" w:lineRule="auto"/>
        <w:ind w:firstLine="708"/>
        <w:jc w:val="both"/>
        <w:rPr>
          <w:rFonts w:ascii="Book Antiqua" w:hAnsi="Book Antiqua" w:cs="Times New Roman"/>
        </w:rPr>
      </w:pPr>
      <w:r>
        <w:rPr>
          <w:rFonts w:ascii="Book Antiqua" w:hAnsi="Book Antiqua" w:cs="Times New Roman"/>
        </w:rPr>
        <w:t xml:space="preserve">Návrh zákona môže </w:t>
      </w:r>
      <w:r w:rsidR="001C2709" w:rsidRPr="001C46CD">
        <w:rPr>
          <w:rFonts w:ascii="Book Antiqua" w:hAnsi="Book Antiqua" w:cs="Times New Roman"/>
        </w:rPr>
        <w:t xml:space="preserve">mať </w:t>
      </w:r>
      <w:r>
        <w:rPr>
          <w:rFonts w:ascii="Book Antiqua" w:hAnsi="Book Antiqua" w:cs="Times New Roman"/>
        </w:rPr>
        <w:t xml:space="preserve">pozitívny </w:t>
      </w:r>
      <w:r w:rsidR="001C2709" w:rsidRPr="001C46CD">
        <w:rPr>
          <w:rFonts w:ascii="Book Antiqua" w:hAnsi="Book Antiqua" w:cs="Times New Roman"/>
        </w:rPr>
        <w:t>vpl</w:t>
      </w:r>
      <w:r>
        <w:rPr>
          <w:rFonts w:ascii="Book Antiqua" w:hAnsi="Book Antiqua" w:cs="Times New Roman"/>
        </w:rPr>
        <w:t xml:space="preserve">yv na rozpočet verejnej správy aj </w:t>
      </w:r>
      <w:r w:rsidR="001C2709" w:rsidRPr="001C46CD">
        <w:rPr>
          <w:rFonts w:ascii="Book Antiqua" w:hAnsi="Book Antiqua" w:cs="Times New Roman"/>
        </w:rPr>
        <w:t xml:space="preserve">na podnikateľské prostredie, </w:t>
      </w:r>
      <w:r w:rsidR="005F2FA9">
        <w:rPr>
          <w:rFonts w:ascii="Book Antiqua" w:hAnsi="Book Antiqua" w:cs="Times New Roman"/>
        </w:rPr>
        <w:t xml:space="preserve">nemá však </w:t>
      </w:r>
      <w:r w:rsidR="001C2709" w:rsidRPr="001C46CD">
        <w:rPr>
          <w:rFonts w:ascii="Book Antiqua" w:hAnsi="Book Antiqua" w:cs="Times New Roman"/>
        </w:rPr>
        <w:t xml:space="preserve">sociálne vplyvy, </w:t>
      </w:r>
      <w:r w:rsidR="005F2FA9">
        <w:rPr>
          <w:rFonts w:ascii="Book Antiqua" w:hAnsi="Book Antiqua" w:cs="Times New Roman"/>
        </w:rPr>
        <w:t>ani vplyvy na životné prostredie alebo</w:t>
      </w:r>
      <w:r w:rsidR="001C2709" w:rsidRPr="001C46CD">
        <w:rPr>
          <w:rFonts w:ascii="Book Antiqua" w:hAnsi="Book Antiqua" w:cs="Times New Roman"/>
        </w:rPr>
        <w:t xml:space="preserve"> vplyvy na informatizáciu spo</w:t>
      </w:r>
      <w:r w:rsidR="005F2FA9">
        <w:rPr>
          <w:rFonts w:ascii="Book Antiqua" w:hAnsi="Book Antiqua" w:cs="Times New Roman"/>
        </w:rPr>
        <w:t>ločnosti.</w:t>
      </w:r>
      <w:r w:rsidR="001C2709" w:rsidRPr="001C46CD">
        <w:rPr>
          <w:rFonts w:ascii="Book Antiqua" w:hAnsi="Book Antiqua" w:cs="Times New Roman"/>
        </w:rPr>
        <w:t xml:space="preserve"> </w:t>
      </w:r>
    </w:p>
    <w:p w14:paraId="050D97A3" w14:textId="45F2615B" w:rsidR="001C2709" w:rsidRPr="003E614C" w:rsidRDefault="001C2709" w:rsidP="001C46CD">
      <w:pPr>
        <w:spacing w:before="120" w:line="276" w:lineRule="auto"/>
        <w:ind w:firstLine="708"/>
        <w:jc w:val="both"/>
        <w:rPr>
          <w:rFonts w:ascii="Book Antiqua" w:hAnsi="Book Antiqua" w:cs="Times New Roman"/>
        </w:rPr>
      </w:pPr>
      <w:r w:rsidRPr="003E614C">
        <w:rPr>
          <w:rFonts w:ascii="Book Antiqua" w:hAnsi="Book Antiqua" w:cs="Times New Roman"/>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14:paraId="2B6916B8" w14:textId="77777777" w:rsidR="001C2709" w:rsidRPr="003E614C" w:rsidRDefault="001C2709" w:rsidP="003E614C">
      <w:pPr>
        <w:spacing w:before="120" w:line="276" w:lineRule="auto"/>
        <w:jc w:val="both"/>
        <w:rPr>
          <w:rFonts w:ascii="Book Antiqua" w:hAnsi="Book Antiqua" w:cs="Times New Roman"/>
        </w:rPr>
      </w:pPr>
    </w:p>
    <w:p w14:paraId="2112F39F" w14:textId="77777777" w:rsidR="001C46CD" w:rsidRDefault="001C46CD" w:rsidP="003E614C">
      <w:pPr>
        <w:spacing w:before="120" w:line="276" w:lineRule="auto"/>
        <w:jc w:val="both"/>
        <w:rPr>
          <w:rFonts w:ascii="Book Antiqua" w:hAnsi="Book Antiqua" w:cs="Times New Roman"/>
          <w:b/>
        </w:rPr>
      </w:pPr>
    </w:p>
    <w:p w14:paraId="79996C7B" w14:textId="77777777" w:rsidR="001C2709" w:rsidRPr="003E614C" w:rsidRDefault="001C2709" w:rsidP="003E614C">
      <w:pPr>
        <w:spacing w:before="120" w:line="276" w:lineRule="auto"/>
        <w:jc w:val="both"/>
        <w:rPr>
          <w:rFonts w:ascii="Book Antiqua" w:hAnsi="Book Antiqua" w:cs="Times New Roman"/>
          <w:b/>
        </w:rPr>
      </w:pPr>
      <w:r w:rsidRPr="003E614C">
        <w:rPr>
          <w:rFonts w:ascii="Book Antiqua" w:hAnsi="Book Antiqua" w:cs="Times New Roman"/>
          <w:b/>
        </w:rPr>
        <w:lastRenderedPageBreak/>
        <w:t>B. Osobitná časť</w:t>
      </w:r>
    </w:p>
    <w:p w14:paraId="0DE3A126" w14:textId="77777777" w:rsidR="001C2709" w:rsidRPr="003E614C" w:rsidRDefault="001C2709" w:rsidP="003E614C">
      <w:pPr>
        <w:spacing w:before="120" w:line="276" w:lineRule="auto"/>
        <w:jc w:val="both"/>
        <w:rPr>
          <w:rFonts w:ascii="Book Antiqua" w:hAnsi="Book Antiqua" w:cs="Times New Roman"/>
        </w:rPr>
      </w:pPr>
    </w:p>
    <w:p w14:paraId="70A9E905" w14:textId="33D8334D" w:rsidR="001C2709" w:rsidRPr="003E614C" w:rsidRDefault="001C46CD" w:rsidP="003E614C">
      <w:pPr>
        <w:spacing w:before="120" w:line="276" w:lineRule="auto"/>
        <w:jc w:val="both"/>
        <w:rPr>
          <w:rFonts w:ascii="Book Antiqua" w:hAnsi="Book Antiqua" w:cs="Times New Roman"/>
          <w:b/>
        </w:rPr>
      </w:pPr>
      <w:r>
        <w:rPr>
          <w:rFonts w:ascii="Book Antiqua" w:hAnsi="Book Antiqua" w:cs="Times New Roman"/>
          <w:b/>
        </w:rPr>
        <w:t>K Č</w:t>
      </w:r>
      <w:r w:rsidR="001C2709" w:rsidRPr="003E614C">
        <w:rPr>
          <w:rFonts w:ascii="Book Antiqua" w:hAnsi="Book Antiqua" w:cs="Times New Roman"/>
          <w:b/>
        </w:rPr>
        <w:t>l. I</w:t>
      </w:r>
    </w:p>
    <w:p w14:paraId="37BF9991" w14:textId="3154F7EB" w:rsidR="001C2709" w:rsidRPr="003E614C" w:rsidRDefault="001C2709" w:rsidP="003E614C">
      <w:pPr>
        <w:spacing w:before="120" w:line="276" w:lineRule="auto"/>
        <w:jc w:val="both"/>
        <w:rPr>
          <w:rFonts w:ascii="Book Antiqua" w:hAnsi="Book Antiqua" w:cs="Times New Roman"/>
          <w:u w:val="single"/>
        </w:rPr>
      </w:pPr>
      <w:r w:rsidRPr="003E614C">
        <w:rPr>
          <w:rFonts w:ascii="Book Antiqua" w:hAnsi="Book Antiqua" w:cs="Times New Roman"/>
          <w:u w:val="single"/>
        </w:rPr>
        <w:t>K bodu 1</w:t>
      </w:r>
    </w:p>
    <w:p w14:paraId="0568E311" w14:textId="575409A6" w:rsidR="009B723D" w:rsidRPr="003E614C" w:rsidRDefault="009B723D" w:rsidP="001C46CD">
      <w:pPr>
        <w:spacing w:before="120" w:line="276" w:lineRule="auto"/>
        <w:ind w:firstLine="708"/>
        <w:jc w:val="both"/>
        <w:rPr>
          <w:rFonts w:ascii="Book Antiqua" w:hAnsi="Book Antiqua" w:cs="Times New Roman"/>
        </w:rPr>
      </w:pPr>
      <w:r w:rsidRPr="003E614C">
        <w:rPr>
          <w:rFonts w:ascii="Book Antiqua" w:hAnsi="Book Antiqua" w:cs="Times New Roman"/>
        </w:rPr>
        <w:t xml:space="preserve">V tomto bode sa mení znenie ustanovenia § 1 ods. 1 písm. b) v záujme zahrnúť do predmetu zákona aj podmienky poskytovania odmeny oznamovateľom. </w:t>
      </w:r>
    </w:p>
    <w:p w14:paraId="1436C078" w14:textId="2060BD75" w:rsidR="001C2709" w:rsidRPr="003E614C" w:rsidRDefault="001C2709" w:rsidP="003E614C">
      <w:pPr>
        <w:spacing w:before="120" w:line="276" w:lineRule="auto"/>
        <w:jc w:val="both"/>
        <w:rPr>
          <w:rFonts w:ascii="Book Antiqua" w:hAnsi="Book Antiqua" w:cs="Times New Roman"/>
          <w:u w:val="single"/>
        </w:rPr>
      </w:pPr>
      <w:r w:rsidRPr="003E614C">
        <w:rPr>
          <w:rFonts w:ascii="Book Antiqua" w:hAnsi="Book Antiqua" w:cs="Times New Roman"/>
          <w:u w:val="single"/>
        </w:rPr>
        <w:t>K bodu 2</w:t>
      </w:r>
    </w:p>
    <w:p w14:paraId="07CFCA69" w14:textId="77777777" w:rsidR="001C46CD" w:rsidRDefault="009B723D" w:rsidP="001C46CD">
      <w:pPr>
        <w:spacing w:before="120" w:line="276" w:lineRule="auto"/>
        <w:ind w:firstLine="708"/>
        <w:jc w:val="both"/>
        <w:rPr>
          <w:rFonts w:ascii="Book Antiqua" w:hAnsi="Book Antiqua" w:cs="Times New Roman"/>
        </w:rPr>
      </w:pPr>
      <w:r w:rsidRPr="003E614C">
        <w:rPr>
          <w:rFonts w:ascii="Book Antiqua" w:hAnsi="Book Antiqua" w:cs="Times New Roman"/>
        </w:rPr>
        <w:t>Ustanove</w:t>
      </w:r>
      <w:r w:rsidR="001C46CD">
        <w:rPr>
          <w:rFonts w:ascii="Book Antiqua" w:hAnsi="Book Antiqua" w:cs="Times New Roman"/>
        </w:rPr>
        <w:t>nie § 2 písm. a) je spresnením</w:t>
      </w:r>
      <w:r w:rsidRPr="003E614C">
        <w:rPr>
          <w:rFonts w:ascii="Book Antiqua" w:hAnsi="Book Antiqua" w:cs="Times New Roman"/>
        </w:rPr>
        <w:t xml:space="preserve"> definície oznamovateľa a zároveň rozšírením skupiny osôb, ktoré sa považujú na účely zákona za oznamovateľa. Oznamovateľom môže byť iba fyzická osoba, ktorá urobila oznámenie v dobrej viere a toto oznámenie adresovala príslušnému orgánu na prijatie takéhoto oznámenia. Uvedené ustanovenie nadväzuje na bod 36 recitálu smernice (EÚ) 2019/1937 v platnom znení. Zároveň sa za oznamovateľa považuje i osoba, ktorá za zákonom stanovených podmienok zverejnila informácie o protispoločenskej činnosti.</w:t>
      </w:r>
    </w:p>
    <w:p w14:paraId="4FD80AE1" w14:textId="77777777" w:rsidR="001C46CD" w:rsidRDefault="009B723D" w:rsidP="001C46CD">
      <w:pPr>
        <w:spacing w:before="120" w:line="276" w:lineRule="auto"/>
        <w:ind w:firstLine="708"/>
        <w:jc w:val="both"/>
        <w:rPr>
          <w:rFonts w:ascii="Book Antiqua" w:hAnsi="Book Antiqua" w:cs="Times New Roman"/>
        </w:rPr>
      </w:pPr>
      <w:r w:rsidRPr="003E614C">
        <w:rPr>
          <w:rFonts w:ascii="Book Antiqua" w:hAnsi="Book Antiqua" w:cs="Times New Roman"/>
        </w:rPr>
        <w:t>Definícia oznamovateľa sa rozširuje aj o osobu, ktorá oznámi informácie o protispoločenskej činnosti, o ktorej sa dozvedela počas trvania pracovnoprávneho vzťahu alebo iného obdobného vzťahu, pričom tento pracovnoprávny vzťah alebo iný obdobný vzťah sa už skončil.</w:t>
      </w:r>
    </w:p>
    <w:p w14:paraId="6148A9BB" w14:textId="77777777" w:rsidR="001C46CD" w:rsidRDefault="009B723D" w:rsidP="001C46CD">
      <w:pPr>
        <w:spacing w:before="120" w:line="276" w:lineRule="auto"/>
        <w:ind w:firstLine="708"/>
        <w:jc w:val="both"/>
        <w:rPr>
          <w:rFonts w:ascii="Book Antiqua" w:hAnsi="Book Antiqua" w:cs="Times New Roman"/>
        </w:rPr>
      </w:pPr>
      <w:r w:rsidRPr="003E614C">
        <w:rPr>
          <w:rFonts w:ascii="Book Antiqua" w:hAnsi="Book Antiqua" w:cs="Times New Roman"/>
        </w:rPr>
        <w:t>Definícia sa rozširuje taktiež o osobu, ktorej pracovnoprávny vzťah alebo iný obdobný vzťah sa dosiaľ nezačal a má sa začať. Ochrana sa teda môže poskytovať aj uchádzačovi o zamestnanie bez ohľadu na to, či sa predmetný pracovnoprávny vzťah alebo iný obdobný vzťah s týmto uchádzačom začne alebo nie. Rovnako sa ochrana poskytuje aj inej osobe ako zamestnancovi, ktorá má určitý predzmluvný vzťah, s osobou voči ktorej smeruje oznámenie (napr. účastník tendra realizovaného súkromnou spoločnosťou, ktorý sa dozvie o protispoločenskej činnosti v tendri).</w:t>
      </w:r>
    </w:p>
    <w:p w14:paraId="374E5E80" w14:textId="77777777" w:rsidR="001C46CD" w:rsidRDefault="009B723D" w:rsidP="001C46CD">
      <w:pPr>
        <w:spacing w:before="120" w:line="276" w:lineRule="auto"/>
        <w:ind w:firstLine="708"/>
        <w:jc w:val="both"/>
        <w:rPr>
          <w:rFonts w:ascii="Book Antiqua" w:hAnsi="Book Antiqua" w:cs="Times New Roman"/>
        </w:rPr>
      </w:pPr>
      <w:r w:rsidRPr="003E614C">
        <w:rPr>
          <w:rFonts w:ascii="Book Antiqua" w:hAnsi="Book Antiqua" w:cs="Times New Roman"/>
        </w:rPr>
        <w:t xml:space="preserve">Ďalšou skupinou je fyzická osoba, ktorá urobila oznámenie anonymne, avšak jej totožnosť bola odhalená. V danom prípade je irelevantné, na základe akých skutočností prišlo k odhaleniu identity anonymného oznamovateľa. </w:t>
      </w:r>
    </w:p>
    <w:p w14:paraId="48B32048" w14:textId="77777777" w:rsidR="001C46CD" w:rsidRDefault="009B723D" w:rsidP="001C46CD">
      <w:pPr>
        <w:spacing w:before="120" w:line="276" w:lineRule="auto"/>
        <w:ind w:firstLine="708"/>
        <w:jc w:val="both"/>
        <w:rPr>
          <w:rFonts w:ascii="Book Antiqua" w:hAnsi="Book Antiqua" w:cs="Times New Roman"/>
        </w:rPr>
      </w:pPr>
      <w:r w:rsidRPr="003E614C">
        <w:rPr>
          <w:rFonts w:ascii="Book Antiqua" w:hAnsi="Book Antiqua" w:cs="Times New Roman"/>
        </w:rPr>
        <w:t>Základným predpokladom pre naplnenie definície oznamovateľa je kritérium dobrej viery, v ktorej daná osoba urobí oznámenie alebo zverejní informácie. Navrhovaná úprava nadväzuje na čl. 6 ods. 1 smernice (EÚ) 2019/1937 v platnom znení, pričom pojem „dobrá viera“ je vymedzený v ustanovení § 2 písm. h) zákona</w:t>
      </w:r>
      <w:r w:rsidR="0063319B" w:rsidRPr="003E614C">
        <w:rPr>
          <w:rFonts w:ascii="Book Antiqua" w:hAnsi="Book Antiqua" w:cs="Times New Roman"/>
        </w:rPr>
        <w:t xml:space="preserve">. </w:t>
      </w:r>
    </w:p>
    <w:p w14:paraId="0433A948" w14:textId="568F6A61" w:rsidR="0063319B" w:rsidRPr="001C46CD" w:rsidRDefault="0063319B" w:rsidP="001C46CD">
      <w:pPr>
        <w:spacing w:before="120" w:line="276" w:lineRule="auto"/>
        <w:ind w:firstLine="708"/>
        <w:jc w:val="both"/>
        <w:rPr>
          <w:rFonts w:ascii="Book Antiqua" w:hAnsi="Book Antiqua" w:cs="Times New Roman"/>
        </w:rPr>
      </w:pPr>
      <w:r w:rsidRPr="003E614C">
        <w:rPr>
          <w:rFonts w:ascii="Book Antiqua" w:hAnsi="Book Antiqua" w:cs="Times New Roman"/>
        </w:rPr>
        <w:t>Definícia sa rozširuje aj o osobu, ktor</w:t>
      </w:r>
      <w:r w:rsidR="001C46CD">
        <w:rPr>
          <w:rFonts w:ascii="Book Antiqua" w:hAnsi="Book Antiqua" w:cs="Times New Roman"/>
        </w:rPr>
        <w:t>á podá odôvodnený podnet podľa ú</w:t>
      </w:r>
      <w:r w:rsidRPr="003E614C">
        <w:rPr>
          <w:rFonts w:ascii="Book Antiqua" w:hAnsi="Book Antiqua" w:cs="Times New Roman"/>
        </w:rPr>
        <w:t>stavného zákona č. 357/2004 Z.</w:t>
      </w:r>
      <w:r w:rsidR="001C46CD">
        <w:rPr>
          <w:rFonts w:ascii="Book Antiqua" w:hAnsi="Book Antiqua" w:cs="Times New Roman"/>
        </w:rPr>
        <w:t xml:space="preserve"> </w:t>
      </w:r>
      <w:r w:rsidRPr="003E614C">
        <w:rPr>
          <w:rFonts w:ascii="Book Antiqua" w:hAnsi="Book Antiqua" w:cs="Times New Roman"/>
        </w:rPr>
        <w:t xml:space="preserve">z. o ochrane verejného záujmu pri výkone </w:t>
      </w:r>
      <w:r w:rsidR="001C46CD">
        <w:rPr>
          <w:rFonts w:ascii="Book Antiqua" w:hAnsi="Book Antiqua" w:cs="Times New Roman"/>
        </w:rPr>
        <w:t xml:space="preserve">funkcií verejných funkcionárov v znení neskorších predpisov </w:t>
      </w:r>
      <w:r w:rsidR="001C46CD" w:rsidRPr="001C46CD">
        <w:rPr>
          <w:rFonts w:ascii="Book Antiqua" w:hAnsi="Book Antiqua" w:cs="Times New Roman"/>
        </w:rPr>
        <w:t>a taký podnet bude z hľadiska jeho relevantnosti postúpený v zmysle správneho poriadku orgánu príslušnému na prijímanie oznámení o</w:t>
      </w:r>
      <w:r w:rsidR="001C46CD">
        <w:rPr>
          <w:rFonts w:ascii="Book Antiqua" w:hAnsi="Book Antiqua" w:cs="Times New Roman"/>
        </w:rPr>
        <w:t> </w:t>
      </w:r>
      <w:r w:rsidR="001C46CD" w:rsidRPr="001C46CD">
        <w:rPr>
          <w:rFonts w:ascii="Book Antiqua" w:hAnsi="Book Antiqua" w:cs="Times New Roman"/>
        </w:rPr>
        <w:t>korupcii</w:t>
      </w:r>
      <w:r w:rsidR="001C46CD">
        <w:rPr>
          <w:rFonts w:ascii="Book Antiqua" w:hAnsi="Book Antiqua" w:cs="Times New Roman"/>
        </w:rPr>
        <w:t>.</w:t>
      </w:r>
    </w:p>
    <w:p w14:paraId="73D7E0ED" w14:textId="77777777" w:rsidR="001C46CD" w:rsidRDefault="001C46CD" w:rsidP="003E614C">
      <w:pPr>
        <w:spacing w:before="120" w:line="276" w:lineRule="auto"/>
        <w:jc w:val="both"/>
        <w:rPr>
          <w:rFonts w:ascii="Book Antiqua" w:hAnsi="Book Antiqua" w:cs="Times New Roman"/>
          <w:u w:val="single"/>
        </w:rPr>
      </w:pPr>
    </w:p>
    <w:p w14:paraId="78C6E4DE" w14:textId="77777777" w:rsidR="001C46CD" w:rsidRDefault="009B723D" w:rsidP="003E614C">
      <w:pPr>
        <w:spacing w:before="120" w:line="276" w:lineRule="auto"/>
        <w:jc w:val="both"/>
        <w:rPr>
          <w:rFonts w:ascii="Book Antiqua" w:hAnsi="Book Antiqua" w:cs="Times New Roman"/>
          <w:u w:val="single"/>
        </w:rPr>
      </w:pPr>
      <w:r w:rsidRPr="003E614C">
        <w:rPr>
          <w:rFonts w:ascii="Book Antiqua" w:hAnsi="Book Antiqua" w:cs="Times New Roman"/>
          <w:u w:val="single"/>
        </w:rPr>
        <w:t>K bodu 3</w:t>
      </w:r>
    </w:p>
    <w:p w14:paraId="7D855DE2" w14:textId="5C1D872E" w:rsidR="0063319B" w:rsidRPr="001C46CD" w:rsidRDefault="001C46CD" w:rsidP="001C46CD">
      <w:pPr>
        <w:spacing w:before="120" w:line="276" w:lineRule="auto"/>
        <w:ind w:firstLine="708"/>
        <w:jc w:val="both"/>
        <w:rPr>
          <w:rFonts w:ascii="Book Antiqua" w:hAnsi="Book Antiqua" w:cs="Times New Roman"/>
          <w:u w:val="single"/>
        </w:rPr>
      </w:pPr>
      <w:r>
        <w:rPr>
          <w:rFonts w:ascii="Book Antiqua" w:hAnsi="Book Antiqua" w:cs="Times New Roman"/>
        </w:rPr>
        <w:lastRenderedPageBreak/>
        <w:t xml:space="preserve">Navrhovaná zmena vyplýva z </w:t>
      </w:r>
      <w:r w:rsidR="0063319B" w:rsidRPr="003E614C">
        <w:rPr>
          <w:rFonts w:ascii="Book Antiqua" w:hAnsi="Book Antiqua" w:cs="Times New Roman"/>
        </w:rPr>
        <w:t xml:space="preserve">čl. 5 ods. 2 smernice (EÚ) 2019/1937 v platnom znení, ktorá adresnejšie definuje oznámenie protispoločenskej činnosti, o ktorej sa oznamovateľ dozvie v súvislosti s jeho pracovnoprávnym alebo iným obdobným vzťahom. Ustanovenie zahŕňa aj spôsob získania informácie v súvislosti s výkonom </w:t>
      </w:r>
      <w:r>
        <w:rPr>
          <w:rFonts w:ascii="Book Antiqua" w:hAnsi="Book Antiqua" w:cs="Times New Roman"/>
        </w:rPr>
        <w:t xml:space="preserve">akejkoľvek </w:t>
      </w:r>
      <w:r w:rsidR="0063319B" w:rsidRPr="003E614C">
        <w:rPr>
          <w:rFonts w:ascii="Book Antiqua" w:hAnsi="Book Antiqua" w:cs="Times New Roman"/>
        </w:rPr>
        <w:t xml:space="preserve">činnosti </w:t>
      </w:r>
      <w:r>
        <w:rPr>
          <w:rFonts w:ascii="Book Antiqua" w:hAnsi="Book Antiqua" w:cs="Times New Roman"/>
        </w:rPr>
        <w:t xml:space="preserve">oznamovateľa korupcie, predovšetkým </w:t>
      </w:r>
      <w:r w:rsidR="0063319B" w:rsidRPr="003E614C">
        <w:rPr>
          <w:rFonts w:ascii="Book Antiqua" w:hAnsi="Book Antiqua" w:cs="Times New Roman"/>
        </w:rPr>
        <w:t>podľa zákona č. 473/2005 Z. z. o poskytovaní služieb v</w:t>
      </w:r>
      <w:r>
        <w:rPr>
          <w:rFonts w:ascii="Book Antiqua" w:hAnsi="Book Antiqua" w:cs="Times New Roman"/>
        </w:rPr>
        <w:t> oblasti súkromnej bezpečnosti (t.j. napr. bezpečnostné – detektívne služby).</w:t>
      </w:r>
    </w:p>
    <w:p w14:paraId="571BC1F9" w14:textId="0D9022AC" w:rsidR="009B723D" w:rsidRPr="003E614C" w:rsidRDefault="009B723D" w:rsidP="003E614C">
      <w:pPr>
        <w:spacing w:before="120" w:line="276" w:lineRule="auto"/>
        <w:jc w:val="both"/>
        <w:rPr>
          <w:rFonts w:ascii="Book Antiqua" w:hAnsi="Book Antiqua" w:cs="Times New Roman"/>
          <w:u w:val="single"/>
        </w:rPr>
      </w:pPr>
      <w:r w:rsidRPr="003E614C">
        <w:rPr>
          <w:rFonts w:ascii="Book Antiqua" w:hAnsi="Book Antiqua" w:cs="Times New Roman"/>
          <w:u w:val="single"/>
        </w:rPr>
        <w:t>K bodu 4</w:t>
      </w:r>
    </w:p>
    <w:p w14:paraId="41428DFF" w14:textId="77777777" w:rsidR="001C46CD" w:rsidRDefault="001C46CD" w:rsidP="001C46CD">
      <w:pPr>
        <w:spacing w:before="120" w:line="276" w:lineRule="auto"/>
        <w:ind w:firstLine="708"/>
        <w:jc w:val="both"/>
        <w:rPr>
          <w:rFonts w:ascii="Book Antiqua" w:hAnsi="Book Antiqua" w:cs="Times New Roman"/>
        </w:rPr>
      </w:pPr>
      <w:r>
        <w:rPr>
          <w:rFonts w:ascii="Book Antiqua" w:hAnsi="Book Antiqua" w:cs="Times New Roman"/>
        </w:rPr>
        <w:t>V tomto bode sa spresňuje</w:t>
      </w:r>
      <w:r w:rsidR="006B47C5" w:rsidRPr="003E614C">
        <w:rPr>
          <w:rFonts w:ascii="Book Antiqua" w:hAnsi="Book Antiqua" w:cs="Times New Roman"/>
        </w:rPr>
        <w:t xml:space="preserve"> a</w:t>
      </w:r>
      <w:r>
        <w:rPr>
          <w:rFonts w:ascii="Book Antiqua" w:hAnsi="Book Antiqua" w:cs="Times New Roman"/>
        </w:rPr>
        <w:t xml:space="preserve"> významne </w:t>
      </w:r>
      <w:r w:rsidR="006B47C5" w:rsidRPr="003E614C">
        <w:rPr>
          <w:rFonts w:ascii="Book Antiqua" w:hAnsi="Book Antiqua" w:cs="Times New Roman"/>
        </w:rPr>
        <w:t xml:space="preserve">dopĺňa znenie § 9, ktorý sa nachádza v platnom a účinnom znení zákona. Precizuje sa forma odmeny patriaca oznamovateľovi, ktorý urobí kvalifikované oznámenia. Zároveň sa dopĺňa ustanovenie o právnom nároku na odmenu, ktorý prechádza na dedičov oznamovateľa. </w:t>
      </w:r>
    </w:p>
    <w:p w14:paraId="07CBD8BA" w14:textId="77777777" w:rsidR="001C46CD" w:rsidRDefault="00C66B6A" w:rsidP="001C46CD">
      <w:pPr>
        <w:spacing w:before="120" w:line="276" w:lineRule="auto"/>
        <w:ind w:firstLine="708"/>
        <w:jc w:val="both"/>
        <w:rPr>
          <w:rFonts w:ascii="Book Antiqua" w:hAnsi="Book Antiqua" w:cs="Times New Roman"/>
        </w:rPr>
      </w:pPr>
      <w:r w:rsidRPr="003E614C">
        <w:rPr>
          <w:rFonts w:ascii="Book Antiqua" w:hAnsi="Book Antiqua" w:cs="Times New Roman"/>
        </w:rPr>
        <w:t>Formy odmeny sú dve – jednorazová paušálna odmena a podielová odmena. Paušálna odmena je odmenou za odvahu oznamovateľa a podielová odmena je odmenou za navrátenie majetku v správe štátu, t.j. zásluhovou odmenou.</w:t>
      </w:r>
    </w:p>
    <w:p w14:paraId="622CB1D5" w14:textId="77777777" w:rsidR="001C46CD" w:rsidRDefault="002560DF" w:rsidP="001C46CD">
      <w:pPr>
        <w:spacing w:before="120" w:line="276" w:lineRule="auto"/>
        <w:ind w:firstLine="708"/>
        <w:jc w:val="both"/>
        <w:rPr>
          <w:rFonts w:ascii="Book Antiqua" w:hAnsi="Book Antiqua" w:cs="Times New Roman"/>
        </w:rPr>
      </w:pPr>
      <w:r w:rsidRPr="003E614C">
        <w:rPr>
          <w:rFonts w:ascii="Book Antiqua" w:hAnsi="Book Antiqua" w:cs="Times New Roman"/>
        </w:rPr>
        <w:t>Paušálna odmena je jednorazovou odmenou, ktorá sa vypláca oznamovateľovi za odvahu a za to, že bol ochotný nahradiť štát v boji proti protispoločenskej činnosti a oznámiť takú významnú skutočnosť, ktorá viedla k objasneniu trestného činu, zisteniu alebo usvedčeniu páchateľa alebo k predídeniu alebo zabráneniu š</w:t>
      </w:r>
      <w:r w:rsidR="001C46CD">
        <w:rPr>
          <w:rFonts w:ascii="Book Antiqua" w:hAnsi="Book Antiqua" w:cs="Times New Roman"/>
        </w:rPr>
        <w:t>kode na majetku v správe štátu.</w:t>
      </w:r>
    </w:p>
    <w:p w14:paraId="386B9F73" w14:textId="77777777" w:rsidR="001C46CD" w:rsidRDefault="006B47C5" w:rsidP="001C46CD">
      <w:pPr>
        <w:spacing w:before="120" w:line="276" w:lineRule="auto"/>
        <w:ind w:firstLine="708"/>
        <w:jc w:val="both"/>
        <w:rPr>
          <w:rFonts w:ascii="Book Antiqua" w:hAnsi="Book Antiqua" w:cs="Times New Roman"/>
        </w:rPr>
      </w:pPr>
      <w:r w:rsidRPr="003E614C">
        <w:rPr>
          <w:rFonts w:ascii="Book Antiqua" w:hAnsi="Book Antiqua" w:cs="Times New Roman"/>
        </w:rPr>
        <w:t>Výška podielovej odmeny sa stanovuje na 50%z majetku navrátenej štátu (napríklad v trestnom konaní). V prípade potreby stanoviť všeobecnú hodnotu majetku štátu postupuje sa podľa vyhlášky Ministerstva spravodlivosti SR č. 492/2004 Z.</w:t>
      </w:r>
      <w:r w:rsidR="001C46CD">
        <w:rPr>
          <w:rFonts w:ascii="Book Antiqua" w:hAnsi="Book Antiqua" w:cs="Times New Roman"/>
        </w:rPr>
        <w:t xml:space="preserve"> </w:t>
      </w:r>
      <w:r w:rsidRPr="003E614C">
        <w:rPr>
          <w:rFonts w:ascii="Book Antiqua" w:hAnsi="Book Antiqua" w:cs="Times New Roman"/>
        </w:rPr>
        <w:t xml:space="preserve">z. o stanovení všeobecnej hodnoty majetku v znení neskorších predpisov. </w:t>
      </w:r>
    </w:p>
    <w:p w14:paraId="7B01D846" w14:textId="77777777" w:rsidR="001C46CD" w:rsidRDefault="00C66B6A" w:rsidP="001C46CD">
      <w:pPr>
        <w:spacing w:before="120" w:line="276" w:lineRule="auto"/>
        <w:ind w:firstLine="708"/>
        <w:jc w:val="both"/>
        <w:rPr>
          <w:rFonts w:ascii="Book Antiqua" w:hAnsi="Book Antiqua" w:cs="Times New Roman"/>
        </w:rPr>
      </w:pPr>
      <w:r w:rsidRPr="003E614C">
        <w:rPr>
          <w:rFonts w:ascii="Book Antiqua" w:hAnsi="Book Antiqua" w:cs="Times New Roman"/>
        </w:rPr>
        <w:t>Zároveň sa dopĺňa ustanovenie o právnom nároku na odmenu, ktorý prechádza na dedičov/právnych nástupcov oznamovateľa. Na odmenu je právny nárok, ktorý prechádza na právnych nás</w:t>
      </w:r>
      <w:r w:rsidR="001C46CD">
        <w:rPr>
          <w:rFonts w:ascii="Book Antiqua" w:hAnsi="Book Antiqua" w:cs="Times New Roman"/>
        </w:rPr>
        <w:t>tupcov oznamovateľa korupcie</w:t>
      </w:r>
      <w:r w:rsidRPr="003E614C">
        <w:rPr>
          <w:rFonts w:ascii="Book Antiqua" w:hAnsi="Book Antiqua" w:cs="Times New Roman"/>
        </w:rPr>
        <w:t xml:space="preserve"> – je to preto, že oznamovateľ je neraz vystavený enormnému psychickému a emocionálnemu stresu vrátane postihu zo strany zamestnávateľa, ktorý jednoznačne vplýva aj na jeho blízkych, rodinných príslušníkov, či kolegov v</w:t>
      </w:r>
      <w:r w:rsidR="001C46CD">
        <w:rPr>
          <w:rFonts w:ascii="Book Antiqua" w:hAnsi="Book Antiqua" w:cs="Times New Roman"/>
        </w:rPr>
        <w:t xml:space="preserve"> práci </w:t>
      </w:r>
      <w:r w:rsidRPr="003E614C">
        <w:rPr>
          <w:rFonts w:ascii="Book Antiqua" w:hAnsi="Book Antiqua" w:cs="Times New Roman"/>
        </w:rPr>
        <w:t xml:space="preserve"> a takýto stres má dopad na zdravie a neraz </w:t>
      </w:r>
      <w:r w:rsidR="001C46CD">
        <w:rPr>
          <w:rFonts w:ascii="Book Antiqua" w:hAnsi="Book Antiqua" w:cs="Times New Roman"/>
        </w:rPr>
        <w:t>i život oznamovateľa korupcie</w:t>
      </w:r>
      <w:r w:rsidRPr="003E614C">
        <w:rPr>
          <w:rFonts w:ascii="Book Antiqua" w:hAnsi="Book Antiqua" w:cs="Times New Roman"/>
        </w:rPr>
        <w:t>; preto sa zdá spravodlivé, aby v prípade, ak bojovník proti korupcii zomrie ešte pred poskytnutím odmeny, mali na túto odmenu nárok aj jeho dedičia a v prípade právnickej osoby aj právni nástupca takejto právnickej osoby.</w:t>
      </w:r>
    </w:p>
    <w:p w14:paraId="686759FF" w14:textId="2B2FAD61" w:rsidR="009B723D" w:rsidRPr="001C46CD" w:rsidRDefault="001C46CD" w:rsidP="001C46CD">
      <w:pPr>
        <w:spacing w:before="120" w:line="276" w:lineRule="auto"/>
        <w:jc w:val="both"/>
        <w:rPr>
          <w:rFonts w:ascii="Book Antiqua" w:hAnsi="Book Antiqua" w:cs="Times New Roman"/>
        </w:rPr>
      </w:pPr>
      <w:r>
        <w:rPr>
          <w:rFonts w:ascii="Book Antiqua" w:hAnsi="Book Antiqua" w:cs="Times New Roman"/>
          <w:u w:val="single"/>
        </w:rPr>
        <w:t>K bodom</w:t>
      </w:r>
      <w:r w:rsidR="009B723D" w:rsidRPr="003E614C">
        <w:rPr>
          <w:rFonts w:ascii="Book Antiqua" w:hAnsi="Book Antiqua" w:cs="Times New Roman"/>
          <w:u w:val="single"/>
        </w:rPr>
        <w:t xml:space="preserve"> 5</w:t>
      </w:r>
      <w:r w:rsidR="006305D6" w:rsidRPr="003E614C">
        <w:rPr>
          <w:rFonts w:ascii="Book Antiqua" w:hAnsi="Book Antiqua" w:cs="Times New Roman"/>
          <w:u w:val="single"/>
        </w:rPr>
        <w:t xml:space="preserve"> a 6</w:t>
      </w:r>
    </w:p>
    <w:p w14:paraId="28337A26" w14:textId="559CF513" w:rsidR="009B723D" w:rsidRPr="003E614C" w:rsidRDefault="001C46CD" w:rsidP="001C46CD">
      <w:pPr>
        <w:spacing w:before="120" w:line="276" w:lineRule="auto"/>
        <w:ind w:firstLine="708"/>
        <w:jc w:val="both"/>
        <w:rPr>
          <w:rFonts w:ascii="Book Antiqua" w:hAnsi="Book Antiqua" w:cs="Times New Roman"/>
        </w:rPr>
      </w:pPr>
      <w:r>
        <w:rPr>
          <w:rFonts w:ascii="Book Antiqua" w:hAnsi="Book Antiqua" w:cs="Times New Roman"/>
        </w:rPr>
        <w:t>V týchto bodoch sa upravuje prechodné ustanovenie</w:t>
      </w:r>
      <w:r w:rsidR="006305D6" w:rsidRPr="003E614C">
        <w:rPr>
          <w:rFonts w:ascii="Book Antiqua" w:hAnsi="Book Antiqua" w:cs="Times New Roman"/>
        </w:rPr>
        <w:t xml:space="preserve">, odkaz na transpozičnú prílohu a dopĺňa sa príloha č. 1 „ Zoznam preberaných právne záväzných aktov Európskej únie“. </w:t>
      </w:r>
    </w:p>
    <w:p w14:paraId="7F414FAA" w14:textId="0C5E157F" w:rsidR="009B723D" w:rsidRPr="003E614C" w:rsidRDefault="009B723D" w:rsidP="003E614C">
      <w:pPr>
        <w:spacing w:before="120" w:line="276" w:lineRule="auto"/>
        <w:jc w:val="both"/>
        <w:rPr>
          <w:rFonts w:ascii="Book Antiqua" w:hAnsi="Book Antiqua" w:cs="Times New Roman"/>
        </w:rPr>
      </w:pPr>
    </w:p>
    <w:p w14:paraId="78454DAD" w14:textId="2AE422AE" w:rsidR="001C2709" w:rsidRPr="003E614C" w:rsidRDefault="001C46CD" w:rsidP="003E614C">
      <w:pPr>
        <w:spacing w:before="120" w:line="276" w:lineRule="auto"/>
        <w:jc w:val="both"/>
        <w:rPr>
          <w:rFonts w:ascii="Book Antiqua" w:hAnsi="Book Antiqua" w:cs="Times New Roman"/>
          <w:b/>
        </w:rPr>
      </w:pPr>
      <w:r>
        <w:rPr>
          <w:rFonts w:ascii="Book Antiqua" w:hAnsi="Book Antiqua" w:cs="Times New Roman"/>
          <w:b/>
        </w:rPr>
        <w:t>K Č</w:t>
      </w:r>
      <w:r w:rsidR="001C2709" w:rsidRPr="003E614C">
        <w:rPr>
          <w:rFonts w:ascii="Book Antiqua" w:hAnsi="Book Antiqua" w:cs="Times New Roman"/>
          <w:b/>
        </w:rPr>
        <w:t>l. II</w:t>
      </w:r>
    </w:p>
    <w:p w14:paraId="313FB483" w14:textId="0582AA13" w:rsidR="006305D6" w:rsidRDefault="001C46CD" w:rsidP="001C46CD">
      <w:pPr>
        <w:spacing w:before="120" w:line="276" w:lineRule="auto"/>
        <w:ind w:firstLine="708"/>
        <w:jc w:val="both"/>
        <w:rPr>
          <w:rFonts w:ascii="Book Antiqua" w:hAnsi="Book Antiqua" w:cs="Times New Roman"/>
          <w:bCs/>
        </w:rPr>
      </w:pPr>
      <w:r>
        <w:rPr>
          <w:rFonts w:ascii="Book Antiqua" w:hAnsi="Book Antiqua" w:cs="Times New Roman"/>
          <w:bCs/>
        </w:rPr>
        <w:t>Týmto článkom</w:t>
      </w:r>
      <w:r w:rsidR="006305D6" w:rsidRPr="003E614C">
        <w:rPr>
          <w:rFonts w:ascii="Book Antiqua" w:hAnsi="Book Antiqua" w:cs="Times New Roman"/>
          <w:bCs/>
        </w:rPr>
        <w:t xml:space="preserve"> sa dopĺňa § 76 ods. 7 Zákonníka práce, v ktorom sa upravuje povinnosť zamestnávateľa poskytnúť zames</w:t>
      </w:r>
      <w:r>
        <w:rPr>
          <w:rFonts w:ascii="Book Antiqua" w:hAnsi="Book Antiqua" w:cs="Times New Roman"/>
          <w:bCs/>
        </w:rPr>
        <w:t>tnancovi odstupné vo výške šesť</w:t>
      </w:r>
      <w:r w:rsidR="006305D6" w:rsidRPr="003E614C">
        <w:rPr>
          <w:rFonts w:ascii="Book Antiqua" w:hAnsi="Book Antiqua" w:cs="Times New Roman"/>
          <w:bCs/>
        </w:rPr>
        <w:t xml:space="preserve">násobku jeho priemerného mesačného zárobku v prípade jeho </w:t>
      </w:r>
      <w:proofErr w:type="spellStart"/>
      <w:r w:rsidR="006305D6" w:rsidRPr="003E614C">
        <w:rPr>
          <w:rFonts w:ascii="Book Antiqua" w:hAnsi="Book Antiqua" w:cs="Times New Roman"/>
          <w:bCs/>
        </w:rPr>
        <w:t>viktimizácie</w:t>
      </w:r>
      <w:proofErr w:type="spellEnd"/>
      <w:r w:rsidR="006305D6" w:rsidRPr="003E614C">
        <w:rPr>
          <w:rFonts w:ascii="Book Antiqua" w:hAnsi="Book Antiqua" w:cs="Times New Roman"/>
          <w:bCs/>
        </w:rPr>
        <w:t xml:space="preserve"> v zamestnaní po oznámení protispoločensk</w:t>
      </w:r>
      <w:r w:rsidR="0001587B">
        <w:rPr>
          <w:rFonts w:ascii="Book Antiqua" w:hAnsi="Book Antiqua" w:cs="Times New Roman"/>
          <w:bCs/>
        </w:rPr>
        <w:t xml:space="preserve">ej činnosti a podania výpovede zamestnanca z dôvodu takej </w:t>
      </w:r>
      <w:proofErr w:type="spellStart"/>
      <w:r w:rsidR="0001587B">
        <w:rPr>
          <w:rFonts w:ascii="Book Antiqua" w:hAnsi="Book Antiqua" w:cs="Times New Roman"/>
          <w:bCs/>
        </w:rPr>
        <w:t>viktimizácie</w:t>
      </w:r>
      <w:proofErr w:type="spellEnd"/>
      <w:r w:rsidR="0001587B">
        <w:rPr>
          <w:rFonts w:ascii="Book Antiqua" w:hAnsi="Book Antiqua" w:cs="Times New Roman"/>
          <w:bCs/>
        </w:rPr>
        <w:t>.</w:t>
      </w:r>
    </w:p>
    <w:p w14:paraId="1C4B22D9" w14:textId="63B74347" w:rsidR="001C46CD" w:rsidRDefault="001C46CD" w:rsidP="001C46CD">
      <w:pPr>
        <w:spacing w:before="120" w:line="276" w:lineRule="auto"/>
        <w:ind w:firstLine="708"/>
        <w:jc w:val="both"/>
        <w:rPr>
          <w:rFonts w:ascii="Book Antiqua" w:hAnsi="Book Antiqua" w:cs="Times New Roman"/>
        </w:rPr>
      </w:pPr>
      <w:r>
        <w:rPr>
          <w:rFonts w:ascii="Book Antiqua" w:hAnsi="Book Antiqua" w:cs="Times New Roman"/>
          <w:bCs/>
        </w:rPr>
        <w:lastRenderedPageBreak/>
        <w:t xml:space="preserve">Musí ísť o preukázateľnú </w:t>
      </w:r>
      <w:proofErr w:type="spellStart"/>
      <w:r>
        <w:rPr>
          <w:rFonts w:ascii="Book Antiqua" w:hAnsi="Book Antiqua" w:cs="Times New Roman"/>
          <w:bCs/>
        </w:rPr>
        <w:t>viktimizáciu</w:t>
      </w:r>
      <w:proofErr w:type="spellEnd"/>
      <w:r>
        <w:rPr>
          <w:rFonts w:ascii="Book Antiqua" w:hAnsi="Book Antiqua" w:cs="Times New Roman"/>
          <w:bCs/>
        </w:rPr>
        <w:t xml:space="preserve"> podľa zákona č. </w:t>
      </w:r>
      <w:r w:rsidRPr="003E614C">
        <w:rPr>
          <w:rFonts w:ascii="Book Antiqua" w:hAnsi="Book Antiqua" w:cs="Times New Roman"/>
        </w:rPr>
        <w:t>54/2019 Z.</w:t>
      </w:r>
      <w:r>
        <w:rPr>
          <w:rFonts w:ascii="Book Antiqua" w:hAnsi="Book Antiqua" w:cs="Times New Roman"/>
        </w:rPr>
        <w:t xml:space="preserve"> </w:t>
      </w:r>
      <w:r w:rsidRPr="003E614C">
        <w:rPr>
          <w:rFonts w:ascii="Book Antiqua" w:hAnsi="Book Antiqua" w:cs="Times New Roman"/>
        </w:rPr>
        <w:t>z. o ochrane oznamovateľov protispoločenskej činnosti a o zmene a doplnení niektorých zákonov</w:t>
      </w:r>
      <w:r>
        <w:rPr>
          <w:rFonts w:ascii="Book Antiqua" w:hAnsi="Book Antiqua" w:cs="Times New Roman"/>
        </w:rPr>
        <w:t>, t.j.:</w:t>
      </w:r>
    </w:p>
    <w:p w14:paraId="089CE711" w14:textId="5A0EC18D" w:rsidR="001C46CD" w:rsidRDefault="001C46CD" w:rsidP="0001587B">
      <w:pPr>
        <w:spacing w:before="120" w:line="276" w:lineRule="auto"/>
        <w:ind w:left="851" w:hanging="425"/>
        <w:jc w:val="both"/>
        <w:rPr>
          <w:rFonts w:ascii="Book Antiqua" w:hAnsi="Book Antiqua" w:cs="Times New Roman"/>
        </w:rPr>
      </w:pPr>
      <w:r>
        <w:rPr>
          <w:rFonts w:ascii="Book Antiqua" w:hAnsi="Book Antiqua" w:cs="Times New Roman"/>
        </w:rPr>
        <w:t xml:space="preserve">1. </w:t>
      </w:r>
      <w:r w:rsidR="0001587B">
        <w:rPr>
          <w:rFonts w:ascii="Book Antiqua" w:hAnsi="Book Antiqua" w:cs="Times New Roman"/>
        </w:rPr>
        <w:tab/>
      </w:r>
      <w:r>
        <w:rPr>
          <w:rFonts w:ascii="Book Antiqua" w:hAnsi="Book Antiqua" w:cs="Times New Roman"/>
        </w:rPr>
        <w:t xml:space="preserve">opakované </w:t>
      </w:r>
      <w:r w:rsidR="0001587B">
        <w:rPr>
          <w:rFonts w:ascii="Book Antiqua" w:hAnsi="Book Antiqua" w:cs="Times New Roman"/>
        </w:rPr>
        <w:t>(najmenej dvakrát) neudelenie súhlasu zamestnávateľovi Úradom na ochranu oznamovateľov protispoločenskej činnosti pri pracovnoprávnom úkone voči zamestnancovi podľa § 7 uvedeného zákona,</w:t>
      </w:r>
    </w:p>
    <w:p w14:paraId="3DBD3669" w14:textId="03242900" w:rsidR="0001587B" w:rsidRPr="003E614C" w:rsidRDefault="0001587B" w:rsidP="0001587B">
      <w:pPr>
        <w:spacing w:before="120" w:line="276" w:lineRule="auto"/>
        <w:ind w:left="851" w:hanging="425"/>
        <w:jc w:val="both"/>
        <w:rPr>
          <w:rFonts w:ascii="Book Antiqua" w:hAnsi="Book Antiqua" w:cs="Times New Roman"/>
          <w:bCs/>
        </w:rPr>
      </w:pPr>
      <w:r>
        <w:rPr>
          <w:rFonts w:ascii="Book Antiqua" w:hAnsi="Book Antiqua" w:cs="Times New Roman"/>
        </w:rPr>
        <w:t>2.</w:t>
      </w:r>
      <w:r>
        <w:rPr>
          <w:rFonts w:ascii="Book Antiqua" w:hAnsi="Book Antiqua" w:cs="Times New Roman"/>
        </w:rPr>
        <w:tab/>
        <w:t>úspech zamestnanca v spore o nariadenie neodkladného opatrenia zo strany súdu v prípade, ak zamestnávateľ voči nemu vykoná pracovnoprávny úkon, ktorého účinnosť v zmysle § 12 uvedeného zákona pozastaví Úrad na ochranu oznamovateľov protispoločenskej činnosti.</w:t>
      </w:r>
    </w:p>
    <w:p w14:paraId="7F650284" w14:textId="77777777" w:rsidR="002560DF" w:rsidRPr="003E614C" w:rsidRDefault="002560DF" w:rsidP="003E614C">
      <w:pPr>
        <w:spacing w:before="120" w:line="276" w:lineRule="auto"/>
        <w:jc w:val="both"/>
        <w:rPr>
          <w:rFonts w:ascii="Book Antiqua" w:hAnsi="Book Antiqua" w:cs="Times New Roman"/>
          <w:b/>
          <w:bCs/>
        </w:rPr>
      </w:pPr>
    </w:p>
    <w:p w14:paraId="2579537C" w14:textId="494C21C0" w:rsidR="009B723D" w:rsidRPr="003E614C" w:rsidRDefault="0001587B" w:rsidP="003E614C">
      <w:pPr>
        <w:spacing w:before="120" w:line="276" w:lineRule="auto"/>
        <w:jc w:val="both"/>
        <w:rPr>
          <w:rFonts w:ascii="Book Antiqua" w:hAnsi="Book Antiqua" w:cs="Times New Roman"/>
          <w:b/>
          <w:bCs/>
        </w:rPr>
      </w:pPr>
      <w:r>
        <w:rPr>
          <w:rFonts w:ascii="Book Antiqua" w:hAnsi="Book Antiqua" w:cs="Times New Roman"/>
          <w:b/>
          <w:bCs/>
        </w:rPr>
        <w:t>K Č</w:t>
      </w:r>
      <w:r w:rsidR="009B723D" w:rsidRPr="003E614C">
        <w:rPr>
          <w:rFonts w:ascii="Book Antiqua" w:hAnsi="Book Antiqua" w:cs="Times New Roman"/>
          <w:b/>
          <w:bCs/>
        </w:rPr>
        <w:t>l. III</w:t>
      </w:r>
    </w:p>
    <w:p w14:paraId="1AABE1BD" w14:textId="77777777" w:rsidR="00B636A5" w:rsidRPr="00B636A5" w:rsidRDefault="00B636A5" w:rsidP="00B636A5">
      <w:pPr>
        <w:spacing w:before="120" w:line="276" w:lineRule="auto"/>
        <w:ind w:firstLine="709"/>
        <w:jc w:val="both"/>
        <w:rPr>
          <w:rFonts w:ascii="Book Antiqua" w:hAnsi="Book Antiqua" w:cs="Times New Roman"/>
        </w:rPr>
      </w:pPr>
      <w:r w:rsidRPr="00B636A5">
        <w:rPr>
          <w:rFonts w:ascii="Book Antiqua" w:hAnsi="Book Antiqua" w:cs="Times New Roman"/>
        </w:rPr>
        <w:t xml:space="preserve">V tomto článku sa zákon č. 261/2017 Z. z. o štátnej cene Jozefa Miloslava Hurbana a štátnej cene Alexandra Dubčeka v platnom znení dopĺňa o štátnu cenu Juraja </w:t>
      </w:r>
      <w:proofErr w:type="spellStart"/>
      <w:r w:rsidRPr="00B636A5">
        <w:rPr>
          <w:rFonts w:ascii="Book Antiqua" w:hAnsi="Book Antiqua" w:cs="Times New Roman"/>
        </w:rPr>
        <w:t>Langsfelda</w:t>
      </w:r>
      <w:proofErr w:type="spellEnd"/>
      <w:r w:rsidRPr="00B636A5">
        <w:rPr>
          <w:rFonts w:ascii="Book Antiqua" w:hAnsi="Book Antiqua" w:cs="Times New Roman"/>
        </w:rPr>
        <w:t xml:space="preserve">, v nadväznosti na to sa navrhuje aj zmena názvu tohto zákona. </w:t>
      </w:r>
    </w:p>
    <w:p w14:paraId="4EFFD1F9" w14:textId="77777777" w:rsidR="00B636A5" w:rsidRPr="00B636A5" w:rsidRDefault="00B636A5" w:rsidP="00B636A5">
      <w:pPr>
        <w:spacing w:before="120" w:line="276" w:lineRule="auto"/>
        <w:ind w:firstLine="709"/>
        <w:jc w:val="both"/>
        <w:rPr>
          <w:rFonts w:ascii="Book Antiqua" w:hAnsi="Book Antiqua" w:cs="Times New Roman"/>
        </w:rPr>
      </w:pPr>
      <w:r w:rsidRPr="00B636A5">
        <w:rPr>
          <w:rFonts w:ascii="Book Antiqua" w:hAnsi="Book Antiqua" w:cs="Times New Roman"/>
        </w:rPr>
        <w:t xml:space="preserve">Oznamovatelia korupcie sa môžu dostať vzhľadom na svoju odvahu nielen  do ekonomických ťažkostí, ale často aj do neraz ešte ťaživejších sociálnych problémov. Sú odsúdení vo svojom okolí, odvracajú sa od nich nielen zamestnávatelia ale aj kolegovia a známi, ba neraz aj rodina, pričom nie je výnimkou, že takýto ľudia sa často vo svojej profesii stávajú nežiadúcimi. Preto je veľmi dôležité, aby boli títo odvážni ľudia spoločensky vyzdvihnutí, ocenení a ich konanie dávané ako príklad pre ostatných. Pre názov ocenenia bola vybraná  osobnosť Juraja </w:t>
      </w:r>
      <w:proofErr w:type="spellStart"/>
      <w:r w:rsidRPr="00B636A5">
        <w:rPr>
          <w:rFonts w:ascii="Book Antiqua" w:hAnsi="Book Antiqua" w:cs="Times New Roman"/>
        </w:rPr>
        <w:t>Langsfelda</w:t>
      </w:r>
      <w:proofErr w:type="spellEnd"/>
      <w:r w:rsidRPr="00B636A5">
        <w:rPr>
          <w:rFonts w:ascii="Book Antiqua" w:hAnsi="Book Antiqua" w:cs="Times New Roman"/>
        </w:rPr>
        <w:t>, učiteľa a bojovníka z meruôsmych rokov, ktorý pri voľbe medzi milosťou za cenu zrady ideálov volil smrť s historickým výrokom: „</w:t>
      </w:r>
      <w:r w:rsidRPr="00B636A5">
        <w:rPr>
          <w:rFonts w:ascii="Book Antiqua" w:hAnsi="Book Antiqua" w:cs="Times New Roman"/>
          <w:i/>
        </w:rPr>
        <w:t>Dnes ma súdia nepriatelia ale raz ma budú moji Slováci a pred nimi by som nechcel prepadnúť.</w:t>
      </w:r>
      <w:r w:rsidRPr="00B636A5">
        <w:rPr>
          <w:rFonts w:ascii="Book Antiqua" w:hAnsi="Book Antiqua" w:cs="Times New Roman"/>
        </w:rPr>
        <w:t xml:space="preserve">“. </w:t>
      </w:r>
    </w:p>
    <w:p w14:paraId="6EEE394B" w14:textId="47270DC8" w:rsidR="00C2779D" w:rsidRPr="00B636A5" w:rsidRDefault="00B636A5" w:rsidP="00B636A5">
      <w:pPr>
        <w:spacing w:before="120" w:line="276" w:lineRule="auto"/>
        <w:ind w:firstLine="709"/>
        <w:jc w:val="both"/>
        <w:rPr>
          <w:rFonts w:ascii="Book Antiqua" w:hAnsi="Book Antiqua" w:cs="Times New Roman"/>
        </w:rPr>
      </w:pPr>
      <w:r w:rsidRPr="00B636A5">
        <w:rPr>
          <w:rFonts w:ascii="Book Antiqua" w:hAnsi="Book Antiqua" w:cs="Times New Roman"/>
        </w:rPr>
        <w:t xml:space="preserve">Udelenie tejto štátnej ceny Juraja </w:t>
      </w:r>
      <w:proofErr w:type="spellStart"/>
      <w:r w:rsidRPr="00B636A5">
        <w:rPr>
          <w:rFonts w:ascii="Book Antiqua" w:hAnsi="Book Antiqua" w:cs="Times New Roman"/>
        </w:rPr>
        <w:t>Langsfelda</w:t>
      </w:r>
      <w:proofErr w:type="spellEnd"/>
      <w:r w:rsidRPr="00B636A5">
        <w:rPr>
          <w:rFonts w:ascii="Book Antiqua" w:hAnsi="Book Antiqua" w:cs="Times New Roman"/>
        </w:rPr>
        <w:t xml:space="preserve"> by malo byť morálnym ocenením osobností oznamovateľov. Udeľovať ju bude predseda vlády SR štandardným spôsobom, akým sa udeľujú ceny podľa predmetného zákona, pričom cena pozostáva z listiny o udelení a pamätnej plakety. Dňom odovzdávania ocenenia bude symbolicky 9. december – medzinárodný deň boja proti korupcii.</w:t>
      </w:r>
      <w:r w:rsidR="00C2779D" w:rsidRPr="00B636A5">
        <w:rPr>
          <w:rFonts w:ascii="Book Antiqua" w:hAnsi="Book Antiqua" w:cs="Times New Roman"/>
        </w:rPr>
        <w:t xml:space="preserve"> </w:t>
      </w:r>
    </w:p>
    <w:p w14:paraId="5E492785" w14:textId="77777777" w:rsidR="0001587B" w:rsidRDefault="0001587B" w:rsidP="003E614C">
      <w:pPr>
        <w:spacing w:before="120" w:line="276" w:lineRule="auto"/>
        <w:jc w:val="both"/>
        <w:rPr>
          <w:rFonts w:ascii="Book Antiqua" w:hAnsi="Book Antiqua" w:cs="Times New Roman"/>
        </w:rPr>
      </w:pPr>
    </w:p>
    <w:p w14:paraId="46C6551E" w14:textId="132DC772" w:rsidR="009B723D" w:rsidRPr="003E614C" w:rsidRDefault="0001587B" w:rsidP="003E614C">
      <w:pPr>
        <w:spacing w:before="120" w:line="276" w:lineRule="auto"/>
        <w:jc w:val="both"/>
        <w:rPr>
          <w:rFonts w:ascii="Book Antiqua" w:hAnsi="Book Antiqua" w:cs="Times New Roman"/>
          <w:b/>
        </w:rPr>
      </w:pPr>
      <w:r>
        <w:rPr>
          <w:rFonts w:ascii="Book Antiqua" w:hAnsi="Book Antiqua" w:cs="Times New Roman"/>
          <w:b/>
        </w:rPr>
        <w:t>K Č</w:t>
      </w:r>
      <w:r w:rsidR="009B723D" w:rsidRPr="003E614C">
        <w:rPr>
          <w:rFonts w:ascii="Book Antiqua" w:hAnsi="Book Antiqua" w:cs="Times New Roman"/>
          <w:b/>
        </w:rPr>
        <w:t>l. IV</w:t>
      </w:r>
    </w:p>
    <w:p w14:paraId="0AAE1FC3" w14:textId="181AB2AB" w:rsidR="001C2709" w:rsidRPr="003E614C" w:rsidRDefault="001C2709" w:rsidP="0001587B">
      <w:pPr>
        <w:spacing w:before="120" w:line="276" w:lineRule="auto"/>
        <w:ind w:firstLine="708"/>
        <w:jc w:val="both"/>
        <w:rPr>
          <w:rFonts w:ascii="Book Antiqua" w:hAnsi="Book Antiqua" w:cs="Times New Roman"/>
        </w:rPr>
      </w:pPr>
      <w:r w:rsidRPr="003E614C">
        <w:rPr>
          <w:rFonts w:ascii="Book Antiqua" w:hAnsi="Book Antiqua" w:cs="Times New Roman"/>
        </w:rPr>
        <w:t>Účinnosť zákona sa vzhľadom na predpokladanú dĺžku legislatívneho procesu</w:t>
      </w:r>
      <w:r w:rsidR="0001587B">
        <w:rPr>
          <w:rFonts w:ascii="Book Antiqua" w:hAnsi="Book Antiqua" w:cs="Times New Roman"/>
        </w:rPr>
        <w:t xml:space="preserve"> a primeranú </w:t>
      </w:r>
      <w:proofErr w:type="spellStart"/>
      <w:r w:rsidR="0001587B">
        <w:rPr>
          <w:rFonts w:ascii="Book Antiqua" w:hAnsi="Book Antiqua" w:cs="Times New Roman"/>
        </w:rPr>
        <w:t>legisvakanciu</w:t>
      </w:r>
      <w:proofErr w:type="spellEnd"/>
      <w:r w:rsidRPr="003E614C">
        <w:rPr>
          <w:rFonts w:ascii="Book Antiqua" w:hAnsi="Book Antiqua" w:cs="Times New Roman"/>
        </w:rPr>
        <w:t xml:space="preserve"> navrhuje od 1. mája 2023.</w:t>
      </w:r>
    </w:p>
    <w:p w14:paraId="432BA5A4" w14:textId="7C7E5C64" w:rsidR="001C2709" w:rsidRPr="003E614C" w:rsidRDefault="001C2709" w:rsidP="003E614C">
      <w:pPr>
        <w:spacing w:before="120" w:line="276" w:lineRule="auto"/>
        <w:jc w:val="both"/>
        <w:rPr>
          <w:rFonts w:ascii="Book Antiqua" w:hAnsi="Book Antiqua" w:cs="Times New Roman"/>
        </w:rPr>
      </w:pPr>
    </w:p>
    <w:p w14:paraId="16AB640A" w14:textId="482982EA" w:rsidR="001C2709" w:rsidRPr="003E614C" w:rsidRDefault="001C2709" w:rsidP="003E614C">
      <w:pPr>
        <w:spacing w:before="120" w:line="276" w:lineRule="auto"/>
        <w:jc w:val="both"/>
        <w:rPr>
          <w:rFonts w:ascii="Book Antiqua" w:hAnsi="Book Antiqua" w:cs="Times New Roman"/>
        </w:rPr>
      </w:pPr>
    </w:p>
    <w:p w14:paraId="7B901615" w14:textId="060B6F6A" w:rsidR="001C2709" w:rsidRPr="003E614C" w:rsidRDefault="001C2709" w:rsidP="003E614C">
      <w:pPr>
        <w:spacing w:before="120" w:line="276" w:lineRule="auto"/>
        <w:jc w:val="both"/>
        <w:rPr>
          <w:rFonts w:ascii="Book Antiqua" w:hAnsi="Book Antiqua" w:cs="Times New Roman"/>
        </w:rPr>
      </w:pPr>
    </w:p>
    <w:p w14:paraId="7FBDEF0D" w14:textId="3488B2BF" w:rsidR="00771136" w:rsidRPr="003E614C" w:rsidRDefault="00771136" w:rsidP="003E614C">
      <w:pPr>
        <w:spacing w:before="120" w:line="276" w:lineRule="auto"/>
        <w:jc w:val="both"/>
        <w:rPr>
          <w:rFonts w:ascii="Book Antiqua" w:hAnsi="Book Antiqua" w:cs="Times New Roman"/>
        </w:rPr>
      </w:pPr>
    </w:p>
    <w:p w14:paraId="4E99EFA1" w14:textId="77777777" w:rsidR="001C2709" w:rsidRDefault="001C2709" w:rsidP="003E614C">
      <w:pPr>
        <w:spacing w:before="120" w:line="276" w:lineRule="auto"/>
        <w:jc w:val="both"/>
        <w:rPr>
          <w:rFonts w:ascii="Book Antiqua" w:hAnsi="Book Antiqua" w:cs="Times New Roman"/>
        </w:rPr>
      </w:pPr>
    </w:p>
    <w:p w14:paraId="028AC504" w14:textId="77777777" w:rsidR="001C2709" w:rsidRPr="003E614C" w:rsidRDefault="001C2709" w:rsidP="003E614C">
      <w:pPr>
        <w:spacing w:before="120" w:line="276" w:lineRule="auto"/>
        <w:rPr>
          <w:rFonts w:ascii="Book Antiqua" w:hAnsi="Book Antiqua" w:cs="Times New Roman"/>
        </w:rPr>
      </w:pPr>
    </w:p>
    <w:p w14:paraId="014919CD" w14:textId="77777777" w:rsidR="0001587B" w:rsidRDefault="0001587B" w:rsidP="003E614C">
      <w:pPr>
        <w:spacing w:before="120" w:line="276" w:lineRule="auto"/>
        <w:jc w:val="center"/>
        <w:rPr>
          <w:rFonts w:ascii="Book Antiqua" w:eastAsia="Times New Roman" w:hAnsi="Book Antiqua"/>
          <w:b/>
          <w:smallCaps/>
        </w:rPr>
      </w:pPr>
    </w:p>
    <w:p w14:paraId="20B4DD2F" w14:textId="77777777" w:rsidR="001C2709" w:rsidRPr="003E614C" w:rsidRDefault="001C2709" w:rsidP="003E614C">
      <w:pPr>
        <w:spacing w:before="120" w:line="276" w:lineRule="auto"/>
        <w:jc w:val="center"/>
        <w:rPr>
          <w:rFonts w:ascii="Book Antiqua" w:eastAsia="Times New Roman" w:hAnsi="Book Antiqua"/>
          <w:b/>
          <w:smallCaps/>
        </w:rPr>
      </w:pPr>
      <w:r w:rsidRPr="003E614C">
        <w:rPr>
          <w:rFonts w:ascii="Book Antiqua" w:eastAsia="Times New Roman" w:hAnsi="Book Antiqua"/>
          <w:b/>
          <w:smallCaps/>
        </w:rPr>
        <w:t>DOLOŽKA ZLUČITEĽNOSTI</w:t>
      </w:r>
    </w:p>
    <w:p w14:paraId="5596066D" w14:textId="77777777" w:rsidR="001C2709" w:rsidRPr="003E614C" w:rsidRDefault="001C2709" w:rsidP="003E614C">
      <w:pPr>
        <w:spacing w:before="120" w:line="276" w:lineRule="auto"/>
        <w:jc w:val="center"/>
        <w:rPr>
          <w:rFonts w:ascii="Book Antiqua" w:eastAsia="Times New Roman" w:hAnsi="Book Antiqua"/>
          <w:color w:val="000000"/>
        </w:rPr>
      </w:pPr>
      <w:r w:rsidRPr="003E614C">
        <w:rPr>
          <w:rFonts w:ascii="Book Antiqua" w:eastAsia="Times New Roman" w:hAnsi="Book Antiqua"/>
          <w:b/>
          <w:color w:val="000000"/>
        </w:rPr>
        <w:t>návrhu zákona</w:t>
      </w:r>
      <w:r w:rsidRPr="003E614C">
        <w:rPr>
          <w:rFonts w:ascii="Book Antiqua" w:eastAsia="Times New Roman" w:hAnsi="Book Antiqua"/>
          <w:color w:val="000000"/>
        </w:rPr>
        <w:t xml:space="preserve"> </w:t>
      </w:r>
      <w:r w:rsidRPr="003E614C">
        <w:rPr>
          <w:rFonts w:ascii="Book Antiqua" w:eastAsia="Times New Roman" w:hAnsi="Book Antiqua"/>
          <w:b/>
          <w:color w:val="000000"/>
        </w:rPr>
        <w:t>s právom Európskej únie</w:t>
      </w:r>
    </w:p>
    <w:p w14:paraId="778176D6" w14:textId="77777777" w:rsidR="001C2709" w:rsidRPr="003E614C" w:rsidRDefault="001C2709" w:rsidP="003E614C">
      <w:pPr>
        <w:spacing w:before="120" w:line="276" w:lineRule="auto"/>
        <w:jc w:val="both"/>
        <w:rPr>
          <w:rFonts w:ascii="Book Antiqua" w:eastAsia="Times New Roman" w:hAnsi="Book Antiqua"/>
          <w:color w:val="000000"/>
        </w:rPr>
      </w:pPr>
      <w:r w:rsidRPr="003E614C">
        <w:rPr>
          <w:rFonts w:ascii="Book Antiqua" w:eastAsia="Times New Roman" w:hAnsi="Book Antiqua"/>
          <w:color w:val="000000"/>
        </w:rPr>
        <w:t> </w:t>
      </w:r>
    </w:p>
    <w:p w14:paraId="1A30D2D3" w14:textId="6C6F6B5E" w:rsidR="001C2709" w:rsidRPr="0001587B" w:rsidRDefault="001C2709" w:rsidP="003E614C">
      <w:pPr>
        <w:spacing w:before="120" w:line="276" w:lineRule="auto"/>
        <w:jc w:val="both"/>
        <w:rPr>
          <w:rFonts w:ascii="Book Antiqua" w:hAnsi="Book Antiqua"/>
        </w:rPr>
      </w:pPr>
      <w:r w:rsidRPr="003E614C">
        <w:rPr>
          <w:rFonts w:ascii="Book Antiqua" w:eastAsia="Times New Roman" w:hAnsi="Book Antiqua"/>
          <w:b/>
          <w:color w:val="000000"/>
        </w:rPr>
        <w:t>1. Navrhovateľ zákona:</w:t>
      </w:r>
      <w:r w:rsidRPr="003E614C">
        <w:rPr>
          <w:rFonts w:ascii="Book Antiqua" w:eastAsia="Times New Roman" w:hAnsi="Book Antiqua"/>
          <w:color w:val="000000"/>
        </w:rPr>
        <w:t xml:space="preserve"> </w:t>
      </w:r>
      <w:r w:rsidR="0001587B">
        <w:rPr>
          <w:rFonts w:ascii="Book Antiqua" w:eastAsia="Times New Roman" w:hAnsi="Book Antiqua"/>
          <w:color w:val="000000"/>
        </w:rPr>
        <w:t>skupina poslancov</w:t>
      </w:r>
      <w:r w:rsidRPr="003E614C">
        <w:rPr>
          <w:rFonts w:ascii="Book Antiqua" w:eastAsia="Times New Roman" w:hAnsi="Book Antiqua"/>
          <w:color w:val="000000"/>
        </w:rPr>
        <w:t xml:space="preserve"> Nár</w:t>
      </w:r>
      <w:r w:rsidR="0001587B">
        <w:rPr>
          <w:rFonts w:ascii="Book Antiqua" w:eastAsia="Times New Roman" w:hAnsi="Book Antiqua"/>
          <w:color w:val="000000"/>
        </w:rPr>
        <w:t>odnej rady Slovenskej republiky</w:t>
      </w:r>
    </w:p>
    <w:p w14:paraId="58CD431D" w14:textId="0976E133" w:rsidR="001C2709" w:rsidRPr="0001587B" w:rsidRDefault="001C2709" w:rsidP="003E614C">
      <w:pPr>
        <w:spacing w:before="120" w:line="276" w:lineRule="auto"/>
        <w:jc w:val="both"/>
        <w:rPr>
          <w:rFonts w:ascii="Book Antiqua" w:hAnsi="Book Antiqua" w:cs="Times New Roman"/>
          <w:b/>
        </w:rPr>
      </w:pPr>
      <w:r w:rsidRPr="003E614C">
        <w:rPr>
          <w:rFonts w:ascii="Book Antiqua" w:eastAsia="Times New Roman" w:hAnsi="Book Antiqua"/>
          <w:b/>
        </w:rPr>
        <w:t>2. Názov návrhu zákona:</w:t>
      </w:r>
      <w:r w:rsidRPr="003E614C">
        <w:rPr>
          <w:rFonts w:ascii="Book Antiqua" w:eastAsia="Times New Roman" w:hAnsi="Book Antiqua"/>
        </w:rPr>
        <w:t xml:space="preserve"> </w:t>
      </w:r>
      <w:r w:rsidRPr="003E614C">
        <w:rPr>
          <w:rFonts w:ascii="Book Antiqua" w:hAnsi="Book Antiqua" w:cs="Times New Roman"/>
        </w:rPr>
        <w:t>návrh zákona, ktorým sa mení a dopĺňa zákon č. 54/2019 Z.</w:t>
      </w:r>
      <w:r w:rsidR="0001587B">
        <w:rPr>
          <w:rFonts w:ascii="Book Antiqua" w:hAnsi="Book Antiqua" w:cs="Times New Roman"/>
        </w:rPr>
        <w:t xml:space="preserve"> </w:t>
      </w:r>
      <w:r w:rsidRPr="003E614C">
        <w:rPr>
          <w:rFonts w:ascii="Book Antiqua" w:hAnsi="Book Antiqua" w:cs="Times New Roman"/>
        </w:rPr>
        <w:t>z. o ochrane oznamovateľov protispoločenskej činnosti a o zmene a doplnení niektorých zákonov</w:t>
      </w:r>
    </w:p>
    <w:p w14:paraId="55949F2D" w14:textId="77777777" w:rsidR="001C2709" w:rsidRPr="003E614C" w:rsidRDefault="001C2709" w:rsidP="003E614C">
      <w:pPr>
        <w:pStyle w:val="Normlnywebov"/>
        <w:spacing w:before="120" w:beforeAutospacing="0" w:after="0" w:afterAutospacing="0"/>
        <w:jc w:val="both"/>
        <w:rPr>
          <w:rFonts w:ascii="Book Antiqua" w:hAnsi="Book Antiqua"/>
          <w:sz w:val="22"/>
          <w:szCs w:val="22"/>
        </w:rPr>
      </w:pPr>
      <w:r w:rsidRPr="003E614C">
        <w:rPr>
          <w:rFonts w:ascii="Book Antiqua" w:hAnsi="Book Antiqua"/>
          <w:b/>
          <w:sz w:val="22"/>
          <w:szCs w:val="22"/>
        </w:rPr>
        <w:t xml:space="preserve">3. </w:t>
      </w:r>
      <w:r w:rsidRPr="003E614C">
        <w:rPr>
          <w:rFonts w:ascii="Book Antiqua" w:hAnsi="Book Antiqua" w:cs="Book Antiqua"/>
          <w:b/>
          <w:bCs/>
          <w:sz w:val="22"/>
          <w:szCs w:val="22"/>
        </w:rPr>
        <w:t>Predmet návrhu zákona:</w:t>
      </w:r>
    </w:p>
    <w:p w14:paraId="61C3055C" w14:textId="2C349029" w:rsidR="004639EE" w:rsidRPr="0001587B" w:rsidRDefault="001C2709" w:rsidP="003E614C">
      <w:pPr>
        <w:pStyle w:val="Vchodzie"/>
        <w:numPr>
          <w:ilvl w:val="0"/>
          <w:numId w:val="1"/>
        </w:numPr>
        <w:autoSpaceDE/>
        <w:adjustRightInd/>
        <w:spacing w:before="120" w:after="0"/>
        <w:jc w:val="both"/>
        <w:rPr>
          <w:rFonts w:ascii="Book Antiqua" w:hAnsi="Book Antiqua"/>
        </w:rPr>
      </w:pPr>
      <w:r w:rsidRPr="003E614C">
        <w:rPr>
          <w:rFonts w:ascii="Book Antiqua" w:hAnsi="Book Antiqua"/>
        </w:rPr>
        <w:t xml:space="preserve"> v</w:t>
      </w:r>
      <w:r w:rsidR="0001587B">
        <w:rPr>
          <w:rFonts w:ascii="Book Antiqua" w:hAnsi="Book Antiqua"/>
        </w:rPr>
        <w:t xml:space="preserve"> primárnom práve Európskej únie - </w:t>
      </w:r>
      <w:r w:rsidR="004639EE" w:rsidRPr="0001587B">
        <w:rPr>
          <w:rFonts w:ascii="Book Antiqua" w:hAnsi="Book Antiqua"/>
        </w:rPr>
        <w:t>článok 16, článok 43 ods. 2, článok 50, článok 53 ods. 1, články 91, 100 a 114, článok 168 ods. 4, článok 169, článok 192 ods. 1 a článok 325 ods. 4 Zmluvy o fungovaní Európskej únie (konsolidované znenie) (Ú. v. EÚ C 202, 7.6.2016) v platnom znení; článok 31 Zmluvy o založení Európskeho spoločenstva pre atómovú energiu (konsolidované znenie) (Ú. v. EÚ C 327, 26. 10. 2012) v platnom znení;</w:t>
      </w:r>
    </w:p>
    <w:p w14:paraId="39BAABC7" w14:textId="117E3C9F" w:rsidR="004639EE" w:rsidRPr="0001587B" w:rsidRDefault="001C2709" w:rsidP="003E614C">
      <w:pPr>
        <w:pStyle w:val="Normlnywebov"/>
        <w:numPr>
          <w:ilvl w:val="0"/>
          <w:numId w:val="1"/>
        </w:numPr>
        <w:spacing w:before="120" w:beforeAutospacing="0" w:after="0" w:afterAutospacing="0"/>
        <w:jc w:val="both"/>
        <w:rPr>
          <w:rFonts w:ascii="Book Antiqua" w:hAnsi="Book Antiqua"/>
          <w:sz w:val="22"/>
          <w:szCs w:val="22"/>
        </w:rPr>
      </w:pPr>
      <w:r w:rsidRPr="003E614C">
        <w:rPr>
          <w:rFonts w:ascii="Book Antiqua" w:hAnsi="Book Antiqua" w:cs="Book Antiqua"/>
          <w:sz w:val="22"/>
          <w:szCs w:val="22"/>
        </w:rPr>
        <w:t>v se</w:t>
      </w:r>
      <w:r w:rsidR="0001587B">
        <w:rPr>
          <w:rFonts w:ascii="Book Antiqua" w:hAnsi="Book Antiqua" w:cs="Book Antiqua"/>
          <w:sz w:val="22"/>
          <w:szCs w:val="22"/>
        </w:rPr>
        <w:t xml:space="preserve">kundárnom práve Európskej únie - </w:t>
      </w:r>
      <w:r w:rsidR="004639EE" w:rsidRPr="0001587B">
        <w:rPr>
          <w:rFonts w:ascii="Book Antiqua" w:hAnsi="Book Antiqua" w:cs="Calibri"/>
          <w:sz w:val="22"/>
          <w:szCs w:val="22"/>
          <w:lang w:eastAsia="en-US" w:bidi="hi-IN"/>
        </w:rPr>
        <w:t>smernica Európskeho parlamentu a Rady (EÚ) 2019/1937 z 23. októbra 2019 o ochrane osôb, ktoré nahlasujú porušenia práva Únie (Ú. v. EÚ L 305, 26.11.2019) v platnom znení (ďalej len „smernica (EÚ) 2019/1937 v platnom znení“), gestor: Úrad vlády Slovenskej republiky</w:t>
      </w:r>
    </w:p>
    <w:p w14:paraId="4E9764D2" w14:textId="28427414" w:rsidR="004639EE" w:rsidRPr="0001587B" w:rsidRDefault="001C2709" w:rsidP="003E614C">
      <w:pPr>
        <w:pStyle w:val="Normlnywebov"/>
        <w:numPr>
          <w:ilvl w:val="0"/>
          <w:numId w:val="1"/>
        </w:numPr>
        <w:spacing w:before="120" w:beforeAutospacing="0" w:after="0" w:afterAutospacing="0"/>
        <w:jc w:val="both"/>
        <w:rPr>
          <w:rFonts w:ascii="Book Antiqua" w:hAnsi="Book Antiqua"/>
          <w:sz w:val="22"/>
          <w:szCs w:val="22"/>
        </w:rPr>
      </w:pPr>
      <w:r w:rsidRPr="003E614C">
        <w:rPr>
          <w:rFonts w:ascii="Book Antiqua" w:hAnsi="Book Antiqua"/>
          <w:sz w:val="22"/>
          <w:szCs w:val="22"/>
        </w:rPr>
        <w:t>nie</w:t>
      </w:r>
      <w:r w:rsidRPr="003E614C">
        <w:rPr>
          <w:rFonts w:ascii="Book Antiqua" w:hAnsi="Book Antiqua" w:cs="Book Antiqua"/>
          <w:sz w:val="22"/>
          <w:szCs w:val="22"/>
        </w:rPr>
        <w:t xml:space="preserve"> je obsiahnutý v judikatúre Súdneho dvora Európskej únie.</w:t>
      </w:r>
    </w:p>
    <w:p w14:paraId="3E7D879C" w14:textId="4B0D0C23" w:rsidR="004639EE" w:rsidRPr="003E614C" w:rsidRDefault="004639EE" w:rsidP="003E614C">
      <w:pPr>
        <w:spacing w:before="120" w:line="276" w:lineRule="auto"/>
        <w:rPr>
          <w:rFonts w:ascii="Book Antiqua" w:eastAsia="Times New Roman" w:hAnsi="Book Antiqua" w:cs="Times New Roman"/>
          <w:b/>
          <w:lang w:eastAsia="sk-SK"/>
        </w:rPr>
      </w:pPr>
      <w:r w:rsidRPr="003E614C">
        <w:rPr>
          <w:rFonts w:ascii="Book Antiqua" w:eastAsia="Times New Roman" w:hAnsi="Book Antiqua" w:cs="Times New Roman"/>
          <w:b/>
          <w:lang w:eastAsia="sk-SK"/>
        </w:rPr>
        <w:t>4.Záväzky Slovenskej republiky vo vzťahu k Európskej únii:</w:t>
      </w:r>
    </w:p>
    <w:p w14:paraId="08B4ACC3" w14:textId="32E85FAD" w:rsidR="004639EE" w:rsidRPr="003E614C" w:rsidRDefault="004639EE" w:rsidP="003E614C">
      <w:pPr>
        <w:spacing w:before="120" w:line="276" w:lineRule="auto"/>
        <w:jc w:val="both"/>
        <w:rPr>
          <w:rFonts w:ascii="Book Antiqua" w:eastAsia="Times New Roman" w:hAnsi="Book Antiqua" w:cs="Calibri"/>
          <w:lang w:bidi="hi-IN"/>
        </w:rPr>
      </w:pPr>
      <w:r w:rsidRPr="003E614C">
        <w:rPr>
          <w:rFonts w:ascii="Book Antiqua" w:eastAsia="Times New Roman" w:hAnsi="Book Antiqua" w:cs="Calibri"/>
          <w:lang w:bidi="hi-IN"/>
        </w:rPr>
        <w:t xml:space="preserve">       </w:t>
      </w:r>
      <w:r w:rsidRPr="0001587B">
        <w:rPr>
          <w:rFonts w:ascii="Book Antiqua" w:eastAsia="Times New Roman" w:hAnsi="Book Antiqua" w:cs="Calibri"/>
          <w:bCs/>
          <w:lang w:bidi="hi-IN"/>
        </w:rPr>
        <w:t>a)</w:t>
      </w:r>
      <w:r w:rsidRPr="003E614C">
        <w:rPr>
          <w:rFonts w:ascii="Book Antiqua" w:eastAsia="Times New Roman" w:hAnsi="Book Antiqua" w:cs="Calibri"/>
          <w:lang w:bidi="hi-IN"/>
        </w:rPr>
        <w:t xml:space="preserve"> transpozičná lehota smernice (EÚ) 2019/1937 v platnom znení: 17. december 2021</w:t>
      </w:r>
      <w:r w:rsidR="0001587B">
        <w:rPr>
          <w:rFonts w:ascii="Book Antiqua" w:eastAsia="Times New Roman" w:hAnsi="Book Antiqua" w:cs="Calibri"/>
          <w:lang w:bidi="hi-IN"/>
        </w:rPr>
        <w:t>,</w:t>
      </w:r>
    </w:p>
    <w:p w14:paraId="69E13F5F" w14:textId="186BF744" w:rsidR="0001587B" w:rsidRPr="0001587B" w:rsidRDefault="004639EE" w:rsidP="0001587B">
      <w:pPr>
        <w:spacing w:before="120" w:line="276" w:lineRule="auto"/>
        <w:jc w:val="both"/>
        <w:rPr>
          <w:rFonts w:ascii="Book Antiqua" w:eastAsia="Times New Roman" w:hAnsi="Book Antiqua" w:cs="Calibri"/>
          <w:lang w:bidi="hi-IN"/>
        </w:rPr>
      </w:pPr>
      <w:r w:rsidRPr="0001587B">
        <w:rPr>
          <w:rFonts w:ascii="Book Antiqua" w:eastAsia="Times New Roman" w:hAnsi="Book Antiqua" w:cs="Calibri"/>
          <w:bCs/>
          <w:lang w:bidi="hi-IN"/>
        </w:rPr>
        <w:t xml:space="preserve">       b)</w:t>
      </w:r>
      <w:r w:rsidRPr="003E614C">
        <w:rPr>
          <w:rFonts w:ascii="Book Antiqua" w:eastAsia="Times New Roman" w:hAnsi="Book Antiqua" w:cs="Calibri"/>
          <w:lang w:bidi="hi-IN"/>
        </w:rPr>
        <w:t xml:space="preserve"> proti Slovenskej republike nebolo začaté konanie v rámci „EÚ Pilot“. V nadväznosti na uplynutie transpozičnej lehoty bolo Slovenskej republike dňa 27. januára 2022 adresované formálne oznámenie C(2022)500/27 vydané v súlade s článkom 258 Zmluvy o fungovaní Európskej únie, ktorým Európska komisia začala voči Slovenskej republike konanie o porušení zmlúv vedené pod číslom 2022/0188 z dôvodu neoznámenia transpozičnej lehoty smernice (EÚ) 2019/1937 v platnom znení. Dňa 15. júla 2022 Európska komisia adresovala Slovenskej republike už odôvodnené stanovisko C(2022)4027 </w:t>
      </w:r>
      <w:proofErr w:type="spellStart"/>
      <w:r w:rsidRPr="003E614C">
        <w:rPr>
          <w:rFonts w:ascii="Book Antiqua" w:eastAsia="Times New Roman" w:hAnsi="Book Antiqua" w:cs="Calibri"/>
          <w:lang w:bidi="hi-IN"/>
        </w:rPr>
        <w:t>final</w:t>
      </w:r>
      <w:proofErr w:type="spellEnd"/>
      <w:r w:rsidRPr="003E614C">
        <w:rPr>
          <w:rFonts w:ascii="Book Antiqua" w:eastAsia="Times New Roman" w:hAnsi="Book Antiqua" w:cs="Calibri"/>
          <w:lang w:bidi="hi-IN"/>
        </w:rPr>
        <w:t xml:space="preserve"> týkajúce sa aj konania o porušení zmlúv vedeného podľa čl. 258 Zmluvy o fungovaní Európskej únie pod číslom INFR(2022)0188, ktoré je vedené z dôvodu neoznámenia transpozičných opatrení smernice (EÚ) 2019/1937 v platnom znení. Slovenská republika dňa 28. septembra 2022 oznámila čiastočnú transpozíciu smernice (EÚ) 2019/1937 v platnom znení do zákona č. 54/2019 Z. z. o ochrane oznamovateľov protispoločenskej činnosti a o zmene a doplnení niektorých zákonov. Nebolo začaté konanie Súdneho dvora EÚ proti SR podľa čl. 258 až 260 Zml</w:t>
      </w:r>
      <w:r w:rsidR="0001587B">
        <w:rPr>
          <w:rFonts w:ascii="Book Antiqua" w:eastAsia="Times New Roman" w:hAnsi="Book Antiqua" w:cs="Calibri"/>
          <w:lang w:bidi="hi-IN"/>
        </w:rPr>
        <w:t>uvy o fungovaní Európskej únie.</w:t>
      </w:r>
    </w:p>
    <w:p w14:paraId="2CFAD42D" w14:textId="77777777" w:rsidR="0001587B" w:rsidRDefault="004639EE" w:rsidP="003E614C">
      <w:pPr>
        <w:spacing w:before="120" w:line="276" w:lineRule="auto"/>
        <w:rPr>
          <w:rFonts w:ascii="Book Antiqua" w:eastAsia="Times New Roman" w:hAnsi="Book Antiqua" w:cs="Calibri"/>
          <w:b/>
          <w:lang w:bidi="hi-IN"/>
        </w:rPr>
      </w:pPr>
      <w:r w:rsidRPr="0001587B">
        <w:rPr>
          <w:rFonts w:ascii="Book Antiqua" w:eastAsia="Times New Roman" w:hAnsi="Book Antiqua" w:cs="Calibri"/>
          <w:b/>
          <w:lang w:bidi="hi-IN"/>
        </w:rPr>
        <w:t>5. Návrh zákona je zlučiteľný s právom Európskej únie:</w:t>
      </w:r>
    </w:p>
    <w:p w14:paraId="06EC5519" w14:textId="2DAA9E23" w:rsidR="001C2709" w:rsidRPr="0001587B" w:rsidRDefault="00771136" w:rsidP="003E614C">
      <w:pPr>
        <w:spacing w:before="120" w:line="276" w:lineRule="auto"/>
        <w:rPr>
          <w:rFonts w:ascii="Book Antiqua" w:eastAsia="Times New Roman" w:hAnsi="Book Antiqua" w:cs="Calibri"/>
          <w:b/>
          <w:lang w:bidi="hi-IN"/>
        </w:rPr>
      </w:pPr>
      <w:r w:rsidRPr="003E614C">
        <w:rPr>
          <w:rFonts w:ascii="Book Antiqua" w:eastAsia="Times New Roman" w:hAnsi="Book Antiqua" w:cs="Calibri"/>
          <w:lang w:bidi="hi-IN"/>
        </w:rPr>
        <w:t>úplne</w:t>
      </w:r>
      <w:r w:rsidR="0001587B">
        <w:rPr>
          <w:rFonts w:ascii="Book Antiqua" w:eastAsia="Times New Roman" w:hAnsi="Book Antiqua" w:cs="Calibri"/>
          <w:lang w:bidi="hi-IN"/>
        </w:rPr>
        <w:t xml:space="preserve"> v tých otázkach, ktoré sú predmetom jeho úpravy.</w:t>
      </w:r>
    </w:p>
    <w:p w14:paraId="33896265" w14:textId="77777777" w:rsidR="001C2709" w:rsidRPr="003E614C" w:rsidRDefault="001C2709" w:rsidP="003E614C">
      <w:pPr>
        <w:spacing w:before="120" w:line="276" w:lineRule="auto"/>
        <w:rPr>
          <w:rFonts w:ascii="Book Antiqua" w:eastAsia="Times New Roman" w:hAnsi="Book Antiqua"/>
          <w:b/>
          <w:smallCaps/>
        </w:rPr>
      </w:pPr>
    </w:p>
    <w:p w14:paraId="7DE72850" w14:textId="77777777" w:rsidR="005F2FA9" w:rsidRDefault="005F2FA9" w:rsidP="005F2FA9">
      <w:pPr>
        <w:spacing w:before="120" w:line="276" w:lineRule="auto"/>
        <w:rPr>
          <w:rFonts w:ascii="Book Antiqua" w:eastAsia="Times New Roman" w:hAnsi="Book Antiqua"/>
          <w:b/>
          <w:smallCaps/>
        </w:rPr>
      </w:pPr>
    </w:p>
    <w:p w14:paraId="38908D04" w14:textId="77777777" w:rsidR="001C2709" w:rsidRPr="003E614C" w:rsidRDefault="001C2709" w:rsidP="003E614C">
      <w:pPr>
        <w:spacing w:before="120" w:line="276" w:lineRule="auto"/>
        <w:jc w:val="center"/>
        <w:rPr>
          <w:rFonts w:ascii="Book Antiqua" w:eastAsia="Times New Roman" w:hAnsi="Book Antiqua"/>
        </w:rPr>
      </w:pPr>
      <w:r w:rsidRPr="003E614C">
        <w:rPr>
          <w:rFonts w:ascii="Book Antiqua" w:eastAsia="Times New Roman" w:hAnsi="Book Antiqua"/>
          <w:b/>
          <w:smallCaps/>
        </w:rPr>
        <w:t>DOLOŽKA</w:t>
      </w:r>
    </w:p>
    <w:p w14:paraId="1C7EA181" w14:textId="77777777" w:rsidR="001C2709" w:rsidRPr="003E614C" w:rsidRDefault="001C2709" w:rsidP="003E614C">
      <w:pPr>
        <w:spacing w:before="120" w:line="276" w:lineRule="auto"/>
        <w:jc w:val="center"/>
        <w:rPr>
          <w:rFonts w:ascii="Book Antiqua" w:eastAsia="Times New Roman" w:hAnsi="Book Antiqua"/>
          <w:color w:val="000000"/>
        </w:rPr>
      </w:pPr>
      <w:r w:rsidRPr="003E614C">
        <w:rPr>
          <w:rFonts w:ascii="Book Antiqua" w:eastAsia="Times New Roman" w:hAnsi="Book Antiqua"/>
          <w:b/>
          <w:color w:val="000000"/>
        </w:rPr>
        <w:t>vybraných vplyvov</w:t>
      </w:r>
    </w:p>
    <w:p w14:paraId="41069D8B" w14:textId="77777777" w:rsidR="001C2709" w:rsidRPr="003E614C" w:rsidRDefault="001C2709" w:rsidP="003E614C">
      <w:pPr>
        <w:spacing w:before="120" w:line="276" w:lineRule="auto"/>
        <w:jc w:val="both"/>
        <w:rPr>
          <w:rFonts w:ascii="Book Antiqua" w:eastAsia="Times New Roman" w:hAnsi="Book Antiqua"/>
          <w:color w:val="000000"/>
        </w:rPr>
      </w:pPr>
      <w:r w:rsidRPr="003E614C">
        <w:rPr>
          <w:rFonts w:ascii="Book Antiqua" w:eastAsia="Times New Roman" w:hAnsi="Book Antiqua"/>
          <w:color w:val="000000"/>
        </w:rPr>
        <w:t> </w:t>
      </w:r>
    </w:p>
    <w:p w14:paraId="35D6A282" w14:textId="05816BC0" w:rsidR="001C2709" w:rsidRPr="003E614C" w:rsidRDefault="001C2709" w:rsidP="003E614C">
      <w:pPr>
        <w:spacing w:before="120" w:line="276" w:lineRule="auto"/>
        <w:jc w:val="both"/>
        <w:rPr>
          <w:rFonts w:ascii="Book Antiqua" w:eastAsia="Times New Roman" w:hAnsi="Book Antiqua"/>
          <w:b/>
        </w:rPr>
      </w:pPr>
      <w:r w:rsidRPr="003E614C">
        <w:rPr>
          <w:rFonts w:ascii="Book Antiqua" w:eastAsia="Times New Roman" w:hAnsi="Book Antiqua"/>
          <w:b/>
        </w:rPr>
        <w:t xml:space="preserve">A.1. Názov materiálu: </w:t>
      </w:r>
      <w:r w:rsidRPr="003E614C">
        <w:rPr>
          <w:rFonts w:ascii="Book Antiqua" w:hAnsi="Book Antiqua" w:cs="Times New Roman"/>
        </w:rPr>
        <w:t>návrh zákona, ktorým sa mení a dopĺňa zákon č. 54/2019 Z.</w:t>
      </w:r>
      <w:r w:rsidR="0001587B">
        <w:rPr>
          <w:rFonts w:ascii="Book Antiqua" w:hAnsi="Book Antiqua" w:cs="Times New Roman"/>
        </w:rPr>
        <w:t xml:space="preserve"> </w:t>
      </w:r>
      <w:r w:rsidRPr="003E614C">
        <w:rPr>
          <w:rFonts w:ascii="Book Antiqua" w:hAnsi="Book Antiqua" w:cs="Times New Roman"/>
        </w:rPr>
        <w:t>z. o ochrane oznamovateľov protispoločenskej činnosti a o zmene a doplnení niektorých zákonov</w:t>
      </w:r>
    </w:p>
    <w:p w14:paraId="062513DF" w14:textId="77777777" w:rsidR="001C2709" w:rsidRPr="003E614C" w:rsidRDefault="001C2709" w:rsidP="003E614C">
      <w:pPr>
        <w:spacing w:before="120" w:line="276" w:lineRule="auto"/>
        <w:jc w:val="both"/>
        <w:rPr>
          <w:rFonts w:ascii="Book Antiqua" w:eastAsia="Times New Roman" w:hAnsi="Book Antiqua"/>
        </w:rPr>
      </w:pPr>
      <w:r w:rsidRPr="003E614C">
        <w:rPr>
          <w:rFonts w:ascii="Book Antiqua" w:eastAsia="Times New Roman" w:hAnsi="Book Antiqua"/>
          <w:b/>
        </w:rPr>
        <w:t>Termín začatia a ukončenia PPK:</w:t>
      </w:r>
      <w:r w:rsidRPr="003E614C">
        <w:rPr>
          <w:rFonts w:ascii="Book Antiqua" w:eastAsia="Times New Roman" w:hAnsi="Book Antiqua"/>
        </w:rPr>
        <w:t xml:space="preserve"> </w:t>
      </w:r>
      <w:r w:rsidRPr="003E614C">
        <w:rPr>
          <w:rFonts w:ascii="Book Antiqua" w:eastAsia="Times New Roman" w:hAnsi="Book Antiqua"/>
          <w:i/>
        </w:rPr>
        <w:t>bezpredmetné</w:t>
      </w:r>
    </w:p>
    <w:p w14:paraId="5777FFCB" w14:textId="77777777" w:rsidR="001C2709" w:rsidRPr="003E614C" w:rsidRDefault="001C2709" w:rsidP="003E614C">
      <w:pPr>
        <w:spacing w:before="120" w:line="276" w:lineRule="auto"/>
        <w:jc w:val="both"/>
        <w:rPr>
          <w:rFonts w:ascii="Book Antiqua" w:eastAsia="Times New Roman" w:hAnsi="Book Antiqua"/>
          <w:i/>
        </w:rPr>
      </w:pPr>
    </w:p>
    <w:p w14:paraId="319CE7E9" w14:textId="77777777" w:rsidR="001C2709" w:rsidRPr="003E614C" w:rsidRDefault="001C2709" w:rsidP="003E614C">
      <w:pPr>
        <w:spacing w:before="120" w:line="276" w:lineRule="auto"/>
        <w:jc w:val="both"/>
        <w:rPr>
          <w:rFonts w:ascii="Book Antiqua" w:eastAsia="Times New Roman" w:hAnsi="Book Antiqua"/>
          <w:color w:val="000000"/>
        </w:rPr>
      </w:pPr>
      <w:r w:rsidRPr="003E614C">
        <w:rPr>
          <w:rFonts w:ascii="Book Antiqua" w:eastAsia="Times New Roman" w:hAnsi="Book Antiqua"/>
          <w:b/>
          <w:color w:val="000000"/>
        </w:rPr>
        <w:t>A.2. Vplyvy:</w:t>
      </w:r>
    </w:p>
    <w:tbl>
      <w:tblPr>
        <w:tblW w:w="9210" w:type="dxa"/>
        <w:tblInd w:w="-5" w:type="dxa"/>
        <w:tblLayout w:type="fixed"/>
        <w:tblLook w:val="0400" w:firstRow="0" w:lastRow="0" w:firstColumn="0" w:lastColumn="0" w:noHBand="0" w:noVBand="1"/>
      </w:tblPr>
      <w:tblGrid>
        <w:gridCol w:w="5492"/>
        <w:gridCol w:w="1308"/>
        <w:gridCol w:w="1058"/>
        <w:gridCol w:w="1352"/>
      </w:tblGrid>
      <w:tr w:rsidR="001C2709" w:rsidRPr="003E614C" w14:paraId="26C915B8" w14:textId="77777777" w:rsidTr="005F2FA9">
        <w:tc>
          <w:tcPr>
            <w:tcW w:w="5492" w:type="dxa"/>
            <w:tcBorders>
              <w:top w:val="single" w:sz="6" w:space="0" w:color="000001"/>
              <w:left w:val="single" w:sz="6" w:space="0" w:color="000001"/>
              <w:bottom w:val="single" w:sz="6" w:space="0" w:color="000001"/>
              <w:right w:val="single" w:sz="6" w:space="0" w:color="000001"/>
            </w:tcBorders>
            <w:vAlign w:val="center"/>
            <w:hideMark/>
          </w:tcPr>
          <w:p w14:paraId="6B79B553" w14:textId="77777777" w:rsidR="001C2709" w:rsidRPr="003E614C" w:rsidRDefault="001C2709" w:rsidP="003E614C">
            <w:pPr>
              <w:spacing w:before="120" w:line="276" w:lineRule="auto"/>
              <w:jc w:val="both"/>
              <w:rPr>
                <w:rFonts w:ascii="Book Antiqua" w:eastAsia="Times New Roman" w:hAnsi="Book Antiqua"/>
                <w:color w:val="000000"/>
              </w:rPr>
            </w:pPr>
            <w:bookmarkStart w:id="1" w:name="_Hlk115171905"/>
            <w:r w:rsidRPr="003E614C">
              <w:rPr>
                <w:rFonts w:ascii="Book Antiqua" w:eastAsia="Times New Roman" w:hAnsi="Book Antiqua"/>
                <w:color w:val="000000"/>
              </w:rPr>
              <w:t> </w:t>
            </w:r>
          </w:p>
        </w:tc>
        <w:tc>
          <w:tcPr>
            <w:tcW w:w="1308" w:type="dxa"/>
            <w:tcBorders>
              <w:top w:val="single" w:sz="6" w:space="0" w:color="000001"/>
              <w:left w:val="single" w:sz="6" w:space="0" w:color="000001"/>
              <w:bottom w:val="single" w:sz="6" w:space="0" w:color="000001"/>
              <w:right w:val="single" w:sz="6" w:space="0" w:color="000001"/>
            </w:tcBorders>
            <w:vAlign w:val="center"/>
            <w:hideMark/>
          </w:tcPr>
          <w:p w14:paraId="372E2FA2" w14:textId="77777777" w:rsidR="001C2709" w:rsidRPr="003E614C" w:rsidRDefault="001C2709" w:rsidP="003E614C">
            <w:pPr>
              <w:spacing w:before="120" w:line="276" w:lineRule="auto"/>
              <w:jc w:val="both"/>
              <w:rPr>
                <w:rFonts w:ascii="Book Antiqua" w:eastAsia="Times New Roman" w:hAnsi="Book Antiqua"/>
                <w:color w:val="000000"/>
              </w:rPr>
            </w:pPr>
            <w:r w:rsidRPr="003E614C">
              <w:rPr>
                <w:rFonts w:ascii="Book Antiqua" w:eastAsia="Times New Roman" w:hAnsi="Book Antiqua"/>
                <w:color w:val="000000"/>
              </w:rPr>
              <w:t> Pozitívne </w:t>
            </w:r>
          </w:p>
        </w:tc>
        <w:tc>
          <w:tcPr>
            <w:tcW w:w="1058" w:type="dxa"/>
            <w:tcBorders>
              <w:top w:val="single" w:sz="6" w:space="0" w:color="000001"/>
              <w:left w:val="single" w:sz="6" w:space="0" w:color="000001"/>
              <w:bottom w:val="single" w:sz="6" w:space="0" w:color="000001"/>
              <w:right w:val="single" w:sz="6" w:space="0" w:color="000001"/>
            </w:tcBorders>
            <w:vAlign w:val="center"/>
            <w:hideMark/>
          </w:tcPr>
          <w:p w14:paraId="01E624B6" w14:textId="77777777" w:rsidR="001C2709" w:rsidRPr="003E614C" w:rsidRDefault="001C2709" w:rsidP="003E614C">
            <w:pPr>
              <w:spacing w:before="120" w:line="276" w:lineRule="auto"/>
              <w:jc w:val="both"/>
              <w:rPr>
                <w:rFonts w:ascii="Book Antiqua" w:eastAsia="Times New Roman" w:hAnsi="Book Antiqua"/>
                <w:color w:val="000000"/>
              </w:rPr>
            </w:pPr>
            <w:r w:rsidRPr="003E614C">
              <w:rPr>
                <w:rFonts w:ascii="Book Antiqua" w:eastAsia="Times New Roman" w:hAnsi="Book Antiqua"/>
                <w:color w:val="000000"/>
              </w:rPr>
              <w:t> Žiadne </w:t>
            </w:r>
          </w:p>
        </w:tc>
        <w:tc>
          <w:tcPr>
            <w:tcW w:w="1352" w:type="dxa"/>
            <w:tcBorders>
              <w:top w:val="single" w:sz="6" w:space="0" w:color="000001"/>
              <w:left w:val="single" w:sz="6" w:space="0" w:color="000001"/>
              <w:bottom w:val="single" w:sz="6" w:space="0" w:color="000001"/>
              <w:right w:val="single" w:sz="6" w:space="0" w:color="000001"/>
            </w:tcBorders>
            <w:vAlign w:val="center"/>
            <w:hideMark/>
          </w:tcPr>
          <w:p w14:paraId="751AF8D6" w14:textId="77777777" w:rsidR="001C2709" w:rsidRPr="003E614C" w:rsidRDefault="001C2709" w:rsidP="003E614C">
            <w:pPr>
              <w:spacing w:before="120" w:line="276" w:lineRule="auto"/>
              <w:jc w:val="both"/>
              <w:rPr>
                <w:rFonts w:ascii="Book Antiqua" w:eastAsia="Times New Roman" w:hAnsi="Book Antiqua"/>
                <w:color w:val="000000"/>
              </w:rPr>
            </w:pPr>
            <w:r w:rsidRPr="003E614C">
              <w:rPr>
                <w:rFonts w:ascii="Book Antiqua" w:eastAsia="Times New Roman" w:hAnsi="Book Antiqua"/>
                <w:color w:val="000000"/>
              </w:rPr>
              <w:t> Negatívne </w:t>
            </w:r>
          </w:p>
        </w:tc>
      </w:tr>
      <w:tr w:rsidR="001C2709" w:rsidRPr="003E614C" w14:paraId="0BE93797" w14:textId="77777777" w:rsidTr="005F2FA9">
        <w:tc>
          <w:tcPr>
            <w:tcW w:w="5492" w:type="dxa"/>
            <w:tcBorders>
              <w:top w:val="single" w:sz="6" w:space="0" w:color="000001"/>
              <w:left w:val="single" w:sz="6" w:space="0" w:color="000001"/>
              <w:bottom w:val="single" w:sz="6" w:space="0" w:color="000001"/>
              <w:right w:val="single" w:sz="6" w:space="0" w:color="000001"/>
            </w:tcBorders>
            <w:vAlign w:val="center"/>
            <w:hideMark/>
          </w:tcPr>
          <w:p w14:paraId="0B52F483" w14:textId="77777777" w:rsidR="001C2709" w:rsidRPr="003E614C" w:rsidRDefault="001C2709" w:rsidP="003E614C">
            <w:pPr>
              <w:spacing w:before="120" w:line="276" w:lineRule="auto"/>
              <w:jc w:val="both"/>
              <w:rPr>
                <w:rFonts w:ascii="Book Antiqua" w:eastAsia="Times New Roman" w:hAnsi="Book Antiqua"/>
                <w:color w:val="000000"/>
              </w:rPr>
            </w:pPr>
            <w:r w:rsidRPr="003E614C">
              <w:rPr>
                <w:rFonts w:ascii="Book Antiqua" w:eastAsia="Times New Roman" w:hAnsi="Book Antiqua"/>
                <w:color w:val="000000"/>
              </w:rPr>
              <w:t>1. Vplyvy na rozpočet verejnej správy</w:t>
            </w:r>
          </w:p>
        </w:tc>
        <w:tc>
          <w:tcPr>
            <w:tcW w:w="1308" w:type="dxa"/>
            <w:tcBorders>
              <w:top w:val="single" w:sz="6" w:space="0" w:color="000001"/>
              <w:left w:val="single" w:sz="6" w:space="0" w:color="000001"/>
              <w:bottom w:val="single" w:sz="6" w:space="0" w:color="000001"/>
              <w:right w:val="single" w:sz="6" w:space="0" w:color="000001"/>
            </w:tcBorders>
            <w:vAlign w:val="center"/>
          </w:tcPr>
          <w:p w14:paraId="087AEFB4" w14:textId="4B17584D" w:rsidR="002560DF" w:rsidRPr="003E614C" w:rsidRDefault="002560DF" w:rsidP="003E614C">
            <w:pPr>
              <w:spacing w:before="120" w:line="276" w:lineRule="auto"/>
              <w:jc w:val="center"/>
              <w:rPr>
                <w:rFonts w:ascii="Book Antiqua" w:eastAsia="Times New Roman" w:hAnsi="Book Antiqua"/>
                <w:color w:val="000000"/>
              </w:rPr>
            </w:pPr>
            <w:r w:rsidRPr="003E614C">
              <w:rPr>
                <w:rFonts w:ascii="Book Antiqua" w:eastAsia="Times New Roman" w:hAnsi="Book Antiqua"/>
                <w:color w:val="000000"/>
              </w:rPr>
              <w:t>x</w:t>
            </w:r>
          </w:p>
        </w:tc>
        <w:tc>
          <w:tcPr>
            <w:tcW w:w="1058" w:type="dxa"/>
            <w:tcBorders>
              <w:top w:val="single" w:sz="6" w:space="0" w:color="000001"/>
              <w:left w:val="single" w:sz="6" w:space="0" w:color="000001"/>
              <w:bottom w:val="single" w:sz="6" w:space="0" w:color="000001"/>
              <w:right w:val="single" w:sz="6" w:space="0" w:color="000001"/>
            </w:tcBorders>
            <w:vAlign w:val="center"/>
            <w:hideMark/>
          </w:tcPr>
          <w:p w14:paraId="6F4A8303" w14:textId="611E8A3F" w:rsidR="001C2709" w:rsidRPr="003E614C" w:rsidRDefault="001C2709" w:rsidP="003E614C">
            <w:pPr>
              <w:spacing w:before="120" w:line="276" w:lineRule="auto"/>
              <w:jc w:val="center"/>
              <w:rPr>
                <w:rFonts w:ascii="Book Antiqua" w:eastAsia="Times New Roman" w:hAnsi="Book Antiqua"/>
                <w:color w:val="000000"/>
              </w:rPr>
            </w:pPr>
          </w:p>
        </w:tc>
        <w:tc>
          <w:tcPr>
            <w:tcW w:w="1352" w:type="dxa"/>
            <w:tcBorders>
              <w:top w:val="single" w:sz="6" w:space="0" w:color="000001"/>
              <w:left w:val="single" w:sz="6" w:space="0" w:color="000001"/>
              <w:bottom w:val="single" w:sz="6" w:space="0" w:color="000001"/>
              <w:right w:val="single" w:sz="6" w:space="0" w:color="000001"/>
            </w:tcBorders>
            <w:vAlign w:val="center"/>
          </w:tcPr>
          <w:p w14:paraId="1890F3E4" w14:textId="77777777" w:rsidR="001C2709" w:rsidRPr="003E614C" w:rsidRDefault="001C2709" w:rsidP="003E614C">
            <w:pPr>
              <w:spacing w:before="120" w:line="276" w:lineRule="auto"/>
              <w:jc w:val="center"/>
              <w:rPr>
                <w:rFonts w:ascii="Book Antiqua" w:eastAsia="Times New Roman" w:hAnsi="Book Antiqua"/>
                <w:color w:val="000000"/>
              </w:rPr>
            </w:pPr>
          </w:p>
        </w:tc>
      </w:tr>
      <w:tr w:rsidR="001C2709" w:rsidRPr="003E614C" w14:paraId="46148B63" w14:textId="77777777" w:rsidTr="005F2FA9">
        <w:tc>
          <w:tcPr>
            <w:tcW w:w="5492" w:type="dxa"/>
            <w:tcBorders>
              <w:top w:val="single" w:sz="6" w:space="0" w:color="000001"/>
              <w:left w:val="single" w:sz="6" w:space="0" w:color="000001"/>
              <w:bottom w:val="single" w:sz="6" w:space="0" w:color="000001"/>
              <w:right w:val="single" w:sz="6" w:space="0" w:color="000001"/>
            </w:tcBorders>
            <w:vAlign w:val="center"/>
            <w:hideMark/>
          </w:tcPr>
          <w:p w14:paraId="0D065375" w14:textId="77777777" w:rsidR="001C2709" w:rsidRPr="003E614C" w:rsidRDefault="001C2709" w:rsidP="003E614C">
            <w:pPr>
              <w:spacing w:before="120" w:line="276" w:lineRule="auto"/>
              <w:jc w:val="both"/>
              <w:rPr>
                <w:rFonts w:ascii="Book Antiqua" w:eastAsia="Times New Roman" w:hAnsi="Book Antiqua"/>
                <w:color w:val="000000"/>
              </w:rPr>
            </w:pPr>
            <w:r w:rsidRPr="003E614C">
              <w:rPr>
                <w:rFonts w:ascii="Book Antiqua" w:eastAsia="Times New Roman" w:hAnsi="Book Antiqua"/>
                <w:color w:val="000000"/>
              </w:rPr>
              <w:t>2. Vplyvy na podnikateľské prostredie – dochádza k zvýšeniu regulačného zaťaženia?</w:t>
            </w:r>
          </w:p>
        </w:tc>
        <w:tc>
          <w:tcPr>
            <w:tcW w:w="1308" w:type="dxa"/>
            <w:tcBorders>
              <w:top w:val="single" w:sz="6" w:space="0" w:color="000001"/>
              <w:left w:val="single" w:sz="6" w:space="0" w:color="000001"/>
              <w:bottom w:val="single" w:sz="6" w:space="0" w:color="000001"/>
              <w:right w:val="single" w:sz="6" w:space="0" w:color="000001"/>
            </w:tcBorders>
            <w:vAlign w:val="center"/>
          </w:tcPr>
          <w:p w14:paraId="46BC5A70" w14:textId="28764663" w:rsidR="001C2709" w:rsidRPr="003E614C" w:rsidRDefault="005F2FA9" w:rsidP="003E614C">
            <w:pPr>
              <w:spacing w:before="120" w:line="276" w:lineRule="auto"/>
              <w:jc w:val="center"/>
              <w:rPr>
                <w:rFonts w:ascii="Book Antiqua" w:eastAsia="Times New Roman" w:hAnsi="Book Antiqua"/>
                <w:color w:val="000000"/>
              </w:rPr>
            </w:pPr>
            <w:r>
              <w:rPr>
                <w:rFonts w:ascii="Book Antiqua" w:eastAsia="Times New Roman" w:hAnsi="Book Antiqua"/>
                <w:color w:val="000000"/>
              </w:rPr>
              <w:t>x</w:t>
            </w:r>
          </w:p>
        </w:tc>
        <w:tc>
          <w:tcPr>
            <w:tcW w:w="1058" w:type="dxa"/>
            <w:tcBorders>
              <w:top w:val="single" w:sz="6" w:space="0" w:color="000001"/>
              <w:left w:val="single" w:sz="6" w:space="0" w:color="000001"/>
              <w:bottom w:val="single" w:sz="6" w:space="0" w:color="000001"/>
              <w:right w:val="single" w:sz="6" w:space="0" w:color="000001"/>
            </w:tcBorders>
            <w:vAlign w:val="center"/>
            <w:hideMark/>
          </w:tcPr>
          <w:p w14:paraId="42E65799" w14:textId="5C770E11" w:rsidR="001C2709" w:rsidRPr="003E614C" w:rsidRDefault="001C2709" w:rsidP="003E614C">
            <w:pPr>
              <w:spacing w:before="120" w:line="276" w:lineRule="auto"/>
              <w:jc w:val="center"/>
              <w:rPr>
                <w:rFonts w:ascii="Book Antiqua" w:eastAsia="Times New Roman" w:hAnsi="Book Antiqua"/>
                <w:color w:val="000000"/>
              </w:rPr>
            </w:pPr>
          </w:p>
        </w:tc>
        <w:tc>
          <w:tcPr>
            <w:tcW w:w="1352" w:type="dxa"/>
            <w:tcBorders>
              <w:top w:val="single" w:sz="6" w:space="0" w:color="000001"/>
              <w:left w:val="single" w:sz="6" w:space="0" w:color="000001"/>
              <w:bottom w:val="single" w:sz="6" w:space="0" w:color="000001"/>
              <w:right w:val="single" w:sz="6" w:space="0" w:color="000001"/>
            </w:tcBorders>
            <w:vAlign w:val="center"/>
          </w:tcPr>
          <w:p w14:paraId="19BB6B6A" w14:textId="77777777" w:rsidR="001C2709" w:rsidRPr="003E614C" w:rsidRDefault="001C2709" w:rsidP="003E614C">
            <w:pPr>
              <w:spacing w:before="120" w:line="276" w:lineRule="auto"/>
              <w:jc w:val="center"/>
              <w:rPr>
                <w:rFonts w:ascii="Book Antiqua" w:eastAsia="Times New Roman" w:hAnsi="Book Antiqua"/>
                <w:color w:val="000000"/>
              </w:rPr>
            </w:pPr>
          </w:p>
        </w:tc>
      </w:tr>
      <w:tr w:rsidR="001C2709" w:rsidRPr="003E614C" w14:paraId="52F05732" w14:textId="77777777" w:rsidTr="005F2FA9">
        <w:tc>
          <w:tcPr>
            <w:tcW w:w="5492" w:type="dxa"/>
            <w:tcBorders>
              <w:top w:val="single" w:sz="6" w:space="0" w:color="000001"/>
              <w:left w:val="single" w:sz="6" w:space="0" w:color="000001"/>
              <w:bottom w:val="single" w:sz="6" w:space="0" w:color="000001"/>
              <w:right w:val="single" w:sz="6" w:space="0" w:color="000001"/>
            </w:tcBorders>
            <w:vAlign w:val="center"/>
            <w:hideMark/>
          </w:tcPr>
          <w:p w14:paraId="1D34328D" w14:textId="77777777" w:rsidR="001C2709" w:rsidRPr="003E614C" w:rsidRDefault="001C2709" w:rsidP="003E614C">
            <w:pPr>
              <w:spacing w:before="120" w:line="276" w:lineRule="auto"/>
              <w:jc w:val="both"/>
              <w:rPr>
                <w:rFonts w:ascii="Book Antiqua" w:eastAsia="Times New Roman" w:hAnsi="Book Antiqua"/>
                <w:color w:val="000000"/>
              </w:rPr>
            </w:pPr>
            <w:r w:rsidRPr="003E614C">
              <w:rPr>
                <w:rFonts w:ascii="Book Antiqua" w:eastAsia="Times New Roman" w:hAnsi="Book Antiqua"/>
                <w:color w:val="000000"/>
              </w:rPr>
              <w:t>3. Sociálne vplyvy</w:t>
            </w:r>
          </w:p>
        </w:tc>
        <w:tc>
          <w:tcPr>
            <w:tcW w:w="1308" w:type="dxa"/>
            <w:tcBorders>
              <w:top w:val="single" w:sz="6" w:space="0" w:color="000001"/>
              <w:left w:val="single" w:sz="6" w:space="0" w:color="000001"/>
              <w:bottom w:val="single" w:sz="6" w:space="0" w:color="000001"/>
              <w:right w:val="single" w:sz="6" w:space="0" w:color="000001"/>
            </w:tcBorders>
            <w:vAlign w:val="center"/>
          </w:tcPr>
          <w:p w14:paraId="7684200A" w14:textId="77777777" w:rsidR="001C2709" w:rsidRPr="003E614C" w:rsidRDefault="001C2709" w:rsidP="003E614C">
            <w:pPr>
              <w:spacing w:before="120" w:line="276" w:lineRule="auto"/>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vAlign w:val="center"/>
            <w:hideMark/>
          </w:tcPr>
          <w:p w14:paraId="45CE1126" w14:textId="77777777" w:rsidR="001C2709" w:rsidRPr="003E614C" w:rsidRDefault="001C2709" w:rsidP="003E614C">
            <w:pPr>
              <w:spacing w:before="120" w:line="276" w:lineRule="auto"/>
              <w:jc w:val="center"/>
              <w:rPr>
                <w:rFonts w:ascii="Book Antiqua" w:eastAsia="Times New Roman" w:hAnsi="Book Antiqua"/>
                <w:color w:val="000000"/>
              </w:rPr>
            </w:pPr>
            <w:r w:rsidRPr="003E614C">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vAlign w:val="center"/>
          </w:tcPr>
          <w:p w14:paraId="0D74BFD7" w14:textId="77777777" w:rsidR="001C2709" w:rsidRPr="003E614C" w:rsidRDefault="001C2709" w:rsidP="003E614C">
            <w:pPr>
              <w:spacing w:before="120" w:line="276" w:lineRule="auto"/>
              <w:jc w:val="center"/>
              <w:rPr>
                <w:rFonts w:ascii="Book Antiqua" w:eastAsia="Times New Roman" w:hAnsi="Book Antiqua"/>
                <w:color w:val="000000"/>
              </w:rPr>
            </w:pPr>
          </w:p>
        </w:tc>
      </w:tr>
      <w:tr w:rsidR="001C2709" w:rsidRPr="003E614C" w14:paraId="63C30F21" w14:textId="77777777" w:rsidTr="005F2FA9">
        <w:trPr>
          <w:trHeight w:val="441"/>
        </w:trPr>
        <w:tc>
          <w:tcPr>
            <w:tcW w:w="5492" w:type="dxa"/>
            <w:tcBorders>
              <w:top w:val="single" w:sz="6" w:space="0" w:color="000001"/>
              <w:left w:val="single" w:sz="6" w:space="0" w:color="000001"/>
              <w:bottom w:val="single" w:sz="6" w:space="0" w:color="000001"/>
              <w:right w:val="single" w:sz="6" w:space="0" w:color="000001"/>
            </w:tcBorders>
            <w:vAlign w:val="center"/>
            <w:hideMark/>
          </w:tcPr>
          <w:p w14:paraId="694E0CED" w14:textId="77777777" w:rsidR="001C2709" w:rsidRPr="003E614C" w:rsidRDefault="001C2709" w:rsidP="003E614C">
            <w:pPr>
              <w:spacing w:before="120" w:line="276" w:lineRule="auto"/>
              <w:jc w:val="both"/>
              <w:rPr>
                <w:rFonts w:ascii="Book Antiqua" w:eastAsia="Times New Roman" w:hAnsi="Book Antiqua"/>
                <w:color w:val="000000"/>
              </w:rPr>
            </w:pPr>
            <w:r w:rsidRPr="003E614C">
              <w:rPr>
                <w:rFonts w:ascii="Book Antiqua" w:eastAsia="Times New Roman" w:hAnsi="Book Antiqua"/>
                <w:color w:val="000000"/>
              </w:rPr>
              <w:t>– vplyvy na hospodárenie obyvateľstva,</w:t>
            </w:r>
          </w:p>
        </w:tc>
        <w:tc>
          <w:tcPr>
            <w:tcW w:w="1308" w:type="dxa"/>
            <w:tcBorders>
              <w:top w:val="single" w:sz="6" w:space="0" w:color="000001"/>
              <w:left w:val="single" w:sz="6" w:space="0" w:color="000001"/>
              <w:bottom w:val="single" w:sz="6" w:space="0" w:color="000001"/>
              <w:right w:val="single" w:sz="6" w:space="0" w:color="000001"/>
            </w:tcBorders>
            <w:vAlign w:val="center"/>
          </w:tcPr>
          <w:p w14:paraId="7252D249" w14:textId="77777777" w:rsidR="001C2709" w:rsidRPr="003E614C" w:rsidRDefault="001C2709" w:rsidP="003E614C">
            <w:pPr>
              <w:spacing w:before="120" w:line="276" w:lineRule="auto"/>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vAlign w:val="center"/>
            <w:hideMark/>
          </w:tcPr>
          <w:p w14:paraId="6E5A33D3" w14:textId="77777777" w:rsidR="001C2709" w:rsidRPr="003E614C" w:rsidRDefault="001C2709" w:rsidP="003E614C">
            <w:pPr>
              <w:spacing w:before="120" w:line="276" w:lineRule="auto"/>
              <w:jc w:val="center"/>
              <w:rPr>
                <w:rFonts w:ascii="Book Antiqua" w:eastAsia="Times New Roman" w:hAnsi="Book Antiqua"/>
                <w:color w:val="000000"/>
              </w:rPr>
            </w:pPr>
            <w:r w:rsidRPr="003E614C">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vAlign w:val="center"/>
          </w:tcPr>
          <w:p w14:paraId="158328DB" w14:textId="77777777" w:rsidR="001C2709" w:rsidRPr="003E614C" w:rsidRDefault="001C2709" w:rsidP="003E614C">
            <w:pPr>
              <w:spacing w:before="120" w:line="276" w:lineRule="auto"/>
              <w:jc w:val="center"/>
              <w:rPr>
                <w:rFonts w:ascii="Book Antiqua" w:eastAsia="Times New Roman" w:hAnsi="Book Antiqua"/>
                <w:color w:val="000000"/>
              </w:rPr>
            </w:pPr>
          </w:p>
        </w:tc>
      </w:tr>
      <w:tr w:rsidR="001C2709" w:rsidRPr="003E614C" w14:paraId="06CEF3B9" w14:textId="77777777" w:rsidTr="005F2FA9">
        <w:tc>
          <w:tcPr>
            <w:tcW w:w="5492" w:type="dxa"/>
            <w:tcBorders>
              <w:top w:val="single" w:sz="6" w:space="0" w:color="000001"/>
              <w:left w:val="single" w:sz="6" w:space="0" w:color="000001"/>
              <w:bottom w:val="single" w:sz="6" w:space="0" w:color="000001"/>
              <w:right w:val="single" w:sz="6" w:space="0" w:color="000001"/>
            </w:tcBorders>
            <w:vAlign w:val="center"/>
            <w:hideMark/>
          </w:tcPr>
          <w:p w14:paraId="4D286052" w14:textId="77777777" w:rsidR="001C2709" w:rsidRPr="003E614C" w:rsidRDefault="001C2709" w:rsidP="003E614C">
            <w:pPr>
              <w:spacing w:before="120" w:line="276" w:lineRule="auto"/>
              <w:jc w:val="both"/>
              <w:rPr>
                <w:rFonts w:ascii="Book Antiqua" w:eastAsia="Times New Roman" w:hAnsi="Book Antiqua"/>
                <w:color w:val="000000"/>
              </w:rPr>
            </w:pPr>
            <w:r w:rsidRPr="003E614C">
              <w:rPr>
                <w:rFonts w:ascii="Book Antiqua" w:eastAsia="Times New Roman" w:hAnsi="Book Antiqua"/>
                <w:color w:val="000000"/>
              </w:rPr>
              <w:t xml:space="preserve">– sociálnu </w:t>
            </w:r>
            <w:proofErr w:type="spellStart"/>
            <w:r w:rsidRPr="003E614C">
              <w:rPr>
                <w:rFonts w:ascii="Book Antiqua" w:eastAsia="Times New Roman" w:hAnsi="Book Antiqua"/>
                <w:color w:val="000000"/>
              </w:rPr>
              <w:t>exklúziu</w:t>
            </w:r>
            <w:proofErr w:type="spellEnd"/>
            <w:r w:rsidRPr="003E614C">
              <w:rPr>
                <w:rFonts w:ascii="Book Antiqua" w:eastAsia="Times New Roman" w:hAnsi="Book Antiqua"/>
                <w:color w:val="000000"/>
              </w:rPr>
              <w:t>,</w:t>
            </w:r>
          </w:p>
        </w:tc>
        <w:tc>
          <w:tcPr>
            <w:tcW w:w="1308" w:type="dxa"/>
            <w:tcBorders>
              <w:top w:val="single" w:sz="6" w:space="0" w:color="000001"/>
              <w:left w:val="single" w:sz="6" w:space="0" w:color="000001"/>
              <w:bottom w:val="single" w:sz="6" w:space="0" w:color="000001"/>
              <w:right w:val="single" w:sz="6" w:space="0" w:color="000001"/>
            </w:tcBorders>
            <w:vAlign w:val="center"/>
          </w:tcPr>
          <w:p w14:paraId="210402E2" w14:textId="77777777" w:rsidR="001C2709" w:rsidRPr="003E614C" w:rsidRDefault="001C2709" w:rsidP="003E614C">
            <w:pPr>
              <w:spacing w:before="120" w:line="276" w:lineRule="auto"/>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vAlign w:val="center"/>
            <w:hideMark/>
          </w:tcPr>
          <w:p w14:paraId="31EF4A74" w14:textId="77777777" w:rsidR="001C2709" w:rsidRPr="003E614C" w:rsidRDefault="001C2709" w:rsidP="003E614C">
            <w:pPr>
              <w:spacing w:before="120" w:line="276" w:lineRule="auto"/>
              <w:jc w:val="center"/>
              <w:rPr>
                <w:rFonts w:ascii="Book Antiqua" w:eastAsia="Times New Roman" w:hAnsi="Book Antiqua"/>
                <w:color w:val="000000"/>
              </w:rPr>
            </w:pPr>
            <w:r w:rsidRPr="003E614C">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vAlign w:val="center"/>
          </w:tcPr>
          <w:p w14:paraId="44082061" w14:textId="77777777" w:rsidR="001C2709" w:rsidRPr="003E614C" w:rsidRDefault="001C2709" w:rsidP="003E614C">
            <w:pPr>
              <w:spacing w:before="120" w:line="276" w:lineRule="auto"/>
              <w:jc w:val="center"/>
              <w:rPr>
                <w:rFonts w:ascii="Book Antiqua" w:eastAsia="Times New Roman" w:hAnsi="Book Antiqua"/>
                <w:color w:val="000000"/>
              </w:rPr>
            </w:pPr>
          </w:p>
        </w:tc>
      </w:tr>
      <w:tr w:rsidR="001C2709" w:rsidRPr="003E614C" w14:paraId="62F8EAB3" w14:textId="77777777" w:rsidTr="005F2FA9">
        <w:tc>
          <w:tcPr>
            <w:tcW w:w="5492" w:type="dxa"/>
            <w:tcBorders>
              <w:top w:val="single" w:sz="6" w:space="0" w:color="000001"/>
              <w:left w:val="single" w:sz="6" w:space="0" w:color="000001"/>
              <w:bottom w:val="single" w:sz="6" w:space="0" w:color="000001"/>
              <w:right w:val="single" w:sz="6" w:space="0" w:color="000001"/>
            </w:tcBorders>
            <w:vAlign w:val="center"/>
            <w:hideMark/>
          </w:tcPr>
          <w:p w14:paraId="4C68A273" w14:textId="77777777" w:rsidR="001C2709" w:rsidRPr="003E614C" w:rsidRDefault="001C2709" w:rsidP="003E614C">
            <w:pPr>
              <w:spacing w:before="120" w:line="276" w:lineRule="auto"/>
              <w:jc w:val="both"/>
              <w:rPr>
                <w:rFonts w:ascii="Book Antiqua" w:eastAsia="Times New Roman" w:hAnsi="Book Antiqua"/>
                <w:color w:val="000000"/>
              </w:rPr>
            </w:pPr>
            <w:r w:rsidRPr="003E614C">
              <w:rPr>
                <w:rFonts w:ascii="Book Antiqua" w:eastAsia="Times New Roman" w:hAnsi="Book Antiqua"/>
                <w:color w:val="000000"/>
              </w:rPr>
              <w:t>– rovnosť príležitostí a rodovú rovnosť a vplyvy na zamestnanosť</w:t>
            </w:r>
          </w:p>
        </w:tc>
        <w:tc>
          <w:tcPr>
            <w:tcW w:w="1308" w:type="dxa"/>
            <w:tcBorders>
              <w:top w:val="single" w:sz="6" w:space="0" w:color="000001"/>
              <w:left w:val="single" w:sz="6" w:space="0" w:color="000001"/>
              <w:bottom w:val="single" w:sz="6" w:space="0" w:color="000001"/>
              <w:right w:val="single" w:sz="6" w:space="0" w:color="000001"/>
            </w:tcBorders>
            <w:vAlign w:val="center"/>
          </w:tcPr>
          <w:p w14:paraId="652CEFFD" w14:textId="77777777" w:rsidR="001C2709" w:rsidRPr="003E614C" w:rsidRDefault="001C2709" w:rsidP="003E614C">
            <w:pPr>
              <w:spacing w:before="120" w:line="276" w:lineRule="auto"/>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vAlign w:val="center"/>
            <w:hideMark/>
          </w:tcPr>
          <w:p w14:paraId="07FFB16D" w14:textId="77777777" w:rsidR="001C2709" w:rsidRPr="003E614C" w:rsidRDefault="001C2709" w:rsidP="003E614C">
            <w:pPr>
              <w:spacing w:before="120" w:line="276" w:lineRule="auto"/>
              <w:jc w:val="center"/>
              <w:rPr>
                <w:rFonts w:ascii="Book Antiqua" w:eastAsia="Times New Roman" w:hAnsi="Book Antiqua"/>
                <w:color w:val="000000"/>
              </w:rPr>
            </w:pPr>
            <w:r w:rsidRPr="003E614C">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vAlign w:val="center"/>
          </w:tcPr>
          <w:p w14:paraId="77466761" w14:textId="77777777" w:rsidR="001C2709" w:rsidRPr="003E614C" w:rsidRDefault="001C2709" w:rsidP="003E614C">
            <w:pPr>
              <w:spacing w:before="120" w:line="276" w:lineRule="auto"/>
              <w:jc w:val="center"/>
              <w:rPr>
                <w:rFonts w:ascii="Book Antiqua" w:eastAsia="Times New Roman" w:hAnsi="Book Antiqua"/>
                <w:color w:val="000000"/>
              </w:rPr>
            </w:pPr>
          </w:p>
        </w:tc>
      </w:tr>
      <w:tr w:rsidR="001C2709" w:rsidRPr="003E614C" w14:paraId="6D4C9372" w14:textId="77777777" w:rsidTr="005F2FA9">
        <w:tc>
          <w:tcPr>
            <w:tcW w:w="5492" w:type="dxa"/>
            <w:tcBorders>
              <w:top w:val="single" w:sz="6" w:space="0" w:color="000001"/>
              <w:left w:val="single" w:sz="6" w:space="0" w:color="000001"/>
              <w:bottom w:val="single" w:sz="6" w:space="0" w:color="000001"/>
              <w:right w:val="single" w:sz="6" w:space="0" w:color="000001"/>
            </w:tcBorders>
            <w:vAlign w:val="center"/>
            <w:hideMark/>
          </w:tcPr>
          <w:p w14:paraId="0250B59D" w14:textId="77777777" w:rsidR="001C2709" w:rsidRPr="003E614C" w:rsidRDefault="001C2709" w:rsidP="003E614C">
            <w:pPr>
              <w:spacing w:before="120" w:line="276" w:lineRule="auto"/>
              <w:jc w:val="both"/>
              <w:rPr>
                <w:rFonts w:ascii="Book Antiqua" w:eastAsia="Times New Roman" w:hAnsi="Book Antiqua"/>
                <w:color w:val="000000"/>
              </w:rPr>
            </w:pPr>
            <w:r w:rsidRPr="003E614C">
              <w:rPr>
                <w:rFonts w:ascii="Book Antiqua" w:eastAsia="Times New Roman" w:hAnsi="Book Antiqua"/>
                <w:color w:val="000000"/>
              </w:rPr>
              <w:t>4. Vplyvy na životné prostredie</w:t>
            </w:r>
          </w:p>
        </w:tc>
        <w:tc>
          <w:tcPr>
            <w:tcW w:w="1308" w:type="dxa"/>
            <w:tcBorders>
              <w:top w:val="single" w:sz="6" w:space="0" w:color="000001"/>
              <w:left w:val="single" w:sz="6" w:space="0" w:color="000001"/>
              <w:bottom w:val="single" w:sz="6" w:space="0" w:color="000001"/>
              <w:right w:val="single" w:sz="6" w:space="0" w:color="000001"/>
            </w:tcBorders>
            <w:vAlign w:val="center"/>
          </w:tcPr>
          <w:p w14:paraId="6D5400AE" w14:textId="77777777" w:rsidR="001C2709" w:rsidRPr="003E614C" w:rsidRDefault="001C2709" w:rsidP="003E614C">
            <w:pPr>
              <w:spacing w:before="120" w:line="276" w:lineRule="auto"/>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vAlign w:val="center"/>
            <w:hideMark/>
          </w:tcPr>
          <w:p w14:paraId="4AAAF957" w14:textId="77777777" w:rsidR="001C2709" w:rsidRPr="003E614C" w:rsidRDefault="001C2709" w:rsidP="003E614C">
            <w:pPr>
              <w:spacing w:before="120" w:line="276" w:lineRule="auto"/>
              <w:jc w:val="center"/>
              <w:rPr>
                <w:rFonts w:ascii="Book Antiqua" w:eastAsia="Times New Roman" w:hAnsi="Book Antiqua"/>
                <w:color w:val="000000"/>
              </w:rPr>
            </w:pPr>
            <w:r w:rsidRPr="003E614C">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vAlign w:val="center"/>
          </w:tcPr>
          <w:p w14:paraId="1C2C5F31" w14:textId="77777777" w:rsidR="001C2709" w:rsidRPr="003E614C" w:rsidRDefault="001C2709" w:rsidP="003E614C">
            <w:pPr>
              <w:spacing w:before="120" w:line="276" w:lineRule="auto"/>
              <w:jc w:val="center"/>
              <w:rPr>
                <w:rFonts w:ascii="Book Antiqua" w:eastAsia="Times New Roman" w:hAnsi="Book Antiqua"/>
                <w:color w:val="000000"/>
              </w:rPr>
            </w:pPr>
          </w:p>
        </w:tc>
      </w:tr>
      <w:tr w:rsidR="001C2709" w:rsidRPr="003E614C" w14:paraId="07DBE93A" w14:textId="77777777" w:rsidTr="005F2FA9">
        <w:tc>
          <w:tcPr>
            <w:tcW w:w="5492" w:type="dxa"/>
            <w:tcBorders>
              <w:top w:val="single" w:sz="6" w:space="0" w:color="000001"/>
              <w:left w:val="single" w:sz="6" w:space="0" w:color="000001"/>
              <w:bottom w:val="single" w:sz="6" w:space="0" w:color="000001"/>
              <w:right w:val="single" w:sz="6" w:space="0" w:color="000001"/>
            </w:tcBorders>
            <w:vAlign w:val="center"/>
            <w:hideMark/>
          </w:tcPr>
          <w:p w14:paraId="2DC1628B" w14:textId="77777777" w:rsidR="001C2709" w:rsidRPr="003E614C" w:rsidRDefault="001C2709" w:rsidP="003E614C">
            <w:pPr>
              <w:spacing w:before="120" w:line="276" w:lineRule="auto"/>
              <w:jc w:val="both"/>
              <w:rPr>
                <w:rFonts w:ascii="Book Antiqua" w:eastAsia="Times New Roman" w:hAnsi="Book Antiqua"/>
                <w:color w:val="000000"/>
              </w:rPr>
            </w:pPr>
            <w:r w:rsidRPr="003E614C">
              <w:rPr>
                <w:rFonts w:ascii="Book Antiqua" w:eastAsia="Times New Roman" w:hAnsi="Book Antiqua"/>
                <w:color w:val="000000"/>
              </w:rPr>
              <w:t>5. Vplyvy na informatizáciu spoločnosti</w:t>
            </w:r>
          </w:p>
        </w:tc>
        <w:tc>
          <w:tcPr>
            <w:tcW w:w="1308" w:type="dxa"/>
            <w:tcBorders>
              <w:top w:val="single" w:sz="6" w:space="0" w:color="000001"/>
              <w:left w:val="single" w:sz="6" w:space="0" w:color="000001"/>
              <w:bottom w:val="single" w:sz="6" w:space="0" w:color="000001"/>
              <w:right w:val="single" w:sz="6" w:space="0" w:color="000001"/>
            </w:tcBorders>
            <w:vAlign w:val="center"/>
          </w:tcPr>
          <w:p w14:paraId="6EEE3826" w14:textId="77777777" w:rsidR="001C2709" w:rsidRPr="003E614C" w:rsidRDefault="001C2709" w:rsidP="003E614C">
            <w:pPr>
              <w:spacing w:before="120" w:line="276" w:lineRule="auto"/>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vAlign w:val="center"/>
            <w:hideMark/>
          </w:tcPr>
          <w:p w14:paraId="43ECF8D9" w14:textId="77777777" w:rsidR="001C2709" w:rsidRPr="003E614C" w:rsidRDefault="001C2709" w:rsidP="003E614C">
            <w:pPr>
              <w:spacing w:before="120" w:line="276" w:lineRule="auto"/>
              <w:jc w:val="center"/>
              <w:rPr>
                <w:rFonts w:ascii="Book Antiqua" w:eastAsia="Times New Roman" w:hAnsi="Book Antiqua"/>
                <w:color w:val="000000"/>
              </w:rPr>
            </w:pPr>
            <w:r w:rsidRPr="003E614C">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vAlign w:val="center"/>
          </w:tcPr>
          <w:p w14:paraId="75137E29" w14:textId="77777777" w:rsidR="001C2709" w:rsidRPr="003E614C" w:rsidRDefault="001C2709" w:rsidP="003E614C">
            <w:pPr>
              <w:spacing w:before="120" w:line="276" w:lineRule="auto"/>
              <w:jc w:val="center"/>
              <w:rPr>
                <w:rFonts w:ascii="Book Antiqua" w:eastAsia="Times New Roman" w:hAnsi="Book Antiqua"/>
                <w:color w:val="000000"/>
              </w:rPr>
            </w:pPr>
          </w:p>
        </w:tc>
      </w:tr>
    </w:tbl>
    <w:bookmarkEnd w:id="1"/>
    <w:p w14:paraId="2B3A46F8" w14:textId="77777777" w:rsidR="001C2709" w:rsidRPr="003E614C" w:rsidRDefault="001C2709" w:rsidP="003E614C">
      <w:pPr>
        <w:spacing w:before="120" w:line="276" w:lineRule="auto"/>
        <w:jc w:val="both"/>
        <w:rPr>
          <w:rFonts w:ascii="Book Antiqua" w:eastAsia="Times New Roman" w:hAnsi="Book Antiqua"/>
          <w:color w:val="000000"/>
        </w:rPr>
      </w:pPr>
      <w:r w:rsidRPr="003E614C">
        <w:rPr>
          <w:rFonts w:ascii="Book Antiqua" w:eastAsia="Times New Roman" w:hAnsi="Book Antiqua"/>
          <w:color w:val="000000"/>
        </w:rPr>
        <w:t> </w:t>
      </w:r>
    </w:p>
    <w:p w14:paraId="75C166FE" w14:textId="0C36F4B1" w:rsidR="001C2709" w:rsidRPr="003E614C" w:rsidRDefault="001C2709" w:rsidP="003E614C">
      <w:pPr>
        <w:spacing w:before="120" w:line="276" w:lineRule="auto"/>
        <w:jc w:val="both"/>
        <w:rPr>
          <w:rFonts w:ascii="Book Antiqua" w:eastAsia="Times New Roman" w:hAnsi="Book Antiqua"/>
          <w:b/>
          <w:color w:val="000000"/>
        </w:rPr>
      </w:pPr>
      <w:r w:rsidRPr="003E614C">
        <w:rPr>
          <w:rFonts w:ascii="Book Antiqua" w:eastAsia="Times New Roman" w:hAnsi="Book Antiqua"/>
          <w:b/>
          <w:color w:val="000000"/>
        </w:rPr>
        <w:t>A.3. Poznámky</w:t>
      </w:r>
    </w:p>
    <w:p w14:paraId="0CAF5EAD" w14:textId="4419AFB3" w:rsidR="002560DF" w:rsidRPr="005F2FA9" w:rsidRDefault="0001587B" w:rsidP="003E614C">
      <w:pPr>
        <w:spacing w:before="120" w:line="276" w:lineRule="auto"/>
        <w:jc w:val="both"/>
        <w:rPr>
          <w:rFonts w:ascii="Book Antiqua" w:eastAsia="Times New Roman" w:hAnsi="Book Antiqua"/>
          <w:i/>
          <w:color w:val="000000"/>
          <w:lang w:eastAsia="sk-SK"/>
        </w:rPr>
      </w:pPr>
      <w:r>
        <w:rPr>
          <w:rFonts w:ascii="Book Antiqua" w:eastAsia="Times New Roman" w:hAnsi="Book Antiqua"/>
          <w:i/>
          <w:lang w:eastAsia="sk-SK"/>
        </w:rPr>
        <w:t xml:space="preserve">Návrh zákona môže mať </w:t>
      </w:r>
      <w:r w:rsidR="002560DF" w:rsidRPr="003E614C">
        <w:rPr>
          <w:rFonts w:ascii="Book Antiqua" w:eastAsia="Times New Roman" w:hAnsi="Book Antiqua"/>
          <w:i/>
          <w:lang w:eastAsia="sk-SK"/>
        </w:rPr>
        <w:t xml:space="preserve">pozitívny vplyv na rozpočet verejnej správy, keďže umožňuje ušetriť peniaze </w:t>
      </w:r>
      <w:r>
        <w:rPr>
          <w:rFonts w:ascii="Book Antiqua" w:eastAsia="Times New Roman" w:hAnsi="Book Antiqua"/>
          <w:i/>
          <w:lang w:eastAsia="sk-SK"/>
        </w:rPr>
        <w:t>štátu v prípadoch, ak sa zabráni korupcii alebo ak už sa korupcia stala a štát v jej dôsledku utrpel škodu, v navrátení majetku štátu, o ktorý prišiel kvôli korupcii.</w:t>
      </w:r>
      <w:r w:rsidR="005F2FA9">
        <w:rPr>
          <w:rFonts w:ascii="Book Antiqua" w:eastAsia="Times New Roman" w:hAnsi="Book Antiqua"/>
          <w:i/>
          <w:lang w:eastAsia="sk-SK"/>
        </w:rPr>
        <w:t xml:space="preserve"> Rovnakým spôsobom môže mať návrh zákona pozitívny vplyv aj na podnikateľskú sféru, ak sa prípady korupcie budú týkať súkromného sektora. Návrh zákona </w:t>
      </w:r>
      <w:r w:rsidR="005F2FA9" w:rsidRPr="005F2FA9">
        <w:rPr>
          <w:rFonts w:ascii="Book Antiqua" w:hAnsi="Book Antiqua" w:cs="Times New Roman"/>
          <w:i/>
        </w:rPr>
        <w:t>nemá sociálne vplyvy, ani vplyvy na životné prostredie alebo vplyvy na informatizáciu spoločnosti.</w:t>
      </w:r>
    </w:p>
    <w:p w14:paraId="17990261" w14:textId="77777777" w:rsidR="001C2709" w:rsidRPr="003E614C" w:rsidRDefault="001C2709" w:rsidP="003E614C">
      <w:pPr>
        <w:spacing w:before="120" w:line="276" w:lineRule="auto"/>
        <w:jc w:val="both"/>
        <w:rPr>
          <w:rFonts w:ascii="Book Antiqua" w:hAnsi="Book Antiqua"/>
          <w:i/>
          <w:iCs/>
        </w:rPr>
      </w:pPr>
    </w:p>
    <w:p w14:paraId="63FD107D" w14:textId="77777777" w:rsidR="001C2709" w:rsidRPr="003E614C" w:rsidRDefault="001C2709" w:rsidP="003E614C">
      <w:pPr>
        <w:spacing w:before="120" w:line="276" w:lineRule="auto"/>
        <w:jc w:val="both"/>
        <w:rPr>
          <w:rFonts w:ascii="Book Antiqua" w:eastAsia="Times New Roman" w:hAnsi="Book Antiqua"/>
          <w:b/>
          <w:color w:val="000000"/>
        </w:rPr>
      </w:pPr>
      <w:r w:rsidRPr="003E614C">
        <w:rPr>
          <w:rFonts w:ascii="Book Antiqua" w:eastAsia="Times New Roman" w:hAnsi="Book Antiqua"/>
          <w:b/>
          <w:color w:val="000000"/>
        </w:rPr>
        <w:t>A.4. Alternatívne riešenia</w:t>
      </w:r>
    </w:p>
    <w:p w14:paraId="7E6E6FA9" w14:textId="77777777" w:rsidR="001C2709" w:rsidRPr="003E614C" w:rsidRDefault="001C2709" w:rsidP="003E614C">
      <w:pPr>
        <w:spacing w:before="120" w:line="276" w:lineRule="auto"/>
        <w:jc w:val="both"/>
        <w:rPr>
          <w:rFonts w:ascii="Book Antiqua" w:eastAsia="Times New Roman" w:hAnsi="Book Antiqua"/>
          <w:i/>
          <w:color w:val="000000"/>
        </w:rPr>
      </w:pPr>
      <w:r w:rsidRPr="003E614C">
        <w:rPr>
          <w:rFonts w:ascii="Book Antiqua" w:eastAsia="Times New Roman" w:hAnsi="Book Antiqua"/>
          <w:i/>
          <w:color w:val="000000"/>
        </w:rPr>
        <w:t>bezpredmetné</w:t>
      </w:r>
    </w:p>
    <w:p w14:paraId="6DBEA7F1" w14:textId="77777777" w:rsidR="001C2709" w:rsidRPr="003E614C" w:rsidRDefault="001C2709" w:rsidP="003E614C">
      <w:pPr>
        <w:spacing w:before="120" w:line="276" w:lineRule="auto"/>
        <w:jc w:val="both"/>
        <w:rPr>
          <w:rFonts w:ascii="Book Antiqua" w:eastAsia="Times New Roman" w:hAnsi="Book Antiqua"/>
          <w:b/>
          <w:color w:val="000000"/>
        </w:rPr>
      </w:pPr>
    </w:p>
    <w:p w14:paraId="463DCB00" w14:textId="77777777" w:rsidR="001C2709" w:rsidRPr="003E614C" w:rsidRDefault="001C2709" w:rsidP="003E614C">
      <w:pPr>
        <w:spacing w:before="120" w:line="276" w:lineRule="auto"/>
        <w:jc w:val="both"/>
        <w:rPr>
          <w:rFonts w:ascii="Book Antiqua" w:eastAsia="Times New Roman" w:hAnsi="Book Antiqua"/>
          <w:color w:val="000000"/>
        </w:rPr>
      </w:pPr>
      <w:r w:rsidRPr="003E614C">
        <w:rPr>
          <w:rFonts w:ascii="Book Antiqua" w:eastAsia="Times New Roman" w:hAnsi="Book Antiqua"/>
          <w:b/>
          <w:color w:val="000000"/>
        </w:rPr>
        <w:t>A.5. Stanovisko gestorov</w:t>
      </w:r>
    </w:p>
    <w:p w14:paraId="2E7285C3" w14:textId="28028963" w:rsidR="001C2709" w:rsidRPr="003E614C" w:rsidRDefault="005F2FA9" w:rsidP="005F2FA9">
      <w:pPr>
        <w:spacing w:before="120" w:line="276" w:lineRule="auto"/>
        <w:jc w:val="both"/>
        <w:rPr>
          <w:rFonts w:ascii="Book Antiqua" w:hAnsi="Book Antiqua"/>
        </w:rPr>
      </w:pPr>
      <w:r w:rsidRPr="00476E46">
        <w:rPr>
          <w:rFonts w:ascii="Book Antiqua" w:hAnsi="Book Antiqua"/>
          <w:i/>
          <w:iCs/>
          <w:color w:val="000000"/>
        </w:rPr>
        <w:lastRenderedPageBreak/>
        <w:t>Návrh zákona bol zaslaný na vyjadrenie Ministerstvu financií SR a stanovisko tohto ministerstva tvorí súčasť predkladaného materiálu.</w:t>
      </w:r>
    </w:p>
    <w:sectPr w:rsidR="001C2709" w:rsidRPr="003E61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53BFF"/>
    <w:multiLevelType w:val="multilevel"/>
    <w:tmpl w:val="3F784FF0"/>
    <w:lvl w:ilvl="0">
      <w:start w:val="1"/>
      <w:numFmt w:val="lowerLetter"/>
      <w:lvlText w:val="%1)"/>
      <w:lvlJc w:val="left"/>
      <w:pPr>
        <w:ind w:left="720" w:hanging="360"/>
      </w:pPr>
      <w:rPr>
        <w:rFonts w:ascii="Book Antiqua" w:hAnsi="Book Antiqua" w:cs="Times New Roman"/>
        <w:b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766B454D"/>
    <w:multiLevelType w:val="hybridMultilevel"/>
    <w:tmpl w:val="D6783E66"/>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709"/>
    <w:rsid w:val="0001587B"/>
    <w:rsid w:val="001C2709"/>
    <w:rsid w:val="001C46CD"/>
    <w:rsid w:val="002560DF"/>
    <w:rsid w:val="003E614C"/>
    <w:rsid w:val="004639EE"/>
    <w:rsid w:val="005C5528"/>
    <w:rsid w:val="005F2FA9"/>
    <w:rsid w:val="006305D6"/>
    <w:rsid w:val="0063319B"/>
    <w:rsid w:val="006B47C5"/>
    <w:rsid w:val="00712B1E"/>
    <w:rsid w:val="00771136"/>
    <w:rsid w:val="009B723D"/>
    <w:rsid w:val="00B636A5"/>
    <w:rsid w:val="00C2779D"/>
    <w:rsid w:val="00C66B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ACB37"/>
  <w15:docId w15:val="{A1972755-E930-45BD-87B9-1D0E558E9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C2709"/>
    <w:pPr>
      <w:spacing w:after="0" w:line="240"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nhideWhenUsed/>
    <w:qFormat/>
    <w:rsid w:val="001C2709"/>
    <w:pPr>
      <w:spacing w:before="100" w:beforeAutospacing="1" w:after="100" w:afterAutospacing="1" w:line="276" w:lineRule="auto"/>
    </w:pPr>
    <w:rPr>
      <w:rFonts w:ascii="Times New Roman" w:eastAsia="Times New Roman" w:hAnsi="Times New Roman" w:cs="Times New Roman"/>
      <w:sz w:val="24"/>
      <w:szCs w:val="24"/>
      <w:lang w:eastAsia="sk-SK"/>
    </w:rPr>
  </w:style>
  <w:style w:type="paragraph" w:customStyle="1" w:styleId="Vchodzie">
    <w:name w:val="Vchodzie"/>
    <w:qFormat/>
    <w:rsid w:val="001C2709"/>
    <w:pPr>
      <w:widowControl w:val="0"/>
      <w:autoSpaceDE w:val="0"/>
      <w:autoSpaceDN w:val="0"/>
      <w:adjustRightInd w:val="0"/>
      <w:spacing w:after="120" w:line="276" w:lineRule="auto"/>
    </w:pPr>
    <w:rPr>
      <w:rFonts w:ascii="Calibri" w:eastAsia="Times New Roman" w:hAnsi="Calibri" w:cs="Calibri"/>
      <w:lang w:bidi="hi-IN"/>
    </w:rPr>
  </w:style>
  <w:style w:type="character" w:customStyle="1" w:styleId="awspan">
    <w:name w:val="awspan"/>
    <w:basedOn w:val="Predvolenpsmoodseku"/>
    <w:qFormat/>
    <w:rsid w:val="001C2709"/>
  </w:style>
  <w:style w:type="paragraph" w:styleId="Odsekzoznamu">
    <w:name w:val="List Paragraph"/>
    <w:basedOn w:val="Normlny"/>
    <w:uiPriority w:val="34"/>
    <w:qFormat/>
    <w:rsid w:val="004639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772443">
      <w:bodyDiv w:val="1"/>
      <w:marLeft w:val="0"/>
      <w:marRight w:val="0"/>
      <w:marTop w:val="0"/>
      <w:marBottom w:val="0"/>
      <w:divBdr>
        <w:top w:val="none" w:sz="0" w:space="0" w:color="auto"/>
        <w:left w:val="none" w:sz="0" w:space="0" w:color="auto"/>
        <w:bottom w:val="none" w:sz="0" w:space="0" w:color="auto"/>
        <w:right w:val="none" w:sz="0" w:space="0" w:color="auto"/>
      </w:divBdr>
      <w:divsChild>
        <w:div w:id="556673990">
          <w:marLeft w:val="0"/>
          <w:marRight w:val="0"/>
          <w:marTop w:val="200"/>
          <w:marBottom w:val="200"/>
          <w:divBdr>
            <w:top w:val="single" w:sz="8" w:space="0" w:color="000000"/>
            <w:left w:val="single" w:sz="8" w:space="0" w:color="000000"/>
            <w:bottom w:val="single" w:sz="8" w:space="0" w:color="000000"/>
            <w:right w:val="single" w:sz="8" w:space="0" w:color="000000"/>
          </w:divBdr>
          <w:divsChild>
            <w:div w:id="1657566360">
              <w:marLeft w:val="0"/>
              <w:marRight w:val="0"/>
              <w:marTop w:val="0"/>
              <w:marBottom w:val="0"/>
              <w:divBdr>
                <w:top w:val="none" w:sz="0" w:space="0" w:color="auto"/>
                <w:left w:val="none" w:sz="0" w:space="0" w:color="auto"/>
                <w:bottom w:val="none" w:sz="0" w:space="0" w:color="auto"/>
                <w:right w:val="none" w:sz="0" w:space="0" w:color="auto"/>
              </w:divBdr>
              <w:divsChild>
                <w:div w:id="1838887273">
                  <w:marLeft w:val="0"/>
                  <w:marRight w:val="0"/>
                  <w:marTop w:val="0"/>
                  <w:marBottom w:val="0"/>
                  <w:divBdr>
                    <w:top w:val="none" w:sz="0" w:space="0" w:color="auto"/>
                    <w:left w:val="none" w:sz="0" w:space="0" w:color="auto"/>
                    <w:bottom w:val="none" w:sz="0" w:space="0" w:color="auto"/>
                    <w:right w:val="none" w:sz="0" w:space="0" w:color="auto"/>
                  </w:divBdr>
                </w:div>
                <w:div w:id="64731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494154">
          <w:marLeft w:val="0"/>
          <w:marRight w:val="0"/>
          <w:marTop w:val="200"/>
          <w:marBottom w:val="200"/>
          <w:divBdr>
            <w:top w:val="single" w:sz="8" w:space="0" w:color="000000"/>
            <w:left w:val="single" w:sz="8" w:space="0" w:color="000000"/>
            <w:bottom w:val="single" w:sz="8" w:space="0" w:color="000000"/>
            <w:right w:val="single" w:sz="8" w:space="0" w:color="000000"/>
          </w:divBdr>
          <w:divsChild>
            <w:div w:id="1785733511">
              <w:marLeft w:val="0"/>
              <w:marRight w:val="0"/>
              <w:marTop w:val="0"/>
              <w:marBottom w:val="0"/>
              <w:divBdr>
                <w:top w:val="none" w:sz="0" w:space="0" w:color="auto"/>
                <w:left w:val="none" w:sz="0" w:space="0" w:color="auto"/>
                <w:bottom w:val="none" w:sz="0" w:space="0" w:color="auto"/>
                <w:right w:val="none" w:sz="0" w:space="0" w:color="auto"/>
              </w:divBdr>
            </w:div>
            <w:div w:id="62021950">
              <w:marLeft w:val="0"/>
              <w:marRight w:val="0"/>
              <w:marTop w:val="0"/>
              <w:marBottom w:val="0"/>
              <w:divBdr>
                <w:top w:val="none" w:sz="0" w:space="0" w:color="auto"/>
                <w:left w:val="none" w:sz="0" w:space="0" w:color="auto"/>
                <w:bottom w:val="none" w:sz="0" w:space="0" w:color="auto"/>
                <w:right w:val="none" w:sz="0" w:space="0" w:color="auto"/>
              </w:divBdr>
              <w:divsChild>
                <w:div w:id="119276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337207">
      <w:bodyDiv w:val="1"/>
      <w:marLeft w:val="0"/>
      <w:marRight w:val="0"/>
      <w:marTop w:val="0"/>
      <w:marBottom w:val="0"/>
      <w:divBdr>
        <w:top w:val="none" w:sz="0" w:space="0" w:color="auto"/>
        <w:left w:val="none" w:sz="0" w:space="0" w:color="auto"/>
        <w:bottom w:val="none" w:sz="0" w:space="0" w:color="auto"/>
        <w:right w:val="none" w:sz="0" w:space="0" w:color="auto"/>
      </w:divBdr>
    </w:div>
    <w:div w:id="1115321028">
      <w:bodyDiv w:val="1"/>
      <w:marLeft w:val="0"/>
      <w:marRight w:val="0"/>
      <w:marTop w:val="0"/>
      <w:marBottom w:val="0"/>
      <w:divBdr>
        <w:top w:val="none" w:sz="0" w:space="0" w:color="auto"/>
        <w:left w:val="none" w:sz="0" w:space="0" w:color="auto"/>
        <w:bottom w:val="none" w:sz="0" w:space="0" w:color="auto"/>
        <w:right w:val="none" w:sz="0" w:space="0" w:color="auto"/>
      </w:divBdr>
    </w:div>
    <w:div w:id="1312556643">
      <w:bodyDiv w:val="1"/>
      <w:marLeft w:val="0"/>
      <w:marRight w:val="0"/>
      <w:marTop w:val="0"/>
      <w:marBottom w:val="0"/>
      <w:divBdr>
        <w:top w:val="none" w:sz="0" w:space="0" w:color="auto"/>
        <w:left w:val="none" w:sz="0" w:space="0" w:color="auto"/>
        <w:bottom w:val="none" w:sz="0" w:space="0" w:color="auto"/>
        <w:right w:val="none" w:sz="0" w:space="0" w:color="auto"/>
      </w:divBdr>
    </w:div>
    <w:div w:id="1481074357">
      <w:bodyDiv w:val="1"/>
      <w:marLeft w:val="0"/>
      <w:marRight w:val="0"/>
      <w:marTop w:val="0"/>
      <w:marBottom w:val="0"/>
      <w:divBdr>
        <w:top w:val="none" w:sz="0" w:space="0" w:color="auto"/>
        <w:left w:val="none" w:sz="0" w:space="0" w:color="auto"/>
        <w:bottom w:val="none" w:sz="0" w:space="0" w:color="auto"/>
        <w:right w:val="none" w:sz="0" w:space="0" w:color="auto"/>
      </w:divBdr>
    </w:div>
    <w:div w:id="1724910656">
      <w:bodyDiv w:val="1"/>
      <w:marLeft w:val="0"/>
      <w:marRight w:val="0"/>
      <w:marTop w:val="0"/>
      <w:marBottom w:val="0"/>
      <w:divBdr>
        <w:top w:val="none" w:sz="0" w:space="0" w:color="auto"/>
        <w:left w:val="none" w:sz="0" w:space="0" w:color="auto"/>
        <w:bottom w:val="none" w:sz="0" w:space="0" w:color="auto"/>
        <w:right w:val="none" w:sz="0" w:space="0" w:color="auto"/>
      </w:divBdr>
      <w:divsChild>
        <w:div w:id="2084452683">
          <w:marLeft w:val="0"/>
          <w:marRight w:val="0"/>
          <w:marTop w:val="200"/>
          <w:marBottom w:val="200"/>
          <w:divBdr>
            <w:top w:val="single" w:sz="8" w:space="0" w:color="000000"/>
            <w:left w:val="single" w:sz="8" w:space="0" w:color="000000"/>
            <w:bottom w:val="single" w:sz="8" w:space="0" w:color="000000"/>
            <w:right w:val="single" w:sz="8" w:space="0" w:color="000000"/>
          </w:divBdr>
          <w:divsChild>
            <w:div w:id="638151000">
              <w:marLeft w:val="0"/>
              <w:marRight w:val="0"/>
              <w:marTop w:val="0"/>
              <w:marBottom w:val="0"/>
              <w:divBdr>
                <w:top w:val="none" w:sz="0" w:space="0" w:color="auto"/>
                <w:left w:val="none" w:sz="0" w:space="0" w:color="auto"/>
                <w:bottom w:val="none" w:sz="0" w:space="0" w:color="auto"/>
                <w:right w:val="none" w:sz="0" w:space="0" w:color="auto"/>
              </w:divBdr>
              <w:divsChild>
                <w:div w:id="187111973">
                  <w:marLeft w:val="0"/>
                  <w:marRight w:val="0"/>
                  <w:marTop w:val="0"/>
                  <w:marBottom w:val="0"/>
                  <w:divBdr>
                    <w:top w:val="none" w:sz="0" w:space="0" w:color="auto"/>
                    <w:left w:val="none" w:sz="0" w:space="0" w:color="auto"/>
                    <w:bottom w:val="none" w:sz="0" w:space="0" w:color="auto"/>
                    <w:right w:val="none" w:sz="0" w:space="0" w:color="auto"/>
                  </w:divBdr>
                  <w:divsChild>
                    <w:div w:id="72751332">
                      <w:marLeft w:val="0"/>
                      <w:marRight w:val="0"/>
                      <w:marTop w:val="0"/>
                      <w:marBottom w:val="0"/>
                      <w:divBdr>
                        <w:top w:val="none" w:sz="0" w:space="0" w:color="auto"/>
                        <w:left w:val="none" w:sz="0" w:space="0" w:color="auto"/>
                        <w:bottom w:val="none" w:sz="0" w:space="0" w:color="auto"/>
                        <w:right w:val="none" w:sz="0" w:space="0" w:color="auto"/>
                      </w:divBdr>
                      <w:divsChild>
                        <w:div w:id="1032681721">
                          <w:marLeft w:val="0"/>
                          <w:marRight w:val="0"/>
                          <w:marTop w:val="0"/>
                          <w:marBottom w:val="0"/>
                          <w:divBdr>
                            <w:top w:val="none" w:sz="0" w:space="0" w:color="auto"/>
                            <w:left w:val="none" w:sz="0" w:space="0" w:color="auto"/>
                            <w:bottom w:val="none" w:sz="0" w:space="0" w:color="auto"/>
                            <w:right w:val="none" w:sz="0" w:space="0" w:color="auto"/>
                          </w:divBdr>
                          <w:divsChild>
                            <w:div w:id="869997548">
                              <w:marLeft w:val="0"/>
                              <w:marRight w:val="0"/>
                              <w:marTop w:val="0"/>
                              <w:marBottom w:val="0"/>
                              <w:divBdr>
                                <w:top w:val="none" w:sz="0" w:space="0" w:color="auto"/>
                                <w:left w:val="none" w:sz="0" w:space="0" w:color="auto"/>
                                <w:bottom w:val="none" w:sz="0" w:space="0" w:color="auto"/>
                                <w:right w:val="none" w:sz="0" w:space="0" w:color="auto"/>
                              </w:divBdr>
                            </w:div>
                            <w:div w:id="862786738">
                              <w:marLeft w:val="0"/>
                              <w:marRight w:val="0"/>
                              <w:marTop w:val="0"/>
                              <w:marBottom w:val="0"/>
                              <w:divBdr>
                                <w:top w:val="none" w:sz="0" w:space="0" w:color="auto"/>
                                <w:left w:val="none" w:sz="0" w:space="0" w:color="auto"/>
                                <w:bottom w:val="none" w:sz="0" w:space="0" w:color="auto"/>
                                <w:right w:val="none" w:sz="0" w:space="0" w:color="auto"/>
                              </w:divBdr>
                            </w:div>
                            <w:div w:id="1905486448">
                              <w:marLeft w:val="0"/>
                              <w:marRight w:val="0"/>
                              <w:marTop w:val="0"/>
                              <w:marBottom w:val="0"/>
                              <w:divBdr>
                                <w:top w:val="none" w:sz="0" w:space="0" w:color="auto"/>
                                <w:left w:val="none" w:sz="0" w:space="0" w:color="auto"/>
                                <w:bottom w:val="none" w:sz="0" w:space="0" w:color="auto"/>
                                <w:right w:val="none" w:sz="0" w:space="0" w:color="auto"/>
                              </w:divBdr>
                            </w:div>
                            <w:div w:id="183214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697249">
                      <w:marLeft w:val="0"/>
                      <w:marRight w:val="0"/>
                      <w:marTop w:val="0"/>
                      <w:marBottom w:val="0"/>
                      <w:divBdr>
                        <w:top w:val="none" w:sz="0" w:space="0" w:color="auto"/>
                        <w:left w:val="none" w:sz="0" w:space="0" w:color="auto"/>
                        <w:bottom w:val="none" w:sz="0" w:space="0" w:color="auto"/>
                        <w:right w:val="none" w:sz="0" w:space="0" w:color="auto"/>
                      </w:divBdr>
                      <w:divsChild>
                        <w:div w:id="556815949">
                          <w:marLeft w:val="0"/>
                          <w:marRight w:val="0"/>
                          <w:marTop w:val="0"/>
                          <w:marBottom w:val="0"/>
                          <w:divBdr>
                            <w:top w:val="none" w:sz="0" w:space="0" w:color="auto"/>
                            <w:left w:val="none" w:sz="0" w:space="0" w:color="auto"/>
                            <w:bottom w:val="none" w:sz="0" w:space="0" w:color="auto"/>
                            <w:right w:val="none" w:sz="0" w:space="0" w:color="auto"/>
                          </w:divBdr>
                          <w:divsChild>
                            <w:div w:id="192880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653933">
                  <w:marLeft w:val="0"/>
                  <w:marRight w:val="0"/>
                  <w:marTop w:val="0"/>
                  <w:marBottom w:val="0"/>
                  <w:divBdr>
                    <w:top w:val="none" w:sz="0" w:space="0" w:color="auto"/>
                    <w:left w:val="none" w:sz="0" w:space="0" w:color="auto"/>
                    <w:bottom w:val="none" w:sz="0" w:space="0" w:color="auto"/>
                    <w:right w:val="none" w:sz="0" w:space="0" w:color="auto"/>
                  </w:divBdr>
                  <w:divsChild>
                    <w:div w:id="362367499">
                      <w:marLeft w:val="0"/>
                      <w:marRight w:val="0"/>
                      <w:marTop w:val="0"/>
                      <w:marBottom w:val="0"/>
                      <w:divBdr>
                        <w:top w:val="none" w:sz="0" w:space="0" w:color="auto"/>
                        <w:left w:val="none" w:sz="0" w:space="0" w:color="auto"/>
                        <w:bottom w:val="none" w:sz="0" w:space="0" w:color="auto"/>
                        <w:right w:val="none" w:sz="0" w:space="0" w:color="auto"/>
                      </w:divBdr>
                    </w:div>
                    <w:div w:id="743840602">
                      <w:marLeft w:val="0"/>
                      <w:marRight w:val="0"/>
                      <w:marTop w:val="0"/>
                      <w:marBottom w:val="0"/>
                      <w:divBdr>
                        <w:top w:val="none" w:sz="0" w:space="0" w:color="auto"/>
                        <w:left w:val="none" w:sz="0" w:space="0" w:color="auto"/>
                        <w:bottom w:val="none" w:sz="0" w:space="0" w:color="auto"/>
                        <w:right w:val="none" w:sz="0" w:space="0" w:color="auto"/>
                      </w:divBdr>
                    </w:div>
                    <w:div w:id="1321807885">
                      <w:marLeft w:val="0"/>
                      <w:marRight w:val="0"/>
                      <w:marTop w:val="0"/>
                      <w:marBottom w:val="0"/>
                      <w:divBdr>
                        <w:top w:val="none" w:sz="0" w:space="0" w:color="auto"/>
                        <w:left w:val="none" w:sz="0" w:space="0" w:color="auto"/>
                        <w:bottom w:val="none" w:sz="0" w:space="0" w:color="auto"/>
                        <w:right w:val="none" w:sz="0" w:space="0" w:color="auto"/>
                      </w:divBdr>
                      <w:divsChild>
                        <w:div w:id="1455830088">
                          <w:marLeft w:val="0"/>
                          <w:marRight w:val="0"/>
                          <w:marTop w:val="0"/>
                          <w:marBottom w:val="0"/>
                          <w:divBdr>
                            <w:top w:val="none" w:sz="0" w:space="0" w:color="auto"/>
                            <w:left w:val="none" w:sz="0" w:space="0" w:color="auto"/>
                            <w:bottom w:val="none" w:sz="0" w:space="0" w:color="auto"/>
                            <w:right w:val="none" w:sz="0" w:space="0" w:color="auto"/>
                          </w:divBdr>
                        </w:div>
                        <w:div w:id="1038119919">
                          <w:marLeft w:val="0"/>
                          <w:marRight w:val="0"/>
                          <w:marTop w:val="0"/>
                          <w:marBottom w:val="0"/>
                          <w:divBdr>
                            <w:top w:val="none" w:sz="0" w:space="0" w:color="auto"/>
                            <w:left w:val="none" w:sz="0" w:space="0" w:color="auto"/>
                            <w:bottom w:val="none" w:sz="0" w:space="0" w:color="auto"/>
                            <w:right w:val="none" w:sz="0" w:space="0" w:color="auto"/>
                          </w:divBdr>
                        </w:div>
                      </w:divsChild>
                    </w:div>
                    <w:div w:id="490685156">
                      <w:marLeft w:val="0"/>
                      <w:marRight w:val="0"/>
                      <w:marTop w:val="0"/>
                      <w:marBottom w:val="0"/>
                      <w:divBdr>
                        <w:top w:val="none" w:sz="0" w:space="0" w:color="auto"/>
                        <w:left w:val="none" w:sz="0" w:space="0" w:color="auto"/>
                        <w:bottom w:val="none" w:sz="0" w:space="0" w:color="auto"/>
                        <w:right w:val="none" w:sz="0" w:space="0" w:color="auto"/>
                      </w:divBdr>
                      <w:divsChild>
                        <w:div w:id="3215562">
                          <w:marLeft w:val="0"/>
                          <w:marRight w:val="0"/>
                          <w:marTop w:val="0"/>
                          <w:marBottom w:val="0"/>
                          <w:divBdr>
                            <w:top w:val="none" w:sz="0" w:space="0" w:color="auto"/>
                            <w:left w:val="none" w:sz="0" w:space="0" w:color="auto"/>
                            <w:bottom w:val="none" w:sz="0" w:space="0" w:color="auto"/>
                            <w:right w:val="none" w:sz="0" w:space="0" w:color="auto"/>
                          </w:divBdr>
                        </w:div>
                      </w:divsChild>
                    </w:div>
                    <w:div w:id="430514255">
                      <w:marLeft w:val="0"/>
                      <w:marRight w:val="0"/>
                      <w:marTop w:val="0"/>
                      <w:marBottom w:val="0"/>
                      <w:divBdr>
                        <w:top w:val="none" w:sz="0" w:space="0" w:color="auto"/>
                        <w:left w:val="none" w:sz="0" w:space="0" w:color="auto"/>
                        <w:bottom w:val="none" w:sz="0" w:space="0" w:color="auto"/>
                        <w:right w:val="none" w:sz="0" w:space="0" w:color="auto"/>
                      </w:divBdr>
                      <w:divsChild>
                        <w:div w:id="1113860907">
                          <w:marLeft w:val="0"/>
                          <w:marRight w:val="0"/>
                          <w:marTop w:val="0"/>
                          <w:marBottom w:val="0"/>
                          <w:divBdr>
                            <w:top w:val="none" w:sz="0" w:space="0" w:color="auto"/>
                            <w:left w:val="none" w:sz="0" w:space="0" w:color="auto"/>
                            <w:bottom w:val="none" w:sz="0" w:space="0" w:color="auto"/>
                            <w:right w:val="none" w:sz="0" w:space="0" w:color="auto"/>
                          </w:divBdr>
                        </w:div>
                        <w:div w:id="49946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19312">
          <w:marLeft w:val="0"/>
          <w:marRight w:val="0"/>
          <w:marTop w:val="200"/>
          <w:marBottom w:val="200"/>
          <w:divBdr>
            <w:top w:val="single" w:sz="8" w:space="0" w:color="000000"/>
            <w:left w:val="single" w:sz="8" w:space="0" w:color="000000"/>
            <w:bottom w:val="single" w:sz="8" w:space="0" w:color="000000"/>
            <w:right w:val="single" w:sz="8" w:space="0" w:color="000000"/>
          </w:divBdr>
          <w:divsChild>
            <w:div w:id="140585824">
              <w:marLeft w:val="0"/>
              <w:marRight w:val="0"/>
              <w:marTop w:val="0"/>
              <w:marBottom w:val="0"/>
              <w:divBdr>
                <w:top w:val="none" w:sz="0" w:space="0" w:color="auto"/>
                <w:left w:val="none" w:sz="0" w:space="0" w:color="auto"/>
                <w:bottom w:val="none" w:sz="0" w:space="0" w:color="auto"/>
                <w:right w:val="none" w:sz="0" w:space="0" w:color="auto"/>
              </w:divBdr>
            </w:div>
            <w:div w:id="1274629733">
              <w:marLeft w:val="0"/>
              <w:marRight w:val="0"/>
              <w:marTop w:val="0"/>
              <w:marBottom w:val="0"/>
              <w:divBdr>
                <w:top w:val="none" w:sz="0" w:space="0" w:color="auto"/>
                <w:left w:val="none" w:sz="0" w:space="0" w:color="auto"/>
                <w:bottom w:val="none" w:sz="0" w:space="0" w:color="auto"/>
                <w:right w:val="none" w:sz="0" w:space="0" w:color="auto"/>
              </w:divBdr>
              <w:divsChild>
                <w:div w:id="480387647">
                  <w:marLeft w:val="0"/>
                  <w:marRight w:val="0"/>
                  <w:marTop w:val="0"/>
                  <w:marBottom w:val="0"/>
                  <w:divBdr>
                    <w:top w:val="none" w:sz="0" w:space="0" w:color="auto"/>
                    <w:left w:val="none" w:sz="0" w:space="0" w:color="auto"/>
                    <w:bottom w:val="none" w:sz="0" w:space="0" w:color="auto"/>
                    <w:right w:val="none" w:sz="0" w:space="0" w:color="auto"/>
                  </w:divBdr>
                </w:div>
                <w:div w:id="2119180987">
                  <w:marLeft w:val="0"/>
                  <w:marRight w:val="0"/>
                  <w:marTop w:val="0"/>
                  <w:marBottom w:val="0"/>
                  <w:divBdr>
                    <w:top w:val="none" w:sz="0" w:space="0" w:color="auto"/>
                    <w:left w:val="none" w:sz="0" w:space="0" w:color="auto"/>
                    <w:bottom w:val="none" w:sz="0" w:space="0" w:color="auto"/>
                    <w:right w:val="none" w:sz="0" w:space="0" w:color="auto"/>
                  </w:divBdr>
                  <w:divsChild>
                    <w:div w:id="1483159234">
                      <w:marLeft w:val="0"/>
                      <w:marRight w:val="0"/>
                      <w:marTop w:val="0"/>
                      <w:marBottom w:val="0"/>
                      <w:divBdr>
                        <w:top w:val="none" w:sz="0" w:space="0" w:color="auto"/>
                        <w:left w:val="none" w:sz="0" w:space="0" w:color="auto"/>
                        <w:bottom w:val="none" w:sz="0" w:space="0" w:color="auto"/>
                        <w:right w:val="none" w:sz="0" w:space="0" w:color="auto"/>
                      </w:divBdr>
                    </w:div>
                    <w:div w:id="1321231273">
                      <w:marLeft w:val="0"/>
                      <w:marRight w:val="0"/>
                      <w:marTop w:val="0"/>
                      <w:marBottom w:val="0"/>
                      <w:divBdr>
                        <w:top w:val="none" w:sz="0" w:space="0" w:color="auto"/>
                        <w:left w:val="none" w:sz="0" w:space="0" w:color="auto"/>
                        <w:bottom w:val="none" w:sz="0" w:space="0" w:color="auto"/>
                        <w:right w:val="none" w:sz="0" w:space="0" w:color="auto"/>
                      </w:divBdr>
                    </w:div>
                  </w:divsChild>
                </w:div>
                <w:div w:id="1710107369">
                  <w:marLeft w:val="0"/>
                  <w:marRight w:val="0"/>
                  <w:marTop w:val="0"/>
                  <w:marBottom w:val="0"/>
                  <w:divBdr>
                    <w:top w:val="none" w:sz="0" w:space="0" w:color="auto"/>
                    <w:left w:val="none" w:sz="0" w:space="0" w:color="auto"/>
                    <w:bottom w:val="none" w:sz="0" w:space="0" w:color="auto"/>
                    <w:right w:val="none" w:sz="0" w:space="0" w:color="auto"/>
                  </w:divBdr>
                  <w:divsChild>
                    <w:div w:id="1799176012">
                      <w:marLeft w:val="0"/>
                      <w:marRight w:val="0"/>
                      <w:marTop w:val="0"/>
                      <w:marBottom w:val="0"/>
                      <w:divBdr>
                        <w:top w:val="none" w:sz="0" w:space="0" w:color="auto"/>
                        <w:left w:val="none" w:sz="0" w:space="0" w:color="auto"/>
                        <w:bottom w:val="none" w:sz="0" w:space="0" w:color="auto"/>
                        <w:right w:val="none" w:sz="0" w:space="0" w:color="auto"/>
                      </w:divBdr>
                    </w:div>
                  </w:divsChild>
                </w:div>
                <w:div w:id="1903248922">
                  <w:marLeft w:val="0"/>
                  <w:marRight w:val="0"/>
                  <w:marTop w:val="0"/>
                  <w:marBottom w:val="0"/>
                  <w:divBdr>
                    <w:top w:val="none" w:sz="0" w:space="0" w:color="auto"/>
                    <w:left w:val="none" w:sz="0" w:space="0" w:color="auto"/>
                    <w:bottom w:val="none" w:sz="0" w:space="0" w:color="auto"/>
                    <w:right w:val="none" w:sz="0" w:space="0" w:color="auto"/>
                  </w:divBdr>
                  <w:divsChild>
                    <w:div w:id="1037124424">
                      <w:marLeft w:val="0"/>
                      <w:marRight w:val="0"/>
                      <w:marTop w:val="0"/>
                      <w:marBottom w:val="0"/>
                      <w:divBdr>
                        <w:top w:val="none" w:sz="0" w:space="0" w:color="auto"/>
                        <w:left w:val="none" w:sz="0" w:space="0" w:color="auto"/>
                        <w:bottom w:val="none" w:sz="0" w:space="0" w:color="auto"/>
                        <w:right w:val="none" w:sz="0" w:space="0" w:color="auto"/>
                      </w:divBdr>
                    </w:div>
                    <w:div w:id="1246037122">
                      <w:marLeft w:val="0"/>
                      <w:marRight w:val="0"/>
                      <w:marTop w:val="0"/>
                      <w:marBottom w:val="0"/>
                      <w:divBdr>
                        <w:top w:val="none" w:sz="0" w:space="0" w:color="auto"/>
                        <w:left w:val="none" w:sz="0" w:space="0" w:color="auto"/>
                        <w:bottom w:val="none" w:sz="0" w:space="0" w:color="auto"/>
                        <w:right w:val="none" w:sz="0" w:space="0" w:color="auto"/>
                      </w:divBdr>
                    </w:div>
                  </w:divsChild>
                </w:div>
                <w:div w:id="1467890764">
                  <w:marLeft w:val="0"/>
                  <w:marRight w:val="0"/>
                  <w:marTop w:val="0"/>
                  <w:marBottom w:val="0"/>
                  <w:divBdr>
                    <w:top w:val="none" w:sz="0" w:space="0" w:color="auto"/>
                    <w:left w:val="none" w:sz="0" w:space="0" w:color="auto"/>
                    <w:bottom w:val="none" w:sz="0" w:space="0" w:color="auto"/>
                    <w:right w:val="none" w:sz="0" w:space="0" w:color="auto"/>
                  </w:divBdr>
                  <w:divsChild>
                    <w:div w:id="1613435232">
                      <w:marLeft w:val="0"/>
                      <w:marRight w:val="0"/>
                      <w:marTop w:val="0"/>
                      <w:marBottom w:val="0"/>
                      <w:divBdr>
                        <w:top w:val="none" w:sz="0" w:space="0" w:color="auto"/>
                        <w:left w:val="none" w:sz="0" w:space="0" w:color="auto"/>
                        <w:bottom w:val="none" w:sz="0" w:space="0" w:color="auto"/>
                        <w:right w:val="none" w:sz="0" w:space="0" w:color="auto"/>
                      </w:divBdr>
                    </w:div>
                    <w:div w:id="66378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35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2102</Words>
  <Characters>11982</Characters>
  <Application>Microsoft Office Word</Application>
  <DocSecurity>0</DocSecurity>
  <Lines>99</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 Kuchár</dc:creator>
  <cp:keywords/>
  <dc:description/>
  <cp:lastModifiedBy>Vetrák, Milan</cp:lastModifiedBy>
  <cp:revision>2</cp:revision>
  <dcterms:created xsi:type="dcterms:W3CDTF">2023-01-13T14:26:00Z</dcterms:created>
  <dcterms:modified xsi:type="dcterms:W3CDTF">2023-01-13T14:26:00Z</dcterms:modified>
</cp:coreProperties>
</file>