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BF73C" w14:textId="2BDD8B6D" w:rsidR="007C3E0C" w:rsidRPr="00A85B6B" w:rsidRDefault="007C3E0C" w:rsidP="00C60551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A85B6B">
        <w:rPr>
          <w:rFonts w:ascii="Times New Roman" w:hAnsi="Times New Roman" w:cs="Times New Roman"/>
          <w:b/>
          <w:bCs/>
          <w:sz w:val="22"/>
          <w:szCs w:val="22"/>
          <w:lang w:val="sk-SK"/>
        </w:rPr>
        <w:t>DÔVODOVÁ SPRÁVA</w:t>
      </w:r>
    </w:p>
    <w:p w14:paraId="214F9410" w14:textId="04EFFF9C" w:rsidR="007C3E0C" w:rsidRPr="00A85B6B" w:rsidRDefault="007C3E0C" w:rsidP="00C60551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062DB654" w14:textId="4D70DEAC" w:rsidR="007C3E0C" w:rsidRPr="00C60551" w:rsidRDefault="007C3E0C" w:rsidP="00C60551">
      <w:pPr>
        <w:pStyle w:val="Odsekzoznamu"/>
        <w:numPr>
          <w:ilvl w:val="0"/>
          <w:numId w:val="3"/>
        </w:numPr>
        <w:spacing w:line="276" w:lineRule="auto"/>
        <w:ind w:left="426" w:hanging="426"/>
        <w:rPr>
          <w:rFonts w:ascii="Times New Roman" w:hAnsi="Times New Roman"/>
          <w:b/>
          <w:bCs/>
        </w:rPr>
      </w:pPr>
      <w:r w:rsidRPr="00C60551">
        <w:rPr>
          <w:rFonts w:ascii="Times New Roman" w:hAnsi="Times New Roman"/>
          <w:b/>
          <w:bCs/>
        </w:rPr>
        <w:t>Všeobecná časť</w:t>
      </w:r>
    </w:p>
    <w:p w14:paraId="7DFB1F19" w14:textId="77777777" w:rsidR="007C3E0C" w:rsidRPr="00A85B6B" w:rsidRDefault="007C3E0C" w:rsidP="00C60551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1643DAEA" w14:textId="3387543F" w:rsidR="007C3E0C" w:rsidRPr="00A85B6B" w:rsidRDefault="00C83F1E" w:rsidP="00C60551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Návrh ústavného zákona má</w:t>
      </w:r>
      <w:r w:rsidR="007C3E0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 za cieľ zvýšiť ústavnoprávnu ochranu Špecializovaného trestného súdu a Ú</w:t>
      </w:r>
      <w:r>
        <w:rPr>
          <w:rFonts w:ascii="Times New Roman" w:hAnsi="Times New Roman" w:cs="Times New Roman"/>
          <w:sz w:val="22"/>
          <w:szCs w:val="22"/>
          <w:lang w:val="sk-SK"/>
        </w:rPr>
        <w:t>radu špeciálnej prokuratúry</w:t>
      </w:r>
      <w:r w:rsidR="007C3E0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 tak, že existencia oboch menovaných inštitúcií bude explicitne zakotvená v základnom právnom predpise Slovenskej republiky – v Ústave Slovenskej republiky. </w:t>
      </w:r>
      <w:r w:rsidR="00300EB1">
        <w:rPr>
          <w:rFonts w:ascii="Times New Roman" w:hAnsi="Times New Roman" w:cs="Times New Roman"/>
          <w:sz w:val="22"/>
          <w:szCs w:val="22"/>
          <w:lang w:val="sk-SK"/>
        </w:rPr>
        <w:t>Špecializovaný trestný súd a Úrad špeciálnej prokuratúry sú súčasťou orgánov ochrany práva, ktorých základnou pôsobnosťou je potieranie tej najzávažnejšej trestnej činnosti, a to v rovine vedenia súdneho procesu a teda realizácie práva na spravodlivý proces, ako aj realizácie dozoru a trestného stíhania pri najzávažnejšej trestnej činnosti. Súčasťou tzv. tranzitívneho procesu v krajinách, ktoré prechádzajú od totalitného zriadenia, napr. vláda jednej (komunistickej) strany k demokratickému zriadeniu</w:t>
      </w:r>
      <w:r w:rsidR="00F43D8D">
        <w:rPr>
          <w:rFonts w:ascii="Times New Roman" w:hAnsi="Times New Roman" w:cs="Times New Roman"/>
          <w:sz w:val="22"/>
          <w:szCs w:val="22"/>
          <w:lang w:val="sk-SK"/>
        </w:rPr>
        <w:t xml:space="preserve"> a ochrany právn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F43D8D">
        <w:rPr>
          <w:rFonts w:ascii="Times New Roman" w:hAnsi="Times New Roman" w:cs="Times New Roman"/>
          <w:sz w:val="22"/>
          <w:szCs w:val="22"/>
          <w:lang w:val="sk-SK"/>
        </w:rPr>
        <w:t xml:space="preserve">ho štátu 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je práve zakotvenie špeciálnych vyšetrovacích a súdnych orgánov do svojich právnych poriadkov. Tento aspekt vychádza najmä 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o skúsenosti iných krajín s demokratickou </w:t>
      </w:r>
      <w:proofErr w:type="spellStart"/>
      <w:r w:rsidR="007F4A21">
        <w:rPr>
          <w:rFonts w:ascii="Times New Roman" w:hAnsi="Times New Roman" w:cs="Times New Roman"/>
          <w:sz w:val="22"/>
          <w:szCs w:val="22"/>
          <w:lang w:val="sk-SK"/>
        </w:rPr>
        <w:t>tranzíciou</w:t>
      </w:r>
      <w:proofErr w:type="spellEnd"/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 a postupnou a častokrát problematickou aplikáciou princípov správy vecí verejných a budovania ochrany demokratického a právneho štátu. Práve vôľa chrániť demokratický a právny štát aj pred trestnou činnosťou organizovaných zločineckých skupín, ktoré páchajú ako ekonomickú</w:t>
      </w:r>
      <w:r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 tak 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 xml:space="preserve">aj 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>násilnú trestnú činnosť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 je motiváciou </w:t>
      </w:r>
      <w:proofErr w:type="spellStart"/>
      <w:r w:rsidR="007F4A21">
        <w:rPr>
          <w:rFonts w:ascii="Times New Roman" w:hAnsi="Times New Roman" w:cs="Times New Roman"/>
          <w:sz w:val="22"/>
          <w:szCs w:val="22"/>
          <w:lang w:val="sk-SK"/>
        </w:rPr>
        <w:t>ústavodarcu</w:t>
      </w:r>
      <w:proofErr w:type="spellEnd"/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 zakotviť do 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 xml:space="preserve">Ústavy Slovenskej republiky 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>explicitnú existenciu takýchto orgánov ochrany práva. Osobitným aspektom a argumentom pre ústavné zakotvenie týchto orgánov je boj proti korupcii, ktorá je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 žiaľ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 častokrát páchaná 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 xml:space="preserve">verejnými činiteľmi a v súvislosti 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>s verejnými prostriedkami.</w:t>
      </w:r>
    </w:p>
    <w:p w14:paraId="0BA5089D" w14:textId="554822E2" w:rsidR="007C3E0C" w:rsidRPr="00A85B6B" w:rsidRDefault="007C3E0C" w:rsidP="00C6055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4B6F2C9D" w14:textId="1C3EF0F5" w:rsidR="007C3E0C" w:rsidRPr="00A85B6B" w:rsidRDefault="007C3E0C" w:rsidP="00C60551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A85B6B">
        <w:rPr>
          <w:rFonts w:ascii="Times New Roman" w:hAnsi="Times New Roman" w:cs="Times New Roman"/>
          <w:sz w:val="22"/>
          <w:szCs w:val="22"/>
          <w:lang w:val="sk-SK"/>
        </w:rPr>
        <w:t>Prijatím návrhu ústavného zákona sa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 teda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 dosiahne stav, v ktorom Špecializovaný trestný súd a Úrad špeciálnej prokuratúry budú orgánmi, ktoré podľa ústavy musia existovať a nie je možné ich zrušiť zmenou </w:t>
      </w:r>
      <w:r w:rsidR="00493CA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príslušných </w:t>
      </w:r>
      <w:proofErr w:type="spellStart"/>
      <w:r w:rsidR="00493CAC" w:rsidRPr="00A85B6B">
        <w:rPr>
          <w:rFonts w:ascii="Times New Roman" w:hAnsi="Times New Roman" w:cs="Times New Roman"/>
          <w:sz w:val="22"/>
          <w:szCs w:val="22"/>
          <w:lang w:val="sk-SK"/>
        </w:rPr>
        <w:t>podústavných</w:t>
      </w:r>
      <w:proofErr w:type="spellEnd"/>
      <w:r w:rsidR="00493CA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 právnych predpisov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>. Špecializovaný trestný súd sa tak stane súčasťou sústavy súdov a Úrad špeciálnej prokuratúry sa stane osobitnou súčasťou existujúcou v rámci prokuratúry. Úrad špeciálnej prokuratúry však nad rámec priznania ústavnoprávnej ochrany získa aj atribút osobitného postavenia a nezávislosti v rámci prokuratúry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 a to práve z dôvodu dozoru a trestného stíhania tej najzávažnejšej trestnej činnosti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>. Táto nezávislosť je prejavom ochrany Úradu špeciálnej prokuratúry pred akýmikoľvek zásahmi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 do vyšetrovaní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 z prostredia mimo Úradu špeciálnej prokuratúry. </w:t>
      </w:r>
    </w:p>
    <w:p w14:paraId="04CD08A1" w14:textId="48D0C375" w:rsidR="00A66F72" w:rsidRPr="00A85B6B" w:rsidRDefault="00A66F72" w:rsidP="00C6055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1F61F9CF" w14:textId="3B3294F8" w:rsidR="007C3E0C" w:rsidRDefault="00A66F72" w:rsidP="00C60551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Tento návrh nadväzuje na, rozvíja a kodifikuje niektoré závery nálezu Ústavného súdu Slovenskej republiky č. k. PL. ÚS 17/08-238 zo dňa 20. mája 2009. Predovšetkým sa rešpektuje, že Úrad špeciálnej prokuratúry nie je úplne autonómny. </w:t>
      </w:r>
      <w:r w:rsidR="00D53761">
        <w:rPr>
          <w:rFonts w:ascii="Times New Roman" w:hAnsi="Times New Roman" w:cs="Times New Roman"/>
          <w:sz w:val="22"/>
          <w:szCs w:val="22"/>
          <w:lang w:val="sk-SK"/>
        </w:rPr>
        <w:t>B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>ez ohľadu na túto skutočnosť musia byť vytvorené také podmienky, aby Úrad špeciálne</w:t>
      </w:r>
      <w:r w:rsidR="00493CAC" w:rsidRPr="00A85B6B">
        <w:rPr>
          <w:rFonts w:ascii="Times New Roman" w:hAnsi="Times New Roman" w:cs="Times New Roman"/>
          <w:sz w:val="22"/>
          <w:szCs w:val="22"/>
          <w:lang w:val="sk-SK"/>
        </w:rPr>
        <w:t>j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 prokuratúry mohol vykonávať svoju pôsobnosť nezávisle</w:t>
      </w:r>
      <w:r w:rsidR="00D53761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493CA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 a to v rámci sústavy prokuratúry a v rámci výkonu pôsobnosti Úradu špeciálnej prokuratúry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. V kontexte aktuálneho fungovania prokuratúry sa javí byť potrebné vytvoriť také podmienky, aby nedochádzalo k zásahom do </w:t>
      </w:r>
      <w:r w:rsidR="00493CA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činnosti 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>Úradu špeciálnej proku</w:t>
      </w:r>
      <w:r w:rsidR="0008606C" w:rsidRPr="00A85B6B">
        <w:rPr>
          <w:rFonts w:ascii="Times New Roman" w:hAnsi="Times New Roman" w:cs="Times New Roman"/>
          <w:sz w:val="22"/>
          <w:szCs w:val="22"/>
          <w:lang w:val="sk-SK"/>
        </w:rPr>
        <w:t>r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>atúry</w:t>
      </w:r>
      <w:r w:rsidR="00493CA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 v rámci výkonu jej pôsobnosti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493CA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teda 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>aby Úrad špeciálnej prokuratúry podliehal skôr samoregulácii</w:t>
      </w:r>
      <w:r w:rsidR="0008606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 v zákonom stanovených medziach, ako regulácii zo strany </w:t>
      </w:r>
      <w:r w:rsidR="00493CA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iných činiteľov, okrem iného aj </w:t>
      </w:r>
      <w:r w:rsidR="0008606C" w:rsidRPr="00A85B6B">
        <w:rPr>
          <w:rFonts w:ascii="Times New Roman" w:hAnsi="Times New Roman" w:cs="Times New Roman"/>
          <w:sz w:val="22"/>
          <w:szCs w:val="22"/>
          <w:lang w:val="sk-SK"/>
        </w:rPr>
        <w:t>generálneho prokurátora. V tomto kontexte sa zdôrazňuje, že včlenenie Úradu špeciálnej prokuratúry do systému prokuratúry má systematický a inštitucionálny rozmer, čo znamená, že Úradu špeciálnej prokuratúry majú byť vytvorené také podmienky, aby mohla vykonávať svoju pôsobnosť nezávisle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 ako súčasť prokuratúry</w:t>
      </w:r>
      <w:r w:rsidR="0008606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493CA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Toto včlenenie Úradu špeciálnej prokuratúry do systému prokuratúr </w:t>
      </w:r>
      <w:r w:rsidR="005D4256">
        <w:rPr>
          <w:rFonts w:ascii="Times New Roman" w:hAnsi="Times New Roman" w:cs="Times New Roman"/>
          <w:sz w:val="22"/>
          <w:szCs w:val="22"/>
          <w:lang w:val="sk-SK"/>
        </w:rPr>
        <w:t xml:space="preserve">však </w:t>
      </w:r>
      <w:r w:rsidR="00493CA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nemá viesť k potlačeniu osobitného postavenia Úradu špeciálnej prokuratúry. 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Úrad špeciálnej prokuratúry má byť nezávislým najmä vo svojej vecnej pôsobnosti preto, aby do dozoru a vyšetrovania najzávažnejšej trestnej činnosti nemohli zasahovať napríklad vyšetrovaní verejní 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činitelia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1CDD031" w14:textId="0FB8B8CD" w:rsidR="005D4256" w:rsidRDefault="005D4256" w:rsidP="00C60551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3C965183" w14:textId="1DF9B92D" w:rsidR="005D4256" w:rsidRDefault="005D4256" w:rsidP="00C60551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Špecializovaný trestný súd je inštitúciou, ktorá rieši najzávažnejšie trestné činy, predovšetkým s ohľadom na trestné činy páchané organizovanými skupinami, trestné činy zneužívania právomoci verejných činiteľov a trestné činy korupcie. Vytvorenie Špecializovaného trestného súdu bolo v čase jeho vzniku potrebné preto, aby existovala inštitúcia, ktorá bude rozhodovať o najzávažnejších formách protispoločenskej činnosti. Pôsobnosť Špecializovaného trestného súdu je definovaná v § 14 zákona č. 301/2005 Z. z. trestný poriadok v aktuálnom znení. Týmto návrhom, teda zakotvením existencie Špecializovaného trestného súdu v Ústave Slovenskej republiky, sa má zdôrazniť dôležitosť a spoločenská ochrana Špecializovaného trestného súdu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 ergo cieľa</w:t>
      </w:r>
      <w:r w:rsidR="00A11EB9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 pre ktorý bola zákonodarcom prijatá zákonná úprava Špecializovaného trestného </w:t>
      </w:r>
      <w:r w:rsidR="00071A52">
        <w:rPr>
          <w:rFonts w:ascii="Times New Roman" w:hAnsi="Times New Roman" w:cs="Times New Roman"/>
          <w:sz w:val="22"/>
          <w:szCs w:val="22"/>
          <w:lang w:val="sk-SK"/>
        </w:rPr>
        <w:t>súdu, teda vyšetrovanie</w:t>
      </w:r>
      <w:r w:rsidR="007F4A21">
        <w:rPr>
          <w:rFonts w:ascii="Times New Roman" w:hAnsi="Times New Roman" w:cs="Times New Roman"/>
          <w:sz w:val="22"/>
          <w:szCs w:val="22"/>
          <w:lang w:val="sk-SK"/>
        </w:rPr>
        <w:t xml:space="preserve"> na</w:t>
      </w:r>
      <w:r w:rsidR="00A11EB9">
        <w:rPr>
          <w:rFonts w:ascii="Times New Roman" w:hAnsi="Times New Roman" w:cs="Times New Roman"/>
          <w:sz w:val="22"/>
          <w:szCs w:val="22"/>
          <w:lang w:val="sk-SK"/>
        </w:rPr>
        <w:t>jzávažnejšej trestnej činnosti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A11EB9">
        <w:rPr>
          <w:rFonts w:ascii="Times New Roman" w:hAnsi="Times New Roman" w:cs="Times New Roman"/>
          <w:sz w:val="22"/>
          <w:szCs w:val="22"/>
          <w:lang w:val="sk-SK"/>
        </w:rPr>
        <w:t xml:space="preserve"> korupcie a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 zá</w:t>
      </w:r>
      <w:r w:rsidR="00A11EB9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A11EB9">
        <w:rPr>
          <w:rFonts w:ascii="Times New Roman" w:hAnsi="Times New Roman" w:cs="Times New Roman"/>
          <w:sz w:val="22"/>
          <w:szCs w:val="22"/>
          <w:lang w:val="sk-SK"/>
        </w:rPr>
        <w:t>žnej trestnej činnosti násilného charakteru.</w:t>
      </w:r>
    </w:p>
    <w:p w14:paraId="516C04FF" w14:textId="616E2E87" w:rsidR="00A11EB9" w:rsidRDefault="00A11EB9" w:rsidP="00C60551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5AFBC902" w14:textId="742FEC2D" w:rsidR="00A11EB9" w:rsidRDefault="00A11EB9" w:rsidP="00C60551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Ústavodarca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musí nepopierateľne reagovať i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 </w:t>
      </w:r>
      <w:r>
        <w:rPr>
          <w:rFonts w:ascii="Times New Roman" w:hAnsi="Times New Roman" w:cs="Times New Roman"/>
          <w:sz w:val="22"/>
          <w:szCs w:val="22"/>
          <w:lang w:val="sk-SK"/>
        </w:rPr>
        <w:t>na aktuálne výzvy, ktoré prináša spoločnosť a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 </w:t>
      </w:r>
      <w:r>
        <w:rPr>
          <w:rFonts w:ascii="Times New Roman" w:hAnsi="Times New Roman" w:cs="Times New Roman"/>
          <w:sz w:val="22"/>
          <w:szCs w:val="22"/>
          <w:lang w:val="sk-SK"/>
        </w:rPr>
        <w:t>ústavné zriadenie, v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 </w:t>
      </w:r>
      <w:r>
        <w:rPr>
          <w:rFonts w:ascii="Times New Roman" w:hAnsi="Times New Roman" w:cs="Times New Roman"/>
          <w:sz w:val="22"/>
          <w:szCs w:val="22"/>
          <w:lang w:val="sk-SK"/>
        </w:rPr>
        <w:t>ktorom spoločnosť žije. Nie je prekvapením, že politická diskusia medzi koalíciou a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 </w:t>
      </w:r>
      <w:r>
        <w:rPr>
          <w:rFonts w:ascii="Times New Roman" w:hAnsi="Times New Roman" w:cs="Times New Roman"/>
          <w:sz w:val="22"/>
          <w:szCs w:val="22"/>
          <w:lang w:val="sk-SK"/>
        </w:rPr>
        <w:t>opozíciou je diskusiou „tvrdou“ a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 </w:t>
      </w:r>
      <w:r>
        <w:rPr>
          <w:rFonts w:ascii="Times New Roman" w:hAnsi="Times New Roman" w:cs="Times New Roman"/>
          <w:sz w:val="22"/>
          <w:szCs w:val="22"/>
          <w:lang w:val="sk-SK"/>
        </w:rPr>
        <w:t>kritickou, a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 </w:t>
      </w:r>
      <w:r>
        <w:rPr>
          <w:rFonts w:ascii="Times New Roman" w:hAnsi="Times New Roman" w:cs="Times New Roman"/>
          <w:sz w:val="22"/>
          <w:szCs w:val="22"/>
          <w:lang w:val="sk-SK"/>
        </w:rPr>
        <w:t>to bez ohľadu na to, kto je členom opozície alebo koalície. Ak však táto diskusia prechádza do situácií, kedy tí, ktorí majú vyšetrovať tú najzávažnejšiu trestnú činnosť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,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sú atakovaní v hrubej a extenzívnej miere práve vyšetrovanými osobami z prostredia politiky, 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potom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ústavodarca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>, majúc na pamäti pozitívny záväzok štátu chrániť základné ľudské práva, právny štát a právo na spravodlivý proces, kde možno zaradiť i záväzok potierať trestnú činnosť, musí na takúto situáciu reagovať. Vyšetrovanie samo o sebe nie je ústavnou hodnotou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.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Ú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stavnou hodnotou je však právo na spravodlivý a nezávislý súd a vyšetrovacie orgány, ktoré postupujú v súlade so zákonom a chránia 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 xml:space="preserve">tak - </w:t>
      </w:r>
      <w:r>
        <w:rPr>
          <w:rFonts w:ascii="Times New Roman" w:hAnsi="Times New Roman" w:cs="Times New Roman"/>
          <w:sz w:val="22"/>
          <w:szCs w:val="22"/>
          <w:lang w:val="sk-SK"/>
        </w:rPr>
        <w:t>v širšom slova zmysle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 xml:space="preserve"> -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i demokratický a právny štát. Snaha zastaviť vyšetrovania tým, že existuje dôvodná obava na zrušenie týchto inštitúci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í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politickou mocou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,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nie je prípustným prostriedkom obvineného pri realizáci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i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práva na spravodlivý proces. Naopak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,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bolo by to hrubým zneuž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i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tím, hoc aj demokraticky delegovanej moci. Princípy právneho štátu a ochrany právneho štátu nesmú byť limitované na to, kto aktuálne vládne alebo na to, kto je aktuálne vyšetrovaný. Ak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ústavodarca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nedá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prostredníctvom textu ústavy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 xml:space="preserve"> jednoznačne najavo</w:t>
      </w:r>
      <w:r>
        <w:rPr>
          <w:rFonts w:ascii="Times New Roman" w:hAnsi="Times New Roman" w:cs="Times New Roman"/>
          <w:sz w:val="22"/>
          <w:szCs w:val="22"/>
          <w:lang w:val="sk-SK"/>
        </w:rPr>
        <w:t>, že chápe význam „špeciálnych“ orgánov ochrany práva, ktorých pôsobnosť a postavenie je kreované tak, aby spĺňali atribúty nezávislosti a nestrannosti práve pre vyšetrovania tej najzávažnejšej trestnej činnosti, ktorá môže byť páchaná verejne činnými osobami, tak v takom prípade rezignuje na ochranu právneho štátu a demokratického poriadku vo vzťahu k primárnemu nositeľovi demokratickej moci, teda občanovi alebo inými slovami povedané ľudu. Koniec koncov, práve preto, aby určité princípy a axiómy, z ktorých v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y</w:t>
      </w:r>
      <w:r>
        <w:rPr>
          <w:rFonts w:ascii="Times New Roman" w:hAnsi="Times New Roman" w:cs="Times New Roman"/>
          <w:sz w:val="22"/>
          <w:szCs w:val="22"/>
          <w:lang w:val="sk-SK"/>
        </w:rPr>
        <w:t>chádzame ako demokratická spoločnosť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,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boli chránené</w:t>
      </w:r>
      <w:r w:rsidR="00572688">
        <w:rPr>
          <w:rFonts w:ascii="Times New Roman" w:hAnsi="Times New Roman" w:cs="Times New Roman"/>
          <w:sz w:val="22"/>
          <w:szCs w:val="22"/>
          <w:lang w:val="sk-SK"/>
        </w:rPr>
        <w:t>,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355AA">
        <w:rPr>
          <w:rFonts w:ascii="Times New Roman" w:hAnsi="Times New Roman" w:cs="Times New Roman"/>
          <w:sz w:val="22"/>
          <w:szCs w:val="22"/>
          <w:lang w:val="sk-SK"/>
        </w:rPr>
        <w:t xml:space="preserve">existuje ústava ako právny predpis a legislatívny spôsob, akým je možné tento právny predpis meniť. </w:t>
      </w:r>
    </w:p>
    <w:p w14:paraId="1E8284EF" w14:textId="77777777" w:rsidR="005D4256" w:rsidRPr="00A85B6B" w:rsidRDefault="005D4256" w:rsidP="00C60551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53C6EC0E" w14:textId="115AC482" w:rsidR="00A66F72" w:rsidRPr="00A85B6B" w:rsidRDefault="00A66F72" w:rsidP="00C60551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62316686" w14:textId="77777777" w:rsidR="00A66F72" w:rsidRPr="00A85B6B" w:rsidRDefault="00A66F72" w:rsidP="00C60551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5EEE6CBF" w14:textId="57915E55" w:rsidR="007C3E0C" w:rsidRPr="00C60551" w:rsidRDefault="007C3E0C" w:rsidP="00C60551">
      <w:pPr>
        <w:pStyle w:val="Odsekzoznamu"/>
        <w:numPr>
          <w:ilvl w:val="0"/>
          <w:numId w:val="3"/>
        </w:numPr>
        <w:spacing w:line="276" w:lineRule="auto"/>
        <w:ind w:left="426" w:hanging="426"/>
        <w:rPr>
          <w:rFonts w:ascii="Times New Roman" w:hAnsi="Times New Roman"/>
          <w:b/>
          <w:bCs/>
        </w:rPr>
      </w:pPr>
      <w:r w:rsidRPr="00C60551">
        <w:rPr>
          <w:rFonts w:ascii="Times New Roman" w:hAnsi="Times New Roman"/>
          <w:b/>
          <w:bCs/>
        </w:rPr>
        <w:t>Osobitná časť</w:t>
      </w:r>
    </w:p>
    <w:p w14:paraId="7A34C229" w14:textId="5509991A" w:rsidR="007C3E0C" w:rsidRPr="00A85B6B" w:rsidRDefault="007C3E0C" w:rsidP="00C60551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659499BB" w14:textId="1CFB7895" w:rsidR="007C3E0C" w:rsidRDefault="00A85B6B" w:rsidP="00C60551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K článku </w:t>
      </w:r>
      <w:r w:rsidR="007C3E0C" w:rsidRPr="00A85B6B">
        <w:rPr>
          <w:rFonts w:ascii="Times New Roman" w:hAnsi="Times New Roman" w:cs="Times New Roman"/>
          <w:b/>
          <w:bCs/>
          <w:sz w:val="22"/>
          <w:szCs w:val="22"/>
          <w:lang w:val="sk-SK"/>
        </w:rPr>
        <w:t>I</w:t>
      </w:r>
    </w:p>
    <w:p w14:paraId="764DABD1" w14:textId="1CC5678A" w:rsidR="00A85B6B" w:rsidRDefault="00A85B6B" w:rsidP="00C60551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5C21E14A" w14:textId="411BE577" w:rsidR="00A85B6B" w:rsidRDefault="00A85B6B" w:rsidP="00C60551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sk-SK"/>
        </w:rPr>
        <w:t>K bodu 1</w:t>
      </w:r>
    </w:p>
    <w:p w14:paraId="663ED414" w14:textId="77777777" w:rsidR="00A85B6B" w:rsidRPr="00A85B6B" w:rsidRDefault="00A85B6B" w:rsidP="00C60551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0BDD6316" w14:textId="0FC09054" w:rsidR="007C3E0C" w:rsidRDefault="007C3E0C" w:rsidP="00C6055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Explicitne sa ustanovuje, že existencia Špecializovaného trestného súdu má ústavnoprávny charakter a požíva tak ochranu prostredníctvom ústavy. </w:t>
      </w:r>
    </w:p>
    <w:p w14:paraId="696D9292" w14:textId="2B9CE3C0" w:rsidR="005D4256" w:rsidRDefault="005D4256" w:rsidP="00C6055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1376A97E" w14:textId="0BB79FEB" w:rsidR="005D4256" w:rsidRDefault="005D4256" w:rsidP="005D425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Špecializovaný trestný súd je inštitúciou, ktorá rieši najzávažnejšie trestné činy, predovšetkým s ohľadom na trestné činy páchané organizovanými skupinami, trestné činy zneužívania právomoci </w:t>
      </w:r>
      <w:r>
        <w:rPr>
          <w:rFonts w:ascii="Times New Roman" w:hAnsi="Times New Roman" w:cs="Times New Roman"/>
          <w:sz w:val="22"/>
          <w:szCs w:val="22"/>
          <w:lang w:val="sk-SK"/>
        </w:rPr>
        <w:lastRenderedPageBreak/>
        <w:t>verejných činiteľov a trestné činy korupcie. Vytvorenie Špecializovaného trestného súdu bolo v čase jeho vzniku potrebné preto, aby existovala inštitúcia, ktorá bude rozhodovať o najzávažnejších formách protispoločenskej činnosti</w:t>
      </w:r>
      <w:r w:rsidR="008355AA">
        <w:rPr>
          <w:rFonts w:ascii="Times New Roman" w:hAnsi="Times New Roman" w:cs="Times New Roman"/>
          <w:sz w:val="22"/>
          <w:szCs w:val="22"/>
          <w:lang w:val="sk-SK"/>
        </w:rPr>
        <w:t xml:space="preserve"> a bude odolná voči tlakom záujmových osôb, ktoré chcú zmariť tieto vyšetrovania</w:t>
      </w:r>
      <w:r>
        <w:rPr>
          <w:rFonts w:ascii="Times New Roman" w:hAnsi="Times New Roman" w:cs="Times New Roman"/>
          <w:sz w:val="22"/>
          <w:szCs w:val="22"/>
          <w:lang w:val="sk-SK"/>
        </w:rPr>
        <w:t>. Pôsobnosť Špecializovaného trestného súdu je definovaná v § 14 zákona č. 301/2005 Z. z. trestný poriadok v aktuálnom znení. Týmto návrhom, teda zakotvením existencie Špecializovaného trestného súdu v Ústave Slovenskej republiky, sa má zdôrazniť dôležitosť a spoločenská ochrana Špecializovaného trestného súdu.</w:t>
      </w:r>
    </w:p>
    <w:p w14:paraId="3CDA0821" w14:textId="77777777" w:rsidR="005D4256" w:rsidRPr="00A85B6B" w:rsidRDefault="005D4256" w:rsidP="00C6055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7DF11E51" w14:textId="262507FB" w:rsidR="007C3E0C" w:rsidRPr="00A85B6B" w:rsidRDefault="007C3E0C" w:rsidP="00C6055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75AFFA14" w14:textId="36381F0A" w:rsidR="007C3E0C" w:rsidRDefault="00A85B6B" w:rsidP="00C6055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A85B6B">
        <w:rPr>
          <w:rFonts w:ascii="Times New Roman" w:hAnsi="Times New Roman" w:cs="Times New Roman"/>
          <w:b/>
          <w:bCs/>
          <w:sz w:val="22"/>
          <w:szCs w:val="22"/>
          <w:lang w:val="sk-SK"/>
        </w:rPr>
        <w:t>K bodu 2</w:t>
      </w:r>
    </w:p>
    <w:p w14:paraId="220B89AB" w14:textId="77777777" w:rsidR="00A85B6B" w:rsidRPr="00A85B6B" w:rsidRDefault="00A85B6B" w:rsidP="00C6055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6103F9EB" w14:textId="77777777" w:rsidR="005D4256" w:rsidRDefault="00A66F72" w:rsidP="00C6055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A85B6B">
        <w:rPr>
          <w:rFonts w:ascii="Times New Roman" w:hAnsi="Times New Roman" w:cs="Times New Roman"/>
          <w:sz w:val="22"/>
          <w:szCs w:val="22"/>
          <w:lang w:val="sk-SK"/>
        </w:rPr>
        <w:t>Navrhuje</w:t>
      </w:r>
      <w:r w:rsidR="007C3E0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 sa nové ustanovenie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 čl. 150a</w:t>
      </w:r>
      <w:r w:rsidR="007C3E0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, ktoré zakotvuje 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>ústavnoprávny rámec existencie a pôsobenia Úradu špeciálnej prokuratúry</w:t>
      </w:r>
      <w:r w:rsidR="0008606C"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 a špeciálneho prokurátora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>. Návrh ústavného zákona rešpektuje, že Úrad špeciálnej prokuratúry je inštitucionálnou súčasťou prokuratúry, avšak posilňuje aspekt nezávislosti a princípu nezasahovania do činnosti a výkonu pôsobnosti Úradu špeciálnej prokuratúry a tam pôsobiacich prokurátorov.</w:t>
      </w:r>
      <w:r w:rsidR="005D425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02717B5C" w14:textId="20822B89" w:rsidR="005D4256" w:rsidRDefault="005D4256" w:rsidP="00C6055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3CCCF273" w14:textId="51F9B61B" w:rsidR="005D4256" w:rsidRDefault="005D4256" w:rsidP="00C6055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Ustanovuje sa, že n</w:t>
      </w:r>
      <w:r w:rsidRPr="005D4256">
        <w:rPr>
          <w:rFonts w:ascii="Times New Roman" w:hAnsi="Times New Roman" w:cs="Times New Roman"/>
          <w:sz w:val="22"/>
          <w:szCs w:val="22"/>
          <w:lang w:val="sk-SK"/>
        </w:rPr>
        <w:t>a čele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Úradu špeciálnej prokuratúry</w:t>
      </w:r>
      <w:r w:rsidRPr="005D4256">
        <w:rPr>
          <w:rFonts w:ascii="Times New Roman" w:hAnsi="Times New Roman" w:cs="Times New Roman"/>
          <w:sz w:val="22"/>
          <w:szCs w:val="22"/>
          <w:lang w:val="sk-SK"/>
        </w:rPr>
        <w:t xml:space="preserve"> je špeciálny prokurátor, ktorého volí a odvoláva Národná rada Slovenskej republiky</w:t>
      </w:r>
      <w:r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2A50607" w14:textId="77777777" w:rsidR="005D4256" w:rsidRDefault="005D4256" w:rsidP="00C6055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172D2471" w14:textId="0361FBF0" w:rsidR="00A66F72" w:rsidRPr="00A85B6B" w:rsidRDefault="005D4256" w:rsidP="00C6055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Ďalej sa navrhu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  <w:lang w:val="sk-SK"/>
        </w:rPr>
        <w:t xml:space="preserve">je, že </w:t>
      </w:r>
      <w:r w:rsidR="008355AA">
        <w:rPr>
          <w:rFonts w:ascii="Times New Roman" w:hAnsi="Times New Roman" w:cs="Times New Roman"/>
          <w:sz w:val="22"/>
          <w:szCs w:val="22"/>
          <w:lang w:val="sk-SK"/>
        </w:rPr>
        <w:t xml:space="preserve">explicitnou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vecnou pôsobnosťou Úradu špeciálnej prokuratúry je najmä vykonávanie trestnoprávnej pôsobnosti v oblasti výkonu dozoru nad </w:t>
      </w:r>
      <w:r w:rsidRPr="005D4256">
        <w:rPr>
          <w:rFonts w:ascii="Times New Roman" w:hAnsi="Times New Roman" w:cs="Times New Roman"/>
          <w:sz w:val="22"/>
          <w:szCs w:val="22"/>
          <w:lang w:val="sk-SK"/>
        </w:rPr>
        <w:t>vyšetrovaním trestných činov korupcie, trestných činov spáchaných verejnými činiteľmi a trestnej činnosti pri ktorej dochádza k zneužitiu verejných prostriedkov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tak, ako sú uvedené v čl. 60 Ústavy Slovenskej republiky. Uvedený výpočet je len exemplifikatívny. </w:t>
      </w:r>
    </w:p>
    <w:p w14:paraId="3D236F6B" w14:textId="7A8E2F11" w:rsidR="007C3E0C" w:rsidRDefault="007C3E0C" w:rsidP="00C6055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2973B634" w14:textId="77777777" w:rsidR="00A85B6B" w:rsidRPr="00A85B6B" w:rsidRDefault="00A85B6B" w:rsidP="00C6055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A85B6B">
        <w:rPr>
          <w:rFonts w:ascii="Times New Roman" w:hAnsi="Times New Roman" w:cs="Times New Roman"/>
          <w:b/>
          <w:bCs/>
          <w:sz w:val="22"/>
          <w:szCs w:val="22"/>
          <w:lang w:val="sk-SK"/>
        </w:rPr>
        <w:t>K článku II</w:t>
      </w:r>
    </w:p>
    <w:p w14:paraId="637123A3" w14:textId="77777777" w:rsidR="00A85B6B" w:rsidRDefault="00A85B6B" w:rsidP="00C60551">
      <w:pPr>
        <w:spacing w:line="276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BB092DE" w14:textId="4F482F1A" w:rsidR="00A85B6B" w:rsidRDefault="00A85B6B" w:rsidP="00C60551">
      <w:pPr>
        <w:spacing w:line="276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Navrhuje sa účinnosť zákona od 1. </w:t>
      </w:r>
      <w:r>
        <w:rPr>
          <w:rFonts w:ascii="Times New Roman" w:hAnsi="Times New Roman" w:cs="Times New Roman"/>
          <w:sz w:val="22"/>
          <w:szCs w:val="22"/>
          <w:lang w:val="sk-SK"/>
        </w:rPr>
        <w:t>mája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 202</w:t>
      </w:r>
      <w:r>
        <w:rPr>
          <w:rFonts w:ascii="Times New Roman" w:hAnsi="Times New Roman" w:cs="Times New Roman"/>
          <w:sz w:val="22"/>
          <w:szCs w:val="22"/>
          <w:lang w:val="sk-SK"/>
        </w:rPr>
        <w:t>3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256E84D" w14:textId="5A57D46D" w:rsidR="00C60551" w:rsidRDefault="00C60551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br w:type="page"/>
      </w:r>
    </w:p>
    <w:p w14:paraId="767D4F9B" w14:textId="77777777" w:rsidR="00A85B6B" w:rsidRPr="00A85B6B" w:rsidRDefault="00A85B6B" w:rsidP="00C60551">
      <w:pPr>
        <w:spacing w:line="276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DADF8B0" w14:textId="77777777" w:rsidR="00A85B6B" w:rsidRPr="00A85B6B" w:rsidRDefault="00A85B6B" w:rsidP="00C60551">
      <w:pPr>
        <w:spacing w:line="276" w:lineRule="auto"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A85B6B">
        <w:rPr>
          <w:rFonts w:ascii="Times New Roman" w:hAnsi="Times New Roman" w:cs="Times New Roman"/>
          <w:b/>
          <w:bCs/>
          <w:sz w:val="22"/>
          <w:szCs w:val="22"/>
        </w:rPr>
        <w:t>DOLOŽKA ZLUČITEĽNOSTI</w:t>
      </w:r>
    </w:p>
    <w:p w14:paraId="562A5A9E" w14:textId="77777777" w:rsidR="00A85B6B" w:rsidRPr="00A85B6B" w:rsidRDefault="00A85B6B" w:rsidP="00C60551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85B6B">
        <w:rPr>
          <w:rFonts w:ascii="Times New Roman" w:hAnsi="Times New Roman" w:cs="Times New Roman"/>
          <w:b/>
          <w:bCs/>
          <w:sz w:val="22"/>
          <w:szCs w:val="22"/>
        </w:rPr>
        <w:t>návrhu zákona</w:t>
      </w:r>
      <w:r w:rsidRPr="00A85B6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85B6B">
        <w:rPr>
          <w:rFonts w:ascii="Times New Roman" w:hAnsi="Times New Roman" w:cs="Times New Roman"/>
          <w:b/>
          <w:bCs/>
          <w:sz w:val="22"/>
          <w:szCs w:val="22"/>
        </w:rPr>
        <w:t>s právom Európskej únie</w:t>
      </w:r>
    </w:p>
    <w:p w14:paraId="31E341B5" w14:textId="77777777" w:rsidR="00A85B6B" w:rsidRPr="00A85B6B" w:rsidRDefault="00A85B6B" w:rsidP="00C60551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65C7C37" w14:textId="3C68A402" w:rsidR="00A85B6B" w:rsidRPr="00A85B6B" w:rsidRDefault="00A85B6B" w:rsidP="00C60551">
      <w:pPr>
        <w:pStyle w:val="Odsekzoznamu"/>
        <w:numPr>
          <w:ilvl w:val="0"/>
          <w:numId w:val="1"/>
        </w:numPr>
        <w:spacing w:after="160" w:line="276" w:lineRule="auto"/>
        <w:jc w:val="both"/>
        <w:rPr>
          <w:rFonts w:ascii="Times New Roman" w:hAnsi="Times New Roman"/>
          <w:sz w:val="22"/>
          <w:szCs w:val="22"/>
        </w:rPr>
      </w:pPr>
      <w:r w:rsidRPr="00A85B6B">
        <w:rPr>
          <w:rFonts w:ascii="Times New Roman" w:hAnsi="Times New Roman"/>
          <w:b/>
          <w:bCs/>
          <w:sz w:val="22"/>
          <w:szCs w:val="22"/>
        </w:rPr>
        <w:t>Predkladateľ návrhu zákona:</w:t>
      </w:r>
      <w:r w:rsidRPr="00A85B6B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skupina poslancov</w:t>
      </w:r>
      <w:r w:rsidRPr="00A85B6B">
        <w:rPr>
          <w:rFonts w:ascii="Times New Roman" w:hAnsi="Times New Roman"/>
          <w:sz w:val="22"/>
          <w:szCs w:val="22"/>
        </w:rPr>
        <w:t xml:space="preserve"> Národnej rady Slovenskej republiky </w:t>
      </w:r>
    </w:p>
    <w:p w14:paraId="5516446A" w14:textId="77777777" w:rsidR="00A85B6B" w:rsidRPr="00A85B6B" w:rsidRDefault="00A85B6B" w:rsidP="00C60551">
      <w:pPr>
        <w:pStyle w:val="Odsekzoznamu"/>
        <w:spacing w:line="276" w:lineRule="auto"/>
        <w:ind w:left="1068"/>
        <w:jc w:val="both"/>
        <w:rPr>
          <w:rFonts w:ascii="Times New Roman" w:hAnsi="Times New Roman"/>
          <w:sz w:val="22"/>
          <w:szCs w:val="22"/>
        </w:rPr>
      </w:pPr>
    </w:p>
    <w:p w14:paraId="524B68DA" w14:textId="745AA2B0" w:rsidR="00A85B6B" w:rsidRPr="00A85B6B" w:rsidRDefault="00A85B6B" w:rsidP="00C60551">
      <w:pPr>
        <w:pStyle w:val="Odsekzoznamu"/>
        <w:numPr>
          <w:ilvl w:val="0"/>
          <w:numId w:val="1"/>
        </w:numPr>
        <w:spacing w:after="160" w:line="276" w:lineRule="auto"/>
        <w:jc w:val="both"/>
        <w:rPr>
          <w:rFonts w:ascii="Times New Roman" w:hAnsi="Times New Roman"/>
          <w:sz w:val="22"/>
          <w:szCs w:val="22"/>
        </w:rPr>
      </w:pPr>
      <w:r w:rsidRPr="00A85B6B">
        <w:rPr>
          <w:rFonts w:ascii="Times New Roman" w:hAnsi="Times New Roman"/>
          <w:b/>
          <w:bCs/>
          <w:sz w:val="22"/>
          <w:szCs w:val="22"/>
        </w:rPr>
        <w:t xml:space="preserve">Názov návrhu právneho predpisu: </w:t>
      </w:r>
      <w:r>
        <w:rPr>
          <w:rFonts w:ascii="Times New Roman" w:hAnsi="Times New Roman"/>
          <w:sz w:val="22"/>
          <w:szCs w:val="22"/>
        </w:rPr>
        <w:t xml:space="preserve">návrh </w:t>
      </w:r>
      <w:r w:rsidRPr="00A85B6B">
        <w:rPr>
          <w:rFonts w:ascii="Times New Roman" w:hAnsi="Times New Roman"/>
          <w:sz w:val="22"/>
          <w:szCs w:val="22"/>
        </w:rPr>
        <w:t>ústavného zákona, ktorým sa mení a dopĺňa Ústava Slovenskej republiky č. 460/1992 Zb. v znení neskorších predpisov</w:t>
      </w:r>
    </w:p>
    <w:p w14:paraId="320264F0" w14:textId="77777777" w:rsidR="00A85B6B" w:rsidRPr="00A85B6B" w:rsidRDefault="00A85B6B" w:rsidP="00C60551">
      <w:pPr>
        <w:pStyle w:val="Odsekzoznamu"/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0E71AB0" w14:textId="77777777" w:rsidR="00A85B6B" w:rsidRPr="00A85B6B" w:rsidRDefault="00A85B6B" w:rsidP="00C60551">
      <w:pPr>
        <w:pStyle w:val="Odsekzoznamu"/>
        <w:numPr>
          <w:ilvl w:val="0"/>
          <w:numId w:val="1"/>
        </w:numPr>
        <w:spacing w:after="160" w:line="276" w:lineRule="auto"/>
        <w:jc w:val="both"/>
        <w:rPr>
          <w:rFonts w:ascii="Times New Roman" w:hAnsi="Times New Roman"/>
          <w:sz w:val="22"/>
          <w:szCs w:val="22"/>
        </w:rPr>
      </w:pPr>
      <w:r w:rsidRPr="00A85B6B">
        <w:rPr>
          <w:rFonts w:ascii="Times New Roman" w:hAnsi="Times New Roman"/>
          <w:b/>
          <w:bCs/>
          <w:sz w:val="22"/>
          <w:szCs w:val="22"/>
        </w:rPr>
        <w:t>Predmet návrhu zákona:</w:t>
      </w:r>
    </w:p>
    <w:p w14:paraId="5CF7A10F" w14:textId="77777777" w:rsidR="00A85B6B" w:rsidRPr="00A85B6B" w:rsidRDefault="00A85B6B" w:rsidP="00C60551">
      <w:pPr>
        <w:pStyle w:val="Odsekzoznamu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sz w:val="22"/>
          <w:szCs w:val="22"/>
        </w:rPr>
      </w:pPr>
      <w:r w:rsidRPr="00A85B6B">
        <w:rPr>
          <w:rFonts w:ascii="Times New Roman" w:hAnsi="Times New Roman"/>
          <w:sz w:val="22"/>
          <w:szCs w:val="22"/>
        </w:rPr>
        <w:t>nie je upravený v primárnom práve Európskej únie,</w:t>
      </w:r>
    </w:p>
    <w:p w14:paraId="22EAB576" w14:textId="77777777" w:rsidR="00A85B6B" w:rsidRPr="00A85B6B" w:rsidRDefault="00A85B6B" w:rsidP="00C60551">
      <w:pPr>
        <w:pStyle w:val="Odsekzoznamu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sz w:val="22"/>
          <w:szCs w:val="22"/>
        </w:rPr>
      </w:pPr>
      <w:r w:rsidRPr="00A85B6B">
        <w:rPr>
          <w:rFonts w:ascii="Times New Roman" w:hAnsi="Times New Roman"/>
          <w:sz w:val="22"/>
          <w:szCs w:val="22"/>
        </w:rPr>
        <w:t xml:space="preserve">nie je upravený v sekundárnom práve Európskej únie, </w:t>
      </w:r>
    </w:p>
    <w:p w14:paraId="214030C2" w14:textId="77777777" w:rsidR="00A85B6B" w:rsidRPr="00A85B6B" w:rsidRDefault="00A85B6B" w:rsidP="00C60551">
      <w:pPr>
        <w:pStyle w:val="Odsekzoznamu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/>
          <w:sz w:val="22"/>
          <w:szCs w:val="22"/>
        </w:rPr>
      </w:pPr>
      <w:r w:rsidRPr="00A85B6B">
        <w:rPr>
          <w:rFonts w:ascii="Times New Roman" w:hAnsi="Times New Roman"/>
          <w:sz w:val="22"/>
          <w:szCs w:val="22"/>
        </w:rPr>
        <w:t>nie je obsiahnutý v judikatúre Súdneho dvora Európskej únie.</w:t>
      </w:r>
    </w:p>
    <w:p w14:paraId="369B417E" w14:textId="77777777" w:rsidR="00A85B6B" w:rsidRPr="00A85B6B" w:rsidRDefault="00A85B6B" w:rsidP="00C60551">
      <w:pPr>
        <w:pStyle w:val="Odsekzoznamu"/>
        <w:spacing w:line="276" w:lineRule="auto"/>
        <w:ind w:left="1428"/>
        <w:jc w:val="both"/>
        <w:rPr>
          <w:rFonts w:ascii="Times New Roman" w:hAnsi="Times New Roman"/>
          <w:sz w:val="22"/>
          <w:szCs w:val="22"/>
        </w:rPr>
      </w:pPr>
    </w:p>
    <w:p w14:paraId="7D2C4F65" w14:textId="77777777" w:rsidR="00A85B6B" w:rsidRPr="00A85B6B" w:rsidRDefault="00A85B6B" w:rsidP="00C60551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5B6B">
        <w:rPr>
          <w:rFonts w:ascii="Times New Roman" w:hAnsi="Times New Roman" w:cs="Times New Roman"/>
          <w:b/>
          <w:bCs/>
          <w:sz w:val="22"/>
          <w:szCs w:val="22"/>
        </w:rPr>
        <w:t>Vzhľadom na to, že predmet návrhu zákona nie je upravený v práve Európskej únie, je bezpredmetné vyjadrovať sa k bodom 4. a 5.</w:t>
      </w:r>
    </w:p>
    <w:p w14:paraId="27EEC09E" w14:textId="77777777" w:rsidR="00A85B6B" w:rsidRPr="00A85B6B" w:rsidRDefault="00A85B6B" w:rsidP="00C6055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85B6B">
        <w:rPr>
          <w:rFonts w:ascii="Times New Roman" w:hAnsi="Times New Roman" w:cs="Times New Roman"/>
          <w:sz w:val="22"/>
          <w:szCs w:val="22"/>
        </w:rPr>
        <w:br w:type="page"/>
      </w:r>
    </w:p>
    <w:p w14:paraId="0D6028AC" w14:textId="77777777" w:rsidR="00A85B6B" w:rsidRPr="00A85B6B" w:rsidRDefault="00A85B6B" w:rsidP="00C60551">
      <w:pPr>
        <w:pStyle w:val="Normlnywebov"/>
        <w:spacing w:before="0" w:beforeAutospacing="0" w:after="0" w:afterAutospacing="0" w:line="276" w:lineRule="auto"/>
        <w:ind w:right="-108"/>
        <w:jc w:val="center"/>
        <w:rPr>
          <w:sz w:val="22"/>
          <w:szCs w:val="22"/>
        </w:rPr>
      </w:pPr>
      <w:r w:rsidRPr="00A85B6B">
        <w:rPr>
          <w:b/>
          <w:bCs/>
          <w:sz w:val="22"/>
          <w:szCs w:val="22"/>
        </w:rPr>
        <w:lastRenderedPageBreak/>
        <w:t>DOLOŽKA VYBRANÝCH VPLYVOV</w:t>
      </w:r>
    </w:p>
    <w:p w14:paraId="3D04F599" w14:textId="77777777" w:rsidR="00A85B6B" w:rsidRPr="00A85B6B" w:rsidRDefault="00A85B6B" w:rsidP="00C60551">
      <w:pPr>
        <w:pStyle w:val="Normlnywebov"/>
        <w:spacing w:before="0" w:beforeAutospacing="0" w:after="0" w:afterAutospacing="0" w:line="276" w:lineRule="auto"/>
        <w:ind w:right="-108"/>
        <w:jc w:val="both"/>
        <w:rPr>
          <w:sz w:val="22"/>
          <w:szCs w:val="22"/>
        </w:rPr>
      </w:pPr>
    </w:p>
    <w:p w14:paraId="024EC162" w14:textId="13D5347F" w:rsidR="00A85B6B" w:rsidRPr="00A85B6B" w:rsidRDefault="00A85B6B" w:rsidP="00C60551">
      <w:pPr>
        <w:spacing w:line="276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A85B6B">
        <w:rPr>
          <w:rFonts w:ascii="Times New Roman" w:hAnsi="Times New Roman" w:cs="Times New Roman"/>
          <w:b/>
          <w:bCs/>
          <w:sz w:val="22"/>
          <w:szCs w:val="22"/>
        </w:rPr>
        <w:t xml:space="preserve">A.1. Názov materiálu: </w:t>
      </w:r>
      <w:r w:rsidRPr="00A85B6B">
        <w:rPr>
          <w:rFonts w:ascii="Times New Roman" w:hAnsi="Times New Roman" w:cs="Times New Roman"/>
          <w:sz w:val="22"/>
          <w:szCs w:val="22"/>
          <w:lang w:val="sk-SK"/>
        </w:rPr>
        <w:t xml:space="preserve">návrh </w:t>
      </w:r>
      <w:r w:rsidRPr="00A85B6B">
        <w:rPr>
          <w:rFonts w:ascii="Times New Roman" w:hAnsi="Times New Roman" w:cs="Times New Roman"/>
          <w:sz w:val="22"/>
          <w:szCs w:val="22"/>
        </w:rPr>
        <w:t>ústavného zákona, ktorým sa mení a dopĺňa Ústava Slovenskej republiky č. 460/1992 Zb. v znení neskorších predpisov</w:t>
      </w:r>
    </w:p>
    <w:p w14:paraId="225D7511" w14:textId="77777777" w:rsidR="00A85B6B" w:rsidRPr="00A85B6B" w:rsidRDefault="00A85B6B" w:rsidP="00C60551">
      <w:pPr>
        <w:pStyle w:val="Normlnywebov"/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</w:p>
    <w:p w14:paraId="7660C3F3" w14:textId="77777777" w:rsidR="00A85B6B" w:rsidRPr="00A85B6B" w:rsidRDefault="00A85B6B" w:rsidP="00C60551">
      <w:pPr>
        <w:pStyle w:val="Normlnywebov"/>
        <w:spacing w:before="0" w:beforeAutospacing="0" w:after="240" w:afterAutospacing="0" w:line="276" w:lineRule="auto"/>
        <w:ind w:firstLine="708"/>
        <w:jc w:val="both"/>
        <w:rPr>
          <w:b/>
          <w:bCs/>
          <w:sz w:val="22"/>
          <w:szCs w:val="22"/>
        </w:rPr>
      </w:pPr>
      <w:r w:rsidRPr="00A85B6B">
        <w:rPr>
          <w:b/>
          <w:bCs/>
          <w:sz w:val="22"/>
          <w:szCs w:val="22"/>
        </w:rPr>
        <w:t>A.2. Vplyvy:</w:t>
      </w:r>
    </w:p>
    <w:tbl>
      <w:tblPr>
        <w:tblW w:w="75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6"/>
        <w:gridCol w:w="1242"/>
        <w:gridCol w:w="1260"/>
        <w:gridCol w:w="1336"/>
      </w:tblGrid>
      <w:tr w:rsidR="00A85B6B" w:rsidRPr="00A85B6B" w14:paraId="30F373DF" w14:textId="77777777" w:rsidTr="00D65B63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4A29A6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2CC68F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Pozitívne</w:t>
            </w:r>
            <w:r w:rsidRPr="00A85B6B">
              <w:rPr>
                <w:sz w:val="22"/>
                <w:szCs w:val="22"/>
                <w:vertAlign w:val="superscript"/>
              </w:rPr>
              <w:t>*</w:t>
            </w:r>
            <w:r w:rsidRPr="00A85B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CA1C2A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Žiadne</w:t>
            </w:r>
            <w:r w:rsidRPr="00A85B6B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A74449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Negatívne</w:t>
            </w:r>
            <w:r w:rsidRPr="00A85B6B"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A85B6B" w:rsidRPr="00A85B6B" w14:paraId="70B8099A" w14:textId="77777777" w:rsidTr="00D65B63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B0F334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1. Vplyvy na rozpočet verejnej správy</w:t>
            </w:r>
          </w:p>
          <w:p w14:paraId="4D6EC66A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85B6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BEB703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7FB427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 xml:space="preserve"> 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2EE947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 </w:t>
            </w:r>
          </w:p>
        </w:tc>
      </w:tr>
      <w:tr w:rsidR="00A85B6B" w:rsidRPr="00A85B6B" w14:paraId="4B09567A" w14:textId="77777777" w:rsidTr="00D65B63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555DB7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2. Vplyvy na podnikateľské prostredie -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F93096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C9D50A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EC5B5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 </w:t>
            </w:r>
          </w:p>
          <w:p w14:paraId="27F3B23B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85B6B" w:rsidRPr="00A85B6B" w14:paraId="220CC864" w14:textId="77777777" w:rsidTr="00D65B63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476661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 xml:space="preserve">3, Sociálne vplyvy </w:t>
            </w:r>
          </w:p>
          <w:p w14:paraId="0E2F6BD6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- vplyvy  na hospodárenie obyvateľstva,</w:t>
            </w:r>
          </w:p>
          <w:p w14:paraId="4C48A6FD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 xml:space="preserve">- sociálnu </w:t>
            </w:r>
            <w:proofErr w:type="spellStart"/>
            <w:r w:rsidRPr="00A85B6B">
              <w:rPr>
                <w:sz w:val="22"/>
                <w:szCs w:val="22"/>
              </w:rPr>
              <w:t>exklúziu</w:t>
            </w:r>
            <w:proofErr w:type="spellEnd"/>
            <w:r w:rsidRPr="00A85B6B">
              <w:rPr>
                <w:sz w:val="22"/>
                <w:szCs w:val="22"/>
              </w:rPr>
              <w:t>,</w:t>
            </w:r>
          </w:p>
          <w:p w14:paraId="1A3B253C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1022CB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13C833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F40911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 </w:t>
            </w:r>
          </w:p>
        </w:tc>
      </w:tr>
      <w:tr w:rsidR="00A85B6B" w:rsidRPr="00A85B6B" w14:paraId="549F6245" w14:textId="77777777" w:rsidTr="00D65B63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705781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D9CC06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74EC0F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 xml:space="preserve"> 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90A1E2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 </w:t>
            </w:r>
          </w:p>
        </w:tc>
      </w:tr>
      <w:tr w:rsidR="00A85B6B" w:rsidRPr="00A85B6B" w14:paraId="67D44EA9" w14:textId="77777777" w:rsidTr="00D65B63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89E4FC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224AF3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A216FC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588433" w14:textId="77777777" w:rsidR="00A85B6B" w:rsidRPr="00A85B6B" w:rsidRDefault="00A85B6B" w:rsidP="00C60551">
            <w:pPr>
              <w:pStyle w:val="Normlnywebov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A85B6B">
              <w:rPr>
                <w:sz w:val="22"/>
                <w:szCs w:val="22"/>
              </w:rPr>
              <w:t> </w:t>
            </w:r>
          </w:p>
        </w:tc>
      </w:tr>
    </w:tbl>
    <w:p w14:paraId="56DA9F71" w14:textId="77777777" w:rsidR="00A85B6B" w:rsidRPr="00A85B6B" w:rsidRDefault="00A85B6B" w:rsidP="00C60551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23A5BE" w14:textId="77777777" w:rsidR="00A85B6B" w:rsidRPr="00A85B6B" w:rsidRDefault="00A85B6B" w:rsidP="00C60551">
      <w:pPr>
        <w:tabs>
          <w:tab w:val="left" w:pos="360"/>
        </w:tabs>
        <w:spacing w:line="276" w:lineRule="auto"/>
        <w:ind w:left="71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5B6B">
        <w:rPr>
          <w:rFonts w:ascii="Times New Roman" w:hAnsi="Times New Roman" w:cs="Times New Roman"/>
          <w:b/>
          <w:bCs/>
          <w:sz w:val="22"/>
          <w:szCs w:val="22"/>
        </w:rPr>
        <w:t>A.3. Poznámky</w:t>
      </w:r>
    </w:p>
    <w:p w14:paraId="1E9A2EE3" w14:textId="77777777" w:rsidR="00A85B6B" w:rsidRPr="00A85B6B" w:rsidRDefault="00A85B6B" w:rsidP="00C60551">
      <w:pPr>
        <w:tabs>
          <w:tab w:val="left" w:pos="360"/>
        </w:tabs>
        <w:spacing w:line="276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  <w:r w:rsidRPr="00A85B6B">
        <w:rPr>
          <w:rFonts w:ascii="Times New Roman" w:hAnsi="Times New Roman" w:cs="Times New Roman"/>
          <w:sz w:val="22"/>
          <w:szCs w:val="22"/>
        </w:rPr>
        <w:t>Bez poznámok.</w:t>
      </w:r>
    </w:p>
    <w:p w14:paraId="1C056B2C" w14:textId="77777777" w:rsidR="00A85B6B" w:rsidRPr="00A85B6B" w:rsidRDefault="00A85B6B" w:rsidP="00C60551">
      <w:pPr>
        <w:tabs>
          <w:tab w:val="left" w:pos="360"/>
        </w:tabs>
        <w:spacing w:line="276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16ED2D03" w14:textId="77777777" w:rsidR="00A85B6B" w:rsidRPr="00A85B6B" w:rsidRDefault="00A85B6B" w:rsidP="00C60551">
      <w:pPr>
        <w:tabs>
          <w:tab w:val="left" w:pos="360"/>
        </w:tabs>
        <w:spacing w:line="276" w:lineRule="auto"/>
        <w:ind w:left="71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5B6B">
        <w:rPr>
          <w:rFonts w:ascii="Times New Roman" w:hAnsi="Times New Roman" w:cs="Times New Roman"/>
          <w:b/>
          <w:bCs/>
          <w:sz w:val="22"/>
          <w:szCs w:val="22"/>
        </w:rPr>
        <w:t>A.4. Alternatívne riešenia:</w:t>
      </w:r>
    </w:p>
    <w:p w14:paraId="23E47E25" w14:textId="77777777" w:rsidR="00A85B6B" w:rsidRPr="00A85B6B" w:rsidRDefault="00A85B6B" w:rsidP="00C60551">
      <w:pPr>
        <w:tabs>
          <w:tab w:val="left" w:pos="360"/>
        </w:tabs>
        <w:spacing w:line="276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  <w:r w:rsidRPr="00A85B6B">
        <w:rPr>
          <w:rFonts w:ascii="Times New Roman" w:hAnsi="Times New Roman" w:cs="Times New Roman"/>
          <w:sz w:val="22"/>
          <w:szCs w:val="22"/>
        </w:rPr>
        <w:t>bezpredmetné</w:t>
      </w:r>
    </w:p>
    <w:p w14:paraId="0FC811CF" w14:textId="77777777" w:rsidR="00A85B6B" w:rsidRPr="00A85B6B" w:rsidRDefault="00A85B6B" w:rsidP="00C60551">
      <w:p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95FE6CD" w14:textId="77777777" w:rsidR="00A85B6B" w:rsidRPr="00A85B6B" w:rsidRDefault="00A85B6B" w:rsidP="00C60551">
      <w:pPr>
        <w:tabs>
          <w:tab w:val="left" w:pos="360"/>
        </w:tabs>
        <w:spacing w:line="276" w:lineRule="auto"/>
        <w:ind w:left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5B6B">
        <w:rPr>
          <w:rFonts w:ascii="Times New Roman" w:hAnsi="Times New Roman" w:cs="Times New Roman"/>
          <w:b/>
          <w:bCs/>
          <w:sz w:val="22"/>
          <w:szCs w:val="22"/>
        </w:rPr>
        <w:t>A.5. Stanovisko gestorov:</w:t>
      </w:r>
    </w:p>
    <w:p w14:paraId="3F260D94" w14:textId="77777777" w:rsidR="00A85B6B" w:rsidRPr="00A85B6B" w:rsidRDefault="00A85B6B" w:rsidP="00C60551">
      <w:pPr>
        <w:tabs>
          <w:tab w:val="left" w:pos="360"/>
        </w:tabs>
        <w:spacing w:line="276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A85B6B">
        <w:rPr>
          <w:rFonts w:ascii="Times New Roman" w:hAnsi="Times New Roman" w:cs="Times New Roman"/>
          <w:sz w:val="22"/>
          <w:szCs w:val="22"/>
        </w:rPr>
        <w:t>Návrh zákona bol zaslaný na vyjadrenie Ministerstvu financií SR.</w:t>
      </w:r>
    </w:p>
    <w:p w14:paraId="61BD7E95" w14:textId="77777777" w:rsidR="00A85B6B" w:rsidRPr="00A85B6B" w:rsidRDefault="00A85B6B" w:rsidP="00C6055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sectPr w:rsidR="00A85B6B" w:rsidRPr="00A85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54883"/>
    <w:multiLevelType w:val="hybridMultilevel"/>
    <w:tmpl w:val="78EEB7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0C"/>
    <w:rsid w:val="00071A52"/>
    <w:rsid w:val="0008606C"/>
    <w:rsid w:val="00300EB1"/>
    <w:rsid w:val="00493CAC"/>
    <w:rsid w:val="004F44DE"/>
    <w:rsid w:val="00572688"/>
    <w:rsid w:val="005D4256"/>
    <w:rsid w:val="007272C0"/>
    <w:rsid w:val="007C3E0C"/>
    <w:rsid w:val="007F4A21"/>
    <w:rsid w:val="00830CC0"/>
    <w:rsid w:val="008355AA"/>
    <w:rsid w:val="00A11EB9"/>
    <w:rsid w:val="00A66F72"/>
    <w:rsid w:val="00A85B6B"/>
    <w:rsid w:val="00C60551"/>
    <w:rsid w:val="00C83F1E"/>
    <w:rsid w:val="00D53761"/>
    <w:rsid w:val="00F4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098D"/>
  <w15:chartTrackingRefBased/>
  <w15:docId w15:val="{062760BE-8AE4-5549-885C-0502EF3E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5B6B"/>
    <w:pPr>
      <w:ind w:left="720"/>
      <w:contextualSpacing/>
    </w:pPr>
    <w:rPr>
      <w:rFonts w:ascii="Calibri" w:eastAsia="Calibri" w:hAnsi="Calibri" w:cs="Times New Roman"/>
      <w:lang w:val="sk-SK"/>
    </w:rPr>
  </w:style>
  <w:style w:type="paragraph" w:styleId="Normlnywebov">
    <w:name w:val="Normal (Web)"/>
    <w:basedOn w:val="Normlny"/>
    <w:uiPriority w:val="99"/>
    <w:rsid w:val="00A85B6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vzia">
    <w:name w:val="Revision"/>
    <w:hidden/>
    <w:uiPriority w:val="99"/>
    <w:semiHidden/>
    <w:rsid w:val="00300EB1"/>
  </w:style>
  <w:style w:type="paragraph" w:styleId="Textbubliny">
    <w:name w:val="Balloon Text"/>
    <w:basedOn w:val="Normlny"/>
    <w:link w:val="TextbublinyChar"/>
    <w:uiPriority w:val="99"/>
    <w:semiHidden/>
    <w:unhideWhenUsed/>
    <w:rsid w:val="00C83F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3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50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8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3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4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7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8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4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15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0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4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8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9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7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02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0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3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8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4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010329-2E64-4429-BC8F-E934B128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1551</Words>
  <Characters>8847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Zathurecky</dc:creator>
  <cp:keywords/>
  <dc:description/>
  <cp:lastModifiedBy>Šeliga, Juraj (asistent)</cp:lastModifiedBy>
  <cp:revision>4</cp:revision>
  <cp:lastPrinted>2023-01-13T14:01:00Z</cp:lastPrinted>
  <dcterms:created xsi:type="dcterms:W3CDTF">2023-01-13T14:24:00Z</dcterms:created>
  <dcterms:modified xsi:type="dcterms:W3CDTF">2023-01-13T14:31:00Z</dcterms:modified>
</cp:coreProperties>
</file>