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B4916" w:rsidRPr="00A63E92" w:rsidP="000B4916">
      <w:pPr>
        <w:pStyle w:val="Standard"/>
        <w:pageBreakBefore/>
        <w:suppressAutoHyphens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3E9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Dolož</w:t>
      </w:r>
      <w:r w:rsidRPr="00A63E9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ka zluč</w:t>
      </w:r>
      <w:r w:rsidRPr="00A63E9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iteľ</w:t>
      </w:r>
      <w:r w:rsidRPr="00A63E92">
        <w:rPr>
          <w:rFonts w:ascii="Times New Roman" w:hAnsi="Times New Roman" w:cs="Times New Roman" w:hint="default"/>
          <w:b/>
          <w:caps/>
          <w:spacing w:val="30"/>
          <w:sz w:val="24"/>
          <w:szCs w:val="24"/>
          <w:lang w:eastAsia="en-US"/>
        </w:rPr>
        <w:t>nosti</w:t>
      </w:r>
    </w:p>
    <w:p w:rsidR="000B4916" w:rsidRPr="00A63E92" w:rsidP="000B4916">
      <w:pPr>
        <w:pStyle w:val="Standard"/>
        <w:suppressAutoHyphens w:val="0"/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  <w:lang w:eastAsia="en-US"/>
        </w:rPr>
        <w:t>ná</w:t>
      </w:r>
      <w:r>
        <w:rPr>
          <w:rFonts w:ascii="Times New Roman" w:hAnsi="Times New Roman" w:cs="Times New Roman" w:hint="default"/>
          <w:b/>
          <w:sz w:val="24"/>
          <w:szCs w:val="24"/>
          <w:lang w:eastAsia="en-US"/>
        </w:rPr>
        <w:t>vrhu zá</w:t>
      </w:r>
      <w:r>
        <w:rPr>
          <w:rFonts w:ascii="Times New Roman" w:hAnsi="Times New Roman" w:cs="Times New Roman" w:hint="default"/>
          <w:b/>
          <w:sz w:val="24"/>
          <w:szCs w:val="24"/>
          <w:lang w:eastAsia="en-US"/>
        </w:rPr>
        <w:t>kona</w:t>
      </w:r>
      <w:r w:rsidRPr="00A63E9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s </w:t>
      </w:r>
      <w:r w:rsidRPr="00A63E9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prá</w:t>
      </w:r>
      <w:r w:rsidRPr="00A63E9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vom Euró</w:t>
      </w:r>
      <w:r w:rsidRPr="00A63E9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pskej ú</w:t>
      </w:r>
      <w:r w:rsidRPr="00A63E92">
        <w:rPr>
          <w:rFonts w:ascii="Times New Roman" w:hAnsi="Times New Roman" w:cs="Times New Roman" w:hint="default"/>
          <w:b/>
          <w:sz w:val="24"/>
          <w:szCs w:val="24"/>
          <w:lang w:eastAsia="en-US"/>
        </w:rPr>
        <w:t>nie</w:t>
      </w:r>
    </w:p>
    <w:p w:rsidR="000B4916" w:rsidP="000B4916">
      <w:pPr>
        <w:pStyle w:val="Standard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B4916" w:rsidRPr="0088216C" w:rsidP="0088216C">
      <w:pPr>
        <w:pStyle w:val="Standard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8216C" w:rsidP="000E49E6">
      <w:pPr>
        <w:pStyle w:val="Standard"/>
        <w:suppressAutoHyphens w:val="0"/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216C" w:rsidR="000B4916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1. </w:t>
      </w:r>
      <w:r w:rsidRPr="0088216C" w:rsidR="002775F7">
        <w:rPr>
          <w:rFonts w:ascii="Times New Roman" w:hAnsi="Times New Roman" w:cs="Times New Roman" w:hint="default"/>
          <w:b/>
          <w:sz w:val="24"/>
          <w:szCs w:val="24"/>
          <w:lang w:eastAsia="en-US"/>
        </w:rPr>
        <w:t>Predkladateľ</w:t>
      </w: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 xml:space="preserve"> zá</w:t>
      </w: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>kona:</w:t>
      </w:r>
      <w:r w:rsidRPr="0088216C" w:rsidR="000B491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88216C" w:rsidR="002775F7">
        <w:rPr>
          <w:rFonts w:ascii="Times New Roman" w:hAnsi="Times New Roman" w:cs="Times New Roman"/>
          <w:sz w:val="24"/>
          <w:szCs w:val="24"/>
          <w:lang w:eastAsia="en-US"/>
        </w:rPr>
        <w:tab/>
      </w:r>
    </w:p>
    <w:p w:rsidR="000B4916" w:rsidRPr="006870CC" w:rsidP="000E49E6">
      <w:pPr>
        <w:pStyle w:val="Standard"/>
        <w:suppressAutoHyphens w:val="0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Poslanci Ná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rodnej rady Slovenskej republiky Miloš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 xml:space="preserve"> SVRČ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EK, Milan VETRÁ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K, Dominik DRDUL, Anna ANDREJUVOVÁ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, Lucia DRÁ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BIKOVÁ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 xml:space="preserve"> a Jozef PROČ</w:t>
      </w:r>
      <w:r w:rsidRPr="006870CC" w:rsidR="006870CC">
        <w:rPr>
          <w:rFonts w:ascii="Times New Roman" w:hAnsi="Times New Roman" w:hint="default"/>
          <w:sz w:val="24"/>
          <w:szCs w:val="24"/>
          <w:lang w:eastAsia="sk-SK"/>
        </w:rPr>
        <w:t>KO</w:t>
      </w:r>
      <w:r w:rsidR="00E0076D">
        <w:rPr>
          <w:rFonts w:ascii="Times New Roman" w:hAnsi="Times New Roman" w:hint="default"/>
          <w:sz w:val="24"/>
          <w:szCs w:val="24"/>
          <w:lang w:eastAsia="sk-SK"/>
        </w:rPr>
        <w:t>, Lukáš</w:t>
      </w:r>
      <w:r w:rsidR="00E0076D">
        <w:rPr>
          <w:rFonts w:ascii="Times New Roman" w:hAnsi="Times New Roman" w:hint="default"/>
          <w:sz w:val="24"/>
          <w:szCs w:val="24"/>
          <w:lang w:eastAsia="sk-SK"/>
        </w:rPr>
        <w:t xml:space="preserve"> KYSELICA, Richard NEMEC, Karol KUČ</w:t>
      </w:r>
      <w:r w:rsidR="00E0076D">
        <w:rPr>
          <w:rFonts w:ascii="Times New Roman" w:hAnsi="Times New Roman" w:hint="default"/>
          <w:sz w:val="24"/>
          <w:szCs w:val="24"/>
          <w:lang w:eastAsia="sk-SK"/>
        </w:rPr>
        <w:t>ERA</w:t>
      </w:r>
    </w:p>
    <w:p w:rsidR="006870CC" w:rsidRPr="0088216C" w:rsidP="000E49E6">
      <w:pPr>
        <w:pStyle w:val="Standard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F7" w:rsidRPr="0088216C" w:rsidP="000E49E6">
      <w:pPr>
        <w:pStyle w:val="Standard"/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>2. Ná</w:t>
      </w: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>zov ná</w:t>
      </w: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vrhu zá</w:t>
      </w:r>
      <w:r w:rsidRPr="0088216C" w:rsidR="000B4916">
        <w:rPr>
          <w:rFonts w:ascii="Times New Roman" w:hAnsi="Times New Roman" w:cs="Times New Roman" w:hint="default"/>
          <w:b/>
          <w:sz w:val="24"/>
          <w:szCs w:val="24"/>
          <w:lang w:eastAsia="en-US"/>
        </w:rPr>
        <w:t>kona:</w:t>
      </w:r>
      <w:r w:rsidRPr="0088216C" w:rsidR="000B4916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p w:rsidR="000B4916" w:rsidRPr="0088216C" w:rsidP="000E49E6">
      <w:pPr>
        <w:pStyle w:val="Standard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88216C">
        <w:rPr>
          <w:rFonts w:ascii="Times New Roman" w:hAnsi="Times New Roman" w:cs="Times New Roman" w:hint="default"/>
          <w:sz w:val="24"/>
          <w:szCs w:val="24"/>
          <w:lang w:eastAsia="en-US"/>
        </w:rPr>
        <w:t>Ná</w:t>
      </w:r>
      <w:r w:rsidRPr="0088216C">
        <w:rPr>
          <w:rFonts w:ascii="Times New Roman" w:hAnsi="Times New Roman" w:cs="Times New Roman" w:hint="default"/>
          <w:sz w:val="24"/>
          <w:szCs w:val="24"/>
          <w:lang w:eastAsia="en-US"/>
        </w:rPr>
        <w:t>vrh zá</w:t>
      </w:r>
      <w:r w:rsidRPr="0088216C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kona, 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ktorý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m sa mení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a dopĺň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a zá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kon č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. 301/2005 Z. z. Trestný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poriadok v znení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neskorší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ch predpis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ov a o zmene a doplnení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 xml:space="preserve"> niektorý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ch zá</w:t>
      </w:r>
      <w:r w:rsidRPr="0088216C" w:rsidR="002775F7">
        <w:rPr>
          <w:rFonts w:ascii="Times New Roman" w:hAnsi="Times New Roman" w:cs="Times New Roman" w:hint="default"/>
          <w:sz w:val="24"/>
          <w:szCs w:val="24"/>
          <w:lang w:eastAsia="en-US"/>
        </w:rPr>
        <w:t>konov</w:t>
      </w:r>
    </w:p>
    <w:p w:rsidR="000B4916" w:rsidRPr="0088216C" w:rsidP="000E49E6">
      <w:pPr>
        <w:pStyle w:val="Standard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B4916" w:rsidRPr="0088216C" w:rsidP="000E49E6">
      <w:pPr>
        <w:pStyle w:val="Standard"/>
        <w:suppressAutoHyphens w:val="0"/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16C">
        <w:rPr>
          <w:rFonts w:ascii="Times New Roman" w:hAnsi="Times New Roman" w:cs="Times New Roman" w:hint="default"/>
          <w:b/>
          <w:sz w:val="24"/>
          <w:szCs w:val="24"/>
          <w:lang w:eastAsia="en-US"/>
        </w:rPr>
        <w:t>3. Predmet ná</w:t>
      </w:r>
      <w:r w:rsidRPr="0088216C">
        <w:rPr>
          <w:rFonts w:ascii="Times New Roman" w:hAnsi="Times New Roman" w:cs="Times New Roman" w:hint="default"/>
          <w:b/>
          <w:sz w:val="24"/>
          <w:szCs w:val="24"/>
          <w:lang w:eastAsia="en-US"/>
        </w:rPr>
        <w:t>vrhu zá</w:t>
      </w:r>
      <w:r w:rsidRPr="0088216C">
        <w:rPr>
          <w:rFonts w:ascii="Times New Roman" w:hAnsi="Times New Roman" w:cs="Times New Roman" w:hint="default"/>
          <w:b/>
          <w:sz w:val="24"/>
          <w:szCs w:val="24"/>
          <w:lang w:eastAsia="en-US"/>
        </w:rPr>
        <w:t>kona:</w:t>
      </w:r>
    </w:p>
    <w:p w:rsidR="000B4916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i/>
          <w:sz w:val="24"/>
          <w:szCs w:val="24"/>
          <w:lang w:eastAsia="sk-SK"/>
        </w:rPr>
      </w:pP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a) je upravený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v 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primá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rnom prá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ve Euró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pskej ú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nie</w:t>
      </w:r>
    </w:p>
    <w:p w:rsidR="002775F7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2775F7" w:rsidRPr="0088216C" w:rsidP="000E49E6">
      <w:pPr>
        <w:pStyle w:val="Standard"/>
        <w:widowControl w:val="0"/>
        <w:numPr>
          <w:numId w:val="1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č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l. 82 ods. 2 pí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sm. b) Zmluvy o 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fungovaní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Euró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pskej ú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nie,</w:t>
      </w:r>
    </w:p>
    <w:p w:rsidR="002775F7" w:rsidRPr="0088216C" w:rsidP="000E49E6">
      <w:pPr>
        <w:pStyle w:val="Standard"/>
        <w:widowControl w:val="0"/>
        <w:numPr>
          <w:numId w:val="1"/>
        </w:numPr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č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l. 47 Charty Euró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pskej ú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nie.</w:t>
      </w:r>
    </w:p>
    <w:p w:rsidR="002775F7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88216C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</w:p>
    <w:p w:rsidR="000B4916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i/>
          <w:sz w:val="24"/>
          <w:szCs w:val="24"/>
          <w:lang w:eastAsia="sk-SK"/>
        </w:rPr>
      </w:pPr>
      <w:r w:rsidRPr="0088216C" w:rsidR="002775F7">
        <w:rPr>
          <w:rFonts w:ascii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b) je upravený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 xml:space="preserve"> v 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sekundá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rnom prá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ve Euró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pskej ú</w:t>
      </w:r>
      <w:r w:rsidRPr="0088216C">
        <w:rPr>
          <w:rFonts w:ascii="Times New Roman" w:hAnsi="Times New Roman" w:cs="Times New Roman" w:hint="default"/>
          <w:i/>
          <w:sz w:val="24"/>
          <w:szCs w:val="24"/>
          <w:lang w:eastAsia="sk-SK"/>
        </w:rPr>
        <w:t>nie</w:t>
      </w:r>
    </w:p>
    <w:p w:rsidR="002775F7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5F7" w:rsidRPr="0088216C" w:rsidP="000E49E6">
      <w:pPr>
        <w:pStyle w:val="BodyTextIndent"/>
        <w:tabs>
          <w:tab w:val="left" w:pos="426"/>
        </w:tabs>
        <w:bidi w:val="0"/>
        <w:spacing w:after="120"/>
        <w:ind w:left="425" w:firstLine="0"/>
        <w:rPr>
          <w:rFonts w:ascii="Times New Roman" w:hAnsi="Times New Roman"/>
        </w:rPr>
      </w:pPr>
      <w:r w:rsidRPr="0088216C">
        <w:rPr>
          <w:rFonts w:ascii="Times New Roman" w:hAnsi="Times New Roman"/>
          <w:b/>
          <w:bCs/>
          <w:i/>
          <w:iCs/>
        </w:rPr>
        <w:t xml:space="preserve">Sekundárne právo </w:t>
      </w:r>
      <w:r w:rsidRPr="0088216C">
        <w:rPr>
          <w:rFonts w:ascii="Times New Roman" w:hAnsi="Times New Roman"/>
        </w:rPr>
        <w:t>(prijaté po nadobudnutí platnosti Lisabonskej zmluvy, ktorou sa mení a dopĺňa Zmluva o Európskej únii a Zmluva o založení E</w:t>
      </w:r>
      <w:r w:rsidR="0005222D">
        <w:rPr>
          <w:rFonts w:ascii="Times New Roman" w:hAnsi="Times New Roman"/>
        </w:rPr>
        <w:t>urópskeho spoločenstva – po 30. </w:t>
      </w:r>
      <w:r w:rsidRPr="0088216C">
        <w:rPr>
          <w:rFonts w:ascii="Times New Roman" w:hAnsi="Times New Roman"/>
        </w:rPr>
        <w:t>novembri 2009):</w:t>
      </w:r>
    </w:p>
    <w:p w:rsidR="002775F7" w:rsidRPr="0088216C" w:rsidP="000E49E6">
      <w:pPr>
        <w:pStyle w:val="BodyTextIndent"/>
        <w:tabs>
          <w:tab w:val="left" w:pos="426"/>
        </w:tabs>
        <w:bidi w:val="0"/>
        <w:spacing w:after="240"/>
        <w:ind w:left="425" w:firstLine="0"/>
        <w:rPr>
          <w:rFonts w:ascii="Times New Roman" w:hAnsi="Times New Roman"/>
          <w:bCs/>
          <w:iCs/>
          <w:u w:val="single"/>
        </w:rPr>
      </w:pPr>
      <w:r w:rsidRPr="0088216C">
        <w:rPr>
          <w:rFonts w:ascii="Times New Roman" w:hAnsi="Times New Roman"/>
          <w:bCs/>
          <w:iCs/>
        </w:rPr>
        <w:t>1.</w:t>
      </w:r>
      <w:r w:rsidRPr="0088216C">
        <w:rPr>
          <w:rFonts w:ascii="Times New Roman" w:hAnsi="Times New Roman"/>
          <w:bCs/>
          <w:iCs/>
          <w:u w:val="single"/>
        </w:rPr>
        <w:t xml:space="preserve"> legislatívne akty</w:t>
      </w:r>
    </w:p>
    <w:p w:rsidR="002775F7" w:rsidRPr="0088216C" w:rsidP="000E49E6">
      <w:pPr>
        <w:pStyle w:val="BodyTextIndent"/>
        <w:numPr>
          <w:numId w:val="3"/>
        </w:numPr>
        <w:tabs>
          <w:tab w:val="left" w:pos="426"/>
        </w:tabs>
        <w:bidi w:val="0"/>
        <w:rPr>
          <w:rFonts w:ascii="Times New Roman" w:hAnsi="Times New Roman"/>
        </w:rPr>
      </w:pPr>
      <w:r w:rsidRPr="0088216C">
        <w:rPr>
          <w:rFonts w:ascii="Times New Roman" w:hAnsi="Times New Roman"/>
        </w:rPr>
        <w:t>Smernica Európskeho parlamentu a Rady 2012/1</w:t>
      </w:r>
      <w:r w:rsidR="0005222D">
        <w:rPr>
          <w:rFonts w:ascii="Times New Roman" w:hAnsi="Times New Roman"/>
        </w:rPr>
        <w:t>3/EÚ z 22. mája 2012 o práve na </w:t>
      </w:r>
      <w:r w:rsidRPr="0088216C">
        <w:rPr>
          <w:rFonts w:ascii="Times New Roman" w:hAnsi="Times New Roman"/>
        </w:rPr>
        <w:t>informácie v trestnom konaní (Ú. v. EÚ L 142, 1. 6. 2012),</w:t>
      </w:r>
    </w:p>
    <w:p w:rsidR="002775F7" w:rsidRPr="0088216C" w:rsidP="000E49E6">
      <w:pPr>
        <w:pStyle w:val="BodyTextIndent"/>
        <w:tabs>
          <w:tab w:val="left" w:pos="426"/>
        </w:tabs>
        <w:bidi w:val="0"/>
        <w:ind w:left="720" w:firstLine="0"/>
        <w:rPr>
          <w:rFonts w:ascii="Times New Roman" w:hAnsi="Times New Roman"/>
        </w:rPr>
      </w:pPr>
    </w:p>
    <w:p w:rsidR="002775F7" w:rsidRPr="0088216C" w:rsidP="000E49E6">
      <w:pPr>
        <w:pStyle w:val="BodyTextIndent"/>
        <w:numPr>
          <w:numId w:val="3"/>
        </w:numPr>
        <w:tabs>
          <w:tab w:val="left" w:pos="426"/>
        </w:tabs>
        <w:bidi w:val="0"/>
        <w:rPr>
          <w:rFonts w:ascii="Times New Roman" w:hAnsi="Times New Roman"/>
        </w:rPr>
      </w:pPr>
      <w:r w:rsidRPr="0088216C">
        <w:rPr>
          <w:rFonts w:ascii="Times New Roman" w:hAnsi="Times New Roman"/>
        </w:rPr>
        <w:t>Smernica Európskeho parlamentu a Rady 2013/48/E</w:t>
      </w:r>
      <w:r w:rsidR="0005222D">
        <w:rPr>
          <w:rFonts w:ascii="Times New Roman" w:hAnsi="Times New Roman"/>
        </w:rPr>
        <w:t>Ú z 22. októbra 2013 o práve na </w:t>
      </w:r>
      <w:r w:rsidRPr="0088216C">
        <w:rPr>
          <w:rFonts w:ascii="Times New Roman" w:hAnsi="Times New Roman"/>
        </w:rPr>
        <w:t>prístup k obhajcovi v trestnom konaní a v konaní o európskom zatykači a o práve na informovanie tretej osoby po pozbavení oso</w:t>
      </w:r>
      <w:r w:rsidR="0005222D">
        <w:rPr>
          <w:rFonts w:ascii="Times New Roman" w:hAnsi="Times New Roman"/>
        </w:rPr>
        <w:t>bnej slobody a na komunikáciu s </w:t>
      </w:r>
      <w:r w:rsidRPr="0088216C">
        <w:rPr>
          <w:rFonts w:ascii="Times New Roman" w:hAnsi="Times New Roman"/>
        </w:rPr>
        <w:t>tretími osobami a s konzulárnymi úradmi po pozbavení osobnej slobody (Ú. v. EÚ L 294, 6. 11. 2013).</w:t>
      </w:r>
    </w:p>
    <w:p w:rsidR="002775F7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916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 w:hint="default"/>
          <w:sz w:val="24"/>
          <w:szCs w:val="24"/>
          <w:lang w:eastAsia="sk-SK"/>
        </w:rPr>
      </w:pP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c) je obsiahnutý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 xml:space="preserve"> v judikatú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re Sú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dneho dvora Euró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ps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kej ú</w:t>
      </w:r>
      <w:r w:rsidRPr="0088216C">
        <w:rPr>
          <w:rFonts w:ascii="Times New Roman" w:hAnsi="Times New Roman" w:cs="Times New Roman" w:hint="default"/>
          <w:sz w:val="24"/>
          <w:szCs w:val="24"/>
          <w:lang w:eastAsia="sk-SK"/>
        </w:rPr>
        <w:t>nie</w:t>
      </w:r>
    </w:p>
    <w:p w:rsidR="00851427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51427" w:rsidRPr="0088216C" w:rsidP="000E49E6">
      <w:pPr>
        <w:pStyle w:val="BodyTextIndent"/>
        <w:numPr>
          <w:numId w:val="3"/>
        </w:numPr>
        <w:tabs>
          <w:tab w:val="left" w:pos="426"/>
        </w:tabs>
        <w:bidi w:val="0"/>
        <w:rPr>
          <w:rFonts w:ascii="Times New Roman" w:hAnsi="Times New Roman"/>
        </w:rPr>
      </w:pPr>
      <w:r w:rsidRPr="0088216C">
        <w:rPr>
          <w:rFonts w:ascii="Times New Roman" w:hAnsi="Times New Roman"/>
        </w:rPr>
        <w:t xml:space="preserve">rozsudok Súdneho dvora </w:t>
      </w:r>
      <w:r w:rsidR="00B95354">
        <w:rPr>
          <w:rFonts w:ascii="Times New Roman" w:hAnsi="Times New Roman"/>
        </w:rPr>
        <w:t xml:space="preserve">Európskej únie </w:t>
      </w:r>
      <w:r w:rsidRPr="0088216C">
        <w:rPr>
          <w:rFonts w:ascii="Times New Roman" w:hAnsi="Times New Roman"/>
        </w:rPr>
        <w:t>z 19. septembra 2019 vo veci C - 467/18, EP za účasti: Rajonna prokuratura Lom, KM, HO, (2019/C 399/16).</w:t>
      </w:r>
    </w:p>
    <w:p w:rsidR="000B4916" w:rsidRPr="0088216C" w:rsidP="000E49E6">
      <w:pPr>
        <w:pStyle w:val="Standard"/>
        <w:widowControl w:val="0"/>
        <w:suppressAutoHyphens w:val="0"/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1427" w:rsidRPr="0088216C" w:rsidP="000E49E6">
      <w:pPr>
        <w:widowControl w:val="0"/>
        <w:bidi w:val="0"/>
        <w:adjustRightInd w:val="0"/>
        <w:spacing w:before="0" w:beforeAutospacing="0" w:after="120" w:afterAutospacing="0"/>
        <w:ind w:left="357" w:hanging="357"/>
        <w:jc w:val="both"/>
        <w:rPr>
          <w:rFonts w:ascii="Times New Roman" w:hAnsi="Times New Roman"/>
          <w:b/>
        </w:rPr>
      </w:pPr>
      <w:r w:rsidRPr="0088216C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851427" w:rsidRPr="0088216C" w:rsidP="000E49E6">
      <w:pPr>
        <w:widowControl w:val="0"/>
        <w:numPr>
          <w:numId w:val="5"/>
        </w:numPr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8216C">
        <w:rPr>
          <w:rFonts w:ascii="Times New Roman" w:hAnsi="Times New Roman"/>
        </w:rPr>
        <w:t>lehota na prebratie smernice alebo lehota na implementáciu nariadenia alebo rozhodnutia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left="708"/>
        <w:jc w:val="both"/>
        <w:rPr>
          <w:rFonts w:ascii="Times New Roman" w:hAnsi="Times New Roman"/>
        </w:rPr>
      </w:pPr>
      <w:r w:rsidRPr="0088216C">
        <w:rPr>
          <w:rFonts w:ascii="Times New Roman" w:hAnsi="Times New Roman"/>
        </w:rPr>
        <w:t>-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Pr="0088216C" w:rsidR="006230FC">
        <w:rPr>
          <w:rFonts w:ascii="Times New Roman" w:hAnsi="Times New Roman"/>
        </w:rPr>
        <w:t>b</w:t>
      </w:r>
      <w:r w:rsidRPr="0088216C">
        <w:rPr>
          <w:rFonts w:ascii="Times New Roman" w:hAnsi="Times New Roman"/>
        </w:rPr>
        <w:t>)</w:t>
        <w:tab/>
        <w:t>informácia o konaní začatom proti Slovenskej republike o porušení podľa čl. 258 až 260 Zmluvy o fungovaní Európskej únie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  <w:r w:rsidRPr="0088216C" w:rsidR="006230FC">
        <w:rPr>
          <w:rFonts w:ascii="Times New Roman" w:hAnsi="Times New Roman"/>
        </w:rPr>
        <w:t>-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firstLine="708"/>
        <w:jc w:val="both"/>
        <w:rPr>
          <w:rFonts w:ascii="Times New Roman" w:hAnsi="Times New Roman"/>
        </w:rPr>
      </w:pP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left="709" w:hanging="349"/>
        <w:jc w:val="both"/>
        <w:rPr>
          <w:rFonts w:ascii="Times New Roman" w:hAnsi="Times New Roman"/>
        </w:rPr>
      </w:pPr>
      <w:r w:rsidR="0088216C">
        <w:rPr>
          <w:rFonts w:ascii="Times New Roman" w:hAnsi="Times New Roman"/>
        </w:rPr>
        <w:t>c</w:t>
      </w:r>
      <w:r w:rsidRPr="0088216C">
        <w:rPr>
          <w:rFonts w:ascii="Times New Roman" w:hAnsi="Times New Roman"/>
        </w:rPr>
        <w:t>)</w:t>
        <w:tab/>
        <w:t xml:space="preserve">informácia o právnych predpisoch, v ktorých sú preberané smernice už prebraté 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ind w:left="720"/>
        <w:jc w:val="both"/>
        <w:rPr>
          <w:rFonts w:ascii="Times New Roman" w:hAnsi="Times New Roman"/>
        </w:rPr>
      </w:pPr>
    </w:p>
    <w:p w:rsidR="006230FC" w:rsidP="00227B3B">
      <w:pPr>
        <w:pStyle w:val="BodyText"/>
        <w:widowControl/>
        <w:tabs>
          <w:tab w:val="left" w:pos="993"/>
        </w:tabs>
        <w:bidi w:val="0"/>
        <w:adjustRightInd/>
        <w:ind w:right="192"/>
        <w:jc w:val="both"/>
        <w:rPr>
          <w:rFonts w:ascii="Times New Roman" w:hAnsi="Times New Roman"/>
        </w:rPr>
      </w:pPr>
      <w:r w:rsidRPr="0088216C">
        <w:rPr>
          <w:rFonts w:ascii="Times New Roman" w:hAnsi="Times New Roman"/>
        </w:rPr>
        <w:t>Smernica Európskeho parlamentu a Rady 2012/1</w:t>
      </w:r>
      <w:r w:rsidR="0005222D">
        <w:rPr>
          <w:rFonts w:ascii="Times New Roman" w:hAnsi="Times New Roman"/>
        </w:rPr>
        <w:t>3/EÚ z 22. mája 2012 o práve na </w:t>
      </w:r>
      <w:r w:rsidRPr="0088216C">
        <w:rPr>
          <w:rFonts w:ascii="Times New Roman" w:hAnsi="Times New Roman"/>
        </w:rPr>
        <w:t>informácie v trestnom kona</w:t>
      </w:r>
      <w:r w:rsidR="00227B3B">
        <w:rPr>
          <w:rFonts w:ascii="Times New Roman" w:hAnsi="Times New Roman"/>
        </w:rPr>
        <w:t>ní (Ú. v. EÚ L 142, 1. 6. 2012):</w:t>
      </w:r>
    </w:p>
    <w:p w:rsidR="00227B3B" w:rsidP="00227B3B">
      <w:pPr>
        <w:pStyle w:val="BodyText"/>
        <w:widowControl/>
        <w:numPr>
          <w:numId w:val="6"/>
        </w:numPr>
        <w:tabs>
          <w:tab w:val="left" w:pos="1134"/>
        </w:tabs>
        <w:bidi w:val="0"/>
        <w:adjustRightInd/>
        <w:spacing w:after="0"/>
        <w:ind w:left="1134" w:right="1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30</w:t>
      </w:r>
      <w:r w:rsidR="002D05A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/2005 Z. z. </w:t>
      </w:r>
      <w:r w:rsidRPr="0088216C">
        <w:rPr>
          <w:rFonts w:ascii="Times New Roman" w:hAnsi="Times New Roman"/>
        </w:rPr>
        <w:t>Trestný poriadok</w:t>
      </w:r>
      <w:r>
        <w:rPr>
          <w:rFonts w:ascii="Times New Roman" w:hAnsi="Times New Roman"/>
        </w:rPr>
        <w:t xml:space="preserve"> v znení neskorších predpisov,</w:t>
      </w:r>
    </w:p>
    <w:p w:rsidR="00227B3B" w:rsidP="00227B3B">
      <w:pPr>
        <w:pStyle w:val="BodyText"/>
        <w:widowControl/>
        <w:numPr>
          <w:numId w:val="6"/>
        </w:numPr>
        <w:tabs>
          <w:tab w:val="left" w:pos="1134"/>
        </w:tabs>
        <w:bidi w:val="0"/>
        <w:adjustRightInd/>
        <w:spacing w:after="0"/>
        <w:ind w:left="1134" w:right="193" w:hanging="567"/>
        <w:jc w:val="both"/>
        <w:rPr>
          <w:rFonts w:ascii="Times New Roman" w:hAnsi="Times New Roman"/>
        </w:rPr>
      </w:pPr>
      <w:r w:rsidRPr="00227B3B">
        <w:rPr>
          <w:rFonts w:ascii="Times New Roman" w:hAnsi="Times New Roman"/>
        </w:rPr>
        <w:t>Zákon č. 154/2010 Z. z. o európskom zatýkacom rozkaze</w:t>
      </w:r>
      <w:r>
        <w:rPr>
          <w:rFonts w:ascii="Times New Roman" w:hAnsi="Times New Roman"/>
        </w:rPr>
        <w:t xml:space="preserve"> v znení neskorších predpisov</w:t>
      </w:r>
    </w:p>
    <w:p w:rsidR="00227B3B" w:rsidRPr="0088216C" w:rsidP="00227B3B">
      <w:pPr>
        <w:pStyle w:val="BodyText"/>
        <w:widowControl/>
        <w:tabs>
          <w:tab w:val="left" w:pos="1134"/>
        </w:tabs>
        <w:bidi w:val="0"/>
        <w:adjustRightInd/>
        <w:spacing w:after="0"/>
        <w:ind w:left="1134" w:right="193"/>
        <w:jc w:val="both"/>
        <w:rPr>
          <w:rFonts w:ascii="Times New Roman" w:hAnsi="Times New Roman"/>
        </w:rPr>
      </w:pPr>
    </w:p>
    <w:p w:rsidR="006230FC" w:rsidRPr="0088216C" w:rsidP="00227B3B">
      <w:pPr>
        <w:pStyle w:val="BodyText"/>
        <w:widowControl/>
        <w:tabs>
          <w:tab w:val="left" w:pos="993"/>
        </w:tabs>
        <w:bidi w:val="0"/>
        <w:adjustRightInd/>
        <w:ind w:right="192"/>
        <w:jc w:val="both"/>
        <w:rPr>
          <w:rFonts w:ascii="Times New Roman" w:hAnsi="Times New Roman"/>
        </w:rPr>
      </w:pPr>
      <w:r w:rsidRPr="0088216C">
        <w:rPr>
          <w:rFonts w:ascii="Times New Roman" w:hAnsi="Times New Roman"/>
        </w:rPr>
        <w:t>Smernica Európskeho parlamentu a Rady 2013/48/EÚ z 22. októbra 2013 o práve na prístup k obhajcovi v trestnom konaní a v konaní o európskom zatykači a o práve na informovanie tretej osoby po pozbavení osobnej slobody a na ko</w:t>
      </w:r>
      <w:r w:rsidR="0005222D">
        <w:rPr>
          <w:rFonts w:ascii="Times New Roman" w:hAnsi="Times New Roman"/>
        </w:rPr>
        <w:t>munikáciu s tretími osobami a s </w:t>
      </w:r>
      <w:r w:rsidRPr="0088216C">
        <w:rPr>
          <w:rFonts w:ascii="Times New Roman" w:hAnsi="Times New Roman"/>
        </w:rPr>
        <w:t>konzulárnymi úradmi po pozbavení osobnej slobod</w:t>
      </w:r>
      <w:r w:rsidR="00227B3B">
        <w:rPr>
          <w:rFonts w:ascii="Times New Roman" w:hAnsi="Times New Roman"/>
        </w:rPr>
        <w:t>y (Ú. v. EÚ L 294, 6. 11. 2013):</w:t>
      </w:r>
    </w:p>
    <w:p w:rsidR="00227B3B" w:rsidP="00227B3B">
      <w:pPr>
        <w:pStyle w:val="BodyText"/>
        <w:widowControl/>
        <w:numPr>
          <w:numId w:val="6"/>
        </w:numPr>
        <w:tabs>
          <w:tab w:val="left" w:pos="1134"/>
        </w:tabs>
        <w:bidi w:val="0"/>
        <w:adjustRightInd/>
        <w:spacing w:after="0"/>
        <w:ind w:left="1134" w:right="193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č. 30</w:t>
      </w:r>
      <w:r w:rsidR="002D05A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/2005 Z. z. </w:t>
      </w:r>
      <w:r w:rsidRPr="0088216C" w:rsidR="006230FC">
        <w:rPr>
          <w:rFonts w:ascii="Times New Roman" w:hAnsi="Times New Roman"/>
        </w:rPr>
        <w:t>Trestný poriadok</w:t>
      </w:r>
      <w:r>
        <w:rPr>
          <w:rFonts w:ascii="Times New Roman" w:hAnsi="Times New Roman"/>
        </w:rPr>
        <w:t xml:space="preserve"> v znení neskorších predpisov,</w:t>
      </w:r>
    </w:p>
    <w:p w:rsidR="006230FC" w:rsidRPr="0088216C" w:rsidP="00227B3B">
      <w:pPr>
        <w:pStyle w:val="BodyText"/>
        <w:widowControl/>
        <w:numPr>
          <w:numId w:val="6"/>
        </w:numPr>
        <w:tabs>
          <w:tab w:val="left" w:pos="1134"/>
        </w:tabs>
        <w:bidi w:val="0"/>
        <w:adjustRightInd/>
        <w:spacing w:after="0"/>
        <w:ind w:left="1134" w:right="193" w:hanging="567"/>
        <w:jc w:val="both"/>
        <w:rPr>
          <w:rFonts w:ascii="Times New Roman" w:hAnsi="Times New Roman"/>
        </w:rPr>
      </w:pPr>
      <w:r w:rsidRPr="00227B3B" w:rsidR="00227B3B">
        <w:rPr>
          <w:rFonts w:ascii="Times New Roman" w:hAnsi="Times New Roman"/>
        </w:rPr>
        <w:t>Zákon č. 154/2010 Z. z. o európskom zatýkacom rozkaze</w:t>
      </w:r>
      <w:r w:rsidR="00227B3B">
        <w:rPr>
          <w:rFonts w:ascii="Times New Roman" w:hAnsi="Times New Roman"/>
        </w:rPr>
        <w:t xml:space="preserve"> v znení neskorších predpisov</w:t>
      </w:r>
      <w:r w:rsidRPr="0088216C">
        <w:rPr>
          <w:rFonts w:ascii="Times New Roman" w:hAnsi="Times New Roman"/>
        </w:rPr>
        <w:t>.</w:t>
      </w:r>
    </w:p>
    <w:p w:rsidR="00851427" w:rsidRPr="0088216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851427" w:rsidRPr="0088216C" w:rsidP="000E49E6">
      <w:pPr>
        <w:widowControl w:val="0"/>
        <w:bidi w:val="0"/>
        <w:adjustRightInd w:val="0"/>
        <w:spacing w:before="0" w:beforeAutospacing="0" w:after="120" w:afterAutospacing="0"/>
        <w:ind w:left="357" w:hanging="357"/>
        <w:jc w:val="both"/>
        <w:rPr>
          <w:rFonts w:ascii="Times New Roman" w:hAnsi="Times New Roman"/>
          <w:b/>
        </w:rPr>
      </w:pPr>
      <w:r w:rsidRPr="0088216C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851427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88216C">
        <w:rPr>
          <w:rFonts w:ascii="Times New Roman" w:hAnsi="Times New Roman"/>
        </w:rPr>
        <w:t>Stupeň zlučiteľnosti – úplný</w:t>
      </w: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AD55C9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6870CC" w:rsidRPr="00AD55C9" w:rsidP="00AD55C9">
      <w:pPr>
        <w:bidi w:val="0"/>
        <w:ind w:right="-108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56106C"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AD55C9" w:rsidP="006870CC">
      <w:pPr>
        <w:bidi w:val="0"/>
        <w:jc w:val="both"/>
        <w:rPr>
          <w:rFonts w:ascii="Times New Roman" w:hAnsi="Times New Roman"/>
          <w:b/>
          <w:bCs/>
        </w:rPr>
      </w:pPr>
    </w:p>
    <w:p w:rsidR="006870CC" w:rsidRPr="006870CC" w:rsidP="006870CC">
      <w:pPr>
        <w:bidi w:val="0"/>
        <w:jc w:val="both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 xml:space="preserve">A.1. Názov materiálu: </w:t>
      </w:r>
      <w:r>
        <w:rPr>
          <w:rFonts w:ascii="Times New Roman" w:hAnsi="Times New Roman"/>
          <w:color w:val="000000" w:themeColor="tx1" w:themeShade="FF"/>
        </w:rPr>
        <w:t xml:space="preserve">Návrh zákona, </w:t>
      </w:r>
      <w:r w:rsidRPr="0016302F">
        <w:rPr>
          <w:rFonts w:ascii="Times New Roman" w:hAnsi="Times New Roman"/>
          <w:color w:val="000000" w:themeColor="tx1" w:themeShade="FF"/>
        </w:rPr>
        <w:t>ktorým sa mení a dopĺňa zákon č. 301/2005 Z. z. Trestný poriadok v znení neskorších predpisov</w:t>
      </w:r>
    </w:p>
    <w:p w:rsidR="006870CC" w:rsidP="006870CC">
      <w:pPr>
        <w:bidi w:val="0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>A.2. Vplyvy:</w:t>
      </w:r>
    </w:p>
    <w:p w:rsidR="00AD55C9" w:rsidRPr="0056106C" w:rsidP="006870CC">
      <w:pPr>
        <w:bidi w:val="0"/>
        <w:outlineLvl w:val="0"/>
        <w:rPr>
          <w:rFonts w:ascii="Times New Roman" w:hAnsi="Times New Roman"/>
          <w:b/>
          <w:bCs/>
        </w:rPr>
      </w:pPr>
    </w:p>
    <w:tbl>
      <w:tblPr>
        <w:tblStyle w:val="TableNormal"/>
        <w:tblW w:w="8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4108"/>
        <w:gridCol w:w="1368"/>
        <w:gridCol w:w="1388"/>
        <w:gridCol w:w="1473"/>
      </w:tblGrid>
      <w:tr>
        <w:tblPrEx>
          <w:tblW w:w="833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106C">
              <w:rPr>
                <w:rFonts w:ascii="Times New Roman" w:hAnsi="Times New Roman"/>
              </w:rPr>
              <w:t>Pozitívne</w:t>
            </w:r>
            <w:r w:rsidRPr="0056106C">
              <w:rPr>
                <w:rFonts w:ascii="Times New Roman" w:hAnsi="Times New Roman"/>
                <w:vertAlign w:val="superscript"/>
              </w:rPr>
              <w:t>*</w:t>
            </w:r>
            <w:r w:rsidRPr="0056106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106C">
              <w:rPr>
                <w:rFonts w:ascii="Times New Roman" w:hAnsi="Times New Roman"/>
              </w:rPr>
              <w:t>Žiadne</w:t>
            </w:r>
            <w:r w:rsidRPr="0056106C"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  <w:r w:rsidRPr="0056106C">
              <w:rPr>
                <w:rFonts w:ascii="Times New Roman" w:hAnsi="Times New Roman"/>
              </w:rPr>
              <w:t>Negatívne</w:t>
            </w:r>
            <w:r w:rsidRPr="0056106C">
              <w:rPr>
                <w:rFonts w:ascii="Times New Roman" w:hAnsi="Times New Roman"/>
                <w:vertAlign w:val="superscript"/>
              </w:rPr>
              <w:t>*</w:t>
            </w: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70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1. Vplyvy na rozpočet verejnej správy</w:t>
            </w:r>
          </w:p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73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183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56106C">
              <w:rPr>
                <w:rFonts w:ascii="Times New Roman" w:hAnsi="Times New Roman"/>
                <w:sz w:val="20"/>
                <w:szCs w:val="20"/>
              </w:rPr>
              <w:t xml:space="preserve"> Sociálne vplyvy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</w:p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– hospodárenie obyvateľstva,</w:t>
            </w:r>
          </w:p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-</w:t>
            </w:r>
            <w:r w:rsidR="00AD55C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6106C">
              <w:rPr>
                <w:rFonts w:ascii="Times New Roman" w:hAnsi="Times New Roman"/>
                <w:sz w:val="20"/>
                <w:szCs w:val="20"/>
              </w:rPr>
              <w:t>sociálnu exklúziu,</w:t>
            </w:r>
          </w:p>
          <w:p w:rsidR="006870C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-  rovnosť príležitostí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6870C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/>
                <w:sz w:val="20"/>
                <w:szCs w:val="20"/>
              </w:rPr>
              <w:t>rodovú rovnosť a </w:t>
            </w:r>
          </w:p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6106C">
              <w:rPr>
                <w:rFonts w:ascii="Times New Roman" w:hAnsi="Times New Roman"/>
                <w:sz w:val="20"/>
                <w:szCs w:val="20"/>
              </w:rPr>
              <w:t>zamestnanosť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369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468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634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6. Vplyvy na manželstvo, rodičovstvo a rodinu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8337" w:type="dxa"/>
          <w:tblCellMar>
            <w:top w:w="57" w:type="dxa"/>
            <w:bottom w:w="57" w:type="dxa"/>
          </w:tblCellMar>
          <w:tblLook w:val="01E0"/>
        </w:tblPrEx>
        <w:trPr>
          <w:trHeight w:val="395"/>
        </w:trPr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6106C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870CC" w:rsidRPr="0056106C" w:rsidP="009E7B70">
            <w:pPr>
              <w:bidi w:val="0"/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6870CC" w:rsidRPr="0056106C" w:rsidP="006870CC">
      <w:pPr>
        <w:pStyle w:val="BodyText"/>
        <w:bidi w:val="0"/>
        <w:rPr>
          <w:rFonts w:ascii="Times New Roman" w:hAnsi="Times New Roman"/>
          <w:b/>
          <w:bCs/>
          <w:u w:val="single"/>
        </w:rPr>
      </w:pPr>
      <w:r w:rsidRPr="0056106C">
        <w:rPr>
          <w:rFonts w:ascii="Times New Roman" w:hAnsi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AD55C9" w:rsidP="006870CC">
      <w:pPr>
        <w:pStyle w:val="BodyText"/>
        <w:bidi w:val="0"/>
        <w:outlineLvl w:val="0"/>
        <w:rPr>
          <w:rFonts w:ascii="Times New Roman" w:hAnsi="Times New Roman"/>
          <w:b/>
          <w:bCs/>
        </w:rPr>
      </w:pPr>
    </w:p>
    <w:p w:rsidR="006870CC" w:rsidRPr="0056106C" w:rsidP="006870CC">
      <w:pPr>
        <w:pStyle w:val="BodyText"/>
        <w:bidi w:val="0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>A.3. Poznámky</w:t>
      </w:r>
    </w:p>
    <w:p w:rsidR="006870CC" w:rsidP="006870CC">
      <w:pPr>
        <w:pStyle w:val="BodyText"/>
        <w:bidi w:val="0"/>
        <w:jc w:val="both"/>
        <w:outlineLvl w:val="0"/>
        <w:rPr>
          <w:rFonts w:ascii="Times New Roman" w:hAnsi="Times New Roman"/>
          <w:lang w:eastAsia="en-GB"/>
        </w:rPr>
      </w:pPr>
      <w:r w:rsidRPr="00DA0791">
        <w:rPr>
          <w:rFonts w:ascii="Times New Roman" w:hAnsi="Times New Roman"/>
          <w:lang w:eastAsia="en-GB"/>
        </w:rPr>
        <w:t xml:space="preserve">Návrh zákona </w:t>
      </w:r>
      <w:r>
        <w:rPr>
          <w:rFonts w:ascii="Times New Roman" w:hAnsi="Times New Roman"/>
          <w:color w:val="000000" w:themeColor="tx1" w:themeShade="FF"/>
        </w:rPr>
        <w:t>implikuje pozitívne</w:t>
      </w:r>
      <w:r w:rsidRPr="00D60773">
        <w:rPr>
          <w:rFonts w:ascii="Times New Roman" w:hAnsi="Times New Roman"/>
          <w:color w:val="000000" w:themeColor="tx1" w:themeShade="FF"/>
        </w:rPr>
        <w:t xml:space="preserve"> sociálne vplyvy</w:t>
      </w:r>
      <w:r>
        <w:rPr>
          <w:rFonts w:ascii="Times New Roman" w:hAnsi="Times New Roman"/>
          <w:color w:val="000000" w:themeColor="tx1" w:themeShade="FF"/>
        </w:rPr>
        <w:t>, a to najmä v intenciách okamžitého zabezpečenia zdravotnej starostlivosti páchateľovi činu inak trestného a zvýšenia ochrany tretích osôb pred pohybom týchto páchateľov na slobode</w:t>
      </w:r>
      <w:r w:rsidRPr="00D60773">
        <w:rPr>
          <w:rFonts w:ascii="Times New Roman" w:hAnsi="Times New Roman"/>
          <w:color w:val="000000" w:themeColor="tx1" w:themeShade="FF"/>
        </w:rPr>
        <w:t>.</w:t>
      </w:r>
      <w:r w:rsidR="00AD55C9">
        <w:rPr>
          <w:rFonts w:ascii="Times New Roman" w:hAnsi="Times New Roman"/>
          <w:color w:val="000000" w:themeColor="tx1" w:themeShade="FF"/>
        </w:rPr>
        <w:t xml:space="preserve"> V širšom rámci je tak návrh zákona zlučiteľný aj so zámermi Programového vyhlásenia vlády Slovenskej republiky v časti pojednávajúcej o starostlivosti o duševné zdravie, podľa ktorej sa vláda </w:t>
      </w:r>
      <w:r w:rsidRPr="00A355C8" w:rsidR="00AD55C9">
        <w:rPr>
          <w:rFonts w:ascii="Times New Roman" w:hAnsi="Times New Roman"/>
          <w:color w:val="000000" w:themeColor="tx1" w:themeShade="FF"/>
        </w:rPr>
        <w:t>zameria na reformu starostlivosti o duševné zdravie</w:t>
      </w:r>
      <w:r w:rsidR="00AD55C9">
        <w:rPr>
          <w:rFonts w:ascii="Times New Roman" w:hAnsi="Times New Roman"/>
          <w:color w:val="000000" w:themeColor="tx1" w:themeShade="FF"/>
        </w:rPr>
        <w:t>, b</w:t>
      </w:r>
      <w:r w:rsidRPr="00A355C8" w:rsidR="00AD55C9">
        <w:rPr>
          <w:rFonts w:ascii="Times New Roman" w:hAnsi="Times New Roman"/>
          <w:color w:val="000000" w:themeColor="tx1" w:themeShade="FF"/>
        </w:rPr>
        <w:t>ude presadzovať rozvoj komunitnej starostlivosti o duševné zdravie a hľadieť na špecifiká starostlivosti o rôzne skupiny.</w:t>
      </w:r>
    </w:p>
    <w:p w:rsidR="00AD55C9" w:rsidP="006870CC">
      <w:pPr>
        <w:pStyle w:val="BodyText"/>
        <w:bidi w:val="0"/>
        <w:outlineLvl w:val="0"/>
        <w:rPr>
          <w:rFonts w:ascii="Times New Roman" w:hAnsi="Times New Roman"/>
          <w:b/>
          <w:bCs/>
        </w:rPr>
      </w:pPr>
    </w:p>
    <w:p w:rsidR="006870CC" w:rsidRPr="0056106C" w:rsidP="006870CC">
      <w:pPr>
        <w:pStyle w:val="BodyText"/>
        <w:bidi w:val="0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>A.4. Alternatívne riešenia</w:t>
      </w:r>
    </w:p>
    <w:p w:rsidR="00AD55C9" w:rsidP="006870CC">
      <w:pPr>
        <w:pStyle w:val="BodyText"/>
        <w:bidi w:val="0"/>
        <w:outlineLvl w:val="0"/>
        <w:rPr>
          <w:rFonts w:ascii="Times New Roman" w:hAnsi="Times New Roman"/>
          <w:lang w:eastAsia="en-GB"/>
        </w:rPr>
      </w:pPr>
    </w:p>
    <w:p w:rsidR="006870CC" w:rsidRPr="00B52B97" w:rsidP="006870CC">
      <w:pPr>
        <w:pStyle w:val="BodyText"/>
        <w:bidi w:val="0"/>
        <w:outlineLvl w:val="0"/>
        <w:rPr>
          <w:rFonts w:ascii="Times New Roman" w:hAnsi="Times New Roman"/>
          <w:lang w:eastAsia="en-GB"/>
        </w:rPr>
      </w:pPr>
      <w:r w:rsidRPr="00B52B97">
        <w:rPr>
          <w:rFonts w:ascii="Times New Roman" w:hAnsi="Times New Roman"/>
          <w:lang w:eastAsia="en-GB"/>
        </w:rPr>
        <w:t xml:space="preserve">Nepredkladajú sa. </w:t>
      </w:r>
    </w:p>
    <w:p w:rsidR="00AD55C9" w:rsidP="006870CC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</w:p>
    <w:p w:rsidR="006870CC" w:rsidRPr="0056106C" w:rsidP="006870CC">
      <w:pPr>
        <w:pStyle w:val="BodyText2"/>
        <w:bidi w:val="0"/>
        <w:spacing w:line="240" w:lineRule="auto"/>
        <w:outlineLvl w:val="0"/>
        <w:rPr>
          <w:rFonts w:ascii="Times New Roman" w:hAnsi="Times New Roman"/>
          <w:b/>
          <w:bCs/>
        </w:rPr>
      </w:pPr>
      <w:r w:rsidRPr="0056106C">
        <w:rPr>
          <w:rFonts w:ascii="Times New Roman" w:hAnsi="Times New Roman"/>
          <w:b/>
          <w:bCs/>
        </w:rPr>
        <w:t xml:space="preserve">A.5. Stanovisko gestorov </w:t>
      </w:r>
    </w:p>
    <w:p w:rsidR="006870CC" w:rsidRPr="0056106C" w:rsidP="006870CC">
      <w:pPr>
        <w:bidi w:val="0"/>
        <w:rPr>
          <w:rFonts w:ascii="Times New Roman" w:hAnsi="Times New Roman"/>
        </w:rPr>
      </w:pPr>
      <w:r w:rsidRPr="0056106C">
        <w:rPr>
          <w:rFonts w:ascii="Times New Roman" w:hAnsi="Times New Roman"/>
        </w:rPr>
        <w:t xml:space="preserve">Bezpredmetné </w:t>
      </w:r>
    </w:p>
    <w:p w:rsidR="006870CC" w:rsidRPr="0088216C" w:rsidP="000E49E6">
      <w:pPr>
        <w:widowControl w:val="0"/>
        <w:bidi w:val="0"/>
        <w:adjustRightInd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@SimSun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472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5246"/>
    <w:multiLevelType w:val="hybridMultilevel"/>
    <w:tmpl w:val="C358A1E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5696A"/>
    <w:multiLevelType w:val="multilevel"/>
    <w:tmpl w:val="92B8146A"/>
    <w:lvl w:ilvl="0">
      <w:start w:val="6"/>
      <w:numFmt w:val="bullet"/>
      <w:lvlText w:val="-"/>
      <w:lvlJc w:val="left"/>
      <w:pPr>
        <w:ind w:left="425" w:hanging="425"/>
      </w:pPr>
      <w:rPr>
        <w:rFonts w:ascii="Times New Roman" w:eastAsia="Times New Roman" w:hAnsi="Times New Roman" w:hint="default"/>
        <w:b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  <w:rtl w:val="0"/>
        <w:cs w:val="0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  <w:rtl w:val="0"/>
        <w:cs w:val="0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  <w:rtl w:val="0"/>
        <w:cs w:val="0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  <w:rtl w:val="0"/>
        <w:cs w:val="0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  <w:rtl w:val="0"/>
        <w:cs w:val="0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  <w:rtl w:val="0"/>
        <w:cs w:val="0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  <w:rtl w:val="0"/>
        <w:cs w:val="0"/>
      </w:rPr>
    </w:lvl>
  </w:abstractNum>
  <w:abstractNum w:abstractNumId="2">
    <w:nsid w:val="212C59DD"/>
    <w:multiLevelType w:val="hybridMultilevel"/>
    <w:tmpl w:val="63D0966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SimSu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952E1"/>
    <w:multiLevelType w:val="hybridMultilevel"/>
    <w:tmpl w:val="461E6CC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F7A1AE8"/>
    <w:multiLevelType w:val="hybridMultilevel"/>
    <w:tmpl w:val="BB927A7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04504"/>
    <w:multiLevelType w:val="hybridMultilevel"/>
    <w:tmpl w:val="A3B4B83A"/>
    <w:lvl w:ilvl="0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characterSpacingControl w:val="doNotCompress"/>
  <w:compat/>
  <w:rsids>
    <w:rsidRoot w:val="00E0569F"/>
    <w:rsid w:val="0005222D"/>
    <w:rsid w:val="000B4916"/>
    <w:rsid w:val="000E49E6"/>
    <w:rsid w:val="0016302F"/>
    <w:rsid w:val="00227B3B"/>
    <w:rsid w:val="002676CE"/>
    <w:rsid w:val="00275BC7"/>
    <w:rsid w:val="002775F7"/>
    <w:rsid w:val="002C2472"/>
    <w:rsid w:val="002D05A7"/>
    <w:rsid w:val="0051448B"/>
    <w:rsid w:val="0056106C"/>
    <w:rsid w:val="00622971"/>
    <w:rsid w:val="006230FC"/>
    <w:rsid w:val="006870CC"/>
    <w:rsid w:val="007423FC"/>
    <w:rsid w:val="00787CBF"/>
    <w:rsid w:val="00851427"/>
    <w:rsid w:val="0088216C"/>
    <w:rsid w:val="008C49E5"/>
    <w:rsid w:val="009C6884"/>
    <w:rsid w:val="009E7B70"/>
    <w:rsid w:val="00A355C8"/>
    <w:rsid w:val="00A63E92"/>
    <w:rsid w:val="00AD55C9"/>
    <w:rsid w:val="00B52B97"/>
    <w:rsid w:val="00B95354"/>
    <w:rsid w:val="00CA7BF7"/>
    <w:rsid w:val="00D16C6D"/>
    <w:rsid w:val="00D60773"/>
    <w:rsid w:val="00D80296"/>
    <w:rsid w:val="00DA0791"/>
    <w:rsid w:val="00E0076D"/>
    <w:rsid w:val="00E0569F"/>
    <w:rsid w:val="00E45787"/>
    <w:rsid w:val="00EE745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1427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B4916"/>
    <w:pPr>
      <w:framePr w:wrap="auto"/>
      <w:widowControl/>
      <w:suppressAutoHyphens/>
      <w:autoSpaceDE/>
      <w:autoSpaceDN w:val="0"/>
      <w:adjustRightInd/>
      <w:spacing w:after="200" w:line="276" w:lineRule="auto"/>
      <w:ind w:left="0" w:right="0"/>
      <w:jc w:val="left"/>
      <w:textAlignment w:val="auto"/>
    </w:pPr>
    <w:rPr>
      <w:rFonts w:ascii="Calibri" w:eastAsia="SimSun" w:hAnsi="Calibri" w:cs="Calibri"/>
      <w:kern w:val="3"/>
      <w:sz w:val="22"/>
      <w:szCs w:val="22"/>
      <w:rtl w:val="0"/>
      <w:cs w:val="0"/>
      <w:lang w:val="sk-SK" w:eastAsia="ar-SA" w:bidi="ar-SA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2775F7"/>
    <w:pPr>
      <w:spacing w:before="0" w:beforeAutospacing="0" w:after="0" w:afterAutospacing="0"/>
      <w:ind w:firstLine="709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2775F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c02alineaalta">
    <w:name w:val="c02alineaalta"/>
    <w:basedOn w:val="Normal"/>
    <w:rsid w:val="00851427"/>
    <w:pPr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851427"/>
    <w:pPr>
      <w:widowControl w:val="0"/>
      <w:adjustRightInd w:val="0"/>
      <w:spacing w:before="0" w:beforeAutospacing="0" w:after="120" w:afterAutospacing="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85142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italic">
    <w:name w:val="italic"/>
    <w:basedOn w:val="DefaultParagraphFont"/>
    <w:rsid w:val="00851427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2C2472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2C247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2C2472"/>
    <w:pPr>
      <w:widowControl w:val="0"/>
      <w:tabs>
        <w:tab w:val="center" w:pos="4536"/>
        <w:tab w:val="right" w:pos="9072"/>
      </w:tabs>
      <w:adjustRightInd w:val="0"/>
      <w:spacing w:before="0" w:beforeAutospacing="0" w:after="0" w:afterAutospacing="0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2C2472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unhideWhenUsed/>
    <w:rsid w:val="006870CC"/>
    <w:pPr>
      <w:spacing w:before="0" w:beforeAutospacing="0" w:after="120" w:afterAutospacing="0" w:line="480" w:lineRule="auto"/>
      <w:jc w:val="left"/>
    </w:pPr>
    <w:rPr>
      <w:lang w:eastAsia="en-GB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6870CC"/>
    <w:rPr>
      <w:rFonts w:ascii="Times New Roman" w:hAnsi="Times New Roman" w:cs="Times New Roman"/>
      <w:sz w:val="24"/>
      <w:szCs w:val="24"/>
      <w:rtl w:val="0"/>
      <w:cs w:val="0"/>
      <w:lang w:val="x-none" w:eastAsia="en-GB"/>
    </w:rPr>
  </w:style>
  <w:style w:type="paragraph" w:styleId="BalloonText">
    <w:name w:val="Balloon Text"/>
    <w:basedOn w:val="Normal"/>
    <w:link w:val="TextbublinyChar"/>
    <w:uiPriority w:val="99"/>
    <w:rsid w:val="00E0076D"/>
    <w:pPr>
      <w:spacing w:before="0" w:after="0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E0076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694</Words>
  <Characters>3961</Characters>
  <Application>Microsoft Office Word</Application>
  <DocSecurity>0</DocSecurity>
  <Lines>0</Lines>
  <Paragraphs>0</Paragraphs>
  <ScaleCrop>false</ScaleCrop>
  <Company/>
  <LinksUpToDate>false</LinksUpToDate>
  <CharactersWithSpaces>4646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2022-09-20T08:06:00Z</dcterms:created>
  <dcterms:modified xsi:type="dcterms:W3CDTF">2023-01-13T11:57:00Z</dcterms:modified>
</cp:coreProperties>
</file>