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55" w:rsidRPr="000603AB" w:rsidRDefault="0045237E" w:rsidP="00E12AEE">
      <w:pPr>
        <w:spacing w:after="0"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16E36">
        <w:rPr>
          <w:rFonts w:ascii="Times New Roman" w:hAnsi="Times New Roman"/>
          <w:b/>
          <w:sz w:val="28"/>
          <w:szCs w:val="28"/>
        </w:rPr>
        <w:t>DÔVODOVÁ SPRÁVA</w:t>
      </w:r>
    </w:p>
    <w:p w:rsidR="00843855" w:rsidRDefault="00843855" w:rsidP="00E12AEE">
      <w:pPr>
        <w:spacing w:line="264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37E" w:rsidRPr="0045237E" w:rsidRDefault="0014728E" w:rsidP="00E12AEE">
      <w:pPr>
        <w:pStyle w:val="Normlnywebov"/>
        <w:spacing w:before="0" w:beforeAutospacing="0" w:after="0" w:afterAutospacing="0" w:line="264" w:lineRule="auto"/>
        <w:ind w:firstLine="708"/>
        <w:jc w:val="both"/>
      </w:pPr>
      <w:r>
        <w:t>Skupina poslancov predkladá</w:t>
      </w:r>
      <w:r w:rsidR="00F9699F">
        <w:t xml:space="preserve"> na rokovanie Národnej rady Slovenskej republiky</w:t>
      </w:r>
      <w:r>
        <w:t xml:space="preserve"> návrh zákona</w:t>
      </w:r>
      <w:r w:rsidR="0045237E" w:rsidRPr="0045237E">
        <w:t>, ktorým sa dopĺňa zákon č. 543/2002 Z. z. o ochrane prírody a krajiny v znení neskorších predpisov (ďalej len „návrh zákona“) ako iniciatívny materiál</w:t>
      </w:r>
      <w:r w:rsidR="004C50C7">
        <w:t>.</w:t>
      </w:r>
    </w:p>
    <w:p w:rsidR="00F9699F" w:rsidRDefault="00F9699F" w:rsidP="007D7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Účelom návrhu zákona </w:t>
      </w:r>
      <w:r w:rsidR="00917AC2">
        <w:rPr>
          <w:rFonts w:ascii="Times New Roman" w:hAnsi="Times New Roman" w:cs="Times New Roman"/>
          <w:sz w:val="24"/>
          <w:szCs w:val="24"/>
        </w:rPr>
        <w:t xml:space="preserve">je </w:t>
      </w:r>
      <w:r w:rsidR="007D7990">
        <w:rPr>
          <w:rFonts w:ascii="Times New Roman" w:hAnsi="Times New Roman" w:cs="Times New Roman"/>
          <w:sz w:val="24"/>
          <w:szCs w:val="24"/>
        </w:rPr>
        <w:t>vytvorenie legislatívneho rámca pre vz</w:t>
      </w:r>
      <w:r w:rsidR="00412629">
        <w:rPr>
          <w:rFonts w:ascii="Times New Roman" w:hAnsi="Times New Roman" w:cs="Times New Roman"/>
          <w:sz w:val="24"/>
          <w:szCs w:val="24"/>
        </w:rPr>
        <w:t xml:space="preserve">nik Národného parku Podunajsko. Dosiahne sa to </w:t>
      </w:r>
      <w:r w:rsidR="007D7990">
        <w:rPr>
          <w:rFonts w:ascii="Times New Roman" w:hAnsi="Times New Roman" w:cs="Times New Roman"/>
          <w:sz w:val="24"/>
          <w:szCs w:val="24"/>
        </w:rPr>
        <w:t>prostredníctvom uloženia povinnosti vláde Slovenskej republiky vyhlásiť Národný park Podunajsko, zriadenia</w:t>
      </w:r>
      <w:r>
        <w:rPr>
          <w:rFonts w:ascii="Times New Roman" w:hAnsi="Times New Roman" w:cs="Times New Roman"/>
          <w:sz w:val="24"/>
          <w:szCs w:val="24"/>
        </w:rPr>
        <w:t xml:space="preserve"> Správy Národného</w:t>
      </w:r>
      <w:r w:rsidR="00917AC2">
        <w:rPr>
          <w:rFonts w:ascii="Times New Roman" w:hAnsi="Times New Roman" w:cs="Times New Roman"/>
          <w:sz w:val="24"/>
          <w:szCs w:val="24"/>
        </w:rPr>
        <w:t xml:space="preserve"> parku</w:t>
      </w:r>
      <w:r>
        <w:rPr>
          <w:rFonts w:ascii="Times New Roman" w:hAnsi="Times New Roman" w:cs="Times New Roman"/>
          <w:sz w:val="24"/>
          <w:szCs w:val="24"/>
        </w:rPr>
        <w:t xml:space="preserve"> Podunajsko ako samostatnej príspevkovej organizácie ochrany prírody v zriaďovateľskej pôsobnosti Ministerstva životného prostredia </w:t>
      </w:r>
      <w:r w:rsidR="007D7990">
        <w:rPr>
          <w:rFonts w:ascii="Times New Roman" w:hAnsi="Times New Roman" w:cs="Times New Roman"/>
          <w:sz w:val="24"/>
          <w:szCs w:val="24"/>
        </w:rPr>
        <w:t>Slovenskej republiky a umožnenia</w:t>
      </w:r>
      <w:r>
        <w:rPr>
          <w:rFonts w:ascii="Times New Roman" w:hAnsi="Times New Roman" w:cs="Times New Roman"/>
          <w:sz w:val="24"/>
          <w:szCs w:val="24"/>
        </w:rPr>
        <w:t xml:space="preserve"> prechodu </w:t>
      </w:r>
      <w:r w:rsidR="00917AC2">
        <w:rPr>
          <w:rFonts w:ascii="Times New Roman" w:hAnsi="Times New Roman" w:cs="Times New Roman"/>
          <w:sz w:val="24"/>
          <w:szCs w:val="24"/>
        </w:rPr>
        <w:t xml:space="preserve">správy </w:t>
      </w:r>
      <w:r>
        <w:rPr>
          <w:rFonts w:ascii="Times New Roman" w:hAnsi="Times New Roman" w:cs="Times New Roman"/>
          <w:sz w:val="24"/>
          <w:szCs w:val="24"/>
        </w:rPr>
        <w:t>pozemkov a iného majetku vo vlastníctve štátu</w:t>
      </w:r>
      <w:r w:rsidR="00AC0B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BFB">
        <w:rPr>
          <w:rFonts w:ascii="Times New Roman" w:hAnsi="Times New Roman" w:cs="Times New Roman"/>
          <w:sz w:val="24"/>
          <w:szCs w:val="24"/>
        </w:rPr>
        <w:t>ako</w:t>
      </w:r>
      <w:r w:rsidR="00AC0BFB" w:rsidRPr="003C7668">
        <w:rPr>
          <w:rFonts w:ascii="Times New Roman" w:hAnsi="Times New Roman" w:cs="Times New Roman"/>
          <w:sz w:val="24"/>
          <w:szCs w:val="24"/>
        </w:rPr>
        <w:t xml:space="preserve"> </w:t>
      </w:r>
      <w:r w:rsidR="00AC0BFB">
        <w:rPr>
          <w:rFonts w:ascii="Times New Roman" w:hAnsi="Times New Roman" w:cs="Times New Roman"/>
          <w:sz w:val="24"/>
          <w:szCs w:val="24"/>
        </w:rPr>
        <w:t xml:space="preserve">aj súvisiacich práv a povinností vrátane práv a povinností vyplývajúcich z pracovnoprávnych vzťahov </w:t>
      </w:r>
      <w:r w:rsidR="00917AC2">
        <w:rPr>
          <w:rFonts w:ascii="Times New Roman" w:hAnsi="Times New Roman" w:cs="Times New Roman"/>
          <w:sz w:val="24"/>
          <w:szCs w:val="24"/>
        </w:rPr>
        <w:t>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668">
        <w:rPr>
          <w:rFonts w:ascii="Times New Roman" w:hAnsi="Times New Roman" w:cs="Times New Roman"/>
          <w:sz w:val="24"/>
          <w:szCs w:val="24"/>
        </w:rPr>
        <w:t xml:space="preserve">Štátnej ochrany prírody Slovenskej republiky, </w:t>
      </w:r>
      <w:r w:rsidR="0083774B">
        <w:rPr>
          <w:rFonts w:ascii="Times New Roman" w:hAnsi="Times New Roman" w:cs="Times New Roman"/>
          <w:sz w:val="24"/>
          <w:szCs w:val="24"/>
        </w:rPr>
        <w:t xml:space="preserve">ako aj ďalších </w:t>
      </w:r>
      <w:r w:rsidR="007D7990">
        <w:rPr>
          <w:rFonts w:ascii="Times New Roman" w:hAnsi="Times New Roman" w:cs="Times New Roman"/>
          <w:sz w:val="24"/>
          <w:szCs w:val="24"/>
        </w:rPr>
        <w:t xml:space="preserve">výlučne </w:t>
      </w:r>
      <w:r w:rsidR="0083774B">
        <w:rPr>
          <w:rFonts w:ascii="Times New Roman" w:hAnsi="Times New Roman" w:cs="Times New Roman"/>
          <w:sz w:val="24"/>
          <w:szCs w:val="24"/>
        </w:rPr>
        <w:t xml:space="preserve">štátnych subjektov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AC0BFB">
        <w:rPr>
          <w:rFonts w:ascii="Times New Roman" w:hAnsi="Times New Roman" w:cs="Times New Roman"/>
          <w:sz w:val="24"/>
          <w:szCs w:val="24"/>
        </w:rPr>
        <w:t>Správ</w:t>
      </w:r>
      <w:r w:rsidR="003B29A9">
        <w:rPr>
          <w:rFonts w:ascii="Times New Roman" w:hAnsi="Times New Roman" w:cs="Times New Roman"/>
          <w:sz w:val="24"/>
          <w:szCs w:val="24"/>
        </w:rPr>
        <w:t>u</w:t>
      </w:r>
      <w:r w:rsidR="00AC0BFB">
        <w:rPr>
          <w:rFonts w:ascii="Times New Roman" w:hAnsi="Times New Roman" w:cs="Times New Roman"/>
          <w:sz w:val="24"/>
          <w:szCs w:val="24"/>
        </w:rPr>
        <w:t xml:space="preserve"> Národného parku Podunajsko </w:t>
      </w:r>
      <w:r>
        <w:rPr>
          <w:rFonts w:ascii="Times New Roman" w:hAnsi="Times New Roman" w:cs="Times New Roman"/>
          <w:sz w:val="24"/>
          <w:szCs w:val="24"/>
        </w:rPr>
        <w:t xml:space="preserve">po vyhlásení </w:t>
      </w:r>
      <w:r w:rsidR="003B29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árodného parku </w:t>
      </w:r>
      <w:r w:rsidR="003B29A9">
        <w:rPr>
          <w:rFonts w:ascii="Times New Roman" w:hAnsi="Times New Roman" w:cs="Times New Roman"/>
          <w:sz w:val="24"/>
          <w:szCs w:val="24"/>
        </w:rPr>
        <w:t xml:space="preserve">Podunajsko </w:t>
      </w:r>
      <w:r w:rsidR="00AC0BFB">
        <w:rPr>
          <w:rFonts w:ascii="Times New Roman" w:hAnsi="Times New Roman" w:cs="Times New Roman"/>
          <w:sz w:val="24"/>
          <w:szCs w:val="24"/>
        </w:rPr>
        <w:t>a jeho zón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A27" w:rsidRDefault="00F9699F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Návrhom zákona sa ukladá vláde Slovenskej republiky</w:t>
      </w:r>
      <w:r w:rsidR="00412629">
        <w:rPr>
          <w:rFonts w:ascii="Times New Roman" w:hAnsi="Times New Roman" w:cs="Times New Roman"/>
          <w:sz w:val="24"/>
          <w:szCs w:val="24"/>
        </w:rPr>
        <w:t xml:space="preserve"> vyhlásiť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307">
        <w:rPr>
          <w:rFonts w:ascii="Times New Roman" w:hAnsi="Times New Roman" w:cs="Times New Roman"/>
          <w:sz w:val="24"/>
          <w:szCs w:val="24"/>
        </w:rPr>
        <w:t xml:space="preserve">Národný park Podunajsko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D7990">
        <w:rPr>
          <w:rFonts w:ascii="Times New Roman" w:hAnsi="Times New Roman" w:cs="Times New Roman"/>
          <w:sz w:val="24"/>
          <w:szCs w:val="24"/>
        </w:rPr>
        <w:t>30. 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D7990">
        <w:rPr>
          <w:rFonts w:ascii="Times New Roman" w:hAnsi="Times New Roman" w:cs="Times New Roman"/>
          <w:sz w:val="24"/>
          <w:szCs w:val="24"/>
        </w:rPr>
        <w:t>4</w:t>
      </w:r>
      <w:r w:rsidR="005E4307">
        <w:rPr>
          <w:rFonts w:ascii="Times New Roman" w:hAnsi="Times New Roman" w:cs="Times New Roman"/>
          <w:sz w:val="24"/>
          <w:szCs w:val="24"/>
        </w:rPr>
        <w:t xml:space="preserve">. </w:t>
      </w:r>
      <w:r w:rsidR="009E18FD">
        <w:rPr>
          <w:rFonts w:ascii="Times New Roman" w:hAnsi="Times New Roman" w:cs="Times New Roman"/>
          <w:sz w:val="24"/>
          <w:szCs w:val="24"/>
        </w:rPr>
        <w:t>Dôvodom je dl</w:t>
      </w:r>
      <w:r w:rsidR="009E18FD" w:rsidRPr="009E18FD">
        <w:rPr>
          <w:rFonts w:ascii="Times New Roman" w:hAnsi="Times New Roman" w:cs="Times New Roman"/>
          <w:sz w:val="24"/>
          <w:szCs w:val="24"/>
        </w:rPr>
        <w:t>hodobý</w:t>
      </w:r>
      <w:r w:rsidR="00412629">
        <w:rPr>
          <w:rFonts w:ascii="Times New Roman" w:hAnsi="Times New Roman" w:cs="Times New Roman"/>
          <w:sz w:val="24"/>
          <w:szCs w:val="24"/>
        </w:rPr>
        <w:t>, desiatky rokov pretrvávajúci</w:t>
      </w:r>
      <w:r w:rsidR="009E18FD" w:rsidRPr="009E18FD">
        <w:rPr>
          <w:rFonts w:ascii="Times New Roman" w:hAnsi="Times New Roman" w:cs="Times New Roman"/>
          <w:sz w:val="24"/>
          <w:szCs w:val="24"/>
        </w:rPr>
        <w:t xml:space="preserve"> záujem odbornej </w:t>
      </w:r>
      <w:r w:rsidR="007D7990">
        <w:rPr>
          <w:rFonts w:ascii="Times New Roman" w:hAnsi="Times New Roman" w:cs="Times New Roman"/>
          <w:sz w:val="24"/>
          <w:szCs w:val="24"/>
        </w:rPr>
        <w:t xml:space="preserve">a občianskej </w:t>
      </w:r>
      <w:r w:rsidR="009E18FD" w:rsidRPr="009E18FD">
        <w:rPr>
          <w:rFonts w:ascii="Times New Roman" w:hAnsi="Times New Roman" w:cs="Times New Roman"/>
          <w:sz w:val="24"/>
          <w:szCs w:val="24"/>
        </w:rPr>
        <w:t>verejnosti</w:t>
      </w:r>
      <w:r w:rsidR="009E18FD">
        <w:rPr>
          <w:rFonts w:ascii="Times New Roman" w:hAnsi="Times New Roman" w:cs="Times New Roman"/>
          <w:sz w:val="24"/>
          <w:szCs w:val="24"/>
        </w:rPr>
        <w:t xml:space="preserve"> o zlepšenie ochrany ramenného systému unikátnej stredoeurópskej vnútrozemskej</w:t>
      </w:r>
      <w:r w:rsidR="00393459">
        <w:rPr>
          <w:rFonts w:ascii="Times New Roman" w:hAnsi="Times New Roman" w:cs="Times New Roman"/>
          <w:sz w:val="24"/>
          <w:szCs w:val="24"/>
        </w:rPr>
        <w:t xml:space="preserve"> riečnej</w:t>
      </w:r>
      <w:r w:rsidR="009E18FD">
        <w:rPr>
          <w:rFonts w:ascii="Times New Roman" w:hAnsi="Times New Roman" w:cs="Times New Roman"/>
          <w:sz w:val="24"/>
          <w:szCs w:val="24"/>
        </w:rPr>
        <w:t xml:space="preserve"> delty, rovnako ako potvrdené odborné poznatky o výnimočných hodnotách tohto prírodného územia - </w:t>
      </w:r>
      <w:r w:rsidR="009E18FD" w:rsidRPr="009E18FD">
        <w:rPr>
          <w:rFonts w:ascii="Times New Roman" w:hAnsi="Times New Roman" w:cs="Times New Roman"/>
          <w:sz w:val="24"/>
          <w:szCs w:val="24"/>
        </w:rPr>
        <w:t>reprezentatívnych lesných, vodných a </w:t>
      </w:r>
      <w:proofErr w:type="spellStart"/>
      <w:r w:rsidR="009E18FD" w:rsidRPr="009E18FD">
        <w:rPr>
          <w:rFonts w:ascii="Times New Roman" w:hAnsi="Times New Roman" w:cs="Times New Roman"/>
          <w:sz w:val="24"/>
          <w:szCs w:val="24"/>
        </w:rPr>
        <w:t>xerotermných</w:t>
      </w:r>
      <w:proofErr w:type="spellEnd"/>
      <w:r w:rsidR="009E18FD" w:rsidRPr="009E18FD">
        <w:rPr>
          <w:rFonts w:ascii="Times New Roman" w:hAnsi="Times New Roman" w:cs="Times New Roman"/>
          <w:sz w:val="24"/>
          <w:szCs w:val="24"/>
        </w:rPr>
        <w:t xml:space="preserve"> biotopov</w:t>
      </w:r>
      <w:r w:rsidR="009E18FD">
        <w:rPr>
          <w:rFonts w:ascii="Times New Roman" w:hAnsi="Times New Roman" w:cs="Times New Roman"/>
          <w:sz w:val="24"/>
          <w:szCs w:val="24"/>
        </w:rPr>
        <w:t xml:space="preserve"> a druhov </w:t>
      </w:r>
      <w:r w:rsidR="009E18FD" w:rsidRPr="009E18FD">
        <w:rPr>
          <w:rFonts w:ascii="Times New Roman" w:hAnsi="Times New Roman" w:cs="Times New Roman"/>
          <w:sz w:val="24"/>
          <w:szCs w:val="24"/>
        </w:rPr>
        <w:t>národného, európskeho a medzinárodného významu</w:t>
      </w:r>
      <w:r w:rsidR="009E18FD">
        <w:rPr>
          <w:rFonts w:ascii="Times New Roman" w:hAnsi="Times New Roman" w:cs="Times New Roman"/>
          <w:sz w:val="24"/>
          <w:szCs w:val="24"/>
        </w:rPr>
        <w:t xml:space="preserve">. </w:t>
      </w:r>
      <w:r w:rsidR="00B31A27">
        <w:rPr>
          <w:rFonts w:ascii="Times New Roman" w:hAnsi="Times New Roman" w:cs="Times New Roman"/>
          <w:sz w:val="24"/>
          <w:szCs w:val="24"/>
        </w:rPr>
        <w:t>Z</w:t>
      </w:r>
      <w:r w:rsidR="00B31A27" w:rsidRPr="00B31A27">
        <w:rPr>
          <w:rFonts w:ascii="Times New Roman" w:hAnsi="Times New Roman" w:cs="Times New Roman"/>
          <w:sz w:val="24"/>
          <w:szCs w:val="24"/>
        </w:rPr>
        <w:t xml:space="preserve">ámer nie je dôležitý len z hľadiska ochrany prírody a krajiny, ale aj z hľadiska ochrany </w:t>
      </w:r>
      <w:r w:rsidR="00393459">
        <w:rPr>
          <w:rFonts w:ascii="Times New Roman" w:hAnsi="Times New Roman" w:cs="Times New Roman"/>
          <w:sz w:val="24"/>
          <w:szCs w:val="24"/>
        </w:rPr>
        <w:t xml:space="preserve">európsky významných </w:t>
      </w:r>
      <w:r w:rsidR="00B31A27" w:rsidRPr="00B31A27">
        <w:rPr>
          <w:rFonts w:ascii="Times New Roman" w:hAnsi="Times New Roman" w:cs="Times New Roman"/>
          <w:sz w:val="24"/>
          <w:szCs w:val="24"/>
        </w:rPr>
        <w:t xml:space="preserve">vodných zdrojov v tomto území. </w:t>
      </w:r>
      <w:r w:rsidR="008B0730">
        <w:rPr>
          <w:rFonts w:ascii="Times New Roman" w:hAnsi="Times New Roman" w:cs="Times New Roman"/>
          <w:sz w:val="24"/>
          <w:szCs w:val="24"/>
        </w:rPr>
        <w:t>Národný park Podunajsko nadviaže</w:t>
      </w:r>
      <w:r w:rsidR="009E18FD">
        <w:rPr>
          <w:rFonts w:ascii="Times New Roman" w:hAnsi="Times New Roman" w:cs="Times New Roman"/>
          <w:sz w:val="24"/>
          <w:szCs w:val="24"/>
        </w:rPr>
        <w:t xml:space="preserve"> na existujúce národné parky v </w:t>
      </w:r>
      <w:r w:rsidR="009E18FD" w:rsidRPr="009E18FD">
        <w:rPr>
          <w:rFonts w:ascii="Times New Roman" w:hAnsi="Times New Roman" w:cs="Times New Roman"/>
          <w:sz w:val="24"/>
          <w:szCs w:val="24"/>
        </w:rPr>
        <w:t xml:space="preserve">susedných štátoch </w:t>
      </w:r>
      <w:r w:rsidR="009E18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8FD" w:rsidRPr="009E18FD">
        <w:rPr>
          <w:rFonts w:ascii="Times New Roman" w:hAnsi="Times New Roman" w:cs="Times New Roman"/>
          <w:sz w:val="24"/>
          <w:szCs w:val="24"/>
        </w:rPr>
        <w:t>Donau-Auen</w:t>
      </w:r>
      <w:proofErr w:type="spellEnd"/>
      <w:r w:rsidR="009E18FD" w:rsidRPr="009E1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FD" w:rsidRPr="009E18FD">
        <w:rPr>
          <w:rFonts w:ascii="Times New Roman" w:hAnsi="Times New Roman" w:cs="Times New Roman"/>
          <w:sz w:val="24"/>
          <w:szCs w:val="24"/>
        </w:rPr>
        <w:t>Nazional</w:t>
      </w:r>
      <w:proofErr w:type="spellEnd"/>
      <w:r w:rsidR="009E18FD" w:rsidRPr="009E18FD">
        <w:rPr>
          <w:rFonts w:ascii="Times New Roman" w:hAnsi="Times New Roman" w:cs="Times New Roman"/>
          <w:sz w:val="24"/>
          <w:szCs w:val="24"/>
        </w:rPr>
        <w:t xml:space="preserve"> Park</w:t>
      </w:r>
      <w:r w:rsidR="009E18FD">
        <w:rPr>
          <w:rFonts w:ascii="Times New Roman" w:hAnsi="Times New Roman" w:cs="Times New Roman"/>
          <w:sz w:val="24"/>
          <w:szCs w:val="24"/>
        </w:rPr>
        <w:t xml:space="preserve"> v Rakúsku či </w:t>
      </w:r>
      <w:hyperlink r:id="rId6" w:history="1">
        <w:proofErr w:type="spellStart"/>
        <w:r w:rsidR="009E18FD" w:rsidRPr="00B31A27">
          <w:rPr>
            <w:rFonts w:ascii="Times New Roman" w:hAnsi="Times New Roman" w:cs="Times New Roman"/>
            <w:sz w:val="24"/>
            <w:szCs w:val="24"/>
          </w:rPr>
          <w:t>Fertő</w:t>
        </w:r>
        <w:proofErr w:type="spellEnd"/>
        <w:r w:rsidR="009E18FD" w:rsidRPr="00B31A27">
          <w:rPr>
            <w:rFonts w:ascii="Times New Roman" w:hAnsi="Times New Roman" w:cs="Times New Roman"/>
            <w:sz w:val="24"/>
            <w:szCs w:val="24"/>
          </w:rPr>
          <w:t>–</w:t>
        </w:r>
        <w:proofErr w:type="spellStart"/>
        <w:r w:rsidR="009E18FD" w:rsidRPr="00B31A27">
          <w:rPr>
            <w:rFonts w:ascii="Times New Roman" w:hAnsi="Times New Roman" w:cs="Times New Roman"/>
            <w:sz w:val="24"/>
            <w:szCs w:val="24"/>
          </w:rPr>
          <w:t>Hanság</w:t>
        </w:r>
        <w:proofErr w:type="spellEnd"/>
        <w:r w:rsidR="009E18FD" w:rsidRPr="00B31A27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9E18FD" w:rsidRPr="00B31A27">
          <w:rPr>
            <w:rFonts w:ascii="Times New Roman" w:hAnsi="Times New Roman" w:cs="Times New Roman"/>
            <w:sz w:val="24"/>
            <w:szCs w:val="24"/>
          </w:rPr>
          <w:t>Nemzeti</w:t>
        </w:r>
        <w:proofErr w:type="spellEnd"/>
        <w:r w:rsidR="009E18FD" w:rsidRPr="00B31A27">
          <w:rPr>
            <w:rFonts w:ascii="Times New Roman" w:hAnsi="Times New Roman" w:cs="Times New Roman"/>
            <w:sz w:val="24"/>
            <w:szCs w:val="24"/>
          </w:rPr>
          <w:t xml:space="preserve"> Park a</w:t>
        </w:r>
      </w:hyperlink>
      <w:r w:rsidR="009E18FD" w:rsidRPr="00B31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FD" w:rsidRPr="00B31A27">
        <w:rPr>
          <w:rFonts w:ascii="Times New Roman" w:hAnsi="Times New Roman" w:cs="Times New Roman"/>
          <w:sz w:val="24"/>
          <w:szCs w:val="24"/>
        </w:rPr>
        <w:t>Dunai-Ipolyi</w:t>
      </w:r>
      <w:proofErr w:type="spellEnd"/>
      <w:r w:rsidR="009E18FD" w:rsidRPr="00B31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8FD" w:rsidRPr="00B31A27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9E18FD" w:rsidRPr="00B31A27">
        <w:rPr>
          <w:rFonts w:ascii="Times New Roman" w:hAnsi="Times New Roman" w:cs="Times New Roman"/>
          <w:sz w:val="24"/>
          <w:szCs w:val="24"/>
        </w:rPr>
        <w:t xml:space="preserve"> Park v Maďarsku). </w:t>
      </w:r>
      <w:r w:rsidR="00B31A27" w:rsidRPr="00B31A27">
        <w:rPr>
          <w:rFonts w:ascii="Times New Roman" w:hAnsi="Times New Roman" w:cs="Times New Roman"/>
          <w:sz w:val="24"/>
          <w:szCs w:val="24"/>
        </w:rPr>
        <w:t>Zriadenie národného parku aj</w:t>
      </w:r>
      <w:r w:rsidR="0061466B">
        <w:rPr>
          <w:rFonts w:ascii="Times New Roman" w:hAnsi="Times New Roman" w:cs="Times New Roman"/>
          <w:sz w:val="24"/>
          <w:szCs w:val="24"/>
        </w:rPr>
        <w:t xml:space="preserve"> na slovenskej strane Dunaja vytvorí</w:t>
      </w:r>
      <w:r w:rsidR="00B31A27" w:rsidRPr="00B31A27">
        <w:rPr>
          <w:rFonts w:ascii="Times New Roman" w:hAnsi="Times New Roman" w:cs="Times New Roman"/>
          <w:sz w:val="24"/>
          <w:szCs w:val="24"/>
        </w:rPr>
        <w:t xml:space="preserve"> organizačno</w:t>
      </w:r>
      <w:r w:rsidR="007D7990">
        <w:rPr>
          <w:rFonts w:ascii="Times New Roman" w:hAnsi="Times New Roman" w:cs="Times New Roman"/>
          <w:sz w:val="24"/>
          <w:szCs w:val="24"/>
        </w:rPr>
        <w:t>-koncepčné</w:t>
      </w:r>
      <w:r w:rsidR="00B31A27" w:rsidRPr="00B31A27">
        <w:rPr>
          <w:rFonts w:ascii="Times New Roman" w:hAnsi="Times New Roman" w:cs="Times New Roman"/>
          <w:sz w:val="24"/>
          <w:szCs w:val="24"/>
        </w:rPr>
        <w:t xml:space="preserve"> „</w:t>
      </w:r>
      <w:r w:rsidR="007D7990">
        <w:rPr>
          <w:rFonts w:ascii="Times New Roman" w:hAnsi="Times New Roman" w:cs="Times New Roman"/>
          <w:sz w:val="24"/>
          <w:szCs w:val="24"/>
        </w:rPr>
        <w:t>zastrešenie</w:t>
      </w:r>
      <w:r w:rsidR="00B31A27" w:rsidRPr="00B31A27">
        <w:rPr>
          <w:rFonts w:ascii="Times New Roman" w:hAnsi="Times New Roman" w:cs="Times New Roman"/>
          <w:sz w:val="24"/>
          <w:szCs w:val="24"/>
        </w:rPr>
        <w:t>“ nad parciálne c</w:t>
      </w:r>
      <w:r w:rsidR="007D7990">
        <w:rPr>
          <w:rFonts w:ascii="Times New Roman" w:hAnsi="Times New Roman" w:cs="Times New Roman"/>
          <w:sz w:val="24"/>
          <w:szCs w:val="24"/>
        </w:rPr>
        <w:t>hránenými maloplošnými územiami a vyplní medzeru v kontinuálnej ochrane vzácnych inundačných území pozdĺž stredného úseku Dunaja.</w:t>
      </w:r>
      <w:r w:rsidR="00412629">
        <w:rPr>
          <w:rFonts w:ascii="Times New Roman" w:hAnsi="Times New Roman" w:cs="Times New Roman"/>
          <w:sz w:val="24"/>
          <w:szCs w:val="24"/>
        </w:rPr>
        <w:t xml:space="preserve"> Ani jeden zo súčasných národných parkov na Slovensku nebol vyhlásený za účelom ochrany nížinnej krajiny a jej špecifických biotopov, v čom </w:t>
      </w:r>
      <w:r w:rsidR="00CC34FB">
        <w:rPr>
          <w:rFonts w:ascii="Times New Roman" w:hAnsi="Times New Roman" w:cs="Times New Roman"/>
          <w:sz w:val="24"/>
          <w:szCs w:val="24"/>
        </w:rPr>
        <w:t>bude mať</w:t>
      </w:r>
      <w:r w:rsidR="00412629">
        <w:rPr>
          <w:rFonts w:ascii="Times New Roman" w:hAnsi="Times New Roman" w:cs="Times New Roman"/>
          <w:sz w:val="24"/>
          <w:szCs w:val="24"/>
        </w:rPr>
        <w:t xml:space="preserve"> Národný park Podunajsko prvenstvo.</w:t>
      </w:r>
    </w:p>
    <w:p w:rsidR="008B0730" w:rsidRDefault="008B0730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Blízkosť hlavného mesta a budúceho národného parku zvyšuje jeho atraktivitu pre turistické a rekreačné využitie. Národný park Podunajsko bude z rovnakého dôvodu zohrávať aj úlohu vstupnej brány propagujúcej ostatné národné parky, </w:t>
      </w:r>
      <w:r>
        <w:rPr>
          <w:rFonts w:ascii="Times New Roman" w:hAnsi="Times New Roman" w:cs="Times New Roman"/>
          <w:sz w:val="24"/>
          <w:szCs w:val="24"/>
        </w:rPr>
        <w:t xml:space="preserve">podobne ako je tomu 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>
        <w:rPr>
          <w:rFonts w:ascii="Times New Roman" w:hAnsi="Times New Roman" w:cs="Times New Roman"/>
          <w:sz w:val="24"/>
          <w:szCs w:val="24"/>
        </w:rPr>
        <w:t xml:space="preserve">v iných </w:t>
      </w:r>
      <w:r>
        <w:rPr>
          <w:rFonts w:ascii="Times New Roman" w:hAnsi="Times New Roman" w:cs="Times New Roman"/>
          <w:sz w:val="24"/>
          <w:szCs w:val="24"/>
        </w:rPr>
        <w:t>štátoch.</w:t>
      </w:r>
    </w:p>
    <w:p w:rsidR="007D7990" w:rsidRPr="00B31A27" w:rsidRDefault="007D7990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Vznikom Národného parku Podunajsko </w:t>
      </w:r>
      <w:r w:rsidR="00412629">
        <w:rPr>
          <w:rFonts w:ascii="Times New Roman" w:hAnsi="Times New Roman" w:cs="Times New Roman"/>
          <w:sz w:val="24"/>
          <w:szCs w:val="24"/>
        </w:rPr>
        <w:t>sa výrazne prispeje aj k plneniu Stratégie Európskej</w:t>
      </w:r>
      <w:r w:rsidRPr="007D7990">
        <w:rPr>
          <w:rFonts w:ascii="Times New Roman" w:hAnsi="Times New Roman" w:cs="Times New Roman"/>
          <w:sz w:val="24"/>
          <w:szCs w:val="24"/>
        </w:rPr>
        <w:t xml:space="preserve"> </w:t>
      </w:r>
      <w:r w:rsidR="00412629">
        <w:rPr>
          <w:rFonts w:ascii="Times New Roman" w:hAnsi="Times New Roman" w:cs="Times New Roman"/>
          <w:sz w:val="24"/>
          <w:szCs w:val="24"/>
        </w:rPr>
        <w:t xml:space="preserve">únie </w:t>
      </w:r>
      <w:r w:rsidRPr="007D7990">
        <w:rPr>
          <w:rFonts w:ascii="Times New Roman" w:hAnsi="Times New Roman" w:cs="Times New Roman"/>
          <w:sz w:val="24"/>
          <w:szCs w:val="24"/>
        </w:rPr>
        <w:t>v oblasti biodiverzity do roku 2030</w:t>
      </w:r>
      <w:r w:rsidR="00412629">
        <w:rPr>
          <w:rFonts w:ascii="Times New Roman" w:hAnsi="Times New Roman" w:cs="Times New Roman"/>
          <w:sz w:val="24"/>
          <w:szCs w:val="24"/>
        </w:rPr>
        <w:t>.</w:t>
      </w:r>
    </w:p>
    <w:p w:rsidR="00393459" w:rsidRDefault="00DF2A1D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Národný park Podunajsko bude</w:t>
      </w:r>
      <w:r w:rsidR="0076704B">
        <w:rPr>
          <w:rFonts w:ascii="Times New Roman" w:hAnsi="Times New Roman" w:cs="Times New Roman"/>
          <w:sz w:val="24"/>
          <w:szCs w:val="24"/>
        </w:rPr>
        <w:t xml:space="preserve"> vyhlásený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DF8" w:rsidRPr="00B31A27">
        <w:rPr>
          <w:rFonts w:ascii="Times New Roman" w:hAnsi="Times New Roman" w:cs="Times New Roman"/>
          <w:sz w:val="24"/>
          <w:szCs w:val="24"/>
        </w:rPr>
        <w:t>na území sčasti zasahujúcom do okresov Bratislava II, Bratislava IV, Bratislava V, Senec, Dunajská Streda, Komárno a Nové Zámky</w:t>
      </w:r>
      <w:r w:rsidR="0076704B">
        <w:rPr>
          <w:rFonts w:ascii="Times New Roman" w:hAnsi="Times New Roman" w:cs="Times New Roman"/>
          <w:sz w:val="24"/>
          <w:szCs w:val="24"/>
        </w:rPr>
        <w:t xml:space="preserve">, predovšetkým </w:t>
      </w:r>
      <w:r>
        <w:rPr>
          <w:rFonts w:ascii="Times New Roman" w:hAnsi="Times New Roman" w:cs="Times New Roman"/>
          <w:sz w:val="24"/>
          <w:szCs w:val="24"/>
        </w:rPr>
        <w:t>v hraniciach existujúcich chránených území, a to Chránenej krajinnej oblasti Dunajské luhy a</w:t>
      </w:r>
      <w:r w:rsidR="00B31A27">
        <w:rPr>
          <w:rFonts w:ascii="Times New Roman" w:hAnsi="Times New Roman" w:cs="Times New Roman"/>
          <w:sz w:val="24"/>
          <w:szCs w:val="24"/>
        </w:rPr>
        <w:t xml:space="preserve"> časti </w:t>
      </w:r>
      <w:r>
        <w:rPr>
          <w:rFonts w:ascii="Times New Roman" w:hAnsi="Times New Roman" w:cs="Times New Roman"/>
          <w:sz w:val="24"/>
          <w:szCs w:val="24"/>
        </w:rPr>
        <w:t>Chráneného vtáčieho územia Dunajské luhy, resp. priľahlých maloplošn</w:t>
      </w:r>
      <w:r w:rsidR="00A20DF8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chránených území. </w:t>
      </w:r>
      <w:r w:rsidR="00393459">
        <w:rPr>
          <w:rFonts w:ascii="Times New Roman" w:hAnsi="Times New Roman" w:cs="Times New Roman"/>
          <w:sz w:val="24"/>
          <w:szCs w:val="24"/>
        </w:rPr>
        <w:t xml:space="preserve">Samotným návrhom zákona sa ešte nevymedzujú konkrétne hranice budúceho národného parku a ani jeho zóny. </w:t>
      </w:r>
    </w:p>
    <w:p w:rsidR="004C50C7" w:rsidRPr="00B31A27" w:rsidRDefault="003B29A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Zámer </w:t>
      </w:r>
      <w:r w:rsidR="008F6A2C">
        <w:rPr>
          <w:rFonts w:ascii="Times New Roman" w:hAnsi="Times New Roman" w:cs="Times New Roman"/>
          <w:sz w:val="24"/>
          <w:szCs w:val="24"/>
        </w:rPr>
        <w:t xml:space="preserve">vyhlásenia </w:t>
      </w:r>
      <w:r w:rsidRPr="00946758">
        <w:rPr>
          <w:rFonts w:ascii="Times New Roman" w:hAnsi="Times New Roman" w:cs="Times New Roman"/>
          <w:sz w:val="24"/>
          <w:szCs w:val="24"/>
        </w:rPr>
        <w:t xml:space="preserve">Národného parku Podunajsko </w:t>
      </w:r>
      <w:r>
        <w:rPr>
          <w:rFonts w:ascii="Times New Roman" w:hAnsi="Times New Roman" w:cs="Times New Roman"/>
          <w:sz w:val="24"/>
          <w:szCs w:val="24"/>
        </w:rPr>
        <w:t xml:space="preserve">a jeho zón </w:t>
      </w:r>
      <w:r w:rsidR="0083774B">
        <w:rPr>
          <w:rFonts w:ascii="Times New Roman" w:hAnsi="Times New Roman" w:cs="Times New Roman"/>
          <w:sz w:val="24"/>
          <w:szCs w:val="24"/>
        </w:rPr>
        <w:t xml:space="preserve">bude zverejnený a prerokovaný s dotknutými subjektmi </w:t>
      </w:r>
      <w:r w:rsidR="00946758" w:rsidRPr="00946758">
        <w:rPr>
          <w:rFonts w:ascii="Times New Roman" w:hAnsi="Times New Roman" w:cs="Times New Roman"/>
          <w:sz w:val="24"/>
          <w:szCs w:val="24"/>
        </w:rPr>
        <w:t>v zmysle zákona č. 543/2002 Z. z. o ochrane prírody a krajiny v znení neskorších predpisov</w:t>
      </w:r>
      <w:r w:rsidR="0083774B">
        <w:rPr>
          <w:rFonts w:ascii="Times New Roman" w:hAnsi="Times New Roman" w:cs="Times New Roman"/>
          <w:sz w:val="24"/>
          <w:szCs w:val="24"/>
        </w:rPr>
        <w:t xml:space="preserve"> v prvej polovici roka 2023</w:t>
      </w:r>
      <w:r w:rsidR="008F6A2C" w:rsidRPr="008F6A2C">
        <w:rPr>
          <w:rFonts w:ascii="Times New Roman" w:hAnsi="Times New Roman" w:cs="Times New Roman"/>
          <w:sz w:val="24"/>
          <w:szCs w:val="24"/>
        </w:rPr>
        <w:t xml:space="preserve"> </w:t>
      </w:r>
      <w:r w:rsidR="008F6A2C">
        <w:rPr>
          <w:rFonts w:ascii="Times New Roman" w:hAnsi="Times New Roman" w:cs="Times New Roman"/>
          <w:sz w:val="24"/>
          <w:szCs w:val="24"/>
        </w:rPr>
        <w:t>na základe p</w:t>
      </w:r>
      <w:r w:rsidR="008F6A2C" w:rsidRPr="005E4307">
        <w:rPr>
          <w:rFonts w:ascii="Times New Roman" w:hAnsi="Times New Roman" w:cs="Times New Roman"/>
          <w:sz w:val="24"/>
          <w:szCs w:val="24"/>
        </w:rPr>
        <w:t>rojekt</w:t>
      </w:r>
      <w:r w:rsidR="008F6A2C">
        <w:rPr>
          <w:rFonts w:ascii="Times New Roman" w:hAnsi="Times New Roman" w:cs="Times New Roman"/>
          <w:sz w:val="24"/>
          <w:szCs w:val="24"/>
        </w:rPr>
        <w:t xml:space="preserve">u ochrany </w:t>
      </w:r>
      <w:r w:rsidR="008F6A2C" w:rsidRPr="00946758">
        <w:rPr>
          <w:rFonts w:ascii="Times New Roman" w:hAnsi="Times New Roman" w:cs="Times New Roman"/>
          <w:sz w:val="24"/>
          <w:szCs w:val="24"/>
        </w:rPr>
        <w:t>spracovan</w:t>
      </w:r>
      <w:r w:rsidR="008F6A2C">
        <w:rPr>
          <w:rFonts w:ascii="Times New Roman" w:hAnsi="Times New Roman" w:cs="Times New Roman"/>
          <w:sz w:val="24"/>
          <w:szCs w:val="24"/>
        </w:rPr>
        <w:t>ého</w:t>
      </w:r>
      <w:r w:rsidR="008F6A2C" w:rsidRPr="00946758">
        <w:rPr>
          <w:rFonts w:ascii="Times New Roman" w:hAnsi="Times New Roman" w:cs="Times New Roman"/>
          <w:sz w:val="24"/>
          <w:szCs w:val="24"/>
        </w:rPr>
        <w:t xml:space="preserve"> Štátnou ochranou prírody Slovenskej republiky</w:t>
      </w:r>
      <w:r w:rsidR="00946758" w:rsidRPr="00946758">
        <w:rPr>
          <w:rFonts w:ascii="Times New Roman" w:hAnsi="Times New Roman" w:cs="Times New Roman"/>
          <w:sz w:val="24"/>
          <w:szCs w:val="24"/>
        </w:rPr>
        <w:t>.</w:t>
      </w:r>
      <w:r w:rsidR="00DF2A1D">
        <w:rPr>
          <w:rFonts w:ascii="Times New Roman" w:hAnsi="Times New Roman" w:cs="Times New Roman"/>
          <w:sz w:val="24"/>
          <w:szCs w:val="24"/>
        </w:rPr>
        <w:t xml:space="preserve"> </w:t>
      </w:r>
      <w:r w:rsidR="00946758" w:rsidRPr="00946758">
        <w:rPr>
          <w:rFonts w:ascii="Times New Roman" w:hAnsi="Times New Roman" w:cs="Times New Roman"/>
          <w:sz w:val="24"/>
          <w:szCs w:val="24"/>
        </w:rPr>
        <w:t xml:space="preserve"> </w:t>
      </w:r>
      <w:r w:rsidR="00E27FBD" w:rsidRPr="00946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37E" w:rsidRPr="00B31A27" w:rsidRDefault="0045237E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A27">
        <w:rPr>
          <w:rFonts w:ascii="Times New Roman" w:hAnsi="Times New Roman" w:cs="Times New Roman"/>
          <w:sz w:val="24"/>
          <w:szCs w:val="24"/>
        </w:rPr>
        <w:t>Predkladaný návrh zákona má pozitívne vplyvy na životné prostredie</w:t>
      </w:r>
      <w:r w:rsidR="00F9699F" w:rsidRPr="00B31A27">
        <w:rPr>
          <w:rFonts w:ascii="Times New Roman" w:hAnsi="Times New Roman" w:cs="Times New Roman"/>
          <w:sz w:val="24"/>
          <w:szCs w:val="24"/>
        </w:rPr>
        <w:t xml:space="preserve"> a</w:t>
      </w:r>
      <w:r w:rsidRPr="00B31A27">
        <w:rPr>
          <w:rFonts w:ascii="Times New Roman" w:hAnsi="Times New Roman" w:cs="Times New Roman"/>
          <w:sz w:val="24"/>
          <w:szCs w:val="24"/>
        </w:rPr>
        <w:t> </w:t>
      </w:r>
      <w:r w:rsidR="00F9699F" w:rsidRPr="00B31A27">
        <w:rPr>
          <w:rFonts w:ascii="Times New Roman" w:hAnsi="Times New Roman" w:cs="Times New Roman"/>
          <w:sz w:val="24"/>
          <w:szCs w:val="24"/>
        </w:rPr>
        <w:t xml:space="preserve"> </w:t>
      </w:r>
      <w:r w:rsidRPr="00B31A27">
        <w:rPr>
          <w:rFonts w:ascii="Times New Roman" w:hAnsi="Times New Roman" w:cs="Times New Roman"/>
          <w:sz w:val="24"/>
          <w:szCs w:val="24"/>
        </w:rPr>
        <w:t xml:space="preserve">negatívne vplyvy na rozpočet verejnej správy. Návrh zákona nemá </w:t>
      </w:r>
      <w:r w:rsidR="00AD5E17" w:rsidRPr="00B31A27">
        <w:rPr>
          <w:rFonts w:ascii="Times New Roman" w:hAnsi="Times New Roman" w:cs="Times New Roman"/>
          <w:sz w:val="24"/>
          <w:szCs w:val="24"/>
        </w:rPr>
        <w:t xml:space="preserve">vplyvy na podnikateľské prostredie, </w:t>
      </w:r>
      <w:r w:rsidRPr="00B31A27">
        <w:rPr>
          <w:rFonts w:ascii="Times New Roman" w:hAnsi="Times New Roman" w:cs="Times New Roman"/>
          <w:sz w:val="24"/>
          <w:szCs w:val="24"/>
        </w:rPr>
        <w:t>sociálne vplyvy</w:t>
      </w:r>
      <w:r w:rsidR="00527C0D" w:rsidRPr="00B31A27">
        <w:rPr>
          <w:rFonts w:ascii="Times New Roman" w:hAnsi="Times New Roman" w:cs="Times New Roman"/>
          <w:sz w:val="24"/>
          <w:szCs w:val="24"/>
        </w:rPr>
        <w:t>, vplyvy na služby verejnej správy pre občana</w:t>
      </w:r>
      <w:r w:rsidR="00F9699F" w:rsidRPr="00B31A27">
        <w:rPr>
          <w:rFonts w:ascii="Times New Roman" w:hAnsi="Times New Roman" w:cs="Times New Roman"/>
          <w:sz w:val="24"/>
          <w:szCs w:val="24"/>
        </w:rPr>
        <w:t xml:space="preserve">, </w:t>
      </w:r>
      <w:r w:rsidRPr="00B31A27">
        <w:rPr>
          <w:rFonts w:ascii="Times New Roman" w:hAnsi="Times New Roman" w:cs="Times New Roman"/>
          <w:sz w:val="24"/>
          <w:szCs w:val="24"/>
        </w:rPr>
        <w:t>vplyvy na informatizáciu spoločnosti</w:t>
      </w:r>
      <w:r w:rsidR="00F9699F" w:rsidRPr="00B31A27">
        <w:rPr>
          <w:rFonts w:ascii="Times New Roman" w:hAnsi="Times New Roman" w:cs="Times New Roman"/>
          <w:sz w:val="24"/>
          <w:szCs w:val="24"/>
        </w:rPr>
        <w:t xml:space="preserve"> a vplyvy na manželstvo, rodičovstvo a rodinu.</w:t>
      </w:r>
    </w:p>
    <w:p w:rsidR="00403A65" w:rsidRDefault="0045237E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37E">
        <w:rPr>
          <w:rFonts w:ascii="Times New Roman" w:hAnsi="Times New Roman" w:cs="Times New Roman"/>
          <w:sz w:val="24"/>
          <w:szCs w:val="24"/>
        </w:rPr>
        <w:t>Predkladaný návrh zákona je v súlade s Ústavou Slovenskej republiky, ústavným zákonmi, medzinárodnými zmluvami a inými medzinárodnými dokumentami, ktorými je Slovenská republika viazaná a súčasne je v súlade s právom Európskej únie.</w:t>
      </w:r>
    </w:p>
    <w:p w:rsidR="007D7990" w:rsidRDefault="007D7990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2629" w:rsidRDefault="0041262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3459" w:rsidRDefault="00393459" w:rsidP="00B31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237E">
        <w:rPr>
          <w:rFonts w:ascii="Times New Roman" w:hAnsi="Times New Roman" w:cs="Times New Roman"/>
          <w:b/>
          <w:sz w:val="24"/>
          <w:szCs w:val="24"/>
        </w:rPr>
        <w:lastRenderedPageBreak/>
        <w:t>B. Osobitná časť</w:t>
      </w:r>
    </w:p>
    <w:p w:rsidR="0045237E" w:rsidRDefault="0045237E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2629" w:rsidRPr="0045237E" w:rsidRDefault="00412629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 xml:space="preserve">K čl. I </w:t>
      </w: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37E" w:rsidRPr="00946758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58">
        <w:rPr>
          <w:rFonts w:ascii="Times New Roman" w:hAnsi="Times New Roman" w:cs="Times New Roman"/>
          <w:sz w:val="24"/>
          <w:szCs w:val="24"/>
        </w:rPr>
        <w:t>K bodu 1</w:t>
      </w:r>
    </w:p>
    <w:p w:rsidR="00946758" w:rsidRPr="00946758" w:rsidRDefault="00946758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58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Ustanovuje sa zriadenie Správy Národného parku Podunajsko so sídlom v Bratislave ako novej organizácie ochrany prírody</w:t>
      </w:r>
      <w:r w:rsidR="0083774B" w:rsidRPr="0083774B">
        <w:rPr>
          <w:rFonts w:ascii="Times New Roman" w:hAnsi="Times New Roman" w:cs="Times New Roman"/>
          <w:sz w:val="24"/>
          <w:szCs w:val="24"/>
        </w:rPr>
        <w:t xml:space="preserve"> </w:t>
      </w:r>
      <w:r w:rsidR="0083774B">
        <w:rPr>
          <w:rFonts w:ascii="Times New Roman" w:hAnsi="Times New Roman" w:cs="Times New Roman"/>
          <w:sz w:val="24"/>
          <w:szCs w:val="24"/>
        </w:rPr>
        <w:t>v zriaďovateľskej pôsobnosti Ministerstva životného prostredia Slovenskej republiky</w:t>
      </w:r>
      <w:r w:rsidRPr="00946758">
        <w:rPr>
          <w:rFonts w:ascii="Times New Roman" w:eastAsia="Times New Roman" w:hAnsi="Times New Roman" w:cs="Times New Roman"/>
          <w:sz w:val="24"/>
          <w:szCs w:val="24"/>
          <w:lang w:eastAsia="sk-SK"/>
        </w:rPr>
        <w:t>. Správa Národného parku Pod</w:t>
      </w:r>
      <w:r w:rsidR="0061466B">
        <w:rPr>
          <w:rFonts w:ascii="Times New Roman" w:eastAsia="Times New Roman" w:hAnsi="Times New Roman" w:cs="Times New Roman"/>
          <w:sz w:val="24"/>
          <w:szCs w:val="24"/>
          <w:lang w:eastAsia="sk-SK"/>
        </w:rPr>
        <w:t>unajsko bude mať rovnaké postave</w:t>
      </w:r>
      <w:r w:rsidRPr="00946758">
        <w:rPr>
          <w:rFonts w:ascii="Times New Roman" w:eastAsia="Times New Roman" w:hAnsi="Times New Roman" w:cs="Times New Roman"/>
          <w:sz w:val="24"/>
          <w:szCs w:val="24"/>
          <w:lang w:eastAsia="sk-SK"/>
        </w:rPr>
        <w:t>nie a kompetencie ako už existujúce správy národných parkov.</w:t>
      </w:r>
      <w:r w:rsidR="008377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C0B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467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5237E" w:rsidRPr="00946758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37E" w:rsidRPr="00946758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58">
        <w:rPr>
          <w:rFonts w:ascii="Times New Roman" w:hAnsi="Times New Roman" w:cs="Times New Roman"/>
          <w:sz w:val="24"/>
          <w:szCs w:val="24"/>
        </w:rPr>
        <w:t xml:space="preserve">K bodu </w:t>
      </w:r>
      <w:r w:rsidR="00E46437" w:rsidRPr="00946758">
        <w:rPr>
          <w:rFonts w:ascii="Times New Roman" w:hAnsi="Times New Roman" w:cs="Times New Roman"/>
          <w:sz w:val="24"/>
          <w:szCs w:val="24"/>
        </w:rPr>
        <w:t>2</w:t>
      </w:r>
    </w:p>
    <w:p w:rsidR="00946758" w:rsidRPr="00946758" w:rsidRDefault="00946758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58">
        <w:rPr>
          <w:rFonts w:ascii="Times New Roman" w:hAnsi="Times New Roman" w:cs="Times New Roman"/>
          <w:sz w:val="24"/>
          <w:szCs w:val="24"/>
        </w:rPr>
        <w:t>Ide o legislatívno-technickú úpravu vzhľadom na nov</w:t>
      </w:r>
      <w:r w:rsidR="00AC0BFB">
        <w:rPr>
          <w:rFonts w:ascii="Times New Roman" w:hAnsi="Times New Roman" w:cs="Times New Roman"/>
          <w:sz w:val="24"/>
          <w:szCs w:val="24"/>
        </w:rPr>
        <w:t>é</w:t>
      </w:r>
      <w:r w:rsidRPr="00946758">
        <w:rPr>
          <w:rFonts w:ascii="Times New Roman" w:hAnsi="Times New Roman" w:cs="Times New Roman"/>
          <w:sz w:val="24"/>
          <w:szCs w:val="24"/>
        </w:rPr>
        <w:t> prechodn</w:t>
      </w:r>
      <w:r w:rsidR="00AC0BFB">
        <w:rPr>
          <w:rFonts w:ascii="Times New Roman" w:hAnsi="Times New Roman" w:cs="Times New Roman"/>
          <w:sz w:val="24"/>
          <w:szCs w:val="24"/>
        </w:rPr>
        <w:t>é</w:t>
      </w:r>
      <w:r w:rsidRPr="00946758">
        <w:rPr>
          <w:rFonts w:ascii="Times New Roman" w:hAnsi="Times New Roman" w:cs="Times New Roman"/>
          <w:sz w:val="24"/>
          <w:szCs w:val="24"/>
        </w:rPr>
        <w:t xml:space="preserve"> ustanovenia.</w:t>
      </w:r>
    </w:p>
    <w:p w:rsidR="003C7668" w:rsidRDefault="003C7668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758" w:rsidRPr="00946758" w:rsidRDefault="00946758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58">
        <w:rPr>
          <w:rFonts w:ascii="Times New Roman" w:hAnsi="Times New Roman" w:cs="Times New Roman"/>
          <w:sz w:val="24"/>
          <w:szCs w:val="24"/>
        </w:rPr>
        <w:t xml:space="preserve">K bodu 3 </w:t>
      </w:r>
    </w:p>
    <w:p w:rsidR="00D37D1B" w:rsidRDefault="003C7668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68">
        <w:rPr>
          <w:rFonts w:ascii="Times New Roman" w:hAnsi="Times New Roman" w:cs="Times New Roman"/>
          <w:sz w:val="24"/>
          <w:szCs w:val="24"/>
        </w:rPr>
        <w:t>Ustanovuje sa, aby vláda Sl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668">
        <w:rPr>
          <w:rFonts w:ascii="Times New Roman" w:hAnsi="Times New Roman" w:cs="Times New Roman"/>
          <w:sz w:val="24"/>
          <w:szCs w:val="24"/>
        </w:rPr>
        <w:t>venskej republiky nariadením vyhlási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3C7668">
        <w:rPr>
          <w:rFonts w:ascii="Times New Roman" w:hAnsi="Times New Roman" w:cs="Times New Roman"/>
          <w:sz w:val="24"/>
          <w:szCs w:val="24"/>
        </w:rPr>
        <w:t xml:space="preserve"> Národný park Podunajsko a jeho zóny do 3</w:t>
      </w:r>
      <w:r w:rsidR="00B31A27">
        <w:rPr>
          <w:rFonts w:ascii="Times New Roman" w:hAnsi="Times New Roman" w:cs="Times New Roman"/>
          <w:sz w:val="24"/>
          <w:szCs w:val="24"/>
        </w:rPr>
        <w:t>0</w:t>
      </w:r>
      <w:r w:rsidRPr="003C7668">
        <w:rPr>
          <w:rFonts w:ascii="Times New Roman" w:hAnsi="Times New Roman" w:cs="Times New Roman"/>
          <w:sz w:val="24"/>
          <w:szCs w:val="24"/>
        </w:rPr>
        <w:t xml:space="preserve">. </w:t>
      </w:r>
      <w:r w:rsidR="007D7990">
        <w:rPr>
          <w:rFonts w:ascii="Times New Roman" w:hAnsi="Times New Roman" w:cs="Times New Roman"/>
          <w:sz w:val="24"/>
          <w:szCs w:val="24"/>
        </w:rPr>
        <w:t xml:space="preserve">marca </w:t>
      </w:r>
      <w:r w:rsidRPr="003C7668">
        <w:rPr>
          <w:rFonts w:ascii="Times New Roman" w:hAnsi="Times New Roman" w:cs="Times New Roman"/>
          <w:sz w:val="24"/>
          <w:szCs w:val="24"/>
        </w:rPr>
        <w:t>202</w:t>
      </w:r>
      <w:r w:rsidR="007D79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Ďalej sa ustanovuje </w:t>
      </w:r>
      <w:r w:rsidR="00B31A27">
        <w:rPr>
          <w:rFonts w:ascii="Times New Roman" w:hAnsi="Times New Roman" w:cs="Times New Roman"/>
          <w:sz w:val="24"/>
          <w:szCs w:val="24"/>
        </w:rPr>
        <w:t xml:space="preserve">termín pre zriadenie </w:t>
      </w:r>
      <w:r>
        <w:rPr>
          <w:rFonts w:ascii="Times New Roman" w:hAnsi="Times New Roman" w:cs="Times New Roman"/>
          <w:sz w:val="24"/>
          <w:szCs w:val="24"/>
        </w:rPr>
        <w:t>Správy Národného parku Podunajsko a</w:t>
      </w:r>
      <w:r w:rsidR="00320B12" w:rsidRPr="003C7668">
        <w:rPr>
          <w:rFonts w:ascii="Times New Roman" w:hAnsi="Times New Roman" w:cs="Times New Roman"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>chod</w:t>
      </w:r>
      <w:r w:rsidR="00320B12" w:rsidRPr="003C7668">
        <w:rPr>
          <w:rFonts w:ascii="Times New Roman" w:hAnsi="Times New Roman" w:cs="Times New Roman"/>
          <w:sz w:val="24"/>
          <w:szCs w:val="24"/>
        </w:rPr>
        <w:t xml:space="preserve"> správy </w:t>
      </w:r>
      <w:r>
        <w:rPr>
          <w:rFonts w:ascii="Times New Roman" w:hAnsi="Times New Roman" w:cs="Times New Roman"/>
          <w:sz w:val="24"/>
          <w:szCs w:val="24"/>
        </w:rPr>
        <w:t xml:space="preserve">dotknutých </w:t>
      </w:r>
      <w:r w:rsidR="00320B12" w:rsidRPr="003C7668">
        <w:rPr>
          <w:rFonts w:ascii="Times New Roman" w:hAnsi="Times New Roman" w:cs="Times New Roman"/>
          <w:sz w:val="24"/>
          <w:szCs w:val="24"/>
        </w:rPr>
        <w:t>pozemkov</w:t>
      </w:r>
      <w:r>
        <w:rPr>
          <w:rFonts w:ascii="Times New Roman" w:hAnsi="Times New Roman" w:cs="Times New Roman"/>
          <w:sz w:val="24"/>
          <w:szCs w:val="24"/>
        </w:rPr>
        <w:t xml:space="preserve"> a iného majetku vo vlastníctve </w:t>
      </w:r>
      <w:r w:rsidR="00320B12" w:rsidRPr="003C7668">
        <w:rPr>
          <w:rFonts w:ascii="Times New Roman" w:hAnsi="Times New Roman" w:cs="Times New Roman"/>
          <w:sz w:val="24"/>
          <w:szCs w:val="24"/>
        </w:rPr>
        <w:t>štátu</w:t>
      </w:r>
      <w:r w:rsidR="00AC0BFB">
        <w:rPr>
          <w:rFonts w:ascii="Times New Roman" w:hAnsi="Times New Roman" w:cs="Times New Roman"/>
          <w:sz w:val="24"/>
          <w:szCs w:val="24"/>
        </w:rPr>
        <w:t>, ako</w:t>
      </w:r>
      <w:r w:rsidR="00320B12" w:rsidRPr="003C7668">
        <w:rPr>
          <w:rFonts w:ascii="Times New Roman" w:hAnsi="Times New Roman" w:cs="Times New Roman"/>
          <w:sz w:val="24"/>
          <w:szCs w:val="24"/>
        </w:rPr>
        <w:t xml:space="preserve"> </w:t>
      </w:r>
      <w:r w:rsidR="00AC0BFB">
        <w:rPr>
          <w:rFonts w:ascii="Times New Roman" w:hAnsi="Times New Roman" w:cs="Times New Roman"/>
          <w:sz w:val="24"/>
          <w:szCs w:val="24"/>
        </w:rPr>
        <w:t xml:space="preserve">aj súvisiacich práv a povinností vrátane práv a povinností vyplývajúcich z pracovnoprávnych vzťahov </w:t>
      </w:r>
      <w:r>
        <w:rPr>
          <w:rFonts w:ascii="Times New Roman" w:hAnsi="Times New Roman" w:cs="Times New Roman"/>
          <w:sz w:val="24"/>
          <w:szCs w:val="24"/>
        </w:rPr>
        <w:t>na Správu Národného parku Podunajsko. Majetok vo vlastníctve štátu v správe Lesov Slovenskej republiky, š. p. a Slovenského pozemkového fondu prejde na Správu Národného parku Podunajsko za rovn</w:t>
      </w:r>
      <w:r w:rsidR="007D7990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ých podmienok ako v prípade ostatných  správ národných parkov do troch mesiacov od vyhlásenia národného parku a jeho zón. </w:t>
      </w:r>
    </w:p>
    <w:p w:rsidR="004A6B9A" w:rsidRPr="004A6B9A" w:rsidRDefault="004A6B9A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4E0" w:rsidRDefault="00864954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4E0" w:rsidRDefault="00F104E0" w:rsidP="00F104E0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D37D1B">
        <w:rPr>
          <w:rFonts w:ascii="Times New Roman" w:hAnsi="Times New Roman" w:cs="Times New Roman"/>
          <w:b/>
          <w:sz w:val="24"/>
          <w:szCs w:val="24"/>
        </w:rPr>
        <w:t>II</w:t>
      </w:r>
    </w:p>
    <w:p w:rsidR="00D37D1B" w:rsidRPr="0045237E" w:rsidRDefault="00D37D1B" w:rsidP="00F104E0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4E0" w:rsidRPr="0045237E" w:rsidRDefault="00F104E0" w:rsidP="00F104E0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37E">
        <w:rPr>
          <w:rFonts w:ascii="Times New Roman" w:hAnsi="Times New Roman" w:cs="Times New Roman"/>
          <w:sz w:val="24"/>
          <w:szCs w:val="24"/>
        </w:rPr>
        <w:t>Navrhuje sa účinno</w:t>
      </w:r>
      <w:r>
        <w:rPr>
          <w:rFonts w:ascii="Times New Roman" w:hAnsi="Times New Roman" w:cs="Times New Roman"/>
          <w:sz w:val="24"/>
          <w:szCs w:val="24"/>
        </w:rPr>
        <w:t xml:space="preserve">sť návrhu zákona od </w:t>
      </w:r>
      <w:r w:rsidR="00427957">
        <w:rPr>
          <w:rFonts w:ascii="Times New Roman" w:hAnsi="Times New Roman" w:cs="Times New Roman"/>
          <w:sz w:val="24"/>
          <w:szCs w:val="24"/>
        </w:rPr>
        <w:t xml:space="preserve">1. </w:t>
      </w:r>
      <w:r w:rsidR="0091777C">
        <w:rPr>
          <w:rFonts w:ascii="Times New Roman" w:hAnsi="Times New Roman" w:cs="Times New Roman"/>
          <w:sz w:val="24"/>
          <w:szCs w:val="24"/>
        </w:rPr>
        <w:t>mája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C7668">
        <w:rPr>
          <w:rFonts w:ascii="Times New Roman" w:hAnsi="Times New Roman" w:cs="Times New Roman"/>
          <w:sz w:val="24"/>
          <w:szCs w:val="24"/>
        </w:rPr>
        <w:t>3</w:t>
      </w:r>
      <w:r w:rsidRPr="0045237E">
        <w:rPr>
          <w:rFonts w:ascii="Times New Roman" w:hAnsi="Times New Roman" w:cs="Times New Roman"/>
          <w:sz w:val="24"/>
          <w:szCs w:val="24"/>
        </w:rPr>
        <w:t xml:space="preserve"> z dôvodu potrebnej </w:t>
      </w:r>
      <w:proofErr w:type="spellStart"/>
      <w:r w:rsidRPr="0045237E">
        <w:rPr>
          <w:rFonts w:ascii="Times New Roman" w:hAnsi="Times New Roman" w:cs="Times New Roman"/>
          <w:sz w:val="24"/>
          <w:szCs w:val="24"/>
        </w:rPr>
        <w:t>legisvakačnej</w:t>
      </w:r>
      <w:proofErr w:type="spellEnd"/>
      <w:r w:rsidRPr="0045237E">
        <w:rPr>
          <w:rFonts w:ascii="Times New Roman" w:hAnsi="Times New Roman" w:cs="Times New Roman"/>
          <w:sz w:val="24"/>
          <w:szCs w:val="24"/>
        </w:rPr>
        <w:t xml:space="preserve"> lehoty.</w:t>
      </w:r>
    </w:p>
    <w:p w:rsidR="00F104E0" w:rsidRDefault="00F104E0" w:rsidP="00F104E0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393459" w:rsidRDefault="00393459" w:rsidP="00260360">
      <w:pPr>
        <w:jc w:val="center"/>
        <w:rPr>
          <w:b/>
          <w:caps/>
          <w:spacing w:val="30"/>
        </w:rPr>
      </w:pPr>
    </w:p>
    <w:p w:rsidR="00393459" w:rsidRDefault="00393459" w:rsidP="00260360">
      <w:pPr>
        <w:jc w:val="center"/>
        <w:rPr>
          <w:b/>
          <w:caps/>
          <w:spacing w:val="30"/>
        </w:rPr>
      </w:pPr>
    </w:p>
    <w:p w:rsidR="00393459" w:rsidRDefault="00393459" w:rsidP="00260360">
      <w:pPr>
        <w:jc w:val="center"/>
        <w:rPr>
          <w:b/>
          <w:caps/>
          <w:spacing w:val="30"/>
        </w:rPr>
      </w:pPr>
    </w:p>
    <w:p w:rsidR="00393459" w:rsidRDefault="00393459" w:rsidP="00260360">
      <w:pPr>
        <w:jc w:val="center"/>
        <w:rPr>
          <w:b/>
          <w:caps/>
          <w:spacing w:val="30"/>
        </w:rPr>
      </w:pPr>
    </w:p>
    <w:p w:rsidR="00393459" w:rsidRDefault="00393459" w:rsidP="00260360">
      <w:pPr>
        <w:jc w:val="center"/>
        <w:rPr>
          <w:b/>
          <w:caps/>
          <w:spacing w:val="30"/>
        </w:rPr>
      </w:pPr>
    </w:p>
    <w:p w:rsidR="00393459" w:rsidRDefault="00393459" w:rsidP="00260360">
      <w:pPr>
        <w:jc w:val="center"/>
        <w:rPr>
          <w:b/>
          <w:caps/>
          <w:spacing w:val="30"/>
        </w:rPr>
      </w:pPr>
    </w:p>
    <w:p w:rsidR="00B31A27" w:rsidRDefault="00B31A27" w:rsidP="00260360">
      <w:pPr>
        <w:jc w:val="center"/>
        <w:rPr>
          <w:b/>
          <w:caps/>
          <w:spacing w:val="30"/>
        </w:rPr>
      </w:pPr>
    </w:p>
    <w:p w:rsidR="00260360" w:rsidRPr="00260360" w:rsidRDefault="00260360" w:rsidP="00260360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260360">
        <w:rPr>
          <w:rFonts w:ascii="Times New Roman" w:hAnsi="Times New Roman" w:cs="Times New Roman"/>
          <w:b/>
          <w:caps/>
          <w:spacing w:val="30"/>
          <w:sz w:val="24"/>
          <w:szCs w:val="24"/>
        </w:rPr>
        <w:lastRenderedPageBreak/>
        <w:t>Doložka zlučiteľnosti</w:t>
      </w:r>
    </w:p>
    <w:p w:rsidR="00260360" w:rsidRPr="00260360" w:rsidRDefault="00260360" w:rsidP="00260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360">
        <w:rPr>
          <w:rFonts w:ascii="Times New Roman" w:hAnsi="Times New Roman" w:cs="Times New Roman"/>
          <w:b/>
          <w:sz w:val="24"/>
          <w:szCs w:val="24"/>
        </w:rPr>
        <w:t>návrhu zákona s právom Európskej únie</w:t>
      </w: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27" w:type="dxa"/>
          </w:tcPr>
          <w:p w:rsidR="00260360" w:rsidRPr="00260360" w:rsidRDefault="00260360" w:rsidP="00C62EE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 xml:space="preserve">Navrhovateľ zákona: </w:t>
            </w:r>
            <w:r w:rsidR="00C62EE2" w:rsidRPr="00C62EE2">
              <w:rPr>
                <w:sz w:val="24"/>
                <w:szCs w:val="24"/>
              </w:rPr>
              <w:t>Skupina p</w:t>
            </w:r>
            <w:r w:rsidRPr="00C62EE2">
              <w:rPr>
                <w:sz w:val="24"/>
                <w:szCs w:val="24"/>
              </w:rPr>
              <w:t>oslanc</w:t>
            </w:r>
            <w:r w:rsidR="00C62EE2">
              <w:rPr>
                <w:sz w:val="24"/>
                <w:szCs w:val="24"/>
              </w:rPr>
              <w:t>ov</w:t>
            </w:r>
            <w:r w:rsidRPr="00260360">
              <w:rPr>
                <w:sz w:val="24"/>
                <w:szCs w:val="24"/>
              </w:rPr>
              <w:t xml:space="preserve"> Národnej rady</w:t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FSC#SKEDITIONSLOVLEX@103.510:zodpinstitucia  \* MERGEFORMAT </w:instrText>
            </w:r>
            <w:r w:rsidRPr="00260360">
              <w:rPr>
                <w:sz w:val="24"/>
                <w:szCs w:val="24"/>
              </w:rPr>
              <w:fldChar w:fldCharType="separate"/>
            </w:r>
            <w:r w:rsidRPr="00260360">
              <w:rPr>
                <w:sz w:val="24"/>
                <w:szCs w:val="24"/>
              </w:rPr>
              <w:t xml:space="preserve"> Slovenskej republiky</w:t>
            </w:r>
            <w:r w:rsidRPr="00260360">
              <w:rPr>
                <w:sz w:val="24"/>
                <w:szCs w:val="24"/>
              </w:rPr>
              <w:fldChar w:fldCharType="end"/>
            </w: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27" w:type="dxa"/>
          </w:tcPr>
          <w:p w:rsidR="00260360" w:rsidRPr="00260360" w:rsidRDefault="00260360" w:rsidP="00D4102F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Názov návrhu zákona:</w:t>
            </w:r>
            <w:r w:rsidRPr="00260360">
              <w:rPr>
                <w:sz w:val="24"/>
                <w:szCs w:val="24"/>
              </w:rPr>
              <w:t xml:space="preserve"> </w:t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FSC#SKEDITIONSLOVLEX@103.510:plnynazovpredpis  \* MERGEFORMAT </w:instrText>
            </w:r>
            <w:r w:rsidRPr="00260360">
              <w:rPr>
                <w:sz w:val="24"/>
                <w:szCs w:val="24"/>
              </w:rPr>
              <w:fldChar w:fldCharType="separate"/>
            </w:r>
            <w:r w:rsidRPr="00260360">
              <w:rPr>
                <w:sz w:val="24"/>
                <w:szCs w:val="24"/>
              </w:rPr>
              <w:t xml:space="preserve"> Zákon, </w:t>
            </w:r>
            <w:r w:rsidRPr="00260360">
              <w:rPr>
                <w:sz w:val="24"/>
                <w:szCs w:val="24"/>
              </w:rPr>
              <w:fldChar w:fldCharType="end"/>
            </w:r>
            <w:r w:rsidRPr="00260360">
              <w:rPr>
                <w:sz w:val="24"/>
                <w:szCs w:val="24"/>
              </w:rPr>
              <w:t xml:space="preserve">ktorým sa dopĺňa zákon č. 543/2002 Z. z. o ochrane prírody a krajiny v znení neskorších predpisov </w:t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FSC#SKEDITIONSLOVLEX@103.510:plnynazovpredpis1  \* MERGEFORMAT </w:instrText>
            </w:r>
            <w:r w:rsidRPr="00260360">
              <w:rPr>
                <w:sz w:val="24"/>
                <w:szCs w:val="24"/>
              </w:rPr>
              <w:fldChar w:fldCharType="end"/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260360">
              <w:rPr>
                <w:sz w:val="24"/>
                <w:szCs w:val="24"/>
              </w:rPr>
              <w:fldChar w:fldCharType="end"/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260360">
              <w:rPr>
                <w:sz w:val="24"/>
                <w:szCs w:val="24"/>
              </w:rPr>
              <w:fldChar w:fldCharType="end"/>
            </w: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Predmet návrhu zákona je upravený v práve Európskej únie:</w:t>
            </w:r>
          </w:p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t xml:space="preserve">a) v primárnom práve </w:t>
            </w: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br/>
              <w:t>- Čl. 114 a čl. 191 až 193 Zmluvy o fungovaní Európskej únie</w:t>
            </w: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br/>
              <w:t>b) v sekundárnom práve</w:t>
            </w: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t>- nie je upravená</w:t>
            </w: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br/>
            </w:r>
          </w:p>
          <w:p w:rsidR="00260360" w:rsidRPr="00260360" w:rsidRDefault="00260360" w:rsidP="00A456D9">
            <w:pPr>
              <w:tabs>
                <w:tab w:val="left" w:pos="360"/>
              </w:tabs>
              <w:rPr>
                <w:iCs/>
                <w:sz w:val="24"/>
                <w:szCs w:val="24"/>
              </w:rPr>
            </w:pPr>
            <w:r w:rsidRPr="00260360">
              <w:rPr>
                <w:iCs/>
                <w:sz w:val="24"/>
                <w:szCs w:val="24"/>
              </w:rPr>
              <w:t>c) v judikatúre Súdneho dvora Európskej únie</w:t>
            </w:r>
          </w:p>
          <w:p w:rsidR="00260360" w:rsidRPr="00260360" w:rsidRDefault="00260360" w:rsidP="00A456D9">
            <w:pPr>
              <w:tabs>
                <w:tab w:val="left" w:pos="360"/>
              </w:tabs>
              <w:rPr>
                <w:iCs/>
                <w:sz w:val="24"/>
                <w:szCs w:val="24"/>
              </w:rPr>
            </w:pPr>
          </w:p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t>- nie je upravená</w:t>
            </w: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jc w:val="both"/>
              <w:rPr>
                <w:sz w:val="24"/>
                <w:szCs w:val="24"/>
              </w:rPr>
            </w:pP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2"/>
        <w:gridCol w:w="8346"/>
      </w:tblGrid>
      <w:tr w:rsidR="00260360" w:rsidRPr="00260360" w:rsidTr="00A456D9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Záväzky Slovenskej republiky vo vzťahu k Európskej únii:</w:t>
            </w: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lehota na prebratie smernice alebo lehota na implementáciu nariadenia alebo rozhodnutia</w:t>
            </w: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bezpredmetné</w:t>
            </w:r>
            <w:r w:rsidRPr="0026036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informácia o začatí konania v rámci „EÚ Pilot“ alebo o začatí postupu Európskej komisie, alebo o konaní Súdneho dvora Európskej únie proti Slovenskej republike podľa čl. 258 a 260 Zmluvy o fungovaní Európskej únie v jej platnom znení</w:t>
            </w:r>
          </w:p>
          <w:p w:rsidR="00260360" w:rsidRPr="00260360" w:rsidRDefault="00260360" w:rsidP="0039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bezpredmetné</w:t>
            </w: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informácia o právnych predpisoch, v ktorých sú uvádzané právne akty Európskej únie už preberané</w:t>
            </w:r>
          </w:p>
          <w:p w:rsidR="00260360" w:rsidRPr="00260360" w:rsidRDefault="00260360" w:rsidP="00A456D9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 xml:space="preserve">bezpredmetné </w:t>
            </w: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3C7668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Návrh zákona je zlučiteľný s právom Európskej únie</w:t>
            </w:r>
            <w:r w:rsidR="003C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393459" w:rsidRDefault="00393459" w:rsidP="005E59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9E9" w:rsidRPr="00D95E81" w:rsidRDefault="00B31A27" w:rsidP="005E59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</w:t>
      </w:r>
      <w:r w:rsidR="005E59E9" w:rsidRPr="00D95E81">
        <w:rPr>
          <w:rFonts w:ascii="Times New Roman" w:hAnsi="Times New Roman" w:cs="Times New Roman"/>
          <w:b/>
          <w:sz w:val="28"/>
          <w:szCs w:val="28"/>
        </w:rPr>
        <w:t>oložka vybraných vplyvov</w:t>
      </w:r>
    </w:p>
    <w:p w:rsidR="005E59E9" w:rsidRPr="00B733CA" w:rsidRDefault="005E59E9" w:rsidP="005E5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D95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E9" w:rsidRPr="00B733CA" w:rsidRDefault="005E59E9" w:rsidP="005E5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B733CA">
        <w:rPr>
          <w:rFonts w:ascii="Times New Roman" w:hAnsi="Times New Roman" w:cs="Times New Roman"/>
          <w:sz w:val="24"/>
          <w:szCs w:val="24"/>
        </w:rPr>
        <w:t xml:space="preserve">ktorým sa dopĺňa zákon č. 543/2002 Z. z. o ochrane prírody a krajiny </w:t>
      </w:r>
    </w:p>
    <w:p w:rsidR="005E59E9" w:rsidRPr="00D95E81" w:rsidRDefault="005E59E9" w:rsidP="005E5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CA">
        <w:rPr>
          <w:rFonts w:ascii="Times New Roman" w:hAnsi="Times New Roman" w:cs="Times New Roman"/>
          <w:sz w:val="24"/>
          <w:szCs w:val="24"/>
        </w:rPr>
        <w:t xml:space="preserve">v znení neskorších predpisov </w:t>
      </w:r>
    </w:p>
    <w:p w:rsidR="005E59E9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77"/>
        <w:gridCol w:w="1605"/>
        <w:gridCol w:w="1843"/>
        <w:gridCol w:w="1837"/>
      </w:tblGrid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Pozitívne*</w:t>
            </w: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Žiadne*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Negatívne*</w:t>
            </w: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1. Vplyvy na rozpočet verejnej správy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2. Vplyvy na podnikateľské prostredie – dochádza k zvýšeniu regulačného zaťaženia?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 xml:space="preserve">3. Sociálne vplyvy </w:t>
            </w:r>
          </w:p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 xml:space="preserve">- vplyvy na hospodárenie obyvateľstva, </w:t>
            </w:r>
          </w:p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 xml:space="preserve">- sociálnu </w:t>
            </w:r>
            <w:proofErr w:type="spellStart"/>
            <w:r w:rsidRPr="00D95E81">
              <w:t>exklúziu</w:t>
            </w:r>
            <w:proofErr w:type="spellEnd"/>
            <w:r w:rsidRPr="00D95E81">
              <w:t xml:space="preserve">, </w:t>
            </w:r>
          </w:p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- rovnosť príležitostí a rodovú rovnosť a vplyvy na zamestnanosť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4. Vplyvy na životné prostredie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5. Vplyvy na informatizáciu spoločnosti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6. Vplyvy na manželstvo, rodičovstvo a rodinu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7. Vplyvy na služby verejnej správy pre občana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E81">
        <w:rPr>
          <w:rFonts w:ascii="Times New Roman" w:hAnsi="Times New Roman" w:cs="Times New Roman"/>
          <w:sz w:val="20"/>
          <w:szCs w:val="20"/>
        </w:rPr>
        <w:t xml:space="preserve">*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 </w:t>
      </w: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A.3. Poznámky </w:t>
      </w:r>
    </w:p>
    <w:p w:rsidR="005E59E9" w:rsidRDefault="005E59E9" w:rsidP="005E59E9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 bodu 1. </w:t>
      </w:r>
    </w:p>
    <w:p w:rsidR="005E59E9" w:rsidRPr="00917AC2" w:rsidRDefault="005E59E9" w:rsidP="005E59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C2">
        <w:rPr>
          <w:rFonts w:ascii="Times New Roman" w:hAnsi="Times New Roman" w:cs="Times New Roman"/>
          <w:sz w:val="24"/>
          <w:szCs w:val="24"/>
        </w:rPr>
        <w:t>Aktuálne predkladaný legislatívny návrh zakladá nároky na rozpočet verejnej správy</w:t>
      </w:r>
      <w:r w:rsidR="00DA423C" w:rsidRPr="00917AC2">
        <w:rPr>
          <w:rFonts w:ascii="Times New Roman" w:hAnsi="Times New Roman" w:cs="Times New Roman"/>
          <w:sz w:val="24"/>
          <w:szCs w:val="24"/>
        </w:rPr>
        <w:t xml:space="preserve"> v súvislosti so zriadením Správy Národného parku Podunajsko</w:t>
      </w:r>
      <w:r w:rsidR="00917AC2" w:rsidRPr="00917AC2">
        <w:rPr>
          <w:rFonts w:ascii="Times New Roman" w:hAnsi="Times New Roman" w:cs="Times New Roman"/>
          <w:sz w:val="24"/>
          <w:szCs w:val="24"/>
        </w:rPr>
        <w:t xml:space="preserve"> ako samostatnej príspevkovej organizácie v zriaďovateľskej pôsobnosti Ministerstva životného prostredia Slovenskej republiky a jej činnosťou pri plnení úloh podľa zákona č. 543/2002 Z. z. o ochrane prírody a krajiny v znení neskorších predpisov</w:t>
      </w:r>
      <w:r w:rsidR="00D24B27">
        <w:rPr>
          <w:rFonts w:ascii="Times New Roman" w:hAnsi="Times New Roman" w:cs="Times New Roman"/>
          <w:sz w:val="24"/>
          <w:szCs w:val="24"/>
        </w:rPr>
        <w:t xml:space="preserve"> vo výške 5</w:t>
      </w:r>
      <w:r w:rsidR="0061466B">
        <w:rPr>
          <w:rFonts w:ascii="Times New Roman" w:hAnsi="Times New Roman" w:cs="Times New Roman"/>
          <w:sz w:val="24"/>
          <w:szCs w:val="24"/>
        </w:rPr>
        <w:t>80 tisíc EUR</w:t>
      </w:r>
      <w:r w:rsidR="00D24B27">
        <w:rPr>
          <w:rFonts w:ascii="Times New Roman" w:hAnsi="Times New Roman" w:cs="Times New Roman"/>
          <w:sz w:val="24"/>
          <w:szCs w:val="24"/>
        </w:rPr>
        <w:t>/ročne v priebehu rokov  2024 – 2026</w:t>
      </w:r>
      <w:r w:rsidR="00B31A27">
        <w:rPr>
          <w:rFonts w:ascii="Times New Roman" w:hAnsi="Times New Roman" w:cs="Times New Roman"/>
          <w:sz w:val="24"/>
          <w:szCs w:val="24"/>
        </w:rPr>
        <w:t>, doplnkové financovanie je možné aj prostredníctvom finančných zdrojov zo štrukturálnych a investičných fondov EÚ.</w:t>
      </w:r>
      <w:r w:rsidR="00D24B27">
        <w:rPr>
          <w:rFonts w:ascii="Times New Roman" w:hAnsi="Times New Roman" w:cs="Times New Roman"/>
          <w:sz w:val="24"/>
          <w:szCs w:val="24"/>
        </w:rPr>
        <w:t xml:space="preserve"> </w:t>
      </w:r>
      <w:r w:rsidRPr="00917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23C" w:rsidRPr="00917AC2" w:rsidRDefault="00DA423C" w:rsidP="005E59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A.4. Alternatívne riešenia </w:t>
      </w:r>
    </w:p>
    <w:p w:rsidR="005E59E9" w:rsidRDefault="005E59E9" w:rsidP="005E5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sz w:val="24"/>
          <w:szCs w:val="24"/>
        </w:rPr>
        <w:t xml:space="preserve">Nepredkladajú sa. </w:t>
      </w: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A.5. Stanovisko gestorov </w:t>
      </w: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sz w:val="24"/>
          <w:szCs w:val="24"/>
        </w:rPr>
        <w:t>Bezpredmetné</w:t>
      </w:r>
    </w:p>
    <w:p w:rsidR="00F104E0" w:rsidRPr="00260360" w:rsidRDefault="00F104E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104E0" w:rsidRPr="00260360" w:rsidSect="0087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358C2"/>
    <w:multiLevelType w:val="hybridMultilevel"/>
    <w:tmpl w:val="901E59E0"/>
    <w:lvl w:ilvl="0" w:tplc="3B8A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6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C5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4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48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6E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E2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24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2C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9"/>
    <w:rsid w:val="0001756C"/>
    <w:rsid w:val="00021E56"/>
    <w:rsid w:val="0004775A"/>
    <w:rsid w:val="00055878"/>
    <w:rsid w:val="0006205F"/>
    <w:rsid w:val="00062D33"/>
    <w:rsid w:val="00067591"/>
    <w:rsid w:val="00095E42"/>
    <w:rsid w:val="0009620F"/>
    <w:rsid w:val="000A7CE5"/>
    <w:rsid w:val="000D6576"/>
    <w:rsid w:val="000D7178"/>
    <w:rsid w:val="000E7D70"/>
    <w:rsid w:val="000F0E65"/>
    <w:rsid w:val="00105523"/>
    <w:rsid w:val="00106181"/>
    <w:rsid w:val="00110850"/>
    <w:rsid w:val="00136BA6"/>
    <w:rsid w:val="00146803"/>
    <w:rsid w:val="0014728E"/>
    <w:rsid w:val="0016500C"/>
    <w:rsid w:val="00177405"/>
    <w:rsid w:val="001933E1"/>
    <w:rsid w:val="001B29FF"/>
    <w:rsid w:val="001B7904"/>
    <w:rsid w:val="001D5F51"/>
    <w:rsid w:val="002206BF"/>
    <w:rsid w:val="0022767C"/>
    <w:rsid w:val="0024788E"/>
    <w:rsid w:val="00252F1F"/>
    <w:rsid w:val="00260360"/>
    <w:rsid w:val="00290BEF"/>
    <w:rsid w:val="00292098"/>
    <w:rsid w:val="00296CE7"/>
    <w:rsid w:val="002D772D"/>
    <w:rsid w:val="002F0DE2"/>
    <w:rsid w:val="002F5D23"/>
    <w:rsid w:val="00302B68"/>
    <w:rsid w:val="0032092D"/>
    <w:rsid w:val="00320B12"/>
    <w:rsid w:val="00330AF8"/>
    <w:rsid w:val="0033194A"/>
    <w:rsid w:val="00341A98"/>
    <w:rsid w:val="00347340"/>
    <w:rsid w:val="00371903"/>
    <w:rsid w:val="00377523"/>
    <w:rsid w:val="00380401"/>
    <w:rsid w:val="00393459"/>
    <w:rsid w:val="0039554F"/>
    <w:rsid w:val="003A4924"/>
    <w:rsid w:val="003B29A9"/>
    <w:rsid w:val="003C0B68"/>
    <w:rsid w:val="003C2362"/>
    <w:rsid w:val="003C2CC5"/>
    <w:rsid w:val="003C7668"/>
    <w:rsid w:val="003D2CC1"/>
    <w:rsid w:val="003E0788"/>
    <w:rsid w:val="003E24CD"/>
    <w:rsid w:val="003F6762"/>
    <w:rsid w:val="00403A65"/>
    <w:rsid w:val="00404F6D"/>
    <w:rsid w:val="00412629"/>
    <w:rsid w:val="00412EA1"/>
    <w:rsid w:val="00416A09"/>
    <w:rsid w:val="00427957"/>
    <w:rsid w:val="0043513E"/>
    <w:rsid w:val="00436A90"/>
    <w:rsid w:val="004412DD"/>
    <w:rsid w:val="0044568F"/>
    <w:rsid w:val="0045237E"/>
    <w:rsid w:val="0046477B"/>
    <w:rsid w:val="00482A62"/>
    <w:rsid w:val="00497F02"/>
    <w:rsid w:val="004A3CBE"/>
    <w:rsid w:val="004A6B9A"/>
    <w:rsid w:val="004B58A3"/>
    <w:rsid w:val="004C1B4D"/>
    <w:rsid w:val="004C50C7"/>
    <w:rsid w:val="004E5445"/>
    <w:rsid w:val="004F6703"/>
    <w:rsid w:val="00503EBD"/>
    <w:rsid w:val="00527C0D"/>
    <w:rsid w:val="00542B9B"/>
    <w:rsid w:val="005537B2"/>
    <w:rsid w:val="005555E2"/>
    <w:rsid w:val="005774B2"/>
    <w:rsid w:val="0059043D"/>
    <w:rsid w:val="005B18B0"/>
    <w:rsid w:val="005B2D89"/>
    <w:rsid w:val="005D6868"/>
    <w:rsid w:val="005E4307"/>
    <w:rsid w:val="005E59B7"/>
    <w:rsid w:val="005E59E9"/>
    <w:rsid w:val="005F2E8F"/>
    <w:rsid w:val="005F3E0C"/>
    <w:rsid w:val="0061466B"/>
    <w:rsid w:val="00617617"/>
    <w:rsid w:val="00634BE8"/>
    <w:rsid w:val="00654E99"/>
    <w:rsid w:val="00685775"/>
    <w:rsid w:val="006A22F0"/>
    <w:rsid w:val="006B0963"/>
    <w:rsid w:val="006C370C"/>
    <w:rsid w:val="00733F76"/>
    <w:rsid w:val="00745289"/>
    <w:rsid w:val="0076704B"/>
    <w:rsid w:val="00772E74"/>
    <w:rsid w:val="007753FF"/>
    <w:rsid w:val="00776AD0"/>
    <w:rsid w:val="007801AA"/>
    <w:rsid w:val="007A4A40"/>
    <w:rsid w:val="007C5283"/>
    <w:rsid w:val="007D2408"/>
    <w:rsid w:val="007D406D"/>
    <w:rsid w:val="007D7990"/>
    <w:rsid w:val="007E6F8A"/>
    <w:rsid w:val="007F39EB"/>
    <w:rsid w:val="00806F56"/>
    <w:rsid w:val="00822C11"/>
    <w:rsid w:val="008231AF"/>
    <w:rsid w:val="008235CC"/>
    <w:rsid w:val="00831DDD"/>
    <w:rsid w:val="00833FF2"/>
    <w:rsid w:val="0083774B"/>
    <w:rsid w:val="00842E89"/>
    <w:rsid w:val="0084345C"/>
    <w:rsid w:val="00843855"/>
    <w:rsid w:val="008446CA"/>
    <w:rsid w:val="00864954"/>
    <w:rsid w:val="00875B61"/>
    <w:rsid w:val="00876612"/>
    <w:rsid w:val="00894987"/>
    <w:rsid w:val="0089596D"/>
    <w:rsid w:val="008A6009"/>
    <w:rsid w:val="008B0730"/>
    <w:rsid w:val="008B48BE"/>
    <w:rsid w:val="008B64A8"/>
    <w:rsid w:val="008D36EF"/>
    <w:rsid w:val="008F6A2C"/>
    <w:rsid w:val="00905BA3"/>
    <w:rsid w:val="0091777C"/>
    <w:rsid w:val="00917AC2"/>
    <w:rsid w:val="00946758"/>
    <w:rsid w:val="0099192A"/>
    <w:rsid w:val="009967FF"/>
    <w:rsid w:val="009A2B77"/>
    <w:rsid w:val="009B6DC5"/>
    <w:rsid w:val="009D0A07"/>
    <w:rsid w:val="009E18FD"/>
    <w:rsid w:val="009F4E95"/>
    <w:rsid w:val="009F4E99"/>
    <w:rsid w:val="00A06F38"/>
    <w:rsid w:val="00A20DF8"/>
    <w:rsid w:val="00A43808"/>
    <w:rsid w:val="00A4423D"/>
    <w:rsid w:val="00A678FC"/>
    <w:rsid w:val="00A75BDE"/>
    <w:rsid w:val="00A777F5"/>
    <w:rsid w:val="00A906AF"/>
    <w:rsid w:val="00A91B34"/>
    <w:rsid w:val="00AA04FF"/>
    <w:rsid w:val="00AA3191"/>
    <w:rsid w:val="00AC0BFB"/>
    <w:rsid w:val="00AD5E17"/>
    <w:rsid w:val="00AE18DA"/>
    <w:rsid w:val="00AE2D09"/>
    <w:rsid w:val="00AE6EED"/>
    <w:rsid w:val="00B164D1"/>
    <w:rsid w:val="00B20A3D"/>
    <w:rsid w:val="00B31A27"/>
    <w:rsid w:val="00B55651"/>
    <w:rsid w:val="00B82CCD"/>
    <w:rsid w:val="00B93E1B"/>
    <w:rsid w:val="00B94107"/>
    <w:rsid w:val="00BB5D41"/>
    <w:rsid w:val="00BD0277"/>
    <w:rsid w:val="00BE3057"/>
    <w:rsid w:val="00BF72FA"/>
    <w:rsid w:val="00C076DB"/>
    <w:rsid w:val="00C14D60"/>
    <w:rsid w:val="00C26C1A"/>
    <w:rsid w:val="00C346F4"/>
    <w:rsid w:val="00C62EE2"/>
    <w:rsid w:val="00C7062F"/>
    <w:rsid w:val="00C82602"/>
    <w:rsid w:val="00C82A2F"/>
    <w:rsid w:val="00C87F63"/>
    <w:rsid w:val="00CA699B"/>
    <w:rsid w:val="00CC34FB"/>
    <w:rsid w:val="00CE6005"/>
    <w:rsid w:val="00CF1E35"/>
    <w:rsid w:val="00CF2C76"/>
    <w:rsid w:val="00D133ED"/>
    <w:rsid w:val="00D16839"/>
    <w:rsid w:val="00D24B27"/>
    <w:rsid w:val="00D312BA"/>
    <w:rsid w:val="00D36FA6"/>
    <w:rsid w:val="00D37D1B"/>
    <w:rsid w:val="00D4102F"/>
    <w:rsid w:val="00D413A0"/>
    <w:rsid w:val="00D62F00"/>
    <w:rsid w:val="00D85B83"/>
    <w:rsid w:val="00DA423C"/>
    <w:rsid w:val="00DC4AA4"/>
    <w:rsid w:val="00DD5C65"/>
    <w:rsid w:val="00DF0957"/>
    <w:rsid w:val="00DF2A1D"/>
    <w:rsid w:val="00E00734"/>
    <w:rsid w:val="00E12AEE"/>
    <w:rsid w:val="00E27FBD"/>
    <w:rsid w:val="00E359EE"/>
    <w:rsid w:val="00E46437"/>
    <w:rsid w:val="00E56F6A"/>
    <w:rsid w:val="00E62F69"/>
    <w:rsid w:val="00E704E1"/>
    <w:rsid w:val="00E85B65"/>
    <w:rsid w:val="00E928A3"/>
    <w:rsid w:val="00EA27E6"/>
    <w:rsid w:val="00EC30E1"/>
    <w:rsid w:val="00ED1C6B"/>
    <w:rsid w:val="00ED2EF5"/>
    <w:rsid w:val="00ED514C"/>
    <w:rsid w:val="00EF75E5"/>
    <w:rsid w:val="00F104E0"/>
    <w:rsid w:val="00F37F6F"/>
    <w:rsid w:val="00F73822"/>
    <w:rsid w:val="00F9699F"/>
    <w:rsid w:val="00FA38D5"/>
    <w:rsid w:val="00FC2AC3"/>
    <w:rsid w:val="00FD335D"/>
    <w:rsid w:val="00FD77A5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B57D"/>
  <w15:docId w15:val="{22D2C6E3-F912-452D-B005-03CC148D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6612"/>
  </w:style>
  <w:style w:type="paragraph" w:styleId="Nadpis3">
    <w:name w:val="heading 3"/>
    <w:basedOn w:val="Normlny"/>
    <w:link w:val="Nadpis3Char"/>
    <w:uiPriority w:val="9"/>
    <w:semiHidden/>
    <w:unhideWhenUsed/>
    <w:qFormat/>
    <w:rsid w:val="009E18F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416A09"/>
    <w:rPr>
      <w:rFonts w:ascii="Times New Roman" w:hAnsi="Times New Roman" w:cs="Times New Roman" w:hint="default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959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59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59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96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96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3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5237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45237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7190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unhideWhenUsed/>
    <w:rsid w:val="00260360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9E18FD"/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customStyle="1" w:styleId="fluidplugincopy">
    <w:name w:val="fluidplugincopy"/>
    <w:basedOn w:val="Predvolenpsmoodseku"/>
    <w:rsid w:val="009E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79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9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3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u.wikipedia.org/wiki/Fert%C5%91%E2%80%93Hans%C3%A1g_Nemzeti_Par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341D-AD2A-4F06-81D3-545BB13B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Michal.Kica@enviro.gov.sk</dc:creator>
  <cp:lastModifiedBy>Kiča Michal</cp:lastModifiedBy>
  <cp:revision>8</cp:revision>
  <cp:lastPrinted>2023-01-12T19:08:00Z</cp:lastPrinted>
  <dcterms:created xsi:type="dcterms:W3CDTF">2023-01-12T19:06:00Z</dcterms:created>
  <dcterms:modified xsi:type="dcterms:W3CDTF">2023-01-13T10:27:00Z</dcterms:modified>
</cp:coreProperties>
</file>