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F56B" w14:textId="77777777" w:rsidR="00AA15B0" w:rsidRDefault="00AA15B0" w:rsidP="00AA15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4567D58C" w14:textId="77777777" w:rsidR="00AA15B0" w:rsidRDefault="00AA15B0" w:rsidP="00AA15B0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volebné obdobie</w:t>
      </w:r>
    </w:p>
    <w:p w14:paraId="3B78473B" w14:textId="77777777" w:rsidR="00AA15B0" w:rsidRDefault="00AA15B0" w:rsidP="00AA15B0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10518771" w14:textId="77777777" w:rsidR="00AA15B0" w:rsidRDefault="00AA15B0" w:rsidP="00AA15B0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22C5A7D6" w14:textId="77777777" w:rsidR="00AA15B0" w:rsidRDefault="00AA15B0" w:rsidP="00AA15B0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Návrh</w:t>
      </w:r>
    </w:p>
    <w:p w14:paraId="13C46F8C" w14:textId="77777777" w:rsidR="00AA15B0" w:rsidRDefault="00AA15B0" w:rsidP="00AA15B0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71F8072D" w14:textId="77777777" w:rsidR="00AA15B0" w:rsidRDefault="00AA15B0" w:rsidP="00AA15B0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Zákon</w:t>
      </w:r>
    </w:p>
    <w:p w14:paraId="533847D3" w14:textId="77777777" w:rsidR="00AA15B0" w:rsidRDefault="00AA15B0" w:rsidP="00AA15B0">
      <w:pPr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1285ADF" w14:textId="77777777" w:rsidR="00AA15B0" w:rsidRDefault="00AA15B0" w:rsidP="00AA15B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2023,</w:t>
      </w:r>
    </w:p>
    <w:p w14:paraId="7432E218" w14:textId="77777777" w:rsidR="00AA15B0" w:rsidRDefault="00AA15B0" w:rsidP="00AA15B0">
      <w:pPr>
        <w:jc w:val="center"/>
        <w:rPr>
          <w:rFonts w:ascii="Times New Roman" w:hAnsi="Times New Roman"/>
          <w:sz w:val="24"/>
          <w:szCs w:val="24"/>
        </w:rPr>
      </w:pPr>
    </w:p>
    <w:p w14:paraId="5F189EB0" w14:textId="02190CDB" w:rsidR="00AA15B0" w:rsidRDefault="00AA15B0" w:rsidP="00AA15B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520197278"/>
      <w:r w:rsidRPr="007872F7">
        <w:rPr>
          <w:rFonts w:ascii="Times New Roman" w:hAnsi="Times New Roman"/>
          <w:b/>
          <w:sz w:val="24"/>
          <w:szCs w:val="24"/>
        </w:rPr>
        <w:t xml:space="preserve">ktorým sa </w:t>
      </w:r>
      <w:r w:rsidR="009B1AAB">
        <w:rPr>
          <w:rFonts w:ascii="Times New Roman" w:hAnsi="Times New Roman"/>
          <w:b/>
          <w:sz w:val="24"/>
          <w:szCs w:val="24"/>
        </w:rPr>
        <w:t>dopĺňa</w:t>
      </w:r>
      <w:r w:rsidR="009B1AAB" w:rsidRPr="007872F7">
        <w:rPr>
          <w:rFonts w:ascii="Times New Roman" w:hAnsi="Times New Roman"/>
          <w:b/>
          <w:sz w:val="24"/>
          <w:szCs w:val="24"/>
        </w:rPr>
        <w:t xml:space="preserve"> </w:t>
      </w:r>
      <w:r w:rsidRPr="007872F7">
        <w:rPr>
          <w:rFonts w:ascii="Times New Roman" w:hAnsi="Times New Roman"/>
          <w:b/>
          <w:sz w:val="24"/>
          <w:szCs w:val="24"/>
        </w:rPr>
        <w:t>zákon</w:t>
      </w:r>
      <w:r w:rsidRPr="000079E5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301</w:t>
      </w:r>
      <w:r w:rsidRPr="000079E5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05</w:t>
      </w:r>
      <w:r w:rsidRPr="000079E5">
        <w:rPr>
          <w:rFonts w:ascii="Times New Roman" w:hAnsi="Times New Roman"/>
          <w:b/>
          <w:sz w:val="24"/>
          <w:szCs w:val="24"/>
        </w:rPr>
        <w:t xml:space="preserve"> Z. z. </w:t>
      </w:r>
      <w:r>
        <w:rPr>
          <w:rFonts w:ascii="Times New Roman" w:hAnsi="Times New Roman"/>
          <w:b/>
          <w:sz w:val="24"/>
          <w:szCs w:val="24"/>
        </w:rPr>
        <w:t xml:space="preserve">Trestný poriadok </w:t>
      </w:r>
      <w:r w:rsidRPr="000079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 znení neskorších predpisov</w:t>
      </w:r>
    </w:p>
    <w:p w14:paraId="4E8CBC66" w14:textId="77777777" w:rsidR="00AA15B0" w:rsidRPr="000079E5" w:rsidRDefault="00AA15B0" w:rsidP="00AA15B0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08247591" w14:textId="77777777" w:rsidR="00AA15B0" w:rsidRDefault="00AA15B0" w:rsidP="00AA15B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79BEED5A" w14:textId="77777777" w:rsidR="00AA15B0" w:rsidRDefault="00AA15B0" w:rsidP="00AA15B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CA47FF2" w14:textId="77777777" w:rsidR="00AA15B0" w:rsidRDefault="00AA15B0" w:rsidP="00AA15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</w:t>
      </w:r>
    </w:p>
    <w:p w14:paraId="3DCD3045" w14:textId="77777777" w:rsidR="00AA15B0" w:rsidRDefault="00AA15B0" w:rsidP="00AA15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19A3E" w14:textId="77777777" w:rsidR="00AA15B0" w:rsidRPr="00624142" w:rsidRDefault="00AA15B0" w:rsidP="00AA15B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301/2005 Z. z. Trestný poriadok v znení zákona č. 650/2005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692/2006 Z. z., zákona č. 342/2007 Z. z., zákona č. 643/2007 Z. z., zákona č. 61/2008 Z. z., zákona č. 491/2008 Z. z., zákona č. 498/2008 Z. z., zákona č. 5/2009 Z. z., zákona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346/2010 Z. z., zákona č. 547/2010 Z. z., zákona č. 220/2011 Z. z., zákona č. 262/2011 Z. z., zákona č. 331/2011 Z. z., zákona č. 236/2012 Z. z., zákona č. 334/2012 Z. z., zákona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345/2012 Z. z., zákona č. 204/2013 Z. z., zákona č. 305/2013 Z. z., zákona č. 1/2014 Z. z., zákona č. 195/2014 Z. z., zákon č. 307/2014 Z. z., zákona č. 353/2014 Z. z., zákona</w:t>
      </w:r>
      <w:r w:rsidR="00CF12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78/2015 Z. z., nálezu Ústavného súdu Slovenskej republiky č. 139/2015 Z. z., zákona</w:t>
      </w:r>
      <w:r w:rsidR="00CF12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174/2015 Z. z., zákona č. 397/2015 Z. z., zákona č. 398/2015 Z. z., zákona č. 401/2015 Z. z., zákona č. 440/2015 Z. z., zákona č. 444/2015 Z. z., zákona č. 91/2016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125/2016 Z. z., zákona č. 316/2016 Z. z., zákona č. 152/2017 Z. z., zákona č. 236/2017 Z. z., zákona č. 274/2017 Z. z., zákona 161/2018 Z. z., zákona č. 314/2018 Z. z., zákona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321/2018 Z. z., zákona č. 3/2019 Z. z., zákona č. 6/2019 Z. z., zákona č. 35/2019 Z. z., zákona č. 54/2019 Z. z., zákona č. 214/2019 Z. z., zákona č. 231/2019 Z. z., zákona č. 312/2020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423/2020 Z. z.</w:t>
      </w:r>
      <w:r w:rsidR="00CF12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308/2021 Z</w:t>
      </w:r>
      <w:r w:rsidRPr="007872F7">
        <w:rPr>
          <w:rFonts w:ascii="Times New Roman" w:hAnsi="Times New Roman" w:cs="Times New Roman"/>
          <w:sz w:val="24"/>
          <w:szCs w:val="24"/>
          <w:shd w:val="clear" w:color="auto" w:fill="FFFFFF"/>
        </w:rPr>
        <w:t>. z.</w:t>
      </w:r>
      <w:r w:rsidR="005B7A98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432/2021 Z. z. a zákona č. 340/2022 Z. z.</w:t>
      </w:r>
      <w:r w:rsidRPr="00787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</w:t>
      </w:r>
      <w:r w:rsidR="005B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dopĺňa </w:t>
      </w:r>
      <w:r w:rsidRPr="007872F7">
        <w:rPr>
          <w:rFonts w:ascii="Times New Roman" w:hAnsi="Times New Roman" w:cs="Times New Roman"/>
          <w:sz w:val="24"/>
          <w:szCs w:val="24"/>
          <w:shd w:val="clear" w:color="auto" w:fill="FFFFFF"/>
        </w:rPr>
        <w:t>takto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546E177" w14:textId="77777777" w:rsidR="00AA15B0" w:rsidRDefault="00AA15B0" w:rsidP="005B3A4D">
      <w:pPr>
        <w:shd w:val="clear" w:color="auto" w:fill="FFFFFF"/>
        <w:jc w:val="both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7B445AC2" w14:textId="1684B4C1" w:rsidR="0017758F" w:rsidRPr="0017758F" w:rsidRDefault="00891DD5" w:rsidP="00891DD5">
      <w:pPr>
        <w:shd w:val="clear" w:color="auto" w:fill="FFFFFF"/>
        <w:ind w:firstLine="708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bCs/>
          <w:iCs/>
          <w:sz w:val="24"/>
          <w:szCs w:val="24"/>
          <w:lang w:eastAsia="sk-SK"/>
        </w:rPr>
        <w:t>Druhá časť sa dopĺňa štvrtou hlavou</w:t>
      </w:r>
      <w:r w:rsidR="0017758F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, ktorá vrátane nadpisu znie: </w:t>
      </w:r>
      <w:r w:rsidR="0017758F" w:rsidRPr="0017758F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</w:t>
      </w:r>
    </w:p>
    <w:p w14:paraId="085ABE17" w14:textId="77777777" w:rsidR="0017758F" w:rsidRPr="009A3BCA" w:rsidRDefault="0017758F" w:rsidP="0017758F">
      <w:pPr>
        <w:shd w:val="clear" w:color="auto" w:fill="FFFFFF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14:paraId="1C3B2457" w14:textId="77777777" w:rsidR="005B3A4D" w:rsidRPr="00777412" w:rsidRDefault="0017758F" w:rsidP="004672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060713" w:rsidRPr="00777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ŠTVRTÁ HLAVA</w:t>
      </w:r>
    </w:p>
    <w:p w14:paraId="23EDE8FC" w14:textId="77777777" w:rsidR="00060713" w:rsidRPr="00777412" w:rsidRDefault="00060713" w:rsidP="004672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7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SÚKROMNÁ TRESTNÁ ŽALOBA</w:t>
      </w:r>
    </w:p>
    <w:p w14:paraId="790FDB0B" w14:textId="77777777" w:rsidR="0035472A" w:rsidRPr="00777412" w:rsidRDefault="0035472A" w:rsidP="00A7441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532A7B" w14:textId="7C171438" w:rsidR="00A74413" w:rsidRDefault="005446BD" w:rsidP="004672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b/>
          <w:bCs/>
          <w:sz w:val="24"/>
          <w:szCs w:val="24"/>
        </w:rPr>
        <w:t>§ 236</w:t>
      </w:r>
      <w:r w:rsidR="0035472A" w:rsidRPr="0017758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C6FACD2" w14:textId="77777777" w:rsidR="00891DD5" w:rsidRPr="0017758F" w:rsidRDefault="00891DD5" w:rsidP="004672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91A9B1" w14:textId="331FCE78" w:rsidR="003B313B" w:rsidRPr="0017758F" w:rsidRDefault="00A74413" w:rsidP="005B3A4D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Ref123932051"/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 w:rsidR="003C285A" w:rsidRPr="0017758F">
        <w:rPr>
          <w:rFonts w:ascii="Times New Roman" w:eastAsia="Times New Roman" w:hAnsi="Times New Roman" w:cs="Times New Roman"/>
          <w:sz w:val="24"/>
          <w:szCs w:val="24"/>
        </w:rPr>
        <w:t>napriek súhlasu poškodeného s trestným stíhaním</w:t>
      </w:r>
      <w:r w:rsidR="003C2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bolo po vznesení obvinenia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trestné stíhanie pre trestný čin </w:t>
      </w:r>
      <w:r w:rsidR="00342474" w:rsidRPr="0017758F">
        <w:rPr>
          <w:rFonts w:ascii="Times New Roman" w:eastAsia="Times New Roman" w:hAnsi="Times New Roman" w:cs="Times New Roman"/>
          <w:sz w:val="24"/>
          <w:szCs w:val="24"/>
        </w:rPr>
        <w:t>uvedený v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13" w:rsidRPr="0017758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35472A" w:rsidRPr="0017758F">
        <w:rPr>
          <w:rFonts w:ascii="Times New Roman" w:eastAsia="Times New Roman" w:hAnsi="Times New Roman" w:cs="Times New Roman"/>
          <w:sz w:val="24"/>
          <w:szCs w:val="24"/>
        </w:rPr>
        <w:t xml:space="preserve">211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ods</w:t>
      </w:r>
      <w:r w:rsidR="00150C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1 zastavené podľa § 215</w:t>
      </w:r>
      <w:r w:rsidR="008E158F" w:rsidRPr="0017758F">
        <w:rPr>
          <w:rFonts w:ascii="Times New Roman" w:eastAsia="Times New Roman" w:hAnsi="Times New Roman" w:cs="Times New Roman"/>
          <w:sz w:val="24"/>
          <w:szCs w:val="24"/>
        </w:rPr>
        <w:t xml:space="preserve"> ods. 1 písm. a), b), c), e), h) a ods. 2 a 3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, poškodený </w:t>
      </w:r>
      <w:r w:rsidR="003C285A" w:rsidRPr="0017758F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právo</w:t>
      </w:r>
      <w:r w:rsidR="000E1D28" w:rsidRPr="0017758F">
        <w:rPr>
          <w:rFonts w:ascii="Times New Roman" w:eastAsia="Times New Roman" w:hAnsi="Times New Roman" w:cs="Times New Roman"/>
          <w:sz w:val="24"/>
          <w:szCs w:val="24"/>
        </w:rPr>
        <w:t xml:space="preserve"> v sťažnosti proti rozhodnutiu o zastavení 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trestného stíhania si </w:t>
      </w:r>
      <w:r w:rsidR="003C285A" w:rsidRPr="0017758F">
        <w:rPr>
          <w:rFonts w:ascii="Times New Roman" w:eastAsia="Times New Roman" w:hAnsi="Times New Roman" w:cs="Times New Roman"/>
          <w:sz w:val="24"/>
          <w:szCs w:val="24"/>
        </w:rPr>
        <w:t xml:space="preserve">uplatniť 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právo súkromného trestného žalobcu. </w:t>
      </w:r>
      <w:r w:rsidR="00D75D73" w:rsidRPr="0017758F">
        <w:rPr>
          <w:rFonts w:ascii="Times New Roman" w:eastAsia="Times New Roman" w:hAnsi="Times New Roman" w:cs="Times New Roman"/>
          <w:sz w:val="24"/>
          <w:szCs w:val="24"/>
        </w:rPr>
        <w:t>To platí aj pre prípad, že súhlas poškodeného s trestným stíhaním podľa § 211 ods. 2 nie je potrebný.</w:t>
      </w:r>
      <w:r w:rsidR="0035472A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 w:rsidR="0009355B">
        <w:rPr>
          <w:rFonts w:ascii="Times New Roman" w:eastAsia="Times New Roman" w:hAnsi="Times New Roman" w:cs="Times New Roman"/>
          <w:sz w:val="24"/>
          <w:szCs w:val="24"/>
        </w:rPr>
        <w:t>nadriadený orgán</w:t>
      </w:r>
      <w:r w:rsidR="00776023">
        <w:rPr>
          <w:rFonts w:ascii="Times New Roman" w:eastAsia="Times New Roman" w:hAnsi="Times New Roman" w:cs="Times New Roman"/>
          <w:sz w:val="24"/>
          <w:szCs w:val="24"/>
        </w:rPr>
        <w:t xml:space="preserve"> rozhodol, že 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sťažnosť </w:t>
      </w:r>
      <w:r w:rsidR="000E5217">
        <w:rPr>
          <w:rFonts w:ascii="Times New Roman" w:eastAsia="Times New Roman" w:hAnsi="Times New Roman" w:cs="Times New Roman"/>
          <w:sz w:val="24"/>
          <w:szCs w:val="24"/>
        </w:rPr>
        <w:t>podľa prvej vety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 nie je dôvodná a poškodený si uplatnil právo súkromného trestného žalobcu, nadriadený orgán </w:t>
      </w:r>
      <w:r w:rsidR="003C285A">
        <w:rPr>
          <w:rFonts w:ascii="Times New Roman" w:eastAsia="Times New Roman" w:hAnsi="Times New Roman" w:cs="Times New Roman"/>
          <w:sz w:val="24"/>
          <w:szCs w:val="24"/>
        </w:rPr>
        <w:t xml:space="preserve">také 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>rozhodnutie zruší a poškodený sa stáva súkromným trestným žalobcom</w:t>
      </w:r>
      <w:r w:rsidR="0035472A" w:rsidRPr="0017758F">
        <w:rPr>
          <w:rFonts w:ascii="Times New Roman" w:eastAsia="Times New Roman" w:hAnsi="Times New Roman" w:cs="Times New Roman"/>
          <w:sz w:val="24"/>
          <w:szCs w:val="24"/>
        </w:rPr>
        <w:t>, ktorý je oprávnený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72A" w:rsidRPr="0017758F">
        <w:rPr>
          <w:rFonts w:ascii="Times New Roman" w:eastAsia="Times New Roman" w:hAnsi="Times New Roman" w:cs="Times New Roman"/>
          <w:sz w:val="24"/>
          <w:szCs w:val="24"/>
        </w:rPr>
        <w:t>podať súkromnú trestnú žalobu.</w:t>
      </w:r>
      <w:bookmarkEnd w:id="1"/>
      <w:r w:rsidR="003C285A">
        <w:rPr>
          <w:rFonts w:ascii="Times New Roman" w:eastAsia="Times New Roman" w:hAnsi="Times New Roman" w:cs="Times New Roman"/>
          <w:sz w:val="24"/>
          <w:szCs w:val="24"/>
        </w:rPr>
        <w:t xml:space="preserve"> Ak k zrušeniu takého </w:t>
      </w:r>
      <w:r w:rsidR="000E5217">
        <w:rPr>
          <w:rFonts w:ascii="Times New Roman" w:eastAsia="Times New Roman" w:hAnsi="Times New Roman" w:cs="Times New Roman"/>
          <w:sz w:val="24"/>
          <w:szCs w:val="24"/>
        </w:rPr>
        <w:t>rozhodnutia nedôjde do 30</w:t>
      </w:r>
      <w:r w:rsidR="003C285A">
        <w:rPr>
          <w:rFonts w:ascii="Times New Roman" w:eastAsia="Times New Roman" w:hAnsi="Times New Roman" w:cs="Times New Roman"/>
          <w:sz w:val="24"/>
          <w:szCs w:val="24"/>
        </w:rPr>
        <w:t xml:space="preserve"> dní</w:t>
      </w:r>
      <w:r w:rsidR="009D3BE4">
        <w:rPr>
          <w:rFonts w:ascii="Times New Roman" w:eastAsia="Times New Roman" w:hAnsi="Times New Roman" w:cs="Times New Roman"/>
          <w:sz w:val="24"/>
          <w:szCs w:val="24"/>
        </w:rPr>
        <w:t xml:space="preserve"> od podania sťažnosti</w:t>
      </w:r>
      <w:r w:rsidR="003C285A">
        <w:rPr>
          <w:rFonts w:ascii="Times New Roman" w:eastAsia="Times New Roman" w:hAnsi="Times New Roman" w:cs="Times New Roman"/>
          <w:sz w:val="24"/>
          <w:szCs w:val="24"/>
        </w:rPr>
        <w:t>, považuje sa rozhodnutie o sťažnosti poškodeného</w:t>
      </w:r>
      <w:r w:rsidR="00231422">
        <w:rPr>
          <w:rFonts w:ascii="Times New Roman" w:eastAsia="Times New Roman" w:hAnsi="Times New Roman" w:cs="Times New Roman"/>
          <w:sz w:val="24"/>
          <w:szCs w:val="24"/>
        </w:rPr>
        <w:t>, ktorý si uplatnil právo súkromného trestného žalobcu</w:t>
      </w:r>
      <w:r w:rsidR="009D3BE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2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217">
        <w:rPr>
          <w:rFonts w:ascii="Times New Roman" w:eastAsia="Times New Roman" w:hAnsi="Times New Roman" w:cs="Times New Roman"/>
          <w:sz w:val="24"/>
          <w:szCs w:val="24"/>
        </w:rPr>
        <w:t>za zrušené uplynutím 30</w:t>
      </w:r>
      <w:r w:rsidR="003C285A">
        <w:rPr>
          <w:rFonts w:ascii="Times New Roman" w:eastAsia="Times New Roman" w:hAnsi="Times New Roman" w:cs="Times New Roman"/>
          <w:sz w:val="24"/>
          <w:szCs w:val="24"/>
        </w:rPr>
        <w:t>. dňa po tom, čo</w:t>
      </w:r>
      <w:r w:rsidR="00231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BE4">
        <w:rPr>
          <w:rFonts w:ascii="Times New Roman" w:eastAsia="Times New Roman" w:hAnsi="Times New Roman" w:cs="Times New Roman"/>
          <w:sz w:val="24"/>
          <w:szCs w:val="24"/>
        </w:rPr>
        <w:t>poškodený podal sťažnos</w:t>
      </w:r>
      <w:r w:rsidR="000E5217">
        <w:rPr>
          <w:rFonts w:ascii="Times New Roman" w:eastAsia="Times New Roman" w:hAnsi="Times New Roman" w:cs="Times New Roman"/>
          <w:sz w:val="24"/>
          <w:szCs w:val="24"/>
        </w:rPr>
        <w:t>ť</w:t>
      </w:r>
      <w:r w:rsidR="009D3BE4">
        <w:rPr>
          <w:rFonts w:ascii="Times New Roman" w:eastAsia="Times New Roman" w:hAnsi="Times New Roman" w:cs="Times New Roman"/>
          <w:sz w:val="24"/>
          <w:szCs w:val="24"/>
        </w:rPr>
        <w:t xml:space="preserve"> proti rozhodnutiu o zastavení trestného stíhania podľa prvej vety. </w:t>
      </w:r>
    </w:p>
    <w:p w14:paraId="10F85E76" w14:textId="77777777" w:rsidR="003B313B" w:rsidRPr="0017758F" w:rsidRDefault="003B313B" w:rsidP="005B3A4D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234C99E1" w14:textId="573A72CF" w:rsidR="0035472A" w:rsidRPr="0017758F" w:rsidRDefault="006A2404" w:rsidP="005B3A4D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>Uplatnením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 práv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 súkromného trestného žalobcu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v súlade s odsekom 1</w:t>
      </w:r>
      <w:r w:rsidR="00D1019E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634" w:rsidRPr="0017758F">
        <w:rPr>
          <w:rFonts w:ascii="Times New Roman" w:eastAsia="Times New Roman" w:hAnsi="Times New Roman" w:cs="Times New Roman"/>
          <w:sz w:val="24"/>
          <w:szCs w:val="24"/>
        </w:rPr>
        <w:t>nie sú ďalší poškodení oprávnení uplatniť si právo súkromného trestného žalobcu pr</w:t>
      </w:r>
      <w:r w:rsidR="005813CD" w:rsidRPr="0017758F">
        <w:rPr>
          <w:rFonts w:ascii="Times New Roman" w:eastAsia="Times New Roman" w:hAnsi="Times New Roman" w:cs="Times New Roman"/>
          <w:sz w:val="24"/>
          <w:szCs w:val="24"/>
        </w:rPr>
        <w:t>e ten istý skutok; to nie je na ujmu práva týchto ďalších poškodených pripojiť sa k</w:t>
      </w:r>
      <w:r w:rsidR="00972634" w:rsidRPr="0017758F">
        <w:rPr>
          <w:rFonts w:ascii="Times New Roman" w:eastAsia="Times New Roman" w:hAnsi="Times New Roman" w:cs="Times New Roman"/>
          <w:sz w:val="24"/>
          <w:szCs w:val="24"/>
        </w:rPr>
        <w:t> súkromnému trestnému žalobcovi</w:t>
      </w:r>
      <w:r w:rsidR="005813CD" w:rsidRPr="001775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>Súkromný trestný žalobca je povinný konať tak, aby to nebolo na škodu iných poškodených</w:t>
      </w:r>
      <w:r w:rsidR="0035472A" w:rsidRPr="0017758F">
        <w:rPr>
          <w:rFonts w:ascii="Times New Roman" w:eastAsia="Times New Roman" w:hAnsi="Times New Roman" w:cs="Times New Roman"/>
          <w:sz w:val="24"/>
          <w:szCs w:val="24"/>
        </w:rPr>
        <w:t>, ktorí sa k nemu pri</w:t>
      </w:r>
      <w:r w:rsidR="00972634" w:rsidRPr="0017758F">
        <w:rPr>
          <w:rFonts w:ascii="Times New Roman" w:eastAsia="Times New Roman" w:hAnsi="Times New Roman" w:cs="Times New Roman"/>
          <w:sz w:val="24"/>
          <w:szCs w:val="24"/>
        </w:rPr>
        <w:t>pojili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80B61" w14:textId="77777777" w:rsidR="0035472A" w:rsidRPr="0017758F" w:rsidRDefault="0035472A" w:rsidP="005B3A4D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4B995C62" w14:textId="77777777" w:rsidR="0017758F" w:rsidRDefault="00A74413" w:rsidP="0017758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Policajt je povinný poskytnúť súkromnému trestnému žalobcovi všetko, čo je podľa jeho žiadosti </w:t>
      </w:r>
      <w:r w:rsidR="005B3A4D" w:rsidRPr="0017758F">
        <w:rPr>
          <w:rFonts w:ascii="Times New Roman" w:eastAsia="Times New Roman" w:hAnsi="Times New Roman" w:cs="Times New Roman"/>
          <w:sz w:val="24"/>
          <w:szCs w:val="24"/>
        </w:rPr>
        <w:t xml:space="preserve">primerane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potrebné na podanie súkromnej trestnej žaloby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 a na uplatnenie práv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súkromného trestného žalobcu 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>na súde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3101" w:rsidRPr="0017758F">
        <w:rPr>
          <w:rFonts w:ascii="Times New Roman" w:eastAsia="Times New Roman" w:hAnsi="Times New Roman" w:cs="Times New Roman"/>
          <w:sz w:val="24"/>
          <w:szCs w:val="24"/>
        </w:rPr>
        <w:t xml:space="preserve">Policajt je povinný sprístupniť súkromnému trestnému žalobcovi spis za účelom prípravy a podania súkromnej trestnej žaloby a uplatnenia práv súkromného trestného žalobcu na súde. </w:t>
      </w:r>
      <w:r w:rsidR="00F72CC2" w:rsidRPr="0017758F">
        <w:rPr>
          <w:rFonts w:ascii="Times New Roman" w:eastAsia="Times New Roman" w:hAnsi="Times New Roman" w:cs="Times New Roman"/>
          <w:sz w:val="24"/>
          <w:szCs w:val="24"/>
        </w:rPr>
        <w:t xml:space="preserve">Na žiadosť súkromného trestného žalobcu vykoná policajt ďalšie vyšetrovacie úkony potrebné na podanie súkromnej trestnej žaloby. Ak policajt považuje žiadosť o vykonanie ďalších vyšetrovacích úkonov za neprimeranú alebo nezákonnú, predloží </w:t>
      </w:r>
      <w:r w:rsidR="00D97845" w:rsidRPr="0017758F">
        <w:rPr>
          <w:rFonts w:ascii="Times New Roman" w:eastAsia="Times New Roman" w:hAnsi="Times New Roman" w:cs="Times New Roman"/>
          <w:sz w:val="24"/>
          <w:szCs w:val="24"/>
        </w:rPr>
        <w:t xml:space="preserve">žiadosť </w:t>
      </w:r>
      <w:r w:rsidR="00F72CC2" w:rsidRPr="0017758F">
        <w:rPr>
          <w:rFonts w:ascii="Times New Roman" w:eastAsia="Times New Roman" w:hAnsi="Times New Roman" w:cs="Times New Roman"/>
          <w:sz w:val="24"/>
          <w:szCs w:val="24"/>
        </w:rPr>
        <w:t xml:space="preserve">sudcovi pre prípravné konanie na rozhodnutie o ďalšom postupe. </w:t>
      </w:r>
    </w:p>
    <w:p w14:paraId="5579F4C4" w14:textId="77777777" w:rsidR="0017758F" w:rsidRPr="0017758F" w:rsidRDefault="0017758F" w:rsidP="0017758F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1DC81F3B" w14:textId="77777777" w:rsidR="000E5217" w:rsidRDefault="005446BD" w:rsidP="0017758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>Súkromný trestný žalobca je povinný postupovať aktívne s cieľom podania súkromnej trestnej žaloby. Ak súkromný trestný žalobca ne</w:t>
      </w:r>
      <w:r w:rsidR="003C1CC0" w:rsidRPr="0017758F">
        <w:rPr>
          <w:rFonts w:ascii="Times New Roman" w:eastAsia="Times New Roman" w:hAnsi="Times New Roman" w:cs="Times New Roman"/>
          <w:sz w:val="24"/>
          <w:szCs w:val="24"/>
        </w:rPr>
        <w:t>vyhovie výzve policajta na spoluprácu v lehote jedného mesiaca od doručenia výzvy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313B" w:rsidRPr="0017758F">
        <w:rPr>
          <w:rFonts w:ascii="Times New Roman" w:eastAsia="Times New Roman" w:hAnsi="Times New Roman" w:cs="Times New Roman"/>
          <w:sz w:val="24"/>
          <w:szCs w:val="24"/>
        </w:rPr>
        <w:t>predpokladá sa, že súkromný trestný žalobca vzal späť svoj súhlas s trestným stíhaním. O tom vydá policajt uznesenie, ktoré doručí súkromnému trestnému žalobcovi a poškodený</w:t>
      </w:r>
      <w:r w:rsidR="00F3206C" w:rsidRPr="0017758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1CC0" w:rsidRPr="0017758F">
        <w:rPr>
          <w:rFonts w:ascii="Times New Roman" w:eastAsia="Times New Roman" w:hAnsi="Times New Roman" w:cs="Times New Roman"/>
          <w:sz w:val="24"/>
          <w:szCs w:val="24"/>
        </w:rPr>
        <w:t>, ktorí sa pripojili k súkromnému trestnému žalobcovi v súlade s odsekom 2.</w:t>
      </w:r>
      <w:r w:rsidR="008D263B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62CA64" w14:textId="77777777" w:rsidR="000E5217" w:rsidRPr="00DC581F" w:rsidRDefault="000E5217" w:rsidP="00DC581F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42AFE2E3" w14:textId="30873AE4" w:rsidR="005446BD" w:rsidRPr="0017758F" w:rsidRDefault="0009355B" w:rsidP="0017758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Poškodení sú oprávnení uplatniť si v lehote na podanie sťažnosti proti uzneseniu podľa </w:t>
      </w:r>
      <w:r w:rsidR="000E5217">
        <w:rPr>
          <w:rFonts w:ascii="Times New Roman" w:eastAsia="Times New Roman" w:hAnsi="Times New Roman" w:cs="Times New Roman"/>
          <w:sz w:val="24"/>
          <w:szCs w:val="24"/>
        </w:rPr>
        <w:t>odseku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právo súkromného trestného žalobcu. Ak niet iných poškodených alebo si žiaden z poškodených neuplatnil právo súkromného trestného žalobcu, p</w:t>
      </w:r>
      <w:r w:rsidR="008D263B" w:rsidRPr="0017758F">
        <w:rPr>
          <w:rFonts w:ascii="Times New Roman" w:eastAsia="Times New Roman" w:hAnsi="Times New Roman" w:cs="Times New Roman"/>
          <w:sz w:val="24"/>
          <w:szCs w:val="24"/>
        </w:rPr>
        <w:t xml:space="preserve">rávoplatnosťou uznesenia podľa predchádzajúcej vety sa trestné stíhanie považuje za zastavené.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C37CFB" w14:textId="77777777" w:rsidR="005446BD" w:rsidRPr="0017758F" w:rsidRDefault="005446BD" w:rsidP="0017758F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970BB" w14:textId="1D9DF150" w:rsidR="00337C94" w:rsidRDefault="005446BD" w:rsidP="0017758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Súkromný trestný žalobca môže podať súkromnú trestnú žalobu </w:t>
      </w:r>
      <w:r w:rsidR="00776023">
        <w:rPr>
          <w:rFonts w:ascii="Times New Roman" w:eastAsia="Times New Roman" w:hAnsi="Times New Roman" w:cs="Times New Roman"/>
          <w:sz w:val="24"/>
          <w:szCs w:val="24"/>
        </w:rPr>
        <w:t xml:space="preserve">do 1 mesiaca od skončenia </w:t>
      </w:r>
      <w:r w:rsidR="00337C94">
        <w:rPr>
          <w:rFonts w:ascii="Times New Roman" w:eastAsia="Times New Roman" w:hAnsi="Times New Roman" w:cs="Times New Roman"/>
          <w:sz w:val="24"/>
          <w:szCs w:val="24"/>
        </w:rPr>
        <w:t>vyšetrovania alebo skráteného vyšetrovania</w:t>
      </w:r>
      <w:r w:rsidR="007760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inak </w:t>
      </w:r>
      <w:r w:rsidR="006A2404" w:rsidRPr="0017758F">
        <w:rPr>
          <w:rFonts w:ascii="Times New Roman" w:eastAsia="Times New Roman" w:hAnsi="Times New Roman" w:cs="Times New Roman"/>
          <w:sz w:val="24"/>
          <w:szCs w:val="24"/>
        </w:rPr>
        <w:t>také</w:t>
      </w:r>
      <w:r w:rsidR="008D263B" w:rsidRPr="0017758F">
        <w:rPr>
          <w:rFonts w:ascii="Times New Roman" w:eastAsia="Times New Roman" w:hAnsi="Times New Roman" w:cs="Times New Roman"/>
          <w:sz w:val="24"/>
          <w:szCs w:val="24"/>
        </w:rPr>
        <w:t xml:space="preserve"> jeho právo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zaniká. </w:t>
      </w:r>
      <w:r w:rsidR="00337C94">
        <w:rPr>
          <w:rFonts w:ascii="Times New Roman" w:eastAsia="Times New Roman" w:hAnsi="Times New Roman" w:cs="Times New Roman"/>
          <w:sz w:val="24"/>
          <w:szCs w:val="24"/>
        </w:rPr>
        <w:t>O skončení vyšetrovania policajt upovedomí súkromného trestného žalobcu. Lehota na podanie súkromnej trestnej žaloby neplynie od podania žiadosti súkromného trestného žalobcu</w:t>
      </w:r>
      <w:r w:rsidR="00AD015C">
        <w:rPr>
          <w:rFonts w:ascii="Times New Roman" w:eastAsia="Times New Roman" w:hAnsi="Times New Roman" w:cs="Times New Roman"/>
          <w:sz w:val="24"/>
          <w:szCs w:val="24"/>
        </w:rPr>
        <w:t xml:space="preserve"> o vykonanie ďalších vyšetrovacích úkonov</w:t>
      </w:r>
      <w:r w:rsidR="00337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15C">
        <w:rPr>
          <w:rFonts w:ascii="Times New Roman" w:eastAsia="Times New Roman" w:hAnsi="Times New Roman" w:cs="Times New Roman"/>
          <w:sz w:val="24"/>
          <w:szCs w:val="24"/>
        </w:rPr>
        <w:t xml:space="preserve">policajtovi </w:t>
      </w:r>
      <w:r w:rsidR="009D3BE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AD015C">
        <w:rPr>
          <w:rFonts w:ascii="Times New Roman" w:eastAsia="Times New Roman" w:hAnsi="Times New Roman" w:cs="Times New Roman"/>
          <w:sz w:val="24"/>
          <w:szCs w:val="24"/>
        </w:rPr>
        <w:t xml:space="preserve">opätovného upovedomenia súkromného trestného žalobcu o skočení vyšetrovania alebo skráteného vyšetrovania alebo do právoplatnosti rozhodnutia sudcu pre prípravné konanie o zamietnutí žiadosti súkromného trestného žalobcu </w:t>
      </w:r>
      <w:r w:rsidR="00337C94">
        <w:rPr>
          <w:rFonts w:ascii="Times New Roman" w:eastAsia="Times New Roman" w:hAnsi="Times New Roman" w:cs="Times New Roman"/>
          <w:sz w:val="24"/>
          <w:szCs w:val="24"/>
        </w:rPr>
        <w:t>o vykonanie ďalších vyšetrovacích úkonov</w:t>
      </w:r>
      <w:r w:rsidR="00AD0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5676E5" w14:textId="77777777" w:rsidR="00337C94" w:rsidRPr="00DC581F" w:rsidRDefault="00337C94" w:rsidP="00DC581F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3D9E94B5" w14:textId="51FA5C08" w:rsidR="0017758F" w:rsidRDefault="006A2404" w:rsidP="0017758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>Súkromná trestná žaloba</w:t>
      </w:r>
      <w:r w:rsidR="00067277">
        <w:rPr>
          <w:rFonts w:ascii="Times New Roman" w:eastAsia="Times New Roman" w:hAnsi="Times New Roman" w:cs="Times New Roman"/>
          <w:sz w:val="24"/>
          <w:szCs w:val="24"/>
        </w:rPr>
        <w:t xml:space="preserve"> sa považuje za obžalobu a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obsahuje náležitosti uvedené v § 235. </w:t>
      </w:r>
    </w:p>
    <w:p w14:paraId="466878C8" w14:textId="77777777" w:rsidR="0017758F" w:rsidRPr="0017758F" w:rsidRDefault="0017758F" w:rsidP="0017758F">
      <w:pPr>
        <w:pStyle w:val="Odsekzoznamu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0EE6A92" w14:textId="77777777" w:rsidR="005446BD" w:rsidRPr="0017758F" w:rsidRDefault="00067277" w:rsidP="0017758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0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Ustanovenia upravujúce práva a povinnosti prokurátora v súdnom konaní </w:t>
      </w:r>
      <w:r w:rsidR="00D13225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D13225" w:rsidRPr="009335A1">
        <w:rPr>
          <w:rFonts w:ascii="Times New Roman" w:eastAsia="Times New Roman" w:hAnsi="Times New Roman" w:cs="Times New Roman"/>
          <w:sz w:val="24"/>
          <w:szCs w:val="24"/>
        </w:rPr>
        <w:t>v kon</w:t>
      </w:r>
      <w:r w:rsidR="005803E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D13225" w:rsidRPr="009335A1">
        <w:rPr>
          <w:rFonts w:ascii="Times New Roman" w:eastAsia="Times New Roman" w:hAnsi="Times New Roman" w:cs="Times New Roman"/>
          <w:sz w:val="24"/>
          <w:szCs w:val="24"/>
        </w:rPr>
        <w:t>í pred súdom</w:t>
      </w:r>
      <w:r w:rsidR="00D13225">
        <w:rPr>
          <w:rFonts w:ascii="Times New Roman" w:eastAsia="Times New Roman" w:hAnsi="Times New Roman" w:cs="Times New Roman"/>
          <w:sz w:val="24"/>
          <w:szCs w:val="24"/>
        </w:rPr>
        <w:t xml:space="preserve"> primerane </w:t>
      </w:r>
      <w:r w:rsidR="00D13225" w:rsidRPr="006714A5">
        <w:rPr>
          <w:rFonts w:ascii="Times New Roman" w:eastAsia="Times New Roman" w:hAnsi="Times New Roman" w:cs="Times New Roman"/>
          <w:sz w:val="24"/>
          <w:szCs w:val="24"/>
        </w:rPr>
        <w:t xml:space="preserve">vzťahujú </w:t>
      </w:r>
      <w:r w:rsidRPr="00776023">
        <w:rPr>
          <w:rFonts w:ascii="Times New Roman" w:eastAsia="Times New Roman" w:hAnsi="Times New Roman" w:cs="Times New Roman"/>
          <w:sz w:val="24"/>
          <w:szCs w:val="24"/>
        </w:rPr>
        <w:t xml:space="preserve">na súkromného trestného žalobcu. </w:t>
      </w:r>
      <w:r w:rsidR="005446BD" w:rsidRPr="00067277">
        <w:rPr>
          <w:rFonts w:ascii="Times New Roman" w:eastAsia="Times New Roman" w:hAnsi="Times New Roman" w:cs="Times New Roman"/>
          <w:sz w:val="24"/>
          <w:szCs w:val="24"/>
        </w:rPr>
        <w:t>Ustanovenia predchádzajúcej vety sa uplatnia, pokiaľ nie je v tomto zákone uvedené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 inak. </w:t>
      </w:r>
    </w:p>
    <w:p w14:paraId="457B3BAE" w14:textId="77777777" w:rsidR="005446BD" w:rsidRPr="0017758F" w:rsidRDefault="005446BD" w:rsidP="005B3A4D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23AD577B" w14:textId="10FF06E2" w:rsidR="006B0565" w:rsidRPr="0017758F" w:rsidRDefault="006B0565" w:rsidP="000204D3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Súkromný trestný žalobca musí byť v konaní pred súdom zastúpený advokátom; to neplatí, ak </w:t>
      </w:r>
      <w:r w:rsidR="00115AFB">
        <w:rPr>
          <w:rFonts w:ascii="Times New Roman" w:eastAsia="Times New Roman" w:hAnsi="Times New Roman" w:cs="Times New Roman"/>
          <w:sz w:val="24"/>
          <w:szCs w:val="24"/>
        </w:rPr>
        <w:t>sa jedná o súkromného trestného žalobcu podľa § 236b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. Povinnosť zastúpenia sa vzťahuje aj na spísanie súkromnej trestnej žaloby.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01D848" w14:textId="77777777" w:rsidR="0035472A" w:rsidRPr="0017758F" w:rsidRDefault="0035472A" w:rsidP="005B3A4D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7DD330BF" w14:textId="4F3F5CEF" w:rsidR="0035472A" w:rsidRPr="0017758F" w:rsidRDefault="00846539" w:rsidP="005B3A4D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>Postup súkromného trestného žalobcu v trestnom konaní a v konaní pred súdom je nezávislý o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prokurátora a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prokuratúry.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Ustanovenia tohto zákona ani </w:t>
      </w:r>
      <w:r w:rsidR="005B3A4D" w:rsidRPr="0017758F">
        <w:rPr>
          <w:rFonts w:ascii="Times New Roman" w:eastAsia="Times New Roman" w:hAnsi="Times New Roman" w:cs="Times New Roman"/>
          <w:sz w:val="24"/>
          <w:szCs w:val="24"/>
        </w:rPr>
        <w:t xml:space="preserve">iné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p</w:t>
      </w:r>
      <w:r w:rsidR="00A74413" w:rsidRPr="0017758F">
        <w:rPr>
          <w:rFonts w:ascii="Times New Roman" w:eastAsia="Times New Roman" w:hAnsi="Times New Roman" w:cs="Times New Roman"/>
          <w:sz w:val="24"/>
          <w:szCs w:val="24"/>
        </w:rPr>
        <w:t xml:space="preserve">redpisy, ktoré upravujú oprávnenia prokurátora voči podriadenému prokurátorovi alebo ktoré by inak bránili podaniu súkromnej trestnej žaloby na súd, sa </w:t>
      </w:r>
      <w:r w:rsidR="005B3A4D" w:rsidRPr="0017758F">
        <w:rPr>
          <w:rFonts w:ascii="Times New Roman" w:eastAsia="Times New Roman" w:hAnsi="Times New Roman" w:cs="Times New Roman"/>
          <w:sz w:val="24"/>
          <w:szCs w:val="24"/>
        </w:rPr>
        <w:t xml:space="preserve">nevzťahujú </w:t>
      </w:r>
      <w:r w:rsidR="00A74413" w:rsidRPr="0017758F">
        <w:rPr>
          <w:rFonts w:ascii="Times New Roman" w:eastAsia="Times New Roman" w:hAnsi="Times New Roman" w:cs="Times New Roman"/>
          <w:sz w:val="24"/>
          <w:szCs w:val="24"/>
        </w:rPr>
        <w:t>na súkromného trestného žalobcu ani na súkromnú trestnú žalobu</w:t>
      </w:r>
      <w:r w:rsidR="005B3A4D" w:rsidRPr="0017758F">
        <w:rPr>
          <w:rFonts w:ascii="Times New Roman" w:eastAsia="Times New Roman" w:hAnsi="Times New Roman" w:cs="Times New Roman"/>
          <w:sz w:val="24"/>
          <w:szCs w:val="24"/>
        </w:rPr>
        <w:t xml:space="preserve"> ani konanie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pred jej podaním</w:t>
      </w:r>
      <w:r w:rsidR="00A74413" w:rsidRPr="001775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02137D" w14:textId="77777777" w:rsidR="0035472A" w:rsidRPr="0017758F" w:rsidRDefault="0035472A" w:rsidP="005B3A4D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2CB25EE1" w14:textId="77777777" w:rsidR="0017758F" w:rsidRDefault="00A74413" w:rsidP="0017758F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Ak súd na základe súkromnej trestnej žaloby nariadi hlavné pojednávanie, postupuje prokurátor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pred súdom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tak, ako keby sa jednalo o 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podanú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obžalobu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>úkromný trestný žalobca prit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om smie na súde robiť všetky úkony a využívať práva prokurátora, ktoré podľa jeho mienky prokurátor nevyužil sám.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EEA79E" w14:textId="77777777" w:rsidR="0017758F" w:rsidRPr="0017758F" w:rsidRDefault="0017758F" w:rsidP="0017758F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4BA135FC" w14:textId="77777777" w:rsidR="008D263B" w:rsidRPr="0017758F" w:rsidRDefault="008D263B" w:rsidP="0017758F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Ak sa súkromný trestný žalobca </w:t>
      </w:r>
      <w:r w:rsidR="006A2404" w:rsidRPr="0017758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jeho advokát nedostav</w:t>
      </w:r>
      <w:r w:rsidR="00DC0377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3A8" w:rsidRPr="0017758F">
        <w:rPr>
          <w:rFonts w:ascii="Times New Roman" w:eastAsia="Times New Roman" w:hAnsi="Times New Roman" w:cs="Times New Roman"/>
          <w:sz w:val="24"/>
          <w:szCs w:val="24"/>
        </w:rPr>
        <w:t xml:space="preserve">na hlavné pojednávanie alebo verejné zasadnutie </w:t>
      </w:r>
      <w:r w:rsidR="00DC0377">
        <w:rPr>
          <w:rFonts w:ascii="Times New Roman" w:eastAsia="Times New Roman" w:hAnsi="Times New Roman" w:cs="Times New Roman"/>
          <w:sz w:val="24"/>
          <w:szCs w:val="24"/>
        </w:rPr>
        <w:t xml:space="preserve">a svoju neúčasť neospravedlnia </w:t>
      </w:r>
      <w:r w:rsidR="005673A8" w:rsidRPr="0017758F">
        <w:rPr>
          <w:rFonts w:ascii="Times New Roman" w:eastAsia="Times New Roman" w:hAnsi="Times New Roman" w:cs="Times New Roman"/>
          <w:sz w:val="24"/>
          <w:szCs w:val="24"/>
        </w:rPr>
        <w:t xml:space="preserve">napriek tomu, že boli riadne predvolaní, má sa za to, že súkromný trestný žalobca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5673A8" w:rsidRPr="0017758F">
        <w:rPr>
          <w:rFonts w:ascii="Times New Roman" w:eastAsia="Times New Roman" w:hAnsi="Times New Roman" w:cs="Times New Roman"/>
          <w:sz w:val="24"/>
          <w:szCs w:val="24"/>
        </w:rPr>
        <w:t xml:space="preserve"> súkromnej trestnej žaloby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ustúpil.</w:t>
      </w:r>
    </w:p>
    <w:p w14:paraId="02A0D95F" w14:textId="77777777" w:rsidR="005446BD" w:rsidRPr="0017758F" w:rsidRDefault="005446BD" w:rsidP="005B3A4D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</w:p>
    <w:p w14:paraId="6FBFB64D" w14:textId="77777777" w:rsidR="00A74413" w:rsidRPr="0017758F" w:rsidRDefault="005B3A4D" w:rsidP="005B3A4D">
      <w:pPr>
        <w:pStyle w:val="Odsekzoznamu"/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Ak prokurátor ustúpi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 od obžaloby alebo urobí iný úkon, ktorého dôsledkom je zhoršenie postavenia súkromného trestného žalobcu v trestnom konaní alebo v konaní pred súdom, musí o tom súkromného trestného žalobcu bez meškania upovedomiť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úkromný trestný žalobca má potom právo </w:t>
      </w:r>
      <w:r w:rsidR="003B313B" w:rsidRPr="0017758F">
        <w:rPr>
          <w:rFonts w:ascii="Times New Roman" w:eastAsia="Times New Roman" w:hAnsi="Times New Roman" w:cs="Times New Roman"/>
          <w:sz w:val="24"/>
          <w:szCs w:val="24"/>
        </w:rPr>
        <w:t>sa k takému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 úkon</w:t>
      </w:r>
      <w:r w:rsidR="003B313B" w:rsidRPr="0017758F">
        <w:rPr>
          <w:rFonts w:ascii="Times New Roman" w:eastAsia="Times New Roman" w:hAnsi="Times New Roman" w:cs="Times New Roman"/>
          <w:sz w:val="24"/>
          <w:szCs w:val="24"/>
        </w:rPr>
        <w:t>u prokurátora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6A2404" w:rsidRPr="0017758F">
        <w:rPr>
          <w:rFonts w:ascii="Times New Roman" w:eastAsia="Times New Roman" w:hAnsi="Times New Roman" w:cs="Times New Roman"/>
          <w:sz w:val="24"/>
          <w:szCs w:val="24"/>
        </w:rPr>
        <w:t xml:space="preserve">pracovných 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>od d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oručenia takého oznámenia</w:t>
      </w:r>
      <w:r w:rsidR="00846539"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13B" w:rsidRPr="0017758F">
        <w:rPr>
          <w:rFonts w:ascii="Times New Roman" w:eastAsia="Times New Roman" w:hAnsi="Times New Roman" w:cs="Times New Roman"/>
          <w:sz w:val="24"/>
          <w:szCs w:val="24"/>
        </w:rPr>
        <w:t xml:space="preserve">pridať, inak sa na taký úkon prokurátora neprihliadne. </w:t>
      </w:r>
    </w:p>
    <w:p w14:paraId="28C188EF" w14:textId="77777777" w:rsidR="00A74413" w:rsidRPr="0017758F" w:rsidRDefault="00A74413" w:rsidP="00A7441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F0507" w14:textId="77777777" w:rsidR="0035472A" w:rsidRPr="0017758F" w:rsidRDefault="005446BD" w:rsidP="004672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b/>
          <w:bCs/>
          <w:sz w:val="24"/>
          <w:szCs w:val="24"/>
        </w:rPr>
        <w:t>§ 236</w:t>
      </w:r>
      <w:r w:rsidR="0035472A" w:rsidRPr="0017758F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14:paraId="0C60ACF8" w14:textId="77777777" w:rsidR="0017758F" w:rsidRPr="0017758F" w:rsidRDefault="0017758F" w:rsidP="003547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D86E3F" w14:textId="77777777" w:rsidR="005446BD" w:rsidRPr="0017758F" w:rsidRDefault="0035472A" w:rsidP="005B3A4D">
      <w:pPr>
        <w:pStyle w:val="Odsekzoznamu"/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Ref124075679"/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Ministerstvo spravodlivosti má postavenie poškodeného v </w:t>
      </w:r>
      <w:r w:rsidR="001C59B0" w:rsidRPr="0017758F">
        <w:rPr>
          <w:rFonts w:ascii="Times New Roman" w:eastAsia="Times New Roman" w:hAnsi="Times New Roman" w:cs="Times New Roman"/>
          <w:sz w:val="24"/>
          <w:szCs w:val="24"/>
        </w:rPr>
        <w:t>konaní o trestných činoch</w:t>
      </w:r>
      <w:r w:rsidR="0000487A" w:rsidRPr="0017758F">
        <w:rPr>
          <w:rFonts w:ascii="Times New Roman" w:eastAsia="Times New Roman" w:hAnsi="Times New Roman" w:cs="Times New Roman"/>
          <w:sz w:val="24"/>
          <w:szCs w:val="24"/>
        </w:rPr>
        <w:t xml:space="preserve">, ktoré patria do pôsobnosti Špecializovaného trestného súdu podľa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§</w:t>
      </w:r>
      <w:r w:rsidR="003B313B" w:rsidRPr="0017758F">
        <w:rPr>
          <w:rFonts w:ascii="Times New Roman" w:eastAsia="Times New Roman" w:hAnsi="Times New Roman" w:cs="Times New Roman"/>
          <w:sz w:val="24"/>
          <w:szCs w:val="24"/>
        </w:rPr>
        <w:t xml:space="preserve"> 14; n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a zabezpečenie </w:t>
      </w:r>
      <w:r w:rsidR="003B313B" w:rsidRPr="0017758F">
        <w:rPr>
          <w:rFonts w:ascii="Times New Roman" w:eastAsia="Times New Roman" w:hAnsi="Times New Roman" w:cs="Times New Roman"/>
          <w:sz w:val="24"/>
          <w:szCs w:val="24"/>
        </w:rPr>
        <w:t xml:space="preserve">z toho plynúcich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práv m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inisterstva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spravodlivosti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podľa §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236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a oznamuje policajt a prokurátor úkony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inisterstvu </w:t>
      </w:r>
      <w:r w:rsidR="005446BD" w:rsidRPr="0017758F">
        <w:rPr>
          <w:rFonts w:ascii="Times New Roman" w:eastAsia="Times New Roman" w:hAnsi="Times New Roman" w:cs="Times New Roman"/>
          <w:sz w:val="24"/>
          <w:szCs w:val="24"/>
        </w:rPr>
        <w:t xml:space="preserve">spravodlivosti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ako poškodenému.</w:t>
      </w:r>
      <w:bookmarkEnd w:id="2"/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0A6404" w14:textId="77777777" w:rsidR="005446BD" w:rsidRPr="0017758F" w:rsidRDefault="005446BD" w:rsidP="005B3A4D">
      <w:pPr>
        <w:pStyle w:val="Odsekzoznamu"/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BD47B" w14:textId="77777777" w:rsidR="00A74413" w:rsidRPr="0017758F" w:rsidRDefault="0035472A" w:rsidP="005B3A4D">
      <w:pPr>
        <w:pStyle w:val="Odsekzoznamu"/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F">
        <w:rPr>
          <w:rFonts w:ascii="Times New Roman" w:eastAsia="Times New Roman" w:hAnsi="Times New Roman" w:cs="Times New Roman"/>
          <w:sz w:val="24"/>
          <w:szCs w:val="24"/>
        </w:rPr>
        <w:t>Ak</w:t>
      </w:r>
      <w:r w:rsidR="002D49B4" w:rsidRPr="0017758F">
        <w:rPr>
          <w:rFonts w:ascii="Times New Roman" w:eastAsia="Times New Roman" w:hAnsi="Times New Roman" w:cs="Times New Roman"/>
          <w:sz w:val="24"/>
          <w:szCs w:val="24"/>
        </w:rPr>
        <w:t xml:space="preserve"> si ministerstvo spravodlivosti uplatnilo právo súkromného trestného žalobcu v súlade s odsekom 1 neskôr ako iný súkromný trestný žalobca, </w:t>
      </w:r>
      <w:r w:rsidR="008C22C0" w:rsidRPr="0017758F">
        <w:rPr>
          <w:rFonts w:ascii="Times New Roman" w:eastAsia="Times New Roman" w:hAnsi="Times New Roman" w:cs="Times New Roman"/>
          <w:sz w:val="24"/>
          <w:szCs w:val="24"/>
        </w:rPr>
        <w:t xml:space="preserve">ministerstvo spravodlivosti sa 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 xml:space="preserve">stáva </w:t>
      </w:r>
      <w:r w:rsidR="008C22C0" w:rsidRPr="0017758F">
        <w:rPr>
          <w:rFonts w:ascii="Times New Roman" w:eastAsia="Times New Roman" w:hAnsi="Times New Roman" w:cs="Times New Roman"/>
          <w:sz w:val="24"/>
          <w:szCs w:val="24"/>
        </w:rPr>
        <w:t xml:space="preserve">súkromným trestným žalobcom </w:t>
      </w:r>
      <w:r w:rsidR="00675604" w:rsidRPr="0017758F">
        <w:rPr>
          <w:rFonts w:ascii="Times New Roman" w:eastAsia="Times New Roman" w:hAnsi="Times New Roman" w:cs="Times New Roman"/>
          <w:sz w:val="24"/>
          <w:szCs w:val="24"/>
        </w:rPr>
        <w:t xml:space="preserve">okamihom uplatnenia </w:t>
      </w:r>
      <w:r w:rsidR="006A2404" w:rsidRPr="0017758F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675604" w:rsidRPr="0017758F">
        <w:rPr>
          <w:rFonts w:ascii="Times New Roman" w:eastAsia="Times New Roman" w:hAnsi="Times New Roman" w:cs="Times New Roman"/>
          <w:sz w:val="24"/>
          <w:szCs w:val="24"/>
        </w:rPr>
        <w:t>práva súkromného trestného žalobcu</w:t>
      </w:r>
      <w:r w:rsidRPr="001775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9B4" w:rsidRPr="0017758F">
        <w:rPr>
          <w:rFonts w:ascii="Times New Roman" w:eastAsia="Times New Roman" w:hAnsi="Times New Roman" w:cs="Times New Roman"/>
          <w:sz w:val="24"/>
          <w:szCs w:val="24"/>
        </w:rPr>
        <w:t xml:space="preserve"> Tým nie je dotknuté právo poškodených </w:t>
      </w:r>
      <w:r w:rsidR="00546E3B" w:rsidRPr="0017758F">
        <w:rPr>
          <w:rFonts w:ascii="Times New Roman" w:eastAsia="Times New Roman" w:hAnsi="Times New Roman" w:cs="Times New Roman"/>
          <w:sz w:val="24"/>
          <w:szCs w:val="24"/>
        </w:rPr>
        <w:t>podľa § 236a ods. 2.</w:t>
      </w:r>
      <w:r w:rsidR="0017758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C0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34328" w14:textId="77777777" w:rsidR="005B7A98" w:rsidRPr="00777412" w:rsidRDefault="005B7A98" w:rsidP="005B7A98">
      <w:pPr>
        <w:pStyle w:val="Odsekzoznamu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6D343284" w14:textId="77777777" w:rsidR="005B7A98" w:rsidRPr="00777412" w:rsidRDefault="005B7A98" w:rsidP="005B7A98">
      <w:pPr>
        <w:shd w:val="clear" w:color="auto" w:fill="FFFFFF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682DBC1" w14:textId="77777777" w:rsidR="005B7A98" w:rsidRPr="00777412" w:rsidRDefault="005B7A98" w:rsidP="005B7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412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53540DF" w14:textId="77777777" w:rsidR="005B7A98" w:rsidRPr="00777412" w:rsidRDefault="005B7A98" w:rsidP="005B7A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189C1" w14:textId="56FFED17" w:rsidR="005B7A98" w:rsidRPr="00777412" w:rsidRDefault="005B7A98" w:rsidP="000935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7412">
        <w:rPr>
          <w:rFonts w:ascii="Times New Roman" w:hAnsi="Times New Roman" w:cs="Times New Roman"/>
          <w:sz w:val="24"/>
          <w:szCs w:val="24"/>
        </w:rPr>
        <w:t>Tento zákon nadobúda účinnosť 1. apríla 2023.</w:t>
      </w:r>
    </w:p>
    <w:p w14:paraId="20E8C00C" w14:textId="77777777" w:rsidR="00DE5B6D" w:rsidRPr="00A74413" w:rsidRDefault="00DE5B6D" w:rsidP="006A2404">
      <w:pPr>
        <w:shd w:val="clear" w:color="auto" w:fill="FFFFFF"/>
        <w:jc w:val="both"/>
      </w:pPr>
    </w:p>
    <w:sectPr w:rsidR="00DE5B6D" w:rsidRPr="00A7441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2372B"/>
    <w:multiLevelType w:val="hybridMultilevel"/>
    <w:tmpl w:val="41D2A0B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F7082"/>
    <w:multiLevelType w:val="hybridMultilevel"/>
    <w:tmpl w:val="BFDCE45A"/>
    <w:lvl w:ilvl="0" w:tplc="E0663F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 w:tplc="9F04EF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47A38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43A0B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C6060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80D9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14893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4A45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9201FF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D045805"/>
    <w:multiLevelType w:val="hybridMultilevel"/>
    <w:tmpl w:val="67269914"/>
    <w:lvl w:ilvl="0" w:tplc="F9BC2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72107"/>
    <w:multiLevelType w:val="hybridMultilevel"/>
    <w:tmpl w:val="A4A62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D487D"/>
    <w:multiLevelType w:val="hybridMultilevel"/>
    <w:tmpl w:val="67269914"/>
    <w:lvl w:ilvl="0" w:tplc="F9BC2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14144">
    <w:abstractNumId w:val="4"/>
  </w:num>
  <w:num w:numId="2" w16cid:durableId="665206584">
    <w:abstractNumId w:val="3"/>
  </w:num>
  <w:num w:numId="3" w16cid:durableId="1515998428">
    <w:abstractNumId w:val="2"/>
  </w:num>
  <w:num w:numId="4" w16cid:durableId="348456563">
    <w:abstractNumId w:val="0"/>
  </w:num>
  <w:num w:numId="5" w16cid:durableId="135280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13"/>
    <w:rsid w:val="0000487A"/>
    <w:rsid w:val="000204D3"/>
    <w:rsid w:val="00027E65"/>
    <w:rsid w:val="00060713"/>
    <w:rsid w:val="00067277"/>
    <w:rsid w:val="00074D14"/>
    <w:rsid w:val="0009355B"/>
    <w:rsid w:val="000E1D28"/>
    <w:rsid w:val="000E5217"/>
    <w:rsid w:val="00115AFB"/>
    <w:rsid w:val="00150CFE"/>
    <w:rsid w:val="00163258"/>
    <w:rsid w:val="0017758F"/>
    <w:rsid w:val="001C59B0"/>
    <w:rsid w:val="00225F03"/>
    <w:rsid w:val="00231422"/>
    <w:rsid w:val="002D49B4"/>
    <w:rsid w:val="00324691"/>
    <w:rsid w:val="00337C94"/>
    <w:rsid w:val="00341BCB"/>
    <w:rsid w:val="00342474"/>
    <w:rsid w:val="0035472A"/>
    <w:rsid w:val="003B313B"/>
    <w:rsid w:val="003C1CC0"/>
    <w:rsid w:val="003C285A"/>
    <w:rsid w:val="004672F6"/>
    <w:rsid w:val="004A2508"/>
    <w:rsid w:val="0050109C"/>
    <w:rsid w:val="00542FAF"/>
    <w:rsid w:val="005446BD"/>
    <w:rsid w:val="00546E3B"/>
    <w:rsid w:val="005673A8"/>
    <w:rsid w:val="005803EE"/>
    <w:rsid w:val="005813CD"/>
    <w:rsid w:val="005837E2"/>
    <w:rsid w:val="005B3A4D"/>
    <w:rsid w:val="005B7A98"/>
    <w:rsid w:val="005C33D3"/>
    <w:rsid w:val="005D35AC"/>
    <w:rsid w:val="00672DBC"/>
    <w:rsid w:val="00675604"/>
    <w:rsid w:val="006A2404"/>
    <w:rsid w:val="006B0565"/>
    <w:rsid w:val="00713906"/>
    <w:rsid w:val="00776023"/>
    <w:rsid w:val="00777412"/>
    <w:rsid w:val="00786209"/>
    <w:rsid w:val="00846539"/>
    <w:rsid w:val="00853101"/>
    <w:rsid w:val="00891DD5"/>
    <w:rsid w:val="008C22C0"/>
    <w:rsid w:val="008D263B"/>
    <w:rsid w:val="008E158F"/>
    <w:rsid w:val="00972634"/>
    <w:rsid w:val="009B1AAB"/>
    <w:rsid w:val="009D3BE4"/>
    <w:rsid w:val="00A20B5C"/>
    <w:rsid w:val="00A74413"/>
    <w:rsid w:val="00AA04AE"/>
    <w:rsid w:val="00AA15B0"/>
    <w:rsid w:val="00AD015C"/>
    <w:rsid w:val="00B3462C"/>
    <w:rsid w:val="00B62A37"/>
    <w:rsid w:val="00C82FFA"/>
    <w:rsid w:val="00CF12C1"/>
    <w:rsid w:val="00CF46A2"/>
    <w:rsid w:val="00D1019E"/>
    <w:rsid w:val="00D13225"/>
    <w:rsid w:val="00D75D73"/>
    <w:rsid w:val="00D87EB4"/>
    <w:rsid w:val="00D97845"/>
    <w:rsid w:val="00DC0377"/>
    <w:rsid w:val="00DC581F"/>
    <w:rsid w:val="00DE5B6D"/>
    <w:rsid w:val="00E54984"/>
    <w:rsid w:val="00E75FD9"/>
    <w:rsid w:val="00EC45BC"/>
    <w:rsid w:val="00F3206C"/>
    <w:rsid w:val="00F42981"/>
    <w:rsid w:val="00F72CC2"/>
    <w:rsid w:val="00FC4A60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0AEC"/>
  <w15:chartTrackingRefBased/>
  <w15:docId w15:val="{C8B2A601-E1DA-4D54-B4A6-8D289F95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472A"/>
    <w:pPr>
      <w:spacing w:after="0" w:line="240" w:lineRule="auto"/>
    </w:pPr>
    <w:rPr>
      <w:lang w:val="sk-SK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AA15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74413"/>
    <w:rPr>
      <w:color w:val="0563C1" w:themeColor="hyperlink"/>
      <w:u w:val="single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547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3A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3A4D"/>
    <w:rPr>
      <w:rFonts w:ascii="Segoe UI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060713"/>
    <w:pPr>
      <w:spacing w:after="0" w:line="240" w:lineRule="auto"/>
    </w:pPr>
    <w:rPr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607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07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0713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07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0713"/>
    <w:rPr>
      <w:b/>
      <w:bCs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5B0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17758F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ABaranik</dc:creator>
  <cp:keywords/>
  <dc:description/>
  <cp:lastModifiedBy>Andrej Pitonak</cp:lastModifiedBy>
  <cp:revision>5</cp:revision>
  <dcterms:created xsi:type="dcterms:W3CDTF">2023-01-13T10:17:00Z</dcterms:created>
  <dcterms:modified xsi:type="dcterms:W3CDTF">2023-01-13T13:01:00Z</dcterms:modified>
</cp:coreProperties>
</file>