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8E6E" w14:textId="77777777" w:rsidR="00103961" w:rsidRDefault="00000000">
      <w:pPr>
        <w:widowControl/>
        <w:spacing w:line="276" w:lineRule="auto"/>
        <w:jc w:val="center"/>
        <w:rPr>
          <w:rFonts w:ascii="Calibri" w:eastAsia="Calibri" w:hAnsi="Calibri" w:cs="Calibri"/>
          <w:sz w:val="22"/>
          <w:szCs w:val="22"/>
        </w:rPr>
      </w:pPr>
      <w:r>
        <w:rPr>
          <w:b/>
          <w:smallCaps/>
        </w:rPr>
        <w:t>DOLOŽKA ZLUČITEĽNOSTI</w:t>
      </w:r>
    </w:p>
    <w:p w14:paraId="620CC19D" w14:textId="77777777" w:rsidR="00103961" w:rsidRDefault="00000000">
      <w:pPr>
        <w:jc w:val="center"/>
        <w:rPr>
          <w:rFonts w:ascii="Calibri" w:eastAsia="Calibri" w:hAnsi="Calibri" w:cs="Calibri"/>
          <w:sz w:val="22"/>
          <w:szCs w:val="22"/>
        </w:rPr>
      </w:pPr>
      <w:r>
        <w:rPr>
          <w:b/>
        </w:rPr>
        <w:t>právneho predpisu s právom Európskej únie</w:t>
      </w:r>
    </w:p>
    <w:p w14:paraId="1E6C91F5" w14:textId="77777777" w:rsidR="00103961" w:rsidRDefault="00103961">
      <w:pPr>
        <w:rPr>
          <w:rFonts w:ascii="Calibri" w:eastAsia="Calibri" w:hAnsi="Calibri" w:cs="Calibri"/>
          <w:sz w:val="22"/>
          <w:szCs w:val="22"/>
        </w:rPr>
      </w:pPr>
    </w:p>
    <w:p w14:paraId="46282963" w14:textId="77777777" w:rsidR="00103961" w:rsidRDefault="00000000">
      <w:pPr>
        <w:ind w:left="3828" w:hanging="3828"/>
        <w:jc w:val="both"/>
        <w:rPr>
          <w:rFonts w:ascii="Calibri" w:eastAsia="Calibri" w:hAnsi="Calibri" w:cs="Calibri"/>
          <w:sz w:val="22"/>
          <w:szCs w:val="22"/>
        </w:rPr>
      </w:pPr>
      <w:r>
        <w:rPr>
          <w:b/>
        </w:rPr>
        <w:t>1. Predkladateľ právneho predpisu:</w:t>
      </w:r>
      <w:r>
        <w:t xml:space="preserve"> </w:t>
      </w:r>
      <w:r>
        <w:tab/>
        <w:t>poslanec Národnej rady Slovenskej republiky Tomáš Valášek</w:t>
      </w:r>
    </w:p>
    <w:p w14:paraId="0DC89C73" w14:textId="77777777" w:rsidR="00103961" w:rsidRDefault="00000000">
      <w:pPr>
        <w:tabs>
          <w:tab w:val="left" w:pos="360"/>
        </w:tabs>
        <w:ind w:left="360"/>
        <w:jc w:val="both"/>
        <w:rPr>
          <w:rFonts w:ascii="Calibri" w:eastAsia="Calibri" w:hAnsi="Calibri" w:cs="Calibri"/>
          <w:sz w:val="22"/>
          <w:szCs w:val="22"/>
        </w:rPr>
      </w:pPr>
      <w:r>
        <w:t xml:space="preserve"> </w:t>
      </w:r>
    </w:p>
    <w:p w14:paraId="6426A751" w14:textId="77777777" w:rsidR="00103961" w:rsidRDefault="00000000">
      <w:pPr>
        <w:ind w:left="3828" w:hanging="3828"/>
        <w:jc w:val="both"/>
      </w:pPr>
      <w:r>
        <w:rPr>
          <w:b/>
        </w:rPr>
        <w:t>2. Názov návrhu právneho predpisu:</w:t>
      </w:r>
      <w:r>
        <w:t xml:space="preserve"> Návrh zákona, ktorým sa mení a dopĺňa zákon č. 58/2014 Z. z. o výbušninách, výbušných predmetoch a munícii v znení neskorších predpisov a zákon č. 372/1990 Zb. o priestupkoch v znení neskorších predpisov</w:t>
      </w:r>
    </w:p>
    <w:p w14:paraId="39EDA977" w14:textId="77777777" w:rsidR="00103961" w:rsidRDefault="00103961">
      <w:pPr>
        <w:ind w:left="3828" w:hanging="3828"/>
        <w:jc w:val="both"/>
      </w:pPr>
    </w:p>
    <w:p w14:paraId="6D8B084E" w14:textId="77777777" w:rsidR="00103961" w:rsidRDefault="00000000">
      <w:pPr>
        <w:ind w:left="3828" w:hanging="3828"/>
        <w:jc w:val="both"/>
        <w:rPr>
          <w:b/>
        </w:rPr>
      </w:pPr>
      <w:r>
        <w:rPr>
          <w:b/>
        </w:rPr>
        <w:t>3. Problematika návrhu právneho predpisu:</w:t>
      </w:r>
    </w:p>
    <w:p w14:paraId="09CA7C85" w14:textId="77777777" w:rsidR="00103961" w:rsidRDefault="00103961">
      <w:pPr>
        <w:ind w:left="3828" w:hanging="3828"/>
        <w:jc w:val="both"/>
      </w:pPr>
    </w:p>
    <w:p w14:paraId="3817A840" w14:textId="77777777" w:rsidR="00103961" w:rsidRDefault="00000000">
      <w:r>
        <w:t>a) nie je upravená v práve Európskych spoločenstiev</w:t>
      </w:r>
    </w:p>
    <w:p w14:paraId="7E9E5FFC" w14:textId="77777777" w:rsidR="00103961" w:rsidRDefault="00103961"/>
    <w:p w14:paraId="1CD5445B" w14:textId="77777777" w:rsidR="00103961" w:rsidRDefault="00000000">
      <w:pPr>
        <w:rPr>
          <w:highlight w:val="white"/>
        </w:rPr>
      </w:pPr>
      <w:r>
        <w:t xml:space="preserve">b) je upravená v primárnom práve Európskej únie a to v čl. 4. ods. 2 </w:t>
      </w:r>
      <w:r>
        <w:rPr>
          <w:highlight w:val="white"/>
        </w:rPr>
        <w:t>Smernica Európskeho parlamentu a Rady 2013/29/EÚ z  12. júna 2013 o harmonizácii zákonov členských štátov týkajúcich sa sprístupňovania pyrotechnických výrobkov na trhu (prepracované znenie)</w:t>
      </w:r>
    </w:p>
    <w:p w14:paraId="3CAC09A3" w14:textId="77777777" w:rsidR="00103961" w:rsidRDefault="00103961"/>
    <w:p w14:paraId="2EFA7CFF" w14:textId="77777777" w:rsidR="00103961" w:rsidRDefault="00000000">
      <w:r>
        <w:t>c) nie je obsiahnutá v judikatúre Súdneho dvora Európskej únie</w:t>
      </w:r>
    </w:p>
    <w:p w14:paraId="5A9A00C0" w14:textId="77777777" w:rsidR="00103961" w:rsidRDefault="00103961"/>
    <w:p w14:paraId="611BB5D7" w14:textId="77777777" w:rsidR="00103961" w:rsidRDefault="00000000">
      <w:pPr>
        <w:jc w:val="both"/>
        <w:rPr>
          <w:b/>
        </w:rPr>
      </w:pPr>
      <w:r>
        <w:rPr>
          <w:b/>
        </w:rPr>
        <w:t xml:space="preserve">4. Záväzky Slovenskej Republiky vo vzťahu k Európskej únii </w:t>
      </w:r>
    </w:p>
    <w:p w14:paraId="7F1BEF1D" w14:textId="77777777" w:rsidR="00103961" w:rsidRDefault="00103961">
      <w:pPr>
        <w:jc w:val="both"/>
      </w:pPr>
    </w:p>
    <w:p w14:paraId="6DB12EF5" w14:textId="77777777" w:rsidR="00103961" w:rsidRDefault="00000000">
      <w:pPr>
        <w:jc w:val="both"/>
        <w:rPr>
          <w:highlight w:val="white"/>
        </w:rPr>
      </w:pPr>
      <w:r>
        <w:t>a) lehota na transpozíciu smernice EP a Rady 2013/29/EÚ uplynula 3. októbra</w:t>
      </w:r>
      <w:r>
        <w:rPr>
          <w:highlight w:val="white"/>
        </w:rPr>
        <w:t xml:space="preserve"> 2013 resp. 30. júna 2015 </w:t>
      </w:r>
    </w:p>
    <w:p w14:paraId="41635DEC" w14:textId="77777777" w:rsidR="00103961" w:rsidRDefault="00103961">
      <w:pPr>
        <w:jc w:val="both"/>
        <w:rPr>
          <w:highlight w:val="white"/>
        </w:rPr>
      </w:pPr>
    </w:p>
    <w:p w14:paraId="1C16F663" w14:textId="77777777" w:rsidR="00103961" w:rsidRDefault="00000000">
      <w:pPr>
        <w:jc w:val="both"/>
        <w:rPr>
          <w:highlight w:val="white"/>
        </w:rPr>
      </w:pPr>
      <w:r>
        <w:rPr>
          <w:highlight w:val="white"/>
        </w:rPr>
        <w:t xml:space="preserve">b) </w:t>
      </w:r>
      <w:r>
        <w:t xml:space="preserve">v danej oblasti nebol </w:t>
      </w:r>
      <w:r>
        <w:rPr>
          <w:highlight w:val="white"/>
        </w:rPr>
        <w:t xml:space="preserve">proti Slovenskej republike začatý postup Európskej komisie a ani konanie Súdneho dvora Európskej únie podľa článkov 258 až 260 Zmluvy o fungovaní Európskej únie. </w:t>
      </w:r>
    </w:p>
    <w:p w14:paraId="37F6EAAA" w14:textId="77777777" w:rsidR="00103961" w:rsidRDefault="00103961">
      <w:pPr>
        <w:jc w:val="both"/>
        <w:rPr>
          <w:highlight w:val="white"/>
        </w:rPr>
      </w:pPr>
    </w:p>
    <w:p w14:paraId="1695462A" w14:textId="77777777" w:rsidR="00103961" w:rsidRDefault="00000000">
      <w:pPr>
        <w:jc w:val="both"/>
        <w:rPr>
          <w:b/>
          <w:highlight w:val="white"/>
        </w:rPr>
      </w:pPr>
      <w:r>
        <w:rPr>
          <w:b/>
          <w:highlight w:val="white"/>
        </w:rPr>
        <w:t xml:space="preserve">5. Návrh zákona je zlučiteľný s právom Európskej únie </w:t>
      </w:r>
    </w:p>
    <w:p w14:paraId="77B17AE4" w14:textId="77777777" w:rsidR="00103961" w:rsidRDefault="00103961">
      <w:pPr>
        <w:jc w:val="both"/>
        <w:rPr>
          <w:b/>
          <w:highlight w:val="white"/>
        </w:rPr>
      </w:pPr>
    </w:p>
    <w:p w14:paraId="6EC48186" w14:textId="77777777" w:rsidR="00103961" w:rsidRDefault="00000000">
      <w:pPr>
        <w:jc w:val="both"/>
        <w:rPr>
          <w:highlight w:val="white"/>
        </w:rPr>
      </w:pPr>
      <w:r>
        <w:rPr>
          <w:highlight w:val="white"/>
        </w:rPr>
        <w:t xml:space="preserve">-úplne </w:t>
      </w:r>
    </w:p>
    <w:p w14:paraId="03A9E5E6" w14:textId="77777777" w:rsidR="00103961" w:rsidRDefault="00000000">
      <w:pPr>
        <w:widowControl/>
        <w:spacing w:after="200" w:line="276" w:lineRule="auto"/>
        <w:rPr>
          <w:b/>
          <w:smallCaps/>
          <w:color w:val="000000"/>
        </w:rPr>
      </w:pPr>
      <w:r>
        <w:br w:type="page"/>
      </w:r>
    </w:p>
    <w:p w14:paraId="27E5518B" w14:textId="77777777" w:rsidR="00103961" w:rsidRDefault="00000000">
      <w:pPr>
        <w:pBdr>
          <w:top w:val="nil"/>
          <w:left w:val="nil"/>
          <w:bottom w:val="nil"/>
          <w:right w:val="nil"/>
          <w:between w:val="nil"/>
        </w:pBdr>
        <w:spacing w:line="276" w:lineRule="auto"/>
        <w:jc w:val="center"/>
        <w:rPr>
          <w:rFonts w:ascii="Calibri" w:eastAsia="Calibri" w:hAnsi="Calibri" w:cs="Calibri"/>
          <w:color w:val="000000"/>
          <w:sz w:val="22"/>
          <w:szCs w:val="22"/>
        </w:rPr>
      </w:pPr>
      <w:r>
        <w:rPr>
          <w:b/>
          <w:smallCaps/>
          <w:color w:val="000000"/>
        </w:rPr>
        <w:lastRenderedPageBreak/>
        <w:t>DOLOŽKA</w:t>
      </w:r>
    </w:p>
    <w:p w14:paraId="237602B0" w14:textId="77777777" w:rsidR="00103961" w:rsidRDefault="00000000">
      <w:pPr>
        <w:pBdr>
          <w:top w:val="nil"/>
          <w:left w:val="nil"/>
          <w:bottom w:val="nil"/>
          <w:right w:val="nil"/>
          <w:between w:val="nil"/>
        </w:pBdr>
        <w:spacing w:line="276" w:lineRule="auto"/>
        <w:jc w:val="center"/>
        <w:rPr>
          <w:rFonts w:ascii="Calibri" w:eastAsia="Calibri" w:hAnsi="Calibri" w:cs="Calibri"/>
          <w:color w:val="000000"/>
          <w:sz w:val="22"/>
          <w:szCs w:val="22"/>
        </w:rPr>
      </w:pPr>
      <w:r>
        <w:rPr>
          <w:b/>
          <w:color w:val="000000"/>
        </w:rPr>
        <w:t>vybraných vplyvov</w:t>
      </w:r>
    </w:p>
    <w:p w14:paraId="0151CE77" w14:textId="77777777" w:rsidR="00103961" w:rsidRDefault="00103961">
      <w:pPr>
        <w:pBdr>
          <w:top w:val="nil"/>
          <w:left w:val="nil"/>
          <w:bottom w:val="nil"/>
          <w:right w:val="nil"/>
          <w:between w:val="nil"/>
        </w:pBdr>
        <w:spacing w:line="276" w:lineRule="auto"/>
        <w:rPr>
          <w:rFonts w:ascii="Calibri" w:eastAsia="Calibri" w:hAnsi="Calibri" w:cs="Calibri"/>
          <w:color w:val="000000"/>
          <w:sz w:val="22"/>
          <w:szCs w:val="22"/>
        </w:rPr>
      </w:pPr>
    </w:p>
    <w:p w14:paraId="3A6A6B5F" w14:textId="77777777" w:rsidR="00103961" w:rsidRDefault="00000000">
      <w:pPr>
        <w:jc w:val="both"/>
      </w:pPr>
      <w:r>
        <w:rPr>
          <w:b/>
          <w:color w:val="000000"/>
        </w:rPr>
        <w:t xml:space="preserve">A.1. Názov materiálu: </w:t>
      </w:r>
      <w:r>
        <w:t>Návrh zákona, ktorým sa mení a dopĺňa zákon č. 58/2014 Z. z. o výbušninách, výbušných predmetoch a munícii v znení neskorších predpisov a zákon č. 372/1990 Zb. o priestupkoch v znení neskorších predpisov</w:t>
      </w:r>
    </w:p>
    <w:p w14:paraId="1FA5E193" w14:textId="77777777" w:rsidR="00103961" w:rsidRDefault="00103961">
      <w:pPr>
        <w:jc w:val="both"/>
      </w:pPr>
    </w:p>
    <w:p w14:paraId="39CB7CF9" w14:textId="77777777" w:rsidR="00103961" w:rsidRDefault="00000000">
      <w:pPr>
        <w:pBdr>
          <w:top w:val="nil"/>
          <w:left w:val="nil"/>
          <w:bottom w:val="nil"/>
          <w:right w:val="nil"/>
          <w:between w:val="nil"/>
        </w:pBdr>
        <w:spacing w:line="276" w:lineRule="auto"/>
        <w:jc w:val="both"/>
        <w:rPr>
          <w:b/>
          <w:color w:val="000000"/>
        </w:rPr>
      </w:pPr>
      <w:r>
        <w:rPr>
          <w:b/>
          <w:color w:val="000000"/>
        </w:rPr>
        <w:t>A.2. Vplyvy:</w:t>
      </w:r>
    </w:p>
    <w:p w14:paraId="4E863B9E" w14:textId="77777777" w:rsidR="00103961" w:rsidRDefault="00103961">
      <w:pPr>
        <w:pBdr>
          <w:top w:val="nil"/>
          <w:left w:val="nil"/>
          <w:bottom w:val="nil"/>
          <w:right w:val="nil"/>
          <w:between w:val="nil"/>
        </w:pBdr>
        <w:spacing w:line="276" w:lineRule="auto"/>
        <w:jc w:val="both"/>
        <w:rPr>
          <w:b/>
          <w:color w:val="000000"/>
        </w:rPr>
      </w:pPr>
    </w:p>
    <w:tbl>
      <w:tblPr>
        <w:tblStyle w:val="a3"/>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1305"/>
        <w:gridCol w:w="1005"/>
        <w:gridCol w:w="1365"/>
      </w:tblGrid>
      <w:tr w:rsidR="00103961" w14:paraId="678097DE"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9EA1A" w14:textId="77777777" w:rsidR="00103961" w:rsidRDefault="00000000">
            <w:pPr>
              <w:widowControl/>
              <w:spacing w:before="60" w:after="60"/>
              <w:jc w:val="center"/>
            </w:pPr>
            <w:r>
              <w:rPr>
                <w:b/>
                <w:color w:val="000000"/>
              </w:rPr>
              <w:t>Vplyv</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6A8C9" w14:textId="77777777" w:rsidR="00103961" w:rsidRDefault="00000000">
            <w:pPr>
              <w:widowControl/>
              <w:spacing w:before="60" w:after="60"/>
              <w:jc w:val="center"/>
            </w:pPr>
            <w:r>
              <w:rPr>
                <w:b/>
                <w:color w:val="000000"/>
              </w:rPr>
              <w:t>Pozitívne</w:t>
            </w: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5E97A" w14:textId="77777777" w:rsidR="00103961" w:rsidRDefault="00000000">
            <w:pPr>
              <w:widowControl/>
              <w:spacing w:before="60" w:after="60"/>
              <w:jc w:val="center"/>
            </w:pPr>
            <w:r>
              <w:rPr>
                <w:b/>
                <w:color w:val="000000"/>
              </w:rPr>
              <w:t>Žiadne</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AF1F2" w14:textId="77777777" w:rsidR="00103961" w:rsidRDefault="00000000">
            <w:pPr>
              <w:widowControl/>
              <w:spacing w:before="60" w:after="60"/>
              <w:jc w:val="center"/>
            </w:pPr>
            <w:r>
              <w:rPr>
                <w:b/>
                <w:color w:val="000000"/>
              </w:rPr>
              <w:t>Negatívne</w:t>
            </w:r>
          </w:p>
        </w:tc>
      </w:tr>
      <w:tr w:rsidR="00103961" w14:paraId="7863E954"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F2060" w14:textId="77777777" w:rsidR="00103961" w:rsidRDefault="00000000">
            <w:pPr>
              <w:widowControl/>
              <w:spacing w:before="60" w:after="60"/>
            </w:pPr>
            <w:r>
              <w:rPr>
                <w:b/>
                <w:color w:val="000000"/>
              </w:rPr>
              <w:t>1. Vplyvy na rozpočet verejnej správy</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9DEF6" w14:textId="77777777" w:rsidR="00103961" w:rsidRDefault="00103961">
            <w:pPr>
              <w:widowControl/>
              <w:spacing w:before="60" w:after="60"/>
              <w:jc w:val="cente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B6645" w14:textId="77777777" w:rsidR="00103961" w:rsidRDefault="00000000">
            <w:pPr>
              <w:widowControl/>
              <w:jc w:val="center"/>
            </w:pPr>
            <w: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F5C47" w14:textId="77777777" w:rsidR="00103961" w:rsidRDefault="00103961">
            <w:pPr>
              <w:widowControl/>
              <w:spacing w:before="60" w:after="60"/>
              <w:jc w:val="center"/>
            </w:pPr>
          </w:p>
        </w:tc>
      </w:tr>
      <w:tr w:rsidR="00103961" w14:paraId="0489CCC4"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B3E0B" w14:textId="77777777" w:rsidR="00103961" w:rsidRDefault="00000000">
            <w:pPr>
              <w:widowControl/>
              <w:spacing w:before="60" w:after="60"/>
            </w:pPr>
            <w:r>
              <w:rPr>
                <w:b/>
                <w:color w:val="000000"/>
              </w:rPr>
              <w:t>2. Vplyvy na podnikateľské prostredie – dochádza k zvýšeniu regulačného zaťaženia?</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7EFA8" w14:textId="77777777" w:rsidR="00103961" w:rsidRDefault="00103961">
            <w:pPr>
              <w:widowControl/>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1DAB1" w14:textId="77777777" w:rsidR="00103961" w:rsidRDefault="00103961">
            <w:pPr>
              <w:widowControl/>
              <w:spacing w:before="60" w:after="60"/>
              <w:jc w:val="cente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FB044" w14:textId="77777777" w:rsidR="00103961" w:rsidRDefault="00000000">
            <w:pPr>
              <w:widowControl/>
              <w:jc w:val="center"/>
            </w:pPr>
            <w:r>
              <w:t>X</w:t>
            </w:r>
          </w:p>
        </w:tc>
      </w:tr>
      <w:tr w:rsidR="00103961" w14:paraId="2E7F4BDB"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12730" w14:textId="77777777" w:rsidR="00103961" w:rsidRDefault="00000000">
            <w:pPr>
              <w:widowControl/>
              <w:spacing w:before="60" w:after="60"/>
            </w:pPr>
            <w:r>
              <w:rPr>
                <w:b/>
                <w:color w:val="000000"/>
              </w:rPr>
              <w:t>3. Sociálne vplyvy</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927D1" w14:textId="77777777" w:rsidR="00103961" w:rsidRDefault="00000000">
            <w:pPr>
              <w:widowControl/>
              <w:jc w:val="center"/>
            </w:pPr>
            <w:r>
              <w:t>X</w:t>
            </w: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94C6C" w14:textId="77777777" w:rsidR="00103961" w:rsidRDefault="00103961">
            <w:pPr>
              <w:widowControl/>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5C0B9" w14:textId="77777777" w:rsidR="00103961" w:rsidRDefault="00103961">
            <w:pPr>
              <w:widowControl/>
            </w:pPr>
          </w:p>
        </w:tc>
      </w:tr>
      <w:tr w:rsidR="00103961" w14:paraId="4207902C"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DD172" w14:textId="77777777" w:rsidR="00103961" w:rsidRDefault="00000000">
            <w:pPr>
              <w:widowControl/>
              <w:spacing w:before="60" w:after="60"/>
            </w:pPr>
            <w:r>
              <w:rPr>
                <w:color w:val="000000"/>
              </w:rPr>
              <w:t>– vplyvy na hospodárenie obyvateľstva</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8E7CB" w14:textId="77777777" w:rsidR="00103961" w:rsidRDefault="00103961">
            <w:pPr>
              <w:widowControl/>
              <w:jc w:val="cente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1275E" w14:textId="77777777" w:rsidR="00103961" w:rsidRDefault="00000000">
            <w:pPr>
              <w:widowControl/>
              <w:spacing w:before="60" w:after="60"/>
              <w:jc w:val="center"/>
            </w:pPr>
            <w: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02C12" w14:textId="77777777" w:rsidR="00103961" w:rsidRDefault="00103961">
            <w:pPr>
              <w:widowControl/>
            </w:pPr>
          </w:p>
        </w:tc>
      </w:tr>
      <w:tr w:rsidR="00103961" w14:paraId="42F5A113"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2B576" w14:textId="77777777" w:rsidR="00103961" w:rsidRDefault="00000000">
            <w:pPr>
              <w:widowControl/>
              <w:spacing w:before="60" w:after="60"/>
            </w:pPr>
            <w:r>
              <w:rPr>
                <w:color w:val="000000"/>
              </w:rPr>
              <w:t>– sociálnu exklúziu</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842AA" w14:textId="77777777" w:rsidR="00103961" w:rsidRDefault="00103961">
            <w:pPr>
              <w:widowControl/>
              <w:spacing w:before="60" w:after="60"/>
              <w:jc w:val="cente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24295" w14:textId="77777777" w:rsidR="00103961" w:rsidRDefault="00000000">
            <w:pPr>
              <w:widowControl/>
              <w:jc w:val="center"/>
            </w:pPr>
            <w: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12B45" w14:textId="77777777" w:rsidR="00103961" w:rsidRDefault="00103961">
            <w:pPr>
              <w:widowControl/>
            </w:pPr>
          </w:p>
        </w:tc>
      </w:tr>
      <w:tr w:rsidR="00103961" w14:paraId="55A27642"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139C8" w14:textId="77777777" w:rsidR="00103961" w:rsidRDefault="00000000">
            <w:pPr>
              <w:widowControl/>
              <w:spacing w:before="60" w:after="60"/>
            </w:pPr>
            <w:r>
              <w:rPr>
                <w:color w:val="000000"/>
              </w:rPr>
              <w:t>– rovnosť príležitostí a rodovú rovnosť a vplyvy na zamestnanosť</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28C5D" w14:textId="77777777" w:rsidR="00103961" w:rsidRDefault="00103961">
            <w:pPr>
              <w:widowControl/>
              <w:jc w:val="cente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FBC67" w14:textId="77777777" w:rsidR="00103961" w:rsidRDefault="00000000">
            <w:pPr>
              <w:widowControl/>
              <w:spacing w:before="60" w:after="60"/>
              <w:jc w:val="center"/>
            </w:pPr>
            <w: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B957C" w14:textId="77777777" w:rsidR="00103961" w:rsidRDefault="00103961">
            <w:pPr>
              <w:widowControl/>
            </w:pPr>
          </w:p>
        </w:tc>
      </w:tr>
      <w:tr w:rsidR="00103961" w14:paraId="3D327C28"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FB55D" w14:textId="77777777" w:rsidR="00103961" w:rsidRDefault="00000000">
            <w:pPr>
              <w:widowControl/>
              <w:spacing w:before="60" w:after="60"/>
            </w:pPr>
            <w:r>
              <w:rPr>
                <w:b/>
                <w:color w:val="000000"/>
              </w:rPr>
              <w:t>4. Vplyvy na životné prostredie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DA680" w14:textId="77777777" w:rsidR="00103961" w:rsidRDefault="00000000">
            <w:pPr>
              <w:widowControl/>
              <w:jc w:val="center"/>
            </w:pPr>
            <w:r>
              <w:t>X</w:t>
            </w: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93DB0" w14:textId="77777777" w:rsidR="00103961" w:rsidRDefault="00103961">
            <w:pPr>
              <w:widowControl/>
              <w:spacing w:before="60" w:after="60"/>
              <w:jc w:val="cente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063D3" w14:textId="77777777" w:rsidR="00103961" w:rsidRDefault="00103961">
            <w:pPr>
              <w:widowControl/>
            </w:pPr>
          </w:p>
        </w:tc>
      </w:tr>
      <w:tr w:rsidR="00103961" w14:paraId="2013DFD8"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1D097" w14:textId="77777777" w:rsidR="00103961" w:rsidRDefault="00000000">
            <w:pPr>
              <w:widowControl/>
              <w:spacing w:before="60" w:after="60"/>
            </w:pPr>
            <w:r>
              <w:rPr>
                <w:b/>
                <w:color w:val="000000"/>
              </w:rPr>
              <w:t>5. Vplyvy na informatizáciu spoločnosti</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C0454" w14:textId="77777777" w:rsidR="00103961" w:rsidRDefault="00103961">
            <w:pPr>
              <w:widowControl/>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ECB54" w14:textId="77777777" w:rsidR="00103961" w:rsidRDefault="00000000">
            <w:pPr>
              <w:widowControl/>
              <w:spacing w:before="60" w:after="60"/>
              <w:jc w:val="center"/>
            </w:pPr>
            <w:r>
              <w:rPr>
                <w:color w:val="000000"/>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B33ED" w14:textId="77777777" w:rsidR="00103961" w:rsidRDefault="00103961">
            <w:pPr>
              <w:widowControl/>
            </w:pPr>
          </w:p>
        </w:tc>
      </w:tr>
      <w:tr w:rsidR="00103961" w14:paraId="7BDD618D"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F25A8" w14:textId="77777777" w:rsidR="00103961" w:rsidRDefault="00000000">
            <w:pPr>
              <w:widowControl/>
              <w:spacing w:before="60" w:after="60"/>
            </w:pPr>
            <w:r>
              <w:rPr>
                <w:b/>
                <w:color w:val="000000"/>
              </w:rPr>
              <w:t>6. Vplyvy na služby pre občana z toho</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45CBE" w14:textId="77777777" w:rsidR="00103961" w:rsidRDefault="00103961">
            <w:pPr>
              <w:widowControl/>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6E681" w14:textId="77777777" w:rsidR="00103961" w:rsidRDefault="00103961">
            <w:pPr>
              <w:widowControl/>
              <w:jc w:val="center"/>
            </w:pP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5918C" w14:textId="77777777" w:rsidR="00103961" w:rsidRDefault="00103961">
            <w:pPr>
              <w:widowControl/>
            </w:pPr>
          </w:p>
        </w:tc>
      </w:tr>
      <w:tr w:rsidR="00103961" w14:paraId="6D8B16F3"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4592D" w14:textId="77777777" w:rsidR="00103961" w:rsidRDefault="00000000">
            <w:pPr>
              <w:widowControl/>
              <w:spacing w:before="60" w:after="60"/>
            </w:pPr>
            <w:r>
              <w:rPr>
                <w:color w:val="000000"/>
              </w:rPr>
              <w:t>- vplyvy služieb verejnej správy na občana</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E1666" w14:textId="77777777" w:rsidR="00103961" w:rsidRDefault="00103961">
            <w:pPr>
              <w:widowControl/>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E150F" w14:textId="77777777" w:rsidR="00103961" w:rsidRDefault="00000000">
            <w:pPr>
              <w:widowControl/>
              <w:spacing w:before="60" w:after="60"/>
              <w:jc w:val="center"/>
            </w:pPr>
            <w:r>
              <w:rPr>
                <w:color w:val="000000"/>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A974D" w14:textId="77777777" w:rsidR="00103961" w:rsidRDefault="00103961">
            <w:pPr>
              <w:widowControl/>
            </w:pPr>
          </w:p>
        </w:tc>
      </w:tr>
      <w:tr w:rsidR="00103961" w14:paraId="1CDB71D3"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C480A" w14:textId="77777777" w:rsidR="00103961" w:rsidRDefault="00000000">
            <w:pPr>
              <w:widowControl/>
              <w:spacing w:before="60" w:after="60"/>
            </w:pPr>
            <w:r>
              <w:rPr>
                <w:color w:val="000000"/>
              </w:rPr>
              <w:t>- vplyvy na procesy služieb vo verejnej správe</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46080" w14:textId="77777777" w:rsidR="00103961" w:rsidRDefault="00103961">
            <w:pPr>
              <w:widowControl/>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70988" w14:textId="77777777" w:rsidR="00103961" w:rsidRDefault="00000000">
            <w:pPr>
              <w:widowControl/>
              <w:spacing w:before="60" w:after="60"/>
              <w:jc w:val="center"/>
            </w:pPr>
            <w:r>
              <w:rPr>
                <w:color w:val="000000"/>
              </w:rP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589FC" w14:textId="77777777" w:rsidR="00103961" w:rsidRDefault="00103961">
            <w:pPr>
              <w:widowControl/>
            </w:pPr>
          </w:p>
        </w:tc>
      </w:tr>
      <w:tr w:rsidR="00103961" w14:paraId="7BEB6CC0" w14:textId="77777777">
        <w:tc>
          <w:tcPr>
            <w:tcW w:w="5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6712" w14:textId="77777777" w:rsidR="00103961" w:rsidRDefault="00000000">
            <w:pPr>
              <w:widowControl/>
              <w:spacing w:before="60" w:after="60"/>
            </w:pPr>
            <w:r>
              <w:rPr>
                <w:b/>
                <w:color w:val="000000"/>
              </w:rPr>
              <w:t>7. Vplyvy na manželstvo, rodičovstvo a rodinu</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0F8F5" w14:textId="77777777" w:rsidR="00103961" w:rsidRDefault="00103961">
            <w:pPr>
              <w:widowControl/>
              <w:jc w:val="cente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B7332" w14:textId="77777777" w:rsidR="00103961" w:rsidRDefault="00000000">
            <w:pPr>
              <w:widowControl/>
              <w:spacing w:before="60" w:after="60"/>
              <w:jc w:val="center"/>
            </w:pPr>
            <w:r>
              <w:t>X</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F14BE" w14:textId="77777777" w:rsidR="00103961" w:rsidRDefault="00103961">
            <w:pPr>
              <w:widowControl/>
            </w:pPr>
          </w:p>
        </w:tc>
      </w:tr>
    </w:tbl>
    <w:p w14:paraId="11B7F6A4" w14:textId="77777777" w:rsidR="00103961" w:rsidRDefault="00103961">
      <w:pPr>
        <w:pBdr>
          <w:top w:val="nil"/>
          <w:left w:val="nil"/>
          <w:bottom w:val="nil"/>
          <w:right w:val="nil"/>
          <w:between w:val="nil"/>
        </w:pBdr>
        <w:spacing w:line="276" w:lineRule="auto"/>
        <w:jc w:val="both"/>
        <w:rPr>
          <w:b/>
          <w:color w:val="000000"/>
        </w:rPr>
      </w:pPr>
    </w:p>
    <w:p w14:paraId="597DB2D7" w14:textId="77777777" w:rsidR="00103961" w:rsidRDefault="00103961">
      <w:pPr>
        <w:pBdr>
          <w:top w:val="nil"/>
          <w:left w:val="nil"/>
          <w:bottom w:val="nil"/>
          <w:right w:val="nil"/>
          <w:between w:val="nil"/>
        </w:pBdr>
        <w:spacing w:line="276" w:lineRule="auto"/>
        <w:jc w:val="both"/>
        <w:rPr>
          <w:rFonts w:ascii="Calibri" w:eastAsia="Calibri" w:hAnsi="Calibri" w:cs="Calibri"/>
          <w:color w:val="000000"/>
          <w:sz w:val="22"/>
          <w:szCs w:val="22"/>
        </w:rPr>
      </w:pPr>
    </w:p>
    <w:p w14:paraId="4642C3F6" w14:textId="77777777" w:rsidR="00103961" w:rsidRDefault="00000000">
      <w:pPr>
        <w:pBdr>
          <w:top w:val="nil"/>
          <w:left w:val="nil"/>
          <w:bottom w:val="nil"/>
          <w:right w:val="nil"/>
          <w:between w:val="nil"/>
        </w:pBdr>
        <w:spacing w:after="200" w:line="276" w:lineRule="auto"/>
        <w:jc w:val="both"/>
        <w:rPr>
          <w:b/>
          <w:color w:val="000000"/>
          <w:highlight w:val="white"/>
        </w:rPr>
      </w:pPr>
      <w:r>
        <w:rPr>
          <w:b/>
          <w:color w:val="000000"/>
          <w:highlight w:val="white"/>
        </w:rPr>
        <w:t>A.3. Poznámky</w:t>
      </w:r>
    </w:p>
    <w:p w14:paraId="0A6496C0" w14:textId="77777777" w:rsidR="00103961" w:rsidRDefault="00000000">
      <w:pPr>
        <w:pBdr>
          <w:top w:val="nil"/>
          <w:left w:val="nil"/>
          <w:bottom w:val="nil"/>
          <w:right w:val="nil"/>
          <w:between w:val="nil"/>
        </w:pBdr>
        <w:spacing w:after="200" w:line="276" w:lineRule="auto"/>
        <w:jc w:val="both"/>
        <w:rPr>
          <w:color w:val="000000"/>
          <w:highlight w:val="yellow"/>
        </w:rPr>
      </w:pPr>
      <w:r>
        <w:rPr>
          <w:highlight w:val="white"/>
        </w:rPr>
        <w:t xml:space="preserve">Navrhovaný zákon bude mať mierne pozitívny vplyv na </w:t>
      </w:r>
      <w:r>
        <w:t xml:space="preserve">zdravie obyvateľstva, pretože pyrotechnické výrobky uvedené v navrhovanom znení sú práve tie, ktoré najviac negatívne vplývajú na psychicky chorých pacientov. Prijatím tohto nariadenia zároveň príde k výraznému zníženiu úrazovosti, nakoľko prevažná väčšina úrazov je spôsobovaná práve touto kategóriou pyrotechnických výrobkov s primárnym efektom hluku. Zároveň sa výrazne zníži </w:t>
      </w:r>
      <w:r>
        <w:lastRenderedPageBreak/>
        <w:t xml:space="preserve">poškodzovanie súkromného a verejného majetku. Petardy spôsobujú požiare, poškodenie vozidiel, zariadení verejných služieb (osvetlenie, odpadkové koše), budov a pozemkov. Zároveň návrh eliminuje časť znečistenia životného prostredia. Pri používaní pyrotechnických výrobkov dochádza k znečisteniu ovzdušia v podobe emisií prachových častíc, no rovnako k znečisteniu pôdy a vôd toxickými látkami. </w:t>
      </w:r>
      <w:r>
        <w:rPr>
          <w:highlight w:val="white"/>
        </w:rPr>
        <w:t xml:space="preserve">Práve tieto externality je v súčasnej dobe potrebné sanovať z verejných zdrojov. Navrhovaný zákon nebude mať negatívny vplyv na príjem do štátneho rozpočtu, na základe vyhlásenia Slovenskej asociácie pyrotechnických firiem bude možné predaj nahradiť pyrotechnickými výrobkami, na ktoré sa nevzťahuje obmedzenie predaja. </w:t>
      </w:r>
    </w:p>
    <w:p w14:paraId="4FF80A2F" w14:textId="77777777" w:rsidR="00103961" w:rsidRDefault="00103961">
      <w:pPr>
        <w:pBdr>
          <w:top w:val="nil"/>
          <w:left w:val="nil"/>
          <w:bottom w:val="nil"/>
          <w:right w:val="nil"/>
          <w:between w:val="nil"/>
        </w:pBdr>
        <w:spacing w:line="276" w:lineRule="auto"/>
        <w:jc w:val="both"/>
        <w:rPr>
          <w:color w:val="000000"/>
        </w:rPr>
      </w:pPr>
    </w:p>
    <w:p w14:paraId="79AB7D05" w14:textId="77777777" w:rsidR="00103961" w:rsidRDefault="00000000">
      <w:pPr>
        <w:pBdr>
          <w:top w:val="nil"/>
          <w:left w:val="nil"/>
          <w:bottom w:val="nil"/>
          <w:right w:val="nil"/>
          <w:between w:val="nil"/>
        </w:pBdr>
        <w:spacing w:line="276" w:lineRule="auto"/>
        <w:jc w:val="both"/>
        <w:rPr>
          <w:b/>
          <w:color w:val="000000"/>
        </w:rPr>
      </w:pPr>
      <w:r>
        <w:rPr>
          <w:b/>
          <w:color w:val="000000"/>
        </w:rPr>
        <w:t>A.4. Alternatívne riešenia</w:t>
      </w:r>
    </w:p>
    <w:p w14:paraId="42E821C0" w14:textId="77777777" w:rsidR="00103961" w:rsidRDefault="00103961">
      <w:pPr>
        <w:pBdr>
          <w:top w:val="nil"/>
          <w:left w:val="nil"/>
          <w:bottom w:val="nil"/>
          <w:right w:val="nil"/>
          <w:between w:val="nil"/>
        </w:pBdr>
        <w:spacing w:line="276" w:lineRule="auto"/>
        <w:jc w:val="both"/>
        <w:rPr>
          <w:rFonts w:ascii="Calibri" w:eastAsia="Calibri" w:hAnsi="Calibri" w:cs="Calibri"/>
          <w:color w:val="000000"/>
          <w:sz w:val="22"/>
          <w:szCs w:val="22"/>
        </w:rPr>
      </w:pPr>
    </w:p>
    <w:p w14:paraId="5E63A32E" w14:textId="77777777" w:rsidR="00103961" w:rsidRDefault="00000000">
      <w:pPr>
        <w:pBdr>
          <w:top w:val="nil"/>
          <w:left w:val="nil"/>
          <w:bottom w:val="nil"/>
          <w:right w:val="nil"/>
          <w:between w:val="nil"/>
        </w:pBdr>
        <w:spacing w:line="276" w:lineRule="auto"/>
        <w:jc w:val="both"/>
        <w:rPr>
          <w:rFonts w:ascii="Calibri" w:eastAsia="Calibri" w:hAnsi="Calibri" w:cs="Calibri"/>
          <w:color w:val="000000"/>
          <w:sz w:val="22"/>
          <w:szCs w:val="22"/>
        </w:rPr>
      </w:pPr>
      <w:r>
        <w:rPr>
          <w:color w:val="000000"/>
        </w:rPr>
        <w:t xml:space="preserve">Bezpredmetné  </w:t>
      </w:r>
    </w:p>
    <w:p w14:paraId="2F781326" w14:textId="77777777" w:rsidR="00103961" w:rsidRDefault="00000000">
      <w:pPr>
        <w:widowControl/>
        <w:pBdr>
          <w:top w:val="nil"/>
          <w:left w:val="nil"/>
          <w:bottom w:val="nil"/>
          <w:right w:val="nil"/>
          <w:between w:val="nil"/>
        </w:pBdr>
        <w:spacing w:before="280" w:after="280"/>
        <w:ind w:left="567" w:hanging="567"/>
        <w:jc w:val="both"/>
        <w:rPr>
          <w:color w:val="000000"/>
        </w:rPr>
      </w:pPr>
      <w:r>
        <w:rPr>
          <w:b/>
          <w:color w:val="000000"/>
        </w:rPr>
        <w:t xml:space="preserve">A.5. </w:t>
      </w:r>
      <w:r>
        <w:rPr>
          <w:b/>
          <w:color w:val="000000"/>
        </w:rPr>
        <w:tab/>
        <w:t>Stanovisko gestorov</w:t>
      </w:r>
    </w:p>
    <w:p w14:paraId="2C8360D0" w14:textId="77777777" w:rsidR="00103961" w:rsidRDefault="00000000">
      <w:pPr>
        <w:pBdr>
          <w:top w:val="nil"/>
          <w:left w:val="nil"/>
          <w:bottom w:val="nil"/>
          <w:right w:val="nil"/>
          <w:between w:val="nil"/>
        </w:pBdr>
        <w:spacing w:line="276" w:lineRule="auto"/>
        <w:jc w:val="both"/>
        <w:rPr>
          <w:color w:val="000000"/>
        </w:rPr>
      </w:pPr>
      <w:r>
        <w:rPr>
          <w:color w:val="000000"/>
        </w:rPr>
        <w:t>Bezpredmetné</w:t>
      </w:r>
    </w:p>
    <w:sectPr w:rsidR="001039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82AE" w14:textId="77777777" w:rsidR="000B750A" w:rsidRDefault="000B750A">
      <w:r>
        <w:separator/>
      </w:r>
    </w:p>
  </w:endnote>
  <w:endnote w:type="continuationSeparator" w:id="0">
    <w:p w14:paraId="23ACB98A" w14:textId="77777777" w:rsidR="000B750A" w:rsidRDefault="000B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987B" w14:textId="77777777" w:rsidR="00103961" w:rsidRDefault="00103961">
    <w:pPr>
      <w:widowControl/>
      <w:pBdr>
        <w:top w:val="nil"/>
        <w:left w:val="nil"/>
        <w:bottom w:val="nil"/>
        <w:right w:val="nil"/>
        <w:between w:val="nil"/>
      </w:pBdr>
      <w:tabs>
        <w:tab w:val="center" w:pos="4536"/>
        <w:tab w:val="right" w:pos="9072"/>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C19F" w14:textId="77777777" w:rsidR="00103961" w:rsidRDefault="00103961">
    <w:pPr>
      <w:widowControl/>
      <w:pBdr>
        <w:top w:val="nil"/>
        <w:left w:val="nil"/>
        <w:bottom w:val="nil"/>
        <w:right w:val="nil"/>
        <w:between w:val="nil"/>
      </w:pBdr>
      <w:tabs>
        <w:tab w:val="center" w:pos="4536"/>
        <w:tab w:val="right" w:pos="9072"/>
      </w:tabs>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8EEC" w14:textId="77777777" w:rsidR="00103961" w:rsidRDefault="00103961">
    <w:pPr>
      <w:widowControl/>
      <w:pBdr>
        <w:top w:val="nil"/>
        <w:left w:val="nil"/>
        <w:bottom w:val="nil"/>
        <w:right w:val="nil"/>
        <w:between w:val="nil"/>
      </w:pBdr>
      <w:tabs>
        <w:tab w:val="center" w:pos="4536"/>
        <w:tab w:val="right" w:pos="9072"/>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884B" w14:textId="77777777" w:rsidR="000B750A" w:rsidRDefault="000B750A">
      <w:r>
        <w:separator/>
      </w:r>
    </w:p>
  </w:footnote>
  <w:footnote w:type="continuationSeparator" w:id="0">
    <w:p w14:paraId="74482F13" w14:textId="77777777" w:rsidR="000B750A" w:rsidRDefault="000B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EDD6" w14:textId="77777777" w:rsidR="00103961" w:rsidRDefault="0010396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DB19" w14:textId="77777777" w:rsidR="00103961" w:rsidRDefault="00103961">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7ECE" w14:textId="77777777" w:rsidR="00103961" w:rsidRDefault="0010396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61"/>
    <w:rsid w:val="000B750A"/>
    <w:rsid w:val="00103961"/>
    <w:rsid w:val="002B1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CC69"/>
  <w15:docId w15:val="{7D4A0737-B9B3-40EE-AEE2-3D9C6CAC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05E"/>
    <w:pPr>
      <w:suppressAutoHyphens/>
    </w:pPr>
    <w:rPr>
      <w:rFonts w:eastAsia="SimSun" w:cs="Mangal"/>
      <w:kern w:val="1"/>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rtl w:val="0"/>
      <w:cs w:val="0"/>
      <w:lang w:val="en-US" w:eastAsia="x-none"/>
    </w:rPr>
  </w:style>
  <w:style w:type="table" w:styleId="Mriekatabuky">
    <w:name w:val="Table Grid"/>
    <w:basedOn w:val="Normlnatabuka"/>
    <w:uiPriority w:val="59"/>
    <w:rsid w:val="00F6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tl w:val="0"/>
      <w:cs w:val="0"/>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rtl w:val="0"/>
      <w:cs w:val="0"/>
      <w:lang w:val="x-none" w:eastAsia="sk-SK"/>
    </w:rPr>
  </w:style>
  <w:style w:type="character" w:styleId="slostrany">
    <w:name w:val="page number"/>
    <w:basedOn w:val="Predvolenpsmoodseku"/>
    <w:uiPriority w:val="99"/>
    <w:rsid w:val="0090548E"/>
    <w:rPr>
      <w:rFonts w:cs="Times New Roman"/>
      <w:rtl w:val="0"/>
      <w:cs w:val="0"/>
    </w:rPr>
  </w:style>
  <w:style w:type="paragraph" w:styleId="Hlavika">
    <w:name w:val="header"/>
    <w:basedOn w:val="Normlny"/>
    <w:link w:val="HlavikaChar"/>
    <w:uiPriority w:val="99"/>
    <w:semiHidden/>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semiHidden/>
    <w:locked/>
    <w:rsid w:val="0090548E"/>
    <w:rPr>
      <w:rFonts w:ascii="Times New Roman" w:eastAsia="SimSun" w:hAnsi="Times New Roman" w:cs="Mangal"/>
      <w:kern w:val="1"/>
      <w:sz w:val="21"/>
      <w:szCs w:val="21"/>
      <w:rtl w:val="0"/>
      <w:cs w:val="0"/>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rtl w:val="0"/>
      <w:cs w:val="0"/>
      <w:lang w:val="x-none" w:eastAsia="sk-SK"/>
    </w:rPr>
  </w:style>
  <w:style w:type="character" w:styleId="Odkaznapoznmkupodiarou">
    <w:name w:val="footnote reference"/>
    <w:basedOn w:val="Predvolenpsmoodseku"/>
    <w:uiPriority w:val="99"/>
    <w:unhideWhenUsed/>
    <w:rsid w:val="0017622F"/>
    <w:rPr>
      <w:rFonts w:cs="Times New Roman"/>
      <w:vertAlign w:val="superscript"/>
      <w:rtl w:val="0"/>
      <w:cs w:val="0"/>
    </w:rPr>
  </w:style>
  <w:style w:type="character" w:customStyle="1" w:styleId="apple-converted-space">
    <w:name w:val="apple-converted-space"/>
    <w:basedOn w:val="Predvolenpsmoodseku"/>
    <w:rsid w:val="0017622F"/>
    <w:rPr>
      <w:rFonts w:cs="Times New Roman"/>
      <w:rtl w:val="0"/>
      <w:cs w:val="0"/>
    </w:rPr>
  </w:style>
  <w:style w:type="character" w:customStyle="1" w:styleId="h1a">
    <w:name w:val="h1a"/>
    <w:basedOn w:val="Predvolenpsmoodseku"/>
    <w:rsid w:val="0017622F"/>
    <w:rPr>
      <w:rFonts w:cs="Times New Roman"/>
      <w:rtl w:val="0"/>
      <w:cs w:val="0"/>
    </w:rPr>
  </w:style>
  <w:style w:type="paragraph" w:customStyle="1" w:styleId="Vchodzie">
    <w:name w:val="Vchodzie"/>
    <w:rsid w:val="00BB30C7"/>
    <w:pPr>
      <w:autoSpaceDN w:val="0"/>
      <w:adjustRightInd w:val="0"/>
      <w:spacing w:after="200" w:line="276" w:lineRule="auto"/>
    </w:pPr>
    <w:rPr>
      <w:rFonts w:ascii="Calibri" w:eastAsiaTheme="minorEastAsia" w:hAnsi="Calibri" w:cs="Calibri"/>
      <w:kern w:val="1"/>
      <w:szCs w:val="22"/>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rtl w:val="0"/>
      <w:cs w:val="0"/>
      <w:lang w:val="x-none" w:eastAsia="hi-IN" w:bidi="hi-IN"/>
    </w:rPr>
  </w:style>
  <w:style w:type="character" w:styleId="Odkaznakomentr">
    <w:name w:val="annotation reference"/>
    <w:basedOn w:val="Predvolenpsmoodseku"/>
    <w:uiPriority w:val="99"/>
    <w:rsid w:val="0014165A"/>
    <w:rPr>
      <w:sz w:val="16"/>
      <w:szCs w:val="16"/>
    </w:rPr>
  </w:style>
  <w:style w:type="paragraph" w:styleId="Textkomentra">
    <w:name w:val="annotation text"/>
    <w:basedOn w:val="Normlny"/>
    <w:link w:val="TextkomentraChar"/>
    <w:uiPriority w:val="99"/>
    <w:rsid w:val="0014165A"/>
    <w:rPr>
      <w:sz w:val="20"/>
      <w:szCs w:val="18"/>
    </w:rPr>
  </w:style>
  <w:style w:type="character" w:customStyle="1" w:styleId="TextkomentraChar">
    <w:name w:val="Text komentára Char"/>
    <w:basedOn w:val="Predvolenpsmoodseku"/>
    <w:link w:val="Textkomentra"/>
    <w:uiPriority w:val="99"/>
    <w:rsid w:val="0014165A"/>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rsid w:val="0014165A"/>
    <w:rPr>
      <w:b/>
      <w:bCs/>
    </w:rPr>
  </w:style>
  <w:style w:type="character" w:customStyle="1" w:styleId="PredmetkomentraChar">
    <w:name w:val="Predmet komentára Char"/>
    <w:basedOn w:val="TextkomentraChar"/>
    <w:link w:val="Predmetkomentra"/>
    <w:uiPriority w:val="99"/>
    <w:rsid w:val="0014165A"/>
    <w:rPr>
      <w:rFonts w:ascii="Times New Roman" w:eastAsia="SimSun" w:hAnsi="Times New Roman" w:cs="Mangal"/>
      <w:b/>
      <w:bCs/>
      <w:kern w:val="1"/>
      <w:sz w:val="20"/>
      <w:szCs w:val="18"/>
      <w:lang w:eastAsia="hi-IN" w:bidi="hi-IN"/>
    </w:rPr>
  </w:style>
  <w:style w:type="paragraph" w:styleId="Revzia">
    <w:name w:val="Revision"/>
    <w:hidden/>
    <w:uiPriority w:val="99"/>
    <w:semiHidden/>
    <w:rsid w:val="00335383"/>
    <w:rPr>
      <w:rFonts w:eastAsia="SimSun" w:cs="Mangal"/>
      <w:kern w:val="1"/>
      <w:szCs w:val="21"/>
      <w:lang w:eastAsia="hi-IN" w:bidi="hi-IN"/>
    </w:rPr>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lnatabuka"/>
    <w:tblPr>
      <w:tblStyleRowBandSize w:val="1"/>
      <w:tblStyleColBandSize w:val="1"/>
      <w:tblCellMar>
        <w:top w:w="15" w:type="dxa"/>
        <w:left w:w="15" w:type="dxa"/>
        <w:bottom w:w="15" w:type="dxa"/>
        <w:right w:w="15" w:type="dxa"/>
      </w:tblCellMar>
    </w:tblPr>
  </w:style>
  <w:style w:type="table" w:customStyle="1" w:styleId="a0">
    <w:basedOn w:val="Normlnatabuka"/>
    <w:tblPr>
      <w:tblStyleRowBandSize w:val="1"/>
      <w:tblStyleColBandSize w:val="1"/>
      <w:tblCellMar>
        <w:top w:w="15" w:type="dxa"/>
        <w:left w:w="15" w:type="dxa"/>
        <w:bottom w:w="15" w:type="dxa"/>
        <w:right w:w="15" w:type="dxa"/>
      </w:tblCellMar>
    </w:tblPr>
  </w:style>
  <w:style w:type="table" w:customStyle="1" w:styleId="a1">
    <w:basedOn w:val="Normlnatabuka"/>
    <w:tblPr>
      <w:tblStyleRowBandSize w:val="1"/>
      <w:tblStyleColBandSize w:val="1"/>
      <w:tblCellMar>
        <w:top w:w="15" w:type="dxa"/>
        <w:left w:w="15" w:type="dxa"/>
        <w:bottom w:w="15" w:type="dxa"/>
        <w:right w:w="15" w:type="dxa"/>
      </w:tblCellMar>
    </w:tblPr>
  </w:style>
  <w:style w:type="table" w:customStyle="1" w:styleId="a2">
    <w:basedOn w:val="Normlnatabuka"/>
    <w:tblPr>
      <w:tblStyleRowBandSize w:val="1"/>
      <w:tblStyleColBandSize w:val="1"/>
      <w:tblCellMar>
        <w:top w:w="15" w:type="dxa"/>
        <w:left w:w="15" w:type="dxa"/>
        <w:bottom w:w="15" w:type="dxa"/>
        <w:right w:w="15" w:type="dxa"/>
      </w:tblCellMar>
    </w:tblPr>
  </w:style>
  <w:style w:type="table" w:customStyle="1" w:styleId="a3">
    <w:basedOn w:val="Normlnatabuka"/>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AO7ls+UIeNTlB0b/Btals7TJIw==">AMUW2mUDVfCxJjg0X4wGgtjkB28UcYztn3Nbv/VskrtlmmlCj6iLT/kawEkb1HboBSzZmQiDyamQAtmw0pglVUFIbaSi3jVm/OBSd5ZgLUuh0zMgLXG3B0zPlXsQuXlFfR0SYDY3pLCDa0FXGDQp0+WcsaSQkR3L61DqZ6hvW5DUcMBzt3vd/ITefOx65XMSXzLxZNIDA+RZ6MohDx+OxrJOlw1vSy4pYQ==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Benakova</dc:creator>
  <cp:lastModifiedBy>Nora Benakova</cp:lastModifiedBy>
  <cp:revision>2</cp:revision>
  <dcterms:created xsi:type="dcterms:W3CDTF">2023-01-13T09:34:00Z</dcterms:created>
  <dcterms:modified xsi:type="dcterms:W3CDTF">2023-01-13T09:34:00Z</dcterms:modified>
</cp:coreProperties>
</file>