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  <w:r>
        <w:rPr>
          <w:b/>
          <w:color w:val="000000"/>
        </w:rPr>
        <w:t>NÁRODNÁ RADA SLOVENSKEJ REPUBLIKY</w:t>
      </w:r>
    </w:p>
    <w:p w14:paraId="0000000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  <w:r>
        <w:rPr>
          <w:b/>
          <w:color w:val="000000"/>
        </w:rPr>
        <w:t xml:space="preserve">VIII. </w:t>
      </w:r>
      <w:proofErr w:type="spellStart"/>
      <w:r>
        <w:rPr>
          <w:b/>
          <w:color w:val="000000"/>
        </w:rPr>
        <w:t>volebné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obdobie</w:t>
      </w:r>
      <w:proofErr w:type="spellEnd"/>
    </w:p>
    <w:p w14:paraId="00000003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</w:p>
    <w:p w14:paraId="0000000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Návrh</w:t>
      </w:r>
      <w:proofErr w:type="spellEnd"/>
    </w:p>
    <w:p w14:paraId="0000000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rPr>
          <w:rFonts w:ascii="Helvetica Neue" w:eastAsia="Helvetica Neue" w:hAnsi="Helvetica Neue" w:cs="Helvetica Neue"/>
        </w:rPr>
      </w:pPr>
    </w:p>
    <w:p w14:paraId="0000000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  <w:r>
        <w:rPr>
          <w:b/>
          <w:color w:val="000000"/>
        </w:rPr>
        <w:t>ZÁKON</w:t>
      </w:r>
    </w:p>
    <w:p w14:paraId="00000007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rPr>
          <w:rFonts w:ascii="Helvetica Neue" w:eastAsia="Helvetica Neue" w:hAnsi="Helvetica Neue" w:cs="Helvetica Neue"/>
        </w:rPr>
      </w:pPr>
    </w:p>
    <w:p w14:paraId="0000000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color w:val="000000"/>
        </w:rPr>
      </w:pPr>
      <w:r>
        <w:rPr>
          <w:color w:val="000000"/>
        </w:rPr>
        <w:t>z ... 202</w:t>
      </w:r>
      <w:r>
        <w:t>3</w:t>
      </w:r>
      <w:r>
        <w:rPr>
          <w:color w:val="000000"/>
        </w:rPr>
        <w:t>,</w:t>
      </w:r>
    </w:p>
    <w:p w14:paraId="00000009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</w:p>
    <w:p w14:paraId="0000000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ktorým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dopĺňa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zákon</w:t>
      </w:r>
      <w:proofErr w:type="spellEnd"/>
      <w:r>
        <w:rPr>
          <w:b/>
          <w:color w:val="000000"/>
        </w:rPr>
        <w:t xml:space="preserve"> č. 58/2014 Z. z. o </w:t>
      </w:r>
      <w:proofErr w:type="spellStart"/>
      <w:r>
        <w:rPr>
          <w:b/>
          <w:color w:val="000000"/>
        </w:rPr>
        <w:t>výbušninách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výbušných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predmetoch</w:t>
      </w:r>
      <w:proofErr w:type="spellEnd"/>
      <w:r>
        <w:rPr>
          <w:b/>
          <w:color w:val="000000"/>
        </w:rPr>
        <w:t xml:space="preserve"> a </w:t>
      </w:r>
      <w:proofErr w:type="spellStart"/>
      <w:r>
        <w:rPr>
          <w:b/>
          <w:color w:val="000000"/>
        </w:rPr>
        <w:t>munícii</w:t>
      </w:r>
      <w:proofErr w:type="spellEnd"/>
      <w:r>
        <w:rPr>
          <w:b/>
          <w:color w:val="000000"/>
        </w:rPr>
        <w:t xml:space="preserve"> v </w:t>
      </w:r>
      <w:proofErr w:type="spellStart"/>
      <w:r>
        <w:rPr>
          <w:b/>
          <w:color w:val="000000"/>
        </w:rPr>
        <w:t>znení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neskorších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predpisov</w:t>
      </w:r>
      <w:proofErr w:type="spellEnd"/>
      <w:r>
        <w:rPr>
          <w:b/>
          <w:color w:val="000000"/>
        </w:rPr>
        <w:t xml:space="preserve"> a </w:t>
      </w:r>
      <w:proofErr w:type="spellStart"/>
      <w:r>
        <w:rPr>
          <w:b/>
          <w:color w:val="000000"/>
        </w:rPr>
        <w:t>zákon</w:t>
      </w:r>
      <w:proofErr w:type="spellEnd"/>
      <w:r>
        <w:rPr>
          <w:b/>
          <w:color w:val="000000"/>
        </w:rPr>
        <w:t xml:space="preserve"> č. 372/1990 </w:t>
      </w:r>
      <w:proofErr w:type="spellStart"/>
      <w:r>
        <w:rPr>
          <w:b/>
          <w:color w:val="000000"/>
        </w:rPr>
        <w:t>Zb</w:t>
      </w:r>
      <w:proofErr w:type="spellEnd"/>
      <w:r>
        <w:rPr>
          <w:b/>
          <w:color w:val="000000"/>
        </w:rPr>
        <w:t>. o </w:t>
      </w:r>
      <w:proofErr w:type="spellStart"/>
      <w:r>
        <w:rPr>
          <w:b/>
          <w:color w:val="000000"/>
        </w:rPr>
        <w:t>priestupkoch</w:t>
      </w:r>
      <w:proofErr w:type="spellEnd"/>
      <w:r>
        <w:rPr>
          <w:b/>
          <w:color w:val="000000"/>
        </w:rPr>
        <w:t xml:space="preserve"> v </w:t>
      </w:r>
      <w:proofErr w:type="spellStart"/>
      <w:r>
        <w:rPr>
          <w:b/>
          <w:color w:val="000000"/>
        </w:rPr>
        <w:t>znení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neskorších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predpisov</w:t>
      </w:r>
      <w:proofErr w:type="spellEnd"/>
      <w:r>
        <w:rPr>
          <w:b/>
          <w:color w:val="000000"/>
        </w:rPr>
        <w:t>.</w:t>
      </w:r>
    </w:p>
    <w:p w14:paraId="0000000B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  <w:color w:val="000000"/>
        </w:rPr>
      </w:pPr>
    </w:p>
    <w:p w14:paraId="0000000C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</w:rPr>
      </w:pPr>
      <w:proofErr w:type="spellStart"/>
      <w:r>
        <w:rPr>
          <w:color w:val="000000"/>
        </w:rPr>
        <w:t>Národná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uzniesla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zákone</w:t>
      </w:r>
      <w:proofErr w:type="spellEnd"/>
      <w:r>
        <w:rPr>
          <w:color w:val="000000"/>
        </w:rPr>
        <w:t>:</w:t>
      </w:r>
    </w:p>
    <w:p w14:paraId="0000000D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0E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</w:t>
      </w:r>
      <w:proofErr w:type="spellEnd"/>
      <w:r>
        <w:rPr>
          <w:b/>
          <w:color w:val="000000"/>
        </w:rPr>
        <w:t>. I</w:t>
      </w:r>
    </w:p>
    <w:p w14:paraId="0000000F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1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Zákon</w:t>
      </w:r>
      <w:proofErr w:type="spellEnd"/>
      <w:r>
        <w:rPr>
          <w:color w:val="000000"/>
        </w:rPr>
        <w:t xml:space="preserve"> č. 58/2014 Z. z. o </w:t>
      </w:r>
      <w:proofErr w:type="spellStart"/>
      <w:r>
        <w:rPr>
          <w:color w:val="000000"/>
        </w:rPr>
        <w:t>výbušninách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výbušných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predmetoch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munícii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zmene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doplnení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331/2015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177/2018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220/2018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259/2021 Z. z. a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249/2022 Z. z.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dopĺňa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takto</w:t>
      </w:r>
      <w:proofErr w:type="spellEnd"/>
      <w:r>
        <w:rPr>
          <w:color w:val="000000"/>
        </w:rPr>
        <w:t>:</w:t>
      </w:r>
    </w:p>
    <w:p w14:paraId="00000011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12" w14:textId="77777777" w:rsidR="00A346E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§ 40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13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1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„(1) </w:t>
      </w:r>
      <w:proofErr w:type="spellStart"/>
      <w:r>
        <w:rPr>
          <w:color w:val="000000"/>
        </w:rPr>
        <w:t>Výbušniny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výbušné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predávať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obchodnej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52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3,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nadobúdať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výbušnín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výbušných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písomnej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oprávnenej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najviac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rokov</w:t>
      </w:r>
      <w:proofErr w:type="spellEnd"/>
      <w:r>
        <w:rPr>
          <w:color w:val="000000"/>
        </w:rPr>
        <w:t>.”</w:t>
      </w:r>
    </w:p>
    <w:p w14:paraId="0000001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1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 2.  § 52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nadpisom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1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color w:val="000000"/>
        </w:rPr>
      </w:pPr>
      <w:r>
        <w:rPr>
          <w:color w:val="000000"/>
        </w:rPr>
        <w:t xml:space="preserve">„§ 52 </w:t>
      </w:r>
      <w:proofErr w:type="spellStart"/>
      <w:r>
        <w:rPr>
          <w:color w:val="000000"/>
        </w:rPr>
        <w:t>Predaj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</w:p>
    <w:p w14:paraId="0000001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(1) </w:t>
      </w:r>
      <w:proofErr w:type="spellStart"/>
      <w:r>
        <w:rPr>
          <w:color w:val="000000"/>
        </w:rPr>
        <w:t>Predávať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nadobúdať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trh</w:t>
      </w:r>
      <w:proofErr w:type="spellEnd"/>
      <w:r>
        <w:rPr>
          <w:color w:val="000000"/>
        </w:rPr>
        <w:t>.</w:t>
      </w:r>
    </w:p>
    <w:p w14:paraId="00000019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(2)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predávajúca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povinná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upozorniť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kupujúceho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dodržanie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požiadanie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kupujúceho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podať</w:t>
      </w:r>
      <w:proofErr w:type="spellEnd"/>
      <w:r>
        <w:rPr>
          <w:color w:val="000000"/>
        </w:rPr>
        <w:t xml:space="preserve"> mu </w:t>
      </w:r>
      <w:proofErr w:type="spellStart"/>
      <w:r>
        <w:rPr>
          <w:color w:val="000000"/>
        </w:rPr>
        <w:t>vysvetlenie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použití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príslušných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bezpečnostných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opatreniach</w:t>
      </w:r>
      <w:proofErr w:type="spellEnd"/>
      <w:r>
        <w:rPr>
          <w:color w:val="000000"/>
        </w:rPr>
        <w:t>.</w:t>
      </w:r>
    </w:p>
    <w:p w14:paraId="0000001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>(3)</w:t>
      </w:r>
      <w:r>
        <w:rPr>
          <w:color w:val="000000"/>
          <w:highlight w:val="white"/>
        </w:rPr>
        <w:t xml:space="preserve"> V </w:t>
      </w:r>
      <w:proofErr w:type="spellStart"/>
      <w:r>
        <w:rPr>
          <w:color w:val="000000"/>
          <w:highlight w:val="white"/>
        </w:rPr>
        <w:t>obchodnej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sieti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možno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predávať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len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pyrotechnické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F1,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T1 a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P1 a </w:t>
      </w:r>
      <w:proofErr w:type="spellStart"/>
      <w:r>
        <w:rPr>
          <w:color w:val="000000"/>
          <w:highlight w:val="white"/>
        </w:rPr>
        <w:t>pyrotechnické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F2 a F3 </w:t>
      </w:r>
      <w:proofErr w:type="spellStart"/>
      <w:r>
        <w:rPr>
          <w:color w:val="000000"/>
          <w:highlight w:val="white"/>
        </w:rPr>
        <w:t>okrem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výmetníc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mín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rímskych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sviec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rakiet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obsahujúcich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pyrotechnickú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jednotku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ktorej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hlavným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efektom</w:t>
      </w:r>
      <w:proofErr w:type="spellEnd"/>
      <w:r>
        <w:rPr>
          <w:color w:val="000000"/>
          <w:highlight w:val="white"/>
        </w:rPr>
        <w:t xml:space="preserve"> je </w:t>
      </w:r>
      <w:proofErr w:type="spellStart"/>
      <w:r>
        <w:rPr>
          <w:color w:val="000000"/>
          <w:highlight w:val="white"/>
        </w:rPr>
        <w:t>hluk</w:t>
      </w:r>
      <w:proofErr w:type="spellEnd"/>
      <w:r>
        <w:rPr>
          <w:color w:val="000000"/>
          <w:highlight w:val="white"/>
        </w:rPr>
        <w:t xml:space="preserve"> a </w:t>
      </w:r>
      <w:proofErr w:type="spellStart"/>
      <w:r>
        <w:rPr>
          <w:color w:val="000000"/>
          <w:highlight w:val="white"/>
        </w:rPr>
        <w:t>kombinácie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obsahujúce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ako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prvok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petardy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alebo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zábleskové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petardy</w:t>
      </w:r>
      <w:proofErr w:type="spellEnd"/>
      <w:r>
        <w:rPr>
          <w:color w:val="000000"/>
          <w:highlight w:val="white"/>
        </w:rPr>
        <w:t>.</w:t>
      </w:r>
    </w:p>
    <w:p w14:paraId="0000001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(4) </w:t>
      </w:r>
      <w:proofErr w:type="spellStart"/>
      <w:r>
        <w:rPr>
          <w:color w:val="000000"/>
          <w:highlight w:val="white"/>
        </w:rPr>
        <w:t>Zakazuje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predaj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výrobkov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okrem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F1, v </w:t>
      </w:r>
      <w:proofErr w:type="spellStart"/>
      <w:r>
        <w:rPr>
          <w:color w:val="000000"/>
          <w:highlight w:val="white"/>
        </w:rPr>
        <w:t>samoobslužných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predajniach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ktoré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neslúžia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výlučne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predaj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výrobkov</w:t>
      </w:r>
      <w:proofErr w:type="spellEnd"/>
      <w:r>
        <w:rPr>
          <w:color w:val="000000"/>
          <w:highlight w:val="white"/>
        </w:rPr>
        <w:t xml:space="preserve">; </w:t>
      </w:r>
      <w:proofErr w:type="spellStart"/>
      <w:r>
        <w:rPr>
          <w:color w:val="000000"/>
          <w:highlight w:val="white"/>
        </w:rPr>
        <w:t>zaplatenie</w:t>
      </w:r>
      <w:proofErr w:type="spellEnd"/>
      <w:r>
        <w:rPr>
          <w:color w:val="000000"/>
          <w:highlight w:val="white"/>
        </w:rPr>
        <w:t xml:space="preserve"> za </w:t>
      </w:r>
      <w:proofErr w:type="spellStart"/>
      <w:r>
        <w:rPr>
          <w:color w:val="000000"/>
          <w:highlight w:val="white"/>
        </w:rPr>
        <w:t>tieto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musí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nasledovať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bezprostredne</w:t>
      </w:r>
      <w:proofErr w:type="spellEnd"/>
      <w:r>
        <w:rPr>
          <w:color w:val="000000"/>
          <w:highlight w:val="white"/>
        </w:rPr>
        <w:t xml:space="preserve"> po ich </w:t>
      </w:r>
      <w:proofErr w:type="spellStart"/>
      <w:r>
        <w:rPr>
          <w:color w:val="000000"/>
          <w:highlight w:val="white"/>
        </w:rPr>
        <w:t>odovzdaní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spotrebiteľovi</w:t>
      </w:r>
      <w:proofErr w:type="spellEnd"/>
      <w:r>
        <w:rPr>
          <w:color w:val="000000"/>
          <w:highlight w:val="white"/>
        </w:rPr>
        <w:t xml:space="preserve">. </w:t>
      </w:r>
      <w:r>
        <w:rPr>
          <w:color w:val="000000"/>
          <w:highlight w:val="white"/>
          <w:vertAlign w:val="superscript"/>
        </w:rPr>
        <w:t>21a)</w:t>
      </w:r>
    </w:p>
    <w:p w14:paraId="0000001C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lastRenderedPageBreak/>
        <w:t xml:space="preserve">(5)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predávať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predajniach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umiestené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stavbe</w:t>
      </w:r>
      <w:proofErr w:type="spellEnd"/>
      <w:r>
        <w:rPr>
          <w:color w:val="000000"/>
        </w:rPr>
        <w:t xml:space="preserve">. </w:t>
      </w:r>
    </w:p>
    <w:p w14:paraId="0000001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(6)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odpaľovať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priestoroch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predajne</w:t>
      </w:r>
      <w:proofErr w:type="spellEnd"/>
      <w:r>
        <w:rPr>
          <w:color w:val="000000"/>
        </w:rPr>
        <w:t>.</w:t>
      </w:r>
    </w:p>
    <w:p w14:paraId="0000001E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(7) Vo </w:t>
      </w:r>
      <w:proofErr w:type="spellStart"/>
      <w:r>
        <w:rPr>
          <w:color w:val="000000"/>
        </w:rPr>
        <w:t>výkladoch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vystavovať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napodobeniny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>.</w:t>
      </w:r>
    </w:p>
    <w:p w14:paraId="0000001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(8)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skladovať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predávať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priestoroch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ciest</w:t>
      </w:r>
      <w:proofErr w:type="spellEnd"/>
      <w:r>
        <w:rPr>
          <w:color w:val="000000"/>
        </w:rPr>
        <w:t xml:space="preserve"> zo </w:t>
      </w:r>
      <w:proofErr w:type="spellStart"/>
      <w:r>
        <w:rPr>
          <w:color w:val="000000"/>
        </w:rPr>
        <w:t>stavby</w:t>
      </w:r>
      <w:proofErr w:type="spellEnd"/>
      <w:r>
        <w:rPr>
          <w:color w:val="000000"/>
        </w:rPr>
        <w:t xml:space="preserve"> a z </w:t>
      </w:r>
      <w:proofErr w:type="spellStart"/>
      <w:r>
        <w:rPr>
          <w:color w:val="000000"/>
        </w:rPr>
        <w:t>predajne</w:t>
      </w:r>
      <w:proofErr w:type="spellEnd"/>
      <w:r>
        <w:rPr>
          <w:color w:val="000000"/>
        </w:rPr>
        <w:t>.</w:t>
      </w:r>
    </w:p>
    <w:p w14:paraId="0000002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(9)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F4,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P2 </w:t>
      </w:r>
      <w:proofErr w:type="spellStart"/>
      <w:r>
        <w:rPr>
          <w:color w:val="000000"/>
        </w:rPr>
        <w:t>iné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automobilový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priemysel</w:t>
      </w:r>
      <w:proofErr w:type="spellEnd"/>
      <w:r>
        <w:rPr>
          <w:color w:val="000000"/>
        </w:rPr>
        <w:t xml:space="preserve"> a T2 </w:t>
      </w:r>
      <w:proofErr w:type="spellStart"/>
      <w:r>
        <w:rPr>
          <w:color w:val="000000"/>
        </w:rPr>
        <w:t>môžu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nadobúdať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osoby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oprávnením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odpaľovača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</w:t>
      </w:r>
      <w:proofErr w:type="spellEnd"/>
      <w:r>
        <w:rPr>
          <w:color w:val="000000"/>
        </w:rPr>
        <w:t>.</w:t>
      </w:r>
    </w:p>
    <w:p w14:paraId="00000021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rFonts w:ascii="Helvetica Neue" w:eastAsia="Helvetica Neue" w:hAnsi="Helvetica Neue" w:cs="Helvetica Neue"/>
        </w:rPr>
      </w:pPr>
    </w:p>
    <w:p w14:paraId="0000002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(10) </w:t>
      </w:r>
      <w:proofErr w:type="spellStart"/>
      <w:r>
        <w:rPr>
          <w:color w:val="000000"/>
        </w:rPr>
        <w:t>Predaj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color w:val="000000"/>
        </w:rPr>
        <w:t xml:space="preserve">a to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výmetníc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mín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rímskych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sviec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rakiet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obsahujúcich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pyrotechnickú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jednotku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ktorej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hlavným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efektom</w:t>
      </w:r>
      <w:proofErr w:type="spellEnd"/>
      <w:r>
        <w:rPr>
          <w:color w:val="000000"/>
          <w:highlight w:val="white"/>
        </w:rPr>
        <w:t xml:space="preserve"> je </w:t>
      </w:r>
      <w:proofErr w:type="spellStart"/>
      <w:r>
        <w:rPr>
          <w:color w:val="000000"/>
          <w:highlight w:val="white"/>
        </w:rPr>
        <w:t>hluk</w:t>
      </w:r>
      <w:proofErr w:type="spellEnd"/>
      <w:r>
        <w:rPr>
          <w:color w:val="000000"/>
          <w:highlight w:val="white"/>
        </w:rPr>
        <w:t xml:space="preserve"> a </w:t>
      </w:r>
      <w:proofErr w:type="spellStart"/>
      <w:r>
        <w:rPr>
          <w:color w:val="000000"/>
          <w:highlight w:val="white"/>
        </w:rPr>
        <w:t>kombinácie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obsahujúce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ako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prvok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petardy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alebo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zábleskové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petardy</w:t>
      </w:r>
      <w:proofErr w:type="spellEnd"/>
      <w:r>
        <w:rPr>
          <w:color w:val="000000"/>
          <w:highlight w:val="white"/>
        </w:rPr>
        <w:t xml:space="preserve"> </w:t>
      </w:r>
      <w:r>
        <w:t>spotrebiteľovi</w:t>
      </w:r>
      <w:r>
        <w:rPr>
          <w:vertAlign w:val="superscript"/>
        </w:rPr>
        <w:t>21a</w:t>
      </w:r>
      <w:r>
        <w:t xml:space="preserve">)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celoročne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zakazuje</w:t>
      </w:r>
      <w:proofErr w:type="spellEnd"/>
      <w:r>
        <w:rPr>
          <w:color w:val="000000"/>
        </w:rPr>
        <w:t xml:space="preserve">. </w:t>
      </w:r>
    </w:p>
    <w:p w14:paraId="00000023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</w:p>
    <w:p w14:paraId="0000002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(11) </w:t>
      </w:r>
      <w:proofErr w:type="spellStart"/>
      <w:r>
        <w:rPr>
          <w:color w:val="000000"/>
        </w:rPr>
        <w:t>Predávať</w:t>
      </w:r>
      <w:proofErr w:type="spellEnd"/>
      <w: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 F3,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vymenované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10, </w:t>
      </w:r>
      <w:proofErr w:type="spellStart"/>
      <w:r>
        <w:rPr>
          <w:color w:val="000000"/>
        </w:rPr>
        <w:t>spotrebiteľovi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od 1. </w:t>
      </w:r>
      <w:proofErr w:type="spellStart"/>
      <w:r>
        <w:rPr>
          <w:color w:val="000000"/>
        </w:rPr>
        <w:t>decembra</w:t>
      </w:r>
      <w:proofErr w:type="spellEnd"/>
      <w:r>
        <w:rPr>
          <w:color w:val="000000"/>
        </w:rPr>
        <w:t xml:space="preserve"> do 31. </w:t>
      </w:r>
      <w:proofErr w:type="spellStart"/>
      <w:r>
        <w:rPr>
          <w:color w:val="000000"/>
        </w:rPr>
        <w:t>decembra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kalendárneho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>.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color w:val="000000"/>
          <w:highlight w:val="white"/>
        </w:rPr>
        <w:t>Obmedzenie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podľa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prvej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vety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neuplatní</w:t>
      </w:r>
      <w:proofErr w:type="spellEnd"/>
      <w:r>
        <w:rPr>
          <w:color w:val="000000"/>
          <w:highlight w:val="white"/>
        </w:rPr>
        <w:t xml:space="preserve"> v </w:t>
      </w:r>
      <w:proofErr w:type="spellStart"/>
      <w:r>
        <w:rPr>
          <w:color w:val="000000"/>
          <w:highlight w:val="white"/>
        </w:rPr>
        <w:t>rozsahu</w:t>
      </w:r>
      <w:proofErr w:type="spellEnd"/>
      <w:r>
        <w:rPr>
          <w:color w:val="000000"/>
          <w:highlight w:val="white"/>
        </w:rPr>
        <w:t xml:space="preserve">, v </w:t>
      </w:r>
      <w:proofErr w:type="spellStart"/>
      <w:r>
        <w:rPr>
          <w:color w:val="000000"/>
          <w:highlight w:val="white"/>
        </w:rPr>
        <w:t>akom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obec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udelila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súhlas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použitie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týchto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výrobkov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podľa</w:t>
      </w:r>
      <w:proofErr w:type="spellEnd"/>
      <w:r>
        <w:rPr>
          <w:color w:val="000000"/>
          <w:highlight w:val="white"/>
        </w:rPr>
        <w:t xml:space="preserve"> § 53 </w:t>
      </w:r>
      <w:proofErr w:type="spellStart"/>
      <w:r>
        <w:rPr>
          <w:color w:val="000000"/>
          <w:highlight w:val="white"/>
        </w:rPr>
        <w:t>ods</w:t>
      </w:r>
      <w:proofErr w:type="spellEnd"/>
      <w:r>
        <w:rPr>
          <w:color w:val="000000"/>
          <w:highlight w:val="white"/>
        </w:rPr>
        <w:t xml:space="preserve">. 5. </w:t>
      </w:r>
      <w:r>
        <w:rPr>
          <w:color w:val="000000"/>
        </w:rPr>
        <w:t>”</w:t>
      </w:r>
    </w:p>
    <w:p w14:paraId="0000002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both"/>
        <w:rPr>
          <w:color w:val="000000"/>
        </w:rPr>
      </w:pPr>
    </w:p>
    <w:p w14:paraId="0000002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3. § 53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nadpisom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2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2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</w:rPr>
      </w:pPr>
      <w:r>
        <w:rPr>
          <w:color w:val="000000"/>
        </w:rPr>
        <w:t xml:space="preserve">„§ 53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</w:p>
    <w:p w14:paraId="00000029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</w:p>
    <w:p w14:paraId="0000002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(1) </w:t>
      </w:r>
      <w:proofErr w:type="spellStart"/>
      <w:r>
        <w:rPr>
          <w:color w:val="000000"/>
        </w:rPr>
        <w:t>Pyrotechnický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>.</w:t>
      </w:r>
    </w:p>
    <w:p w14:paraId="0000002B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2C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(2)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color w:val="000000"/>
        </w:rPr>
        <w:t xml:space="preserve">a to </w:t>
      </w:r>
      <w:proofErr w:type="spellStart"/>
      <w:r>
        <w:rPr>
          <w:color w:val="000000"/>
        </w:rPr>
        <w:t>petardy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zábleskové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petardy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batérie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petárd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batérie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petárd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externou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oporou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batérie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zábleskových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petárd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batérie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zábleskových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petárd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externou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oporou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výmetnice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míny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rímske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sviece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rakety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obsahujúce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jednotku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kombinácie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obsahujúce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prvok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petardy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zábleskové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petardy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celoročne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je v </w:t>
      </w:r>
      <w:proofErr w:type="spellStart"/>
      <w:r>
        <w:rPr>
          <w:color w:val="000000"/>
        </w:rPr>
        <w:t>tomto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inak</w:t>
      </w:r>
      <w:proofErr w:type="spellEnd"/>
      <w:r>
        <w:rPr>
          <w:color w:val="000000"/>
        </w:rPr>
        <w:t>.</w:t>
      </w:r>
    </w:p>
    <w:p w14:paraId="0000002D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14:paraId="0000002E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highlight w:val="white"/>
        </w:rPr>
        <w:t xml:space="preserve">(3) </w:t>
      </w:r>
      <w:proofErr w:type="spellStart"/>
      <w:r>
        <w:rPr>
          <w:highlight w:val="white"/>
        </w:rPr>
        <w:t>Používanie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pyrotechnických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výrobkov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kategórie</w:t>
      </w:r>
      <w:proofErr w:type="spellEnd"/>
      <w:r>
        <w:rPr>
          <w:highlight w:val="white"/>
        </w:rPr>
        <w:t xml:space="preserve"> F2 a F3, </w:t>
      </w:r>
      <w:proofErr w:type="spellStart"/>
      <w:r>
        <w:rPr>
          <w:highlight w:val="white"/>
        </w:rPr>
        <w:t>ktorých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použitie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nie</w:t>
      </w:r>
      <w:proofErr w:type="spellEnd"/>
      <w:r>
        <w:rPr>
          <w:highlight w:val="white"/>
        </w:rPr>
        <w:t xml:space="preserve"> je </w:t>
      </w:r>
      <w:proofErr w:type="spellStart"/>
      <w:r>
        <w:rPr>
          <w:highlight w:val="white"/>
        </w:rPr>
        <w:t>zakázané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podľa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odseku</w:t>
      </w:r>
      <w:proofErr w:type="spellEnd"/>
      <w:r>
        <w:rPr>
          <w:highlight w:val="white"/>
        </w:rPr>
        <w:t xml:space="preserve"> 2, je </w:t>
      </w:r>
      <w:proofErr w:type="spellStart"/>
      <w:r>
        <w:rPr>
          <w:highlight w:val="white"/>
        </w:rPr>
        <w:t>možné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len</w:t>
      </w:r>
      <w:proofErr w:type="spellEnd"/>
      <w:r>
        <w:rPr>
          <w:highlight w:val="white"/>
        </w:rPr>
        <w:t xml:space="preserve"> v </w:t>
      </w:r>
      <w:proofErr w:type="spellStart"/>
      <w:r>
        <w:rPr>
          <w:highlight w:val="white"/>
        </w:rPr>
        <w:t>období</w:t>
      </w:r>
      <w:proofErr w:type="spellEnd"/>
      <w:r>
        <w:rPr>
          <w:highlight w:val="white"/>
        </w:rPr>
        <w:t xml:space="preserve"> od 31. </w:t>
      </w:r>
      <w:proofErr w:type="spellStart"/>
      <w:r>
        <w:rPr>
          <w:highlight w:val="white"/>
        </w:rPr>
        <w:t>decembra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príslušného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kalendárneho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roka</w:t>
      </w:r>
      <w:proofErr w:type="spellEnd"/>
      <w:r>
        <w:rPr>
          <w:highlight w:val="white"/>
        </w:rPr>
        <w:t xml:space="preserve"> do 1. </w:t>
      </w:r>
      <w:proofErr w:type="spellStart"/>
      <w:r>
        <w:rPr>
          <w:highlight w:val="white"/>
        </w:rPr>
        <w:t>januára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nasledujúceho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kalendárneho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miestach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ktoré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obec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priestorovo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vymedzí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všeobecne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záväzným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nariadením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podľa</w:t>
      </w:r>
      <w:proofErr w:type="spellEnd"/>
      <w:r>
        <w:rPr>
          <w:highlight w:val="white"/>
        </w:rPr>
        <w:t xml:space="preserve"> § 53a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používanie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týchto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pyrotechnických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výrobkov</w:t>
      </w:r>
      <w:proofErr w:type="spellEnd"/>
      <w:r>
        <w:rPr>
          <w:highlight w:val="white"/>
        </w:rPr>
        <w:t>.</w:t>
      </w:r>
      <w:r>
        <w:rPr>
          <w:color w:val="000000"/>
        </w:rPr>
        <w:t xml:space="preserve"> </w:t>
      </w:r>
    </w:p>
    <w:p w14:paraId="0000002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3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(4) Ak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nevymedzí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neprijme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nariadenie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účelom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povolenia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, je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katastrálnom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dotknuté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osobitných</w:t>
      </w:r>
      <w:proofErr w:type="spellEnd"/>
      <w:r>
        <w:rPr>
          <w:color w:val="000000"/>
        </w:rPr>
        <w:t xml:space="preserve"> predpisov</w:t>
      </w:r>
      <w:r>
        <w:rPr>
          <w:color w:val="000000"/>
          <w:vertAlign w:val="superscript"/>
        </w:rPr>
        <w:t>21b</w:t>
      </w:r>
      <w:r>
        <w:rPr>
          <w:color w:val="000000"/>
        </w:rPr>
        <w:t xml:space="preserve">. </w:t>
      </w:r>
    </w:p>
    <w:p w14:paraId="0000003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3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(5)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2, v </w:t>
      </w:r>
      <w:proofErr w:type="spellStart"/>
      <w:r>
        <w:rPr>
          <w:color w:val="000000"/>
        </w:rPr>
        <w:t>období</w:t>
      </w:r>
      <w:proofErr w:type="spellEnd"/>
      <w:r>
        <w:rPr>
          <w:color w:val="000000"/>
        </w:rPr>
        <w:t xml:space="preserve"> od 2. </w:t>
      </w:r>
      <w:proofErr w:type="spellStart"/>
      <w:r>
        <w:rPr>
          <w:color w:val="000000"/>
        </w:rPr>
        <w:t>januára</w:t>
      </w:r>
      <w:proofErr w:type="spellEnd"/>
      <w:r>
        <w:rPr>
          <w:color w:val="000000"/>
        </w:rPr>
        <w:t xml:space="preserve"> do 30. </w:t>
      </w:r>
      <w:proofErr w:type="spellStart"/>
      <w:r>
        <w:rPr>
          <w:color w:val="000000"/>
        </w:rPr>
        <w:t>decembra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príslušného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kalendárneho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iba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predchádzajúcim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písomnej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súhlas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a po </w:t>
      </w:r>
      <w:proofErr w:type="spellStart"/>
      <w:r>
        <w:rPr>
          <w:color w:val="000000"/>
        </w:rPr>
        <w:t>uhradení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53a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>. 6.</w:t>
      </w:r>
      <w:r>
        <w:rPr>
          <w:b/>
          <w:color w:val="000000"/>
        </w:rPr>
        <w:t xml:space="preserve"> 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predchádzajúcej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podaná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najneskôr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dní</w:t>
      </w:r>
      <w:proofErr w:type="spellEnd"/>
      <w:r>
        <w:rPr>
          <w:color w:val="000000"/>
        </w:rPr>
        <w:t xml:space="preserve"> pred </w:t>
      </w:r>
      <w:proofErr w:type="spellStart"/>
      <w:r>
        <w:rPr>
          <w:color w:val="000000"/>
        </w:rPr>
        <w:t>plánovaným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použitím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obsahovať</w:t>
      </w:r>
      <w:proofErr w:type="spellEnd"/>
    </w:p>
    <w:p w14:paraId="00000033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meno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priezvisko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trvalého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prechodného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pobytu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ide o </w:t>
      </w:r>
      <w:proofErr w:type="spellStart"/>
      <w:r>
        <w:rPr>
          <w:color w:val="000000"/>
        </w:rPr>
        <w:t>fyzickú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názov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sídlo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ide o </w:t>
      </w:r>
      <w:proofErr w:type="spellStart"/>
      <w:r>
        <w:rPr>
          <w:color w:val="000000"/>
        </w:rPr>
        <w:t>právnickú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osobu</w:t>
      </w:r>
      <w:proofErr w:type="spellEnd"/>
      <w:r>
        <w:rPr>
          <w:color w:val="000000"/>
        </w:rPr>
        <w:t xml:space="preserve">; a v </w:t>
      </w:r>
      <w:proofErr w:type="spellStart"/>
      <w:r>
        <w:rPr>
          <w:color w:val="000000"/>
        </w:rPr>
        <w:t>prípade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žiadateľ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priezvisko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trvalého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prechodného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pobytu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ide o </w:t>
      </w:r>
      <w:proofErr w:type="spellStart"/>
      <w:r>
        <w:rPr>
          <w:color w:val="000000"/>
        </w:rPr>
        <w:t>fyzickú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názov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sídlo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ide o </w:t>
      </w:r>
      <w:proofErr w:type="spellStart"/>
      <w:r>
        <w:rPr>
          <w:color w:val="000000"/>
        </w:rPr>
        <w:t>právnickú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osobu</w:t>
      </w:r>
      <w:proofErr w:type="spellEnd"/>
      <w:r>
        <w:rPr>
          <w:color w:val="000000"/>
        </w:rPr>
        <w:t>,</w:t>
      </w:r>
    </w:p>
    <w:p w14:paraId="0000003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dátum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miesto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kategóriu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uvedením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času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predpokladaného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začiatku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predpokladaného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>.</w:t>
      </w:r>
    </w:p>
    <w:p w14:paraId="0000003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3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(6)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predchádzajúci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 5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zamietne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zamietne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nachádza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okruhu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200 m od </w:t>
      </w:r>
      <w:proofErr w:type="spellStart"/>
      <w:r>
        <w:rPr>
          <w:color w:val="000000"/>
        </w:rPr>
        <w:t>nemocnice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liečebne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hospicu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domova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ošetrovateľskej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služieb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sociálnoprávnej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sociálnej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kurately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cintorína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plochy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útulku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chovného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zoologickej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záhrady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chránených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držbu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voľne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žijúcich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zajatí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oblasti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vysokou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koncentráciou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obyvateľov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najmä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blízkosti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zástavby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bytových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domov</w:t>
      </w:r>
      <w:proofErr w:type="spellEnd"/>
      <w:r>
        <w:rPr>
          <w:color w:val="000000"/>
        </w:rPr>
        <w:t>.</w:t>
      </w:r>
    </w:p>
    <w:p w14:paraId="0000003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Ak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neobsahuje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niektorú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náležitostí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5, </w:t>
      </w:r>
      <w:proofErr w:type="spellStart"/>
      <w:r>
        <w:rPr>
          <w:color w:val="000000"/>
        </w:rPr>
        <w:t>vyzve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doplnenie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zamietne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Predchádzajúci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 5 </w:t>
      </w:r>
      <w:proofErr w:type="spellStart"/>
      <w:r>
        <w:rPr>
          <w:color w:val="000000"/>
        </w:rPr>
        <w:t>oprávňuje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žiadateľa</w:t>
      </w:r>
      <w:proofErr w:type="spellEnd"/>
    </w:p>
    <w:p w14:paraId="0000003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výhradne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období</w:t>
      </w:r>
      <w:proofErr w:type="spellEnd"/>
      <w:r>
        <w:rPr>
          <w:color w:val="000000"/>
        </w:rPr>
        <w:t xml:space="preserve"> od 2. </w:t>
      </w:r>
      <w:proofErr w:type="spellStart"/>
      <w:r>
        <w:rPr>
          <w:color w:val="000000"/>
        </w:rPr>
        <w:t>januára</w:t>
      </w:r>
      <w:proofErr w:type="spellEnd"/>
      <w:r>
        <w:rPr>
          <w:color w:val="000000"/>
        </w:rPr>
        <w:t xml:space="preserve"> do 30. </w:t>
      </w:r>
      <w:proofErr w:type="spellStart"/>
      <w:r>
        <w:rPr>
          <w:color w:val="000000"/>
        </w:rPr>
        <w:t>decembra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príslušného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kalendárneho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>,</w:t>
      </w:r>
    </w:p>
    <w:p w14:paraId="00000039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nákup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výhradne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období</w:t>
      </w:r>
      <w:proofErr w:type="spellEnd"/>
      <w:r>
        <w:rPr>
          <w:color w:val="000000"/>
        </w:rPr>
        <w:t xml:space="preserve"> od 1. </w:t>
      </w:r>
      <w:proofErr w:type="spellStart"/>
      <w:r>
        <w:rPr>
          <w:color w:val="000000"/>
        </w:rPr>
        <w:t>januára</w:t>
      </w:r>
      <w:proofErr w:type="spellEnd"/>
      <w:r>
        <w:rPr>
          <w:color w:val="000000"/>
        </w:rPr>
        <w:t xml:space="preserve"> do 30. </w:t>
      </w:r>
      <w:proofErr w:type="spellStart"/>
      <w:r>
        <w:rPr>
          <w:color w:val="000000"/>
        </w:rPr>
        <w:t>novembra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príslušného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kalendárneho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>.</w:t>
      </w:r>
    </w:p>
    <w:p w14:paraId="0000003A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3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(7) </w:t>
      </w:r>
      <w:proofErr w:type="spellStart"/>
      <w:r>
        <w:rPr>
          <w:color w:val="000000"/>
        </w:rPr>
        <w:t>Pôvodca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odpadu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povinný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naložiť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odpadom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pochádzajúcim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použitia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súlade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osobitnými</w:t>
      </w:r>
      <w:proofErr w:type="spellEnd"/>
      <w:r>
        <w:rPr>
          <w:color w:val="000000"/>
        </w:rPr>
        <w:t xml:space="preserve"> predpismi.</w:t>
      </w:r>
      <w:r>
        <w:rPr>
          <w:color w:val="000000"/>
          <w:vertAlign w:val="superscript"/>
        </w:rPr>
        <w:t>21c</w:t>
      </w:r>
    </w:p>
    <w:p w14:paraId="0000003C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3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(8) Za </w:t>
      </w:r>
      <w:proofErr w:type="spellStart"/>
      <w:r>
        <w:rPr>
          <w:color w:val="000000"/>
        </w:rPr>
        <w:t>bezpečnosť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verejný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poriadok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3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§ 53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5 </w:t>
      </w:r>
      <w:proofErr w:type="spellStart"/>
      <w:r>
        <w:rPr>
          <w:color w:val="000000"/>
        </w:rPr>
        <w:t>zodpovedá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poverenú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Poverenou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osobou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obecný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policajt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vyškolený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zamestnanec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>.”</w:t>
      </w:r>
    </w:p>
    <w:p w14:paraId="0000003E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3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proofErr w:type="spellStart"/>
      <w:r>
        <w:rPr>
          <w:color w:val="000000"/>
        </w:rPr>
        <w:t>Poznámka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čiarou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odkazu</w:t>
      </w:r>
      <w:proofErr w:type="spellEnd"/>
      <w:r>
        <w:rPr>
          <w:color w:val="000000"/>
        </w:rPr>
        <w:t xml:space="preserve"> 21b a 21c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>:</w:t>
      </w:r>
    </w:p>
    <w:p w14:paraId="0000004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“21b) </w:t>
      </w:r>
    </w:p>
    <w:p w14:paraId="0000004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proofErr w:type="spellStart"/>
      <w:r>
        <w:rPr>
          <w:color w:val="000000"/>
        </w:rPr>
        <w:t>Zákon</w:t>
      </w:r>
      <w:proofErr w:type="spellEnd"/>
      <w:r>
        <w:rPr>
          <w:color w:val="000000"/>
        </w:rPr>
        <w:t xml:space="preserve"> č. 543/2002 Z. z. o </w:t>
      </w:r>
      <w:proofErr w:type="spellStart"/>
      <w:r>
        <w:rPr>
          <w:color w:val="000000"/>
        </w:rPr>
        <w:t>ochrane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prírody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krajiny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neskorších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predpisov</w:t>
      </w:r>
      <w:proofErr w:type="spellEnd"/>
      <w:r>
        <w:rPr>
          <w:color w:val="000000"/>
        </w:rPr>
        <w:t xml:space="preserve">. </w:t>
      </w:r>
    </w:p>
    <w:p w14:paraId="00000042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43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21c) </w:t>
      </w:r>
    </w:p>
    <w:p w14:paraId="0000004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proofErr w:type="spellStart"/>
      <w:r>
        <w:rPr>
          <w:color w:val="000000"/>
        </w:rPr>
        <w:t>Zákon</w:t>
      </w:r>
      <w:proofErr w:type="spellEnd"/>
      <w:r>
        <w:rPr>
          <w:color w:val="000000"/>
        </w:rPr>
        <w:t xml:space="preserve"> č. 79/2015 Z. z. o </w:t>
      </w:r>
      <w:proofErr w:type="spellStart"/>
      <w:r>
        <w:rPr>
          <w:color w:val="000000"/>
        </w:rPr>
        <w:t>odpadoch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zmene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doplnení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neskorších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predpisov</w:t>
      </w:r>
      <w:proofErr w:type="spellEnd"/>
      <w:r>
        <w:rPr>
          <w:color w:val="000000"/>
        </w:rPr>
        <w:t>.”</w:t>
      </w:r>
    </w:p>
    <w:p w14:paraId="00000045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4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4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4. Za § 53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vkladá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nový</w:t>
      </w:r>
      <w:proofErr w:type="spellEnd"/>
      <w:r>
        <w:rPr>
          <w:color w:val="000000"/>
        </w:rPr>
        <w:t xml:space="preserve"> § 53a,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nadpisom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>:</w:t>
      </w:r>
    </w:p>
    <w:p w14:paraId="00000048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49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Helvetica Neue" w:eastAsia="Helvetica Neue" w:hAnsi="Helvetica Neue" w:cs="Helvetica Neue"/>
        </w:rPr>
      </w:pPr>
      <w:r>
        <w:t>„</w:t>
      </w:r>
      <w:r>
        <w:rPr>
          <w:color w:val="000000"/>
        </w:rPr>
        <w:t xml:space="preserve">§ 53a </w:t>
      </w:r>
      <w:proofErr w:type="spellStart"/>
      <w:r>
        <w:rPr>
          <w:color w:val="000000"/>
        </w:rPr>
        <w:t>Vydávanie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obcami</w:t>
      </w:r>
      <w:proofErr w:type="spellEnd"/>
    </w:p>
    <w:p w14:paraId="0000004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4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(1)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priestorovo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2. </w:t>
      </w:r>
    </w:p>
    <w:p w14:paraId="0000004C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4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(2)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dôvodu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poriadku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obmedziť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P1 a T1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častiach</w:t>
      </w:r>
      <w:proofErr w:type="spellEnd"/>
      <w:r>
        <w:rPr>
          <w:color w:val="000000"/>
        </w:rPr>
        <w:t xml:space="preserve">. </w:t>
      </w:r>
    </w:p>
    <w:p w14:paraId="0000004E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4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(3)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možné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musia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, aby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v ich </w:t>
      </w:r>
      <w:proofErr w:type="spellStart"/>
      <w:r>
        <w:rPr>
          <w:color w:val="000000"/>
        </w:rPr>
        <w:t>okruhu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vzdialenosti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minimálne</w:t>
      </w:r>
      <w:proofErr w:type="spellEnd"/>
      <w:r>
        <w:rPr>
          <w:color w:val="000000"/>
        </w:rPr>
        <w:t xml:space="preserve"> 200 m </w:t>
      </w:r>
      <w:proofErr w:type="spellStart"/>
      <w:r>
        <w:rPr>
          <w:color w:val="000000"/>
        </w:rPr>
        <w:t>nenachádzali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nemocnice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liečebne</w:t>
      </w:r>
      <w:proofErr w:type="spellEnd"/>
      <w:r>
        <w:rPr>
          <w:color w:val="000000"/>
        </w:rPr>
        <w:t xml:space="preserve">, hospice, </w:t>
      </w:r>
      <w:proofErr w:type="spellStart"/>
      <w:r>
        <w:rPr>
          <w:color w:val="000000"/>
        </w:rPr>
        <w:t>domovy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ošetrovateľskej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služieb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sociálnoprávnej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sociálnej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kurately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cintoríny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plochy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útulky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chovné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zoologické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záhrady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chránených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držbu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voľne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žijúcich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zajatí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Vymedzené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nemali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sústredené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oblasti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vysokou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koncentráciou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obyvateľov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najmä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blízkosti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zástavby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bytových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domov</w:t>
      </w:r>
      <w:proofErr w:type="spellEnd"/>
      <w:r>
        <w:rPr>
          <w:color w:val="000000"/>
        </w:rPr>
        <w:t>.</w:t>
      </w:r>
    </w:p>
    <w:p w14:paraId="00000050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(4)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musia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graficky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zaznačené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mape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zverejní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webovom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sídle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tabuli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viditeľne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označené</w:t>
      </w:r>
      <w:proofErr w:type="spellEnd"/>
      <w:r>
        <w:rPr>
          <w:color w:val="000000"/>
        </w:rPr>
        <w:t>.</w:t>
      </w:r>
    </w:p>
    <w:p w14:paraId="0000005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 </w:t>
      </w:r>
    </w:p>
    <w:p w14:paraId="00000053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(5) V </w:t>
      </w:r>
      <w:proofErr w:type="spellStart"/>
      <w:r>
        <w:rPr>
          <w:color w:val="000000"/>
        </w:rPr>
        <w:t>období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3 je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zabezpečiť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vyhradenom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prítomnosť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príslušníka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policajného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príslušníka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polície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vyškoleného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zamestnanca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. </w:t>
      </w:r>
    </w:p>
    <w:p w14:paraId="00000054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5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(6)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poplatku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5. </w:t>
      </w:r>
      <w:proofErr w:type="spellStart"/>
      <w:r>
        <w:rPr>
          <w:color w:val="000000"/>
        </w:rPr>
        <w:t>Výška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stanovená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minimálnej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sume</w:t>
      </w:r>
      <w:proofErr w:type="spellEnd"/>
      <w:r>
        <w:rPr>
          <w:color w:val="000000"/>
        </w:rPr>
        <w:t xml:space="preserve"> 500 </w:t>
      </w:r>
      <w:proofErr w:type="spellStart"/>
      <w:r>
        <w:rPr>
          <w:color w:val="000000"/>
        </w:rPr>
        <w:t>eur.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Poplatok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príjmom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rozpočtu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.” </w:t>
      </w:r>
    </w:p>
    <w:p w14:paraId="00000056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5. § 54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nadpisom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>:</w:t>
      </w:r>
    </w:p>
    <w:p w14:paraId="00000058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9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Helvetica Neue" w:eastAsia="Helvetica Neue" w:hAnsi="Helvetica Neue" w:cs="Helvetica Neue"/>
        </w:rPr>
      </w:pPr>
      <w:r>
        <w:t>„</w:t>
      </w:r>
      <w:r>
        <w:rPr>
          <w:color w:val="000000"/>
        </w:rPr>
        <w:t xml:space="preserve">§ 54 </w:t>
      </w:r>
      <w:proofErr w:type="spellStart"/>
      <w:r>
        <w:rPr>
          <w:color w:val="000000"/>
        </w:rPr>
        <w:t>Povoľovanie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</w:p>
    <w:p w14:paraId="0000005A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</w:p>
    <w:p w14:paraId="0000005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(1)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povoľuje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rozhodnutím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. Ak </w:t>
      </w:r>
      <w:proofErr w:type="spellStart"/>
      <w:r>
        <w:rPr>
          <w:color w:val="000000"/>
        </w:rPr>
        <w:t>rozhodnutie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bolo </w:t>
      </w:r>
      <w:proofErr w:type="spellStart"/>
      <w:r>
        <w:rPr>
          <w:color w:val="000000"/>
        </w:rPr>
        <w:t>vydané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určitú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neboli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lehote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určenej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rozhodnutí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rozhodnutia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toho, </w:t>
      </w:r>
      <w:proofErr w:type="spellStart"/>
      <w:r>
        <w:rPr>
          <w:color w:val="000000"/>
        </w:rPr>
        <w:t>kto</w:t>
      </w:r>
      <w:proofErr w:type="spellEnd"/>
      <w:r>
        <w:rPr>
          <w:color w:val="000000"/>
        </w:rPr>
        <w:t xml:space="preserve"> mal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povolené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predĺžiť</w:t>
      </w:r>
      <w:proofErr w:type="spellEnd"/>
      <w:r>
        <w:rPr>
          <w:color w:val="000000"/>
        </w:rPr>
        <w:t>.</w:t>
      </w:r>
    </w:p>
    <w:p w14:paraId="0000005C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(2) </w:t>
      </w:r>
      <w:proofErr w:type="spellStart"/>
      <w:r>
        <w:rPr>
          <w:color w:val="000000"/>
        </w:rPr>
        <w:t>Žiadosť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podáva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, pre </w:t>
      </w:r>
      <w:proofErr w:type="spellStart"/>
      <w:r>
        <w:rPr>
          <w:color w:val="000000"/>
        </w:rPr>
        <w:t>ktorú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písomným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vykoná</w:t>
      </w:r>
      <w:proofErr w:type="spellEnd"/>
      <w:r>
        <w:rPr>
          <w:color w:val="000000"/>
        </w:rPr>
        <w:t>.</w:t>
      </w:r>
    </w:p>
    <w:p w14:paraId="0000005E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5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 xml:space="preserve">(3) K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prikladá</w:t>
      </w:r>
      <w:proofErr w:type="spellEnd"/>
    </w:p>
    <w:p w14:paraId="0000006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kópia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odpaľovača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vykonávať</w:t>
      </w:r>
      <w:proofErr w:type="spellEnd"/>
      <w:r>
        <w:rPr>
          <w:color w:val="000000"/>
        </w:rPr>
        <w:t>,</w:t>
      </w:r>
    </w:p>
    <w:p w14:paraId="0000006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povolenie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F4,</w:t>
      </w:r>
    </w:p>
    <w:p w14:paraId="0000006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c) </w:t>
      </w:r>
      <w:proofErr w:type="spellStart"/>
      <w:r>
        <w:rPr>
          <w:color w:val="000000"/>
        </w:rPr>
        <w:t>technologický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návrhom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podmienok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bezpečné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vykonanie</w:t>
      </w:r>
      <w:proofErr w:type="spellEnd"/>
      <w:r>
        <w:rPr>
          <w:color w:val="000000"/>
        </w:rPr>
        <w:t>,</w:t>
      </w:r>
    </w:p>
    <w:p w14:paraId="00000063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písomný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stanovisko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o tom, </w:t>
      </w:r>
      <w:proofErr w:type="spellStart"/>
      <w:r>
        <w:rPr>
          <w:color w:val="000000"/>
        </w:rPr>
        <w:t>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okruhu</w:t>
      </w:r>
      <w:proofErr w:type="spellEnd"/>
      <w:r>
        <w:rPr>
          <w:color w:val="000000"/>
        </w:rPr>
        <w:t xml:space="preserve"> 300 m od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nachádzajú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nemocnice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liečebne</w:t>
      </w:r>
      <w:proofErr w:type="spellEnd"/>
      <w:r>
        <w:rPr>
          <w:color w:val="000000"/>
        </w:rPr>
        <w:t xml:space="preserve">, hospice, </w:t>
      </w:r>
      <w:proofErr w:type="spellStart"/>
      <w:r>
        <w:rPr>
          <w:color w:val="000000"/>
        </w:rPr>
        <w:t>domovy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ošetrovateľskej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služieb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sociálnoprávnej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sociálnej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kurately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cintoríny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plochy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útulky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zoologické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záhrady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chránených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>,</w:t>
      </w:r>
    </w:p>
    <w:p w14:paraId="0000006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záväzné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stanovisko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Dopravného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úradu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stanovením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podmienok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vzdialenosti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10 000 m od </w:t>
      </w:r>
      <w:proofErr w:type="spellStart"/>
      <w:r>
        <w:rPr>
          <w:color w:val="000000"/>
        </w:rPr>
        <w:t>vzťažného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riadeného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letiska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nočnou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prevádzkou</w:t>
      </w:r>
      <w:proofErr w:type="spellEnd"/>
      <w:r>
        <w:rPr>
          <w:color w:val="000000"/>
        </w:rPr>
        <w:t>.</w:t>
      </w:r>
    </w:p>
    <w:p w14:paraId="0000006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6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(4)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prijatí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bezodkladne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prebiehajúcom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povolení</w:t>
      </w:r>
      <w:proofErr w:type="spellEnd"/>
      <w: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webovom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sídle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zároveň</w:t>
      </w:r>
      <w:proofErr w:type="spellEnd"/>
      <w:r>
        <w:rPr>
          <w:color w:val="000000"/>
        </w:rPr>
        <w:t xml:space="preserve"> o tom </w:t>
      </w:r>
      <w:proofErr w:type="spellStart"/>
      <w:r>
        <w:rPr>
          <w:color w:val="000000"/>
        </w:rPr>
        <w:t>oboznámi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, v </w:t>
      </w:r>
      <w:proofErr w:type="spellStart"/>
      <w:r>
        <w:rPr>
          <w:color w:val="000000"/>
        </w:rPr>
        <w:t>ktorej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katastrálnom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t xml:space="preserve">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vykonávané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bezodkladne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zverejní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túto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informáciu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webovom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sídle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ho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zriadené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tabuli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Informácia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zverejnená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skončenia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. </w:t>
      </w:r>
    </w:p>
    <w:p w14:paraId="0000006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6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(5) </w:t>
      </w:r>
      <w:proofErr w:type="spellStart"/>
      <w:r>
        <w:rPr>
          <w:color w:val="000000"/>
        </w:rPr>
        <w:t>Informácia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obsahovať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poučenie</w:t>
      </w:r>
      <w:proofErr w:type="spellEnd"/>
      <w:r>
        <w:rPr>
          <w:color w:val="000000"/>
        </w:rPr>
        <w:t xml:space="preserve"> o tom,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zapojiť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dotknutá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7 a </w:t>
      </w:r>
      <w:proofErr w:type="spellStart"/>
      <w:r>
        <w:rPr>
          <w:color w:val="000000"/>
        </w:rPr>
        <w:t>poučenie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zapojenia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6. </w:t>
      </w:r>
    </w:p>
    <w:p w14:paraId="00000069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6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(6) </w:t>
      </w:r>
      <w:proofErr w:type="spellStart"/>
      <w:r>
        <w:rPr>
          <w:color w:val="000000"/>
        </w:rPr>
        <w:t>Účastníkmi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povolenie</w:t>
      </w:r>
      <w:proofErr w:type="spellEnd"/>
      <w: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žiadateľ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dotknutá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prejavila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záujem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písomného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zúčastniť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>.</w:t>
      </w:r>
    </w:p>
    <w:p w14:paraId="0000006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6C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(7) </w:t>
      </w:r>
      <w:proofErr w:type="spellStart"/>
      <w:r>
        <w:rPr>
          <w:color w:val="000000"/>
        </w:rPr>
        <w:t>Dotknutou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rozumie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mimovládna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organizácia</w:t>
      </w:r>
      <w:proofErr w:type="spellEnd"/>
      <w:r>
        <w:rPr>
          <w:color w:val="000000"/>
        </w:rPr>
        <w:t xml:space="preserve">, za </w:t>
      </w:r>
      <w:proofErr w:type="spellStart"/>
      <w:r>
        <w:rPr>
          <w:color w:val="000000"/>
        </w:rPr>
        <w:t>ktorú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považuje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občianske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združenie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neinvestičný</w:t>
      </w:r>
      <w:proofErr w:type="spellEnd"/>
      <w:r>
        <w:rPr>
          <w:color w:val="000000"/>
        </w:rPr>
        <w:t xml:space="preserve"> fond, </w:t>
      </w:r>
      <w:proofErr w:type="spellStart"/>
      <w:r>
        <w:rPr>
          <w:color w:val="000000"/>
        </w:rPr>
        <w:t>nezisková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organizácia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poskytujúca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verejnoprospešné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založil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nadácia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právnická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záujme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vrátane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>.</w:t>
      </w:r>
    </w:p>
    <w:p w14:paraId="0000006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6E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(8)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nepovolí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, v </w:t>
      </w:r>
      <w:proofErr w:type="spellStart"/>
      <w:r>
        <w:rPr>
          <w:color w:val="000000"/>
        </w:rPr>
        <w:t>prípade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>:</w:t>
      </w:r>
    </w:p>
    <w:p w14:paraId="0000006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okruhu</w:t>
      </w:r>
      <w:proofErr w:type="spellEnd"/>
      <w:r>
        <w:rPr>
          <w:color w:val="000000"/>
        </w:rPr>
        <w:t xml:space="preserve"> 300 m od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nachádzajú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nemocnice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liečebne</w:t>
      </w:r>
      <w:proofErr w:type="spellEnd"/>
      <w:r>
        <w:rPr>
          <w:color w:val="000000"/>
        </w:rPr>
        <w:t xml:space="preserve">, hospice, </w:t>
      </w:r>
      <w:proofErr w:type="spellStart"/>
      <w:r>
        <w:rPr>
          <w:color w:val="000000"/>
        </w:rPr>
        <w:t>domovy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ošetrovateľskej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služieb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sociálnoprávnej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sociálnej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kurately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cintoríny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plochy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útulky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zoologické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záhrady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chránených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>,</w:t>
      </w:r>
    </w:p>
    <w:p w14:paraId="0000007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b) zo </w:t>
      </w:r>
      <w:proofErr w:type="spellStart"/>
      <w:r>
        <w:rPr>
          <w:color w:val="000000"/>
        </w:rPr>
        <w:t>stanoviska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vyplýva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okruhu</w:t>
      </w:r>
      <w:proofErr w:type="spellEnd"/>
      <w:r>
        <w:rPr>
          <w:color w:val="000000"/>
        </w:rPr>
        <w:t xml:space="preserve"> 300 m od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nachádzajú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chovné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držbu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voľne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žijúcich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zajatí</w:t>
      </w:r>
      <w:proofErr w:type="spellEnd"/>
      <w:r>
        <w:rPr>
          <w:color w:val="000000"/>
        </w:rPr>
        <w:t xml:space="preserve">. </w:t>
      </w:r>
    </w:p>
    <w:p w14:paraId="0000007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Helvetica Neue" w:eastAsia="Helvetica Neue" w:hAnsi="Helvetica Neue" w:cs="Helvetica Neue"/>
        </w:rPr>
      </w:pPr>
      <w:r>
        <w:t xml:space="preserve">     </w:t>
      </w:r>
    </w:p>
    <w:p w14:paraId="0000007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(9) </w:t>
      </w:r>
      <w:proofErr w:type="spellStart"/>
      <w:r>
        <w:rPr>
          <w:color w:val="000000"/>
        </w:rPr>
        <w:t>Rozhodnutie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obvodný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zasiela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príslušnému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útvaru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Policajného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Dopravnému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obci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súhlas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>. d).</w:t>
      </w:r>
    </w:p>
    <w:p w14:paraId="00000073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74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(10) </w:t>
      </w:r>
      <w:proofErr w:type="spellStart"/>
      <w:r>
        <w:rPr>
          <w:color w:val="000000"/>
        </w:rPr>
        <w:t>Ohňostrojné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vykonávať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najmenej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dvaja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odpaľovači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</w:t>
      </w:r>
      <w:proofErr w:type="spellEnd"/>
      <w:r>
        <w:rPr>
          <w:color w:val="000000"/>
        </w:rPr>
        <w:t xml:space="preserve">, z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určený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vedúci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odpaľovač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zodpovedný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riadny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>.</w:t>
      </w:r>
    </w:p>
    <w:p w14:paraId="00000075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76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(11) Na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P2 a T2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vzťahujú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odseky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10.”</w:t>
      </w:r>
    </w:p>
    <w:p w14:paraId="00000077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78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6. § 78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p)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79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7A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</w:rPr>
      </w:pPr>
      <w:r>
        <w:rPr>
          <w:b/>
          <w:color w:val="000000"/>
        </w:rPr>
        <w:t>“</w:t>
      </w:r>
      <w:r>
        <w:rPr>
          <w:color w:val="000000"/>
        </w:rPr>
        <w:t xml:space="preserve">p) </w:t>
      </w:r>
      <w:proofErr w:type="spellStart"/>
      <w:r>
        <w:rPr>
          <w:color w:val="000000"/>
        </w:rPr>
        <w:t>nadobudne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výbušniny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výbušné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predávať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obchodnej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52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3 v 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 § 40.” </w:t>
      </w:r>
    </w:p>
    <w:p w14:paraId="0000007B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7C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7.  V § 80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1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vypúšťa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>. d).</w:t>
      </w:r>
    </w:p>
    <w:p w14:paraId="0000007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</w:rPr>
      </w:pPr>
      <w:r>
        <w:rPr>
          <w:color w:val="000000"/>
        </w:rPr>
        <w:t xml:space="preserve">8. § 86,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vrátane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nadpisu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7E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spacing w:before="160"/>
        <w:jc w:val="center"/>
        <w:rPr>
          <w:color w:val="000000"/>
        </w:rPr>
      </w:pPr>
      <w:r>
        <w:rPr>
          <w:color w:val="000000"/>
        </w:rPr>
        <w:t xml:space="preserve">„§ 86 </w:t>
      </w:r>
      <w:proofErr w:type="spellStart"/>
      <w:r>
        <w:rPr>
          <w:color w:val="000000"/>
        </w:rPr>
        <w:t>Vzťah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správnemu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poriadku</w:t>
      </w:r>
      <w:proofErr w:type="spellEnd"/>
    </w:p>
    <w:p w14:paraId="0000007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vzťahuje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správnom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7, 40, § 42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3, § 53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5 a 6, § 71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2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>. b).“</w:t>
      </w:r>
    </w:p>
    <w:p w14:paraId="00000080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81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</w:t>
      </w:r>
      <w:proofErr w:type="spellEnd"/>
      <w:r>
        <w:rPr>
          <w:b/>
          <w:color w:val="000000"/>
        </w:rPr>
        <w:t>. II</w:t>
      </w:r>
    </w:p>
    <w:p w14:paraId="00000082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83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ind w:firstLine="232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Zákon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372/1990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priestupkoch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524/1990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266/1992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295/1992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511/1992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237/1993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42/1994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248/1994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249/1994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250/1994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202/1995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207/1995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265/1995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285/1995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160/1996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168/1996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143/1998 Z. z., </w:t>
      </w:r>
      <w:proofErr w:type="spellStart"/>
      <w:r>
        <w:rPr>
          <w:color w:val="000000"/>
        </w:rPr>
        <w:t>nálezu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Ústavného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č. 319/1998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298/1999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313/1999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195/2000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211/2000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367/2000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122/2001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223/2001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253/2001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441/2001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490/2001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507/2001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139/2002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422/2002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190/2003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430/2003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510/2003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515/2003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534/2003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364/2004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533/2004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656/2004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570/2005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650/2005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211/2006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224/2006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250/2007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547/2007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666/2007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86/2008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245/2008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298/2008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445/2008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479/2008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491/2008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8/2009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70/2009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72/2009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191/2009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206/2009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387/2009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465/2009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513/2009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60/2010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433/2010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547/2010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313/2011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362/2011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79/2012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96/2012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31/2013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80/2013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94/2013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299/2013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388/2013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417/2013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474/2013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1/2014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204/2014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374/2014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397/2015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430/2015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125/2016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311/2016 Z. z,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315/2016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393/2019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338/2020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146/2021 Z. z.,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412/2021 Z. z. a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246/2022 Z. z.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takto</w:t>
      </w:r>
      <w:proofErr w:type="spellEnd"/>
      <w:r>
        <w:rPr>
          <w:color w:val="000000"/>
        </w:rPr>
        <w:t>:</w:t>
      </w:r>
    </w:p>
    <w:p w14:paraId="00000084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</w:rPr>
      </w:pPr>
    </w:p>
    <w:p w14:paraId="00000085" w14:textId="77777777" w:rsidR="00A346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§ 47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ch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86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87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ch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použije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nadobudne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>.”</w:t>
      </w:r>
    </w:p>
    <w:p w14:paraId="00000088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89" w14:textId="77777777" w:rsidR="00A346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§ 47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 xml:space="preserve">: </w:t>
      </w:r>
    </w:p>
    <w:p w14:paraId="0000008A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Helvetica Neue" w:eastAsia="Helvetica Neue" w:hAnsi="Helvetica Neue" w:cs="Helvetica Neue"/>
        </w:rPr>
      </w:pPr>
    </w:p>
    <w:p w14:paraId="0000008B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“(2) Za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a)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d)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uložiť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do 100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za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e)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g)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do 300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za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h),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), j), k) a l)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do 500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a za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ch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od 1000 do 3000 </w:t>
      </w:r>
      <w:proofErr w:type="spellStart"/>
      <w:r>
        <w:rPr>
          <w:color w:val="000000"/>
        </w:rPr>
        <w:t>eur.</w:t>
      </w:r>
      <w:proofErr w:type="spellEnd"/>
      <w:r>
        <w:rPr>
          <w:color w:val="000000"/>
        </w:rPr>
        <w:t xml:space="preserve"> “</w:t>
      </w:r>
    </w:p>
    <w:p w14:paraId="0000008C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</w:p>
    <w:p w14:paraId="0000008D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r>
        <w:rPr>
          <w:color w:val="000000"/>
        </w:rPr>
        <w:t xml:space="preserve">3. V § 47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vkladá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</w:t>
      </w:r>
      <w:proofErr w:type="spellEnd"/>
      <w:r>
        <w:rPr>
          <w:color w:val="000000"/>
        </w:rPr>
        <w:t xml:space="preserve"> 3,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znie</w:t>
      </w:r>
      <w:proofErr w:type="spellEnd"/>
      <w:r>
        <w:rPr>
          <w:color w:val="000000"/>
        </w:rPr>
        <w:t>:</w:t>
      </w:r>
    </w:p>
    <w:p w14:paraId="0000008E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Helvetica Neue" w:eastAsia="Helvetica Neue" w:hAnsi="Helvetica Neue" w:cs="Helvetica Neue"/>
        </w:rPr>
      </w:pPr>
    </w:p>
    <w:p w14:paraId="0000008F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</w:rPr>
      </w:pPr>
      <w:r>
        <w:rPr>
          <w:color w:val="000000"/>
        </w:rPr>
        <w:t xml:space="preserve">“(3) V </w:t>
      </w:r>
      <w:proofErr w:type="spellStart"/>
      <w:r>
        <w:rPr>
          <w:color w:val="000000"/>
        </w:rPr>
        <w:t>blokovom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rozkaznom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odseku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ch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uložiť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od 300 do 800 </w:t>
      </w:r>
      <w:proofErr w:type="spellStart"/>
      <w:r>
        <w:rPr>
          <w:color w:val="000000"/>
        </w:rPr>
        <w:t>eur.</w:t>
      </w:r>
      <w:proofErr w:type="spellEnd"/>
      <w:r>
        <w:rPr>
          <w:color w:val="000000"/>
        </w:rPr>
        <w:t xml:space="preserve"> “</w:t>
      </w:r>
    </w:p>
    <w:p w14:paraId="00000090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  <w:proofErr w:type="spellStart"/>
      <w:r>
        <w:rPr>
          <w:b/>
          <w:color w:val="000000"/>
        </w:rPr>
        <w:t>Čl</w:t>
      </w:r>
      <w:proofErr w:type="spellEnd"/>
      <w:r>
        <w:rPr>
          <w:b/>
          <w:color w:val="000000"/>
        </w:rPr>
        <w:t>. III</w:t>
      </w:r>
    </w:p>
    <w:p w14:paraId="00000091" w14:textId="77777777" w:rsidR="00A346E5" w:rsidRDefault="00A346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/>
        <w:jc w:val="center"/>
        <w:rPr>
          <w:b/>
        </w:rPr>
      </w:pPr>
    </w:p>
    <w:p w14:paraId="00000092" w14:textId="77777777" w:rsidR="00A346E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Helvetica Neue" w:eastAsia="Helvetica Neue" w:hAnsi="Helvetica Neue" w:cs="Helvetica Neue"/>
        </w:rPr>
      </w:pPr>
      <w:proofErr w:type="spellStart"/>
      <w:r>
        <w:rPr>
          <w:color w:val="000000"/>
        </w:rPr>
        <w:t>Tento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nadobúda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účinnosť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dňa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januára</w:t>
      </w:r>
      <w:proofErr w:type="spellEnd"/>
      <w:r>
        <w:rPr>
          <w:color w:val="000000"/>
        </w:rPr>
        <w:t xml:space="preserve"> 2024. </w:t>
      </w:r>
    </w:p>
    <w:sectPr w:rsidR="00A34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7682" w14:textId="77777777" w:rsidR="006735C5" w:rsidRDefault="006735C5">
      <w:r>
        <w:separator/>
      </w:r>
    </w:p>
  </w:endnote>
  <w:endnote w:type="continuationSeparator" w:id="0">
    <w:p w14:paraId="5127FDBC" w14:textId="77777777" w:rsidR="006735C5" w:rsidRDefault="0067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6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8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7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69EA" w14:textId="77777777" w:rsidR="006735C5" w:rsidRDefault="006735C5">
      <w:r>
        <w:separator/>
      </w:r>
    </w:p>
  </w:footnote>
  <w:footnote w:type="continuationSeparator" w:id="0">
    <w:p w14:paraId="6C1FEEB1" w14:textId="77777777" w:rsidR="006735C5" w:rsidRDefault="0067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4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3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5" w14:textId="77777777" w:rsidR="00A346E5" w:rsidRDefault="00A34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EE3"/>
    <w:multiLevelType w:val="multilevel"/>
    <w:tmpl w:val="CBB8CE78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70E378B4"/>
    <w:multiLevelType w:val="multilevel"/>
    <w:tmpl w:val="C310D8EE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27768041">
    <w:abstractNumId w:val="0"/>
  </w:num>
  <w:num w:numId="2" w16cid:durableId="18776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E5"/>
    <w:rsid w:val="00167CBD"/>
    <w:rsid w:val="006735C5"/>
    <w:rsid w:val="00A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C239-0D20-4C0D-B9E1-EB39806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TeloA">
    <w:name w:val="Telo A"/>
    <w:pPr>
      <w:spacing w:before="160"/>
    </w:pPr>
    <w:rPr>
      <w:rFonts w:ascii="Helvetica Neue" w:hAnsi="Helvetica Neue" w:cs="Arial Unicode MS"/>
      <w:color w:val="000000"/>
      <w:u w:color="000000"/>
    </w:rPr>
  </w:style>
  <w:style w:type="numbering" w:customStyle="1" w:styleId="sla">
    <w:name w:val="Čísla"/>
  </w:style>
  <w:style w:type="numbering" w:customStyle="1" w:styleId="Psmen">
    <w:name w:val="Písmená"/>
  </w:style>
  <w:style w:type="paragraph" w:customStyle="1" w:styleId="Predvolen">
    <w:name w:val="Predvolené"/>
    <w:pPr>
      <w:spacing w:before="160"/>
    </w:pPr>
    <w:rPr>
      <w:rFonts w:ascii="Helvetica Neue" w:eastAsia="Helvetica Neue" w:hAnsi="Helvetica Neue" w:cs="Helvetica Neue"/>
      <w:color w:val="000000"/>
      <w:u w:color="000000"/>
    </w:rPr>
  </w:style>
  <w:style w:type="paragraph" w:styleId="Revzia">
    <w:name w:val="Revision"/>
    <w:hidden/>
    <w:uiPriority w:val="99"/>
    <w:semiHidden/>
    <w:rsid w:val="00021246"/>
    <w:rPr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D4D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D4D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D4D6F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D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D6F"/>
    <w:rPr>
      <w:b/>
      <w:bCs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BE12ED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2ED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BE12ED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E12ED"/>
    <w:rPr>
      <w:sz w:val="24"/>
      <w:szCs w:val="24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605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605B"/>
    <w:rPr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4B605B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Av+WKalSnOl15EW367+TLEJNg==">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2608</Words>
  <Characters>14869</Characters>
  <Application>Microsoft Office Word</Application>
  <DocSecurity>0</DocSecurity>
  <Lines>123</Lines>
  <Paragraphs>34</Paragraphs>
  <ScaleCrop>false</ScaleCrop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2023-01-13T09:36:00Z</dcterms:created>
  <dcterms:modified xsi:type="dcterms:W3CDTF">2023-01-13T09:36:00Z</dcterms:modified>
</cp:coreProperties>
</file>