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4162" w14:textId="77777777" w:rsidR="00E85AB3" w:rsidRPr="00BF120E" w:rsidRDefault="00BF120E" w:rsidP="00BF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20E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5FA9368C" w14:textId="77777777" w:rsidR="00BF120E" w:rsidRDefault="00BF120E">
      <w:pPr>
        <w:rPr>
          <w:rFonts w:ascii="Times New Roman" w:hAnsi="Times New Roman" w:cs="Times New Roman"/>
          <w:sz w:val="24"/>
          <w:szCs w:val="24"/>
        </w:rPr>
      </w:pPr>
    </w:p>
    <w:p w14:paraId="799E92EA" w14:textId="77777777" w:rsidR="00BF120E" w:rsidRDefault="00BF120E" w:rsidP="00BF120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120E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53771717" w14:textId="77777777" w:rsidR="00736DF4" w:rsidRPr="00BF120E" w:rsidRDefault="00736DF4" w:rsidP="00736DF4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1ABD9F68" w14:textId="5CB55431" w:rsidR="00BF120E" w:rsidRPr="00BF120E" w:rsidRDefault="00BF120E" w:rsidP="00736D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 343/2015 Z. z. o verejnom obstarávaní a o zmene a doplnení niektorých zákonov v znení neskorších predpisov predkladá </w:t>
      </w:r>
      <w:r w:rsidR="00736DF4">
        <w:rPr>
          <w:rFonts w:ascii="Times New Roman" w:hAnsi="Times New Roman" w:cs="Times New Roman"/>
          <w:sz w:val="24"/>
          <w:szCs w:val="24"/>
        </w:rPr>
        <w:t xml:space="preserve">na rokovanie Národnej rady Slovenskej republiky </w:t>
      </w:r>
      <w:r w:rsidR="003A7451">
        <w:rPr>
          <w:rFonts w:ascii="Times New Roman" w:hAnsi="Times New Roman" w:cs="Times New Roman"/>
          <w:sz w:val="24"/>
          <w:szCs w:val="24"/>
        </w:rPr>
        <w:t>poslanci</w:t>
      </w:r>
      <w:r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736DF4">
        <w:rPr>
          <w:rFonts w:ascii="Times New Roman" w:hAnsi="Times New Roman" w:cs="Times New Roman"/>
          <w:sz w:val="24"/>
          <w:szCs w:val="24"/>
        </w:rPr>
        <w:t xml:space="preserve"> </w:t>
      </w:r>
      <w:r w:rsidR="003A7451">
        <w:rPr>
          <w:rFonts w:ascii="Times New Roman" w:hAnsi="Times New Roman" w:cs="Times New Roman"/>
          <w:sz w:val="24"/>
          <w:szCs w:val="24"/>
        </w:rPr>
        <w:t>Miloš SVRČEK a Jozef HLINKA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90848" w14:textId="77777777" w:rsidR="002F79D0" w:rsidRDefault="00BF120E" w:rsidP="00736D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návrhu zákona je upraviť podmienky a predpoklady na vymenovanie podpredsedu Úradu pre verejné obstarávanie. Zmena sa týka podmienky predkladania platného osvedčenia </w:t>
      </w:r>
      <w:r w:rsidRPr="00BF120E">
        <w:rPr>
          <w:rFonts w:ascii="Times New Roman" w:hAnsi="Times New Roman" w:cs="Times New Roman"/>
          <w:sz w:val="24"/>
          <w:szCs w:val="24"/>
        </w:rPr>
        <w:t>Národného bezpečnostného úradu na oboznamovanie</w:t>
      </w:r>
      <w:r>
        <w:rPr>
          <w:rFonts w:ascii="Times New Roman" w:hAnsi="Times New Roman" w:cs="Times New Roman"/>
          <w:sz w:val="24"/>
          <w:szCs w:val="24"/>
        </w:rPr>
        <w:t xml:space="preserve"> sa s utajovanými skutočnosťami. </w:t>
      </w:r>
    </w:p>
    <w:p w14:paraId="44DFB881" w14:textId="77777777" w:rsidR="002F79D0" w:rsidRDefault="00BF120E" w:rsidP="00736DF4">
      <w:pPr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 súčasnosti sa od kandidátov na podpredsedu úradu vyžaduje ako predpoklad na </w:t>
      </w:r>
      <w:r w:rsidR="00815DFB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 xml:space="preserve">vymenovanie do funkcie, </w:t>
      </w:r>
      <w:r w:rsidR="00815DFB">
        <w:rPr>
          <w:rFonts w:ascii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hAnsi="Times New Roman" w:cs="Times New Roman"/>
          <w:sz w:val="24"/>
          <w:szCs w:val="24"/>
        </w:rPr>
        <w:t>boli držiteľmi platného osvedčenia na oboznamovanie sa s utajovanými skutočnosťami</w:t>
      </w:r>
      <w:r w:rsidR="00815DFB">
        <w:rPr>
          <w:rFonts w:ascii="Times New Roman" w:hAnsi="Times New Roman" w:cs="Times New Roman"/>
          <w:sz w:val="24"/>
          <w:szCs w:val="24"/>
        </w:rPr>
        <w:t xml:space="preserve"> </w:t>
      </w:r>
      <w:r w:rsidR="00815DFB" w:rsidRPr="000217C7">
        <w:rPr>
          <w:rFonts w:ascii="Times New Roman" w:hAnsi="Times New Roman"/>
          <w:color w:val="222222"/>
          <w:sz w:val="24"/>
          <w:szCs w:val="24"/>
          <w:lang w:eastAsia="sk-SK"/>
        </w:rPr>
        <w:t>stupňa utajenia Tajné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5DFB">
        <w:rPr>
          <w:rFonts w:ascii="Times New Roman" w:hAnsi="Times New Roman" w:cs="Times New Roman"/>
          <w:sz w:val="24"/>
          <w:szCs w:val="24"/>
        </w:rPr>
        <w:t xml:space="preserve"> Navrhuje sa, aby podmienka oprávnenia na oboznamovanie sa s utajovanými skutočnosťami </w:t>
      </w:r>
      <w:r w:rsidR="00815DFB" w:rsidRPr="000217C7">
        <w:rPr>
          <w:rFonts w:ascii="Times New Roman" w:hAnsi="Times New Roman"/>
          <w:color w:val="222222"/>
          <w:sz w:val="24"/>
          <w:szCs w:val="24"/>
          <w:lang w:eastAsia="sk-SK"/>
        </w:rPr>
        <w:t>stupňa utajenia Tajné</w:t>
      </w:r>
      <w:r w:rsidR="00815DFB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sa na podpredsedu úradu vzťahovala až po vymenovaní do funkcie podpredsedu. </w:t>
      </w:r>
    </w:p>
    <w:p w14:paraId="55B5FA90" w14:textId="77777777" w:rsidR="00BF120E" w:rsidRDefault="00815DFB" w:rsidP="00736D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Nadväzne sa upravuje oprávnenie vlády odvolať takého podpredsedu úradu, ktorý osvedčenie na oboznamovanie sa s utajovanými skutočnosťami nezískal. Zároveň zostáva vláde oprávnenie odvolať takého podpredsedu</w:t>
      </w:r>
      <w:r w:rsidR="00736DF4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úradu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, ktorý počas výkonu svojej funkcie oprávnenie na oboznamovanie</w:t>
      </w:r>
      <w:r w:rsidR="00736DF4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sa s utajovanými skutočnosťami stratil</w:t>
      </w:r>
      <w:r w:rsidR="00736DF4">
        <w:rPr>
          <w:rFonts w:ascii="Times New Roman" w:hAnsi="Times New Roman"/>
          <w:color w:val="222222"/>
          <w:sz w:val="24"/>
          <w:szCs w:val="24"/>
          <w:lang w:eastAsia="sk-SK"/>
        </w:rPr>
        <w:t>.</w:t>
      </w:r>
    </w:p>
    <w:p w14:paraId="415A4E03" w14:textId="77777777" w:rsidR="00B50D0A" w:rsidRDefault="00B50D0A" w:rsidP="00736D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Fungovanie úradu z hľadiska utajovaných skutočností bude zabezpečené tým, že predseda úradu </w:t>
      </w:r>
      <w:r w:rsidR="002F79D0">
        <w:rPr>
          <w:rFonts w:ascii="Times New Roman" w:hAnsi="Times New Roman" w:cs="Times New Roman"/>
          <w:sz w:val="24"/>
          <w:szCs w:val="24"/>
        </w:rPr>
        <w:t xml:space="preserve">(ako kandidát) </w:t>
      </w:r>
      <w:r>
        <w:rPr>
          <w:rFonts w:ascii="Times New Roman" w:hAnsi="Times New Roman" w:cs="Times New Roman"/>
          <w:sz w:val="24"/>
          <w:szCs w:val="24"/>
        </w:rPr>
        <w:t xml:space="preserve">bude musieť aj naďalej </w:t>
      </w:r>
      <w:r w:rsidR="00736DF4">
        <w:rPr>
          <w:rFonts w:ascii="Times New Roman" w:hAnsi="Times New Roman" w:cs="Times New Roman"/>
          <w:sz w:val="24"/>
          <w:szCs w:val="24"/>
        </w:rPr>
        <w:t>deklarovať oprávnenie</w:t>
      </w:r>
      <w:r>
        <w:rPr>
          <w:rFonts w:ascii="Times New Roman" w:hAnsi="Times New Roman" w:cs="Times New Roman"/>
          <w:sz w:val="24"/>
          <w:szCs w:val="24"/>
        </w:rPr>
        <w:t xml:space="preserve"> na oboznamovanie sa s utajovanými skutočnosťami ešte pred zvolením do funkcie</w:t>
      </w:r>
      <w:r w:rsidR="00736DF4">
        <w:rPr>
          <w:rFonts w:ascii="Times New Roman" w:hAnsi="Times New Roman" w:cs="Times New Roman"/>
          <w:sz w:val="24"/>
          <w:szCs w:val="24"/>
        </w:rPr>
        <w:t>, ako predpoklad alebo podmienku svojho zvolenia do funkcie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FB1EA" w14:textId="77777777" w:rsidR="00736DF4" w:rsidRDefault="00736DF4" w:rsidP="00736DF4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zákona nebude mať vplyv na rozpočet verejnej správy, </w:t>
      </w:r>
      <w:r w:rsidRPr="001C1554">
        <w:rPr>
          <w:rFonts w:ascii="Times New Roman" w:hAnsi="Times New Roman"/>
          <w:sz w:val="24"/>
          <w:szCs w:val="24"/>
          <w:lang w:eastAsia="sk-SK"/>
        </w:rPr>
        <w:t>na podnikateľské prostredie, nebude mať negatívny</w:t>
      </w:r>
      <w:r>
        <w:rPr>
          <w:rFonts w:ascii="Times New Roman" w:hAnsi="Times New Roman"/>
          <w:sz w:val="24"/>
          <w:szCs w:val="24"/>
          <w:lang w:eastAsia="sk-SK"/>
        </w:rPr>
        <w:t xml:space="preserve"> vplyv na životné prostredie ani na informatizáciu spoločnosti. Návrh zákona taktiež nebude mať žiadne sociálne vplyvy ani vplyvy na manželstvo, rodičovstvo a rodinu a</w:t>
      </w:r>
      <w:r w:rsidRPr="001C1554">
        <w:rPr>
          <w:rFonts w:ascii="Times New Roman" w:hAnsi="Times New Roman"/>
          <w:sz w:val="24"/>
          <w:szCs w:val="24"/>
          <w:lang w:eastAsia="sk-SK"/>
        </w:rPr>
        <w:t xml:space="preserve"> na služby verejnej správy pre občana.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18093C45" w14:textId="77777777" w:rsidR="00736DF4" w:rsidRDefault="00736DF4" w:rsidP="00736DF4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559E9E0" w14:textId="77777777" w:rsidR="00736DF4" w:rsidRDefault="00736DF4" w:rsidP="00736DF4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zákona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je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súlade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Ústavou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Slovenskej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republiky,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ústavnými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zákonmi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 ostatnými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všeobecne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záväznými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právnymi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predpismi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Slovenskej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republiky,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medzinárodnými zmluvami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inými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medzinárodnými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dokumentmi,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ktorými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je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Slovenská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republika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viazaná, ako aj s právom Európskej únie.</w:t>
      </w:r>
    </w:p>
    <w:p w14:paraId="556E02CD" w14:textId="77777777" w:rsidR="00736DF4" w:rsidRDefault="00736DF4" w:rsidP="00BF12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86E56CC" w14:textId="77777777" w:rsidR="00736DF4" w:rsidRDefault="00736DF4" w:rsidP="00BF12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C04D8A1" w14:textId="77777777" w:rsidR="00736DF4" w:rsidRDefault="00736DF4" w:rsidP="00BF12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0F77088" w14:textId="77777777" w:rsidR="00736DF4" w:rsidRDefault="00736DF4" w:rsidP="00BF12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09C663" w14:textId="72DFAA8E" w:rsidR="00170F7C" w:rsidRPr="005F29A9" w:rsidRDefault="00170F7C" w:rsidP="00CC4E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0CB1BB" w14:textId="77777777" w:rsidR="00736DF4" w:rsidRPr="00736DF4" w:rsidRDefault="00736DF4" w:rsidP="00736DF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DF4">
        <w:rPr>
          <w:rFonts w:ascii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260B571C" w14:textId="77777777" w:rsidR="00736DF4" w:rsidRDefault="00736DF4" w:rsidP="00736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99089" w14:textId="77777777" w:rsidR="00736DF4" w:rsidRPr="00D81ECD" w:rsidRDefault="00736DF4" w:rsidP="00736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CD">
        <w:rPr>
          <w:rFonts w:ascii="Times New Roman" w:hAnsi="Times New Roman" w:cs="Times New Roman"/>
          <w:b/>
          <w:sz w:val="24"/>
          <w:szCs w:val="24"/>
        </w:rPr>
        <w:t>K bodu 1</w:t>
      </w:r>
      <w:r w:rsidR="00D81ECD">
        <w:rPr>
          <w:rFonts w:ascii="Times New Roman" w:hAnsi="Times New Roman" w:cs="Times New Roman"/>
          <w:b/>
          <w:sz w:val="24"/>
          <w:szCs w:val="24"/>
        </w:rPr>
        <w:t xml:space="preserve"> (§ 141 ods. 4)</w:t>
      </w:r>
    </w:p>
    <w:p w14:paraId="1BCA9690" w14:textId="77777777" w:rsidR="00736DF4" w:rsidRDefault="00D81ECD" w:rsidP="0073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úprava ustanovenia vzhľadom na formulovanie samostatných podmienok na vymenovanie podpredsedu úradu v novelizačnom bode 2 (§ 141 nový odsek 5). </w:t>
      </w:r>
    </w:p>
    <w:p w14:paraId="45FECE08" w14:textId="77777777" w:rsidR="00D81ECD" w:rsidRDefault="00D81ECD" w:rsidP="007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2D9D4" w14:textId="77777777" w:rsidR="00736DF4" w:rsidRPr="00736DF4" w:rsidRDefault="00736DF4" w:rsidP="0073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1ECD">
        <w:rPr>
          <w:rFonts w:ascii="Times New Roman" w:hAnsi="Times New Roman" w:cs="Times New Roman"/>
          <w:b/>
          <w:sz w:val="24"/>
          <w:szCs w:val="24"/>
        </w:rPr>
        <w:t>K bodu 2</w:t>
      </w:r>
      <w:r w:rsidR="00D81ECD">
        <w:rPr>
          <w:rFonts w:ascii="Times New Roman" w:hAnsi="Times New Roman" w:cs="Times New Roman"/>
          <w:sz w:val="24"/>
          <w:szCs w:val="24"/>
        </w:rPr>
        <w:t xml:space="preserve"> </w:t>
      </w:r>
      <w:r w:rsidR="00D81ECD">
        <w:rPr>
          <w:rFonts w:ascii="Times New Roman" w:hAnsi="Times New Roman" w:cs="Times New Roman"/>
          <w:b/>
          <w:sz w:val="24"/>
          <w:szCs w:val="24"/>
        </w:rPr>
        <w:t>(§ 141 ods. 5)</w:t>
      </w:r>
    </w:p>
    <w:p w14:paraId="48DB7A73" w14:textId="77777777" w:rsidR="00736DF4" w:rsidRDefault="00D81ECD" w:rsidP="0073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Ustanovujú sa podmienky a predpoklady na vymenovanie podpredsedu úradu. Podmienka byť držiteľom osvedčenia na oboznamovanie sa s utajovanými skutočnosťami sa z tohto ustanovenia vypúšťa. Podmienka oprávnenia na oboznamovanie sa s utajovanými skutočnosťami sa však ustanovuje pre podpredsedu, ktorý bol do funkcie vymenovaný </w:t>
      </w:r>
    </w:p>
    <w:p w14:paraId="26F55EDA" w14:textId="77777777" w:rsidR="00D81ECD" w:rsidRDefault="00D81ECD" w:rsidP="00736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49934" w14:textId="77777777" w:rsidR="00736DF4" w:rsidRPr="00D81ECD" w:rsidRDefault="00736DF4" w:rsidP="00736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CD">
        <w:rPr>
          <w:rFonts w:ascii="Times New Roman" w:hAnsi="Times New Roman" w:cs="Times New Roman"/>
          <w:b/>
          <w:sz w:val="24"/>
          <w:szCs w:val="24"/>
        </w:rPr>
        <w:t>K bodu 3</w:t>
      </w:r>
      <w:r w:rsidR="00913BA9">
        <w:rPr>
          <w:rFonts w:ascii="Times New Roman" w:hAnsi="Times New Roman" w:cs="Times New Roman"/>
          <w:b/>
          <w:sz w:val="24"/>
          <w:szCs w:val="24"/>
        </w:rPr>
        <w:t xml:space="preserve"> (§ 141 ods. 7)</w:t>
      </w:r>
    </w:p>
    <w:p w14:paraId="18B628B9" w14:textId="77777777" w:rsidR="00D81ECD" w:rsidRDefault="00D81ECD" w:rsidP="00D81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úprava ustanovenia </w:t>
      </w:r>
      <w:r w:rsidR="00913BA9">
        <w:rPr>
          <w:rFonts w:ascii="Times New Roman" w:hAnsi="Times New Roman" w:cs="Times New Roman"/>
          <w:sz w:val="24"/>
          <w:szCs w:val="24"/>
        </w:rPr>
        <w:t>v súvislosti s účelom novelizácie a vypustenia podmienky na vymenovanie podpredsedu týkajúcej sa oprávnenia na oboznamovanie sa s utajovanými skutočnosťami.</w:t>
      </w:r>
    </w:p>
    <w:p w14:paraId="1F4509F7" w14:textId="77777777" w:rsidR="00736DF4" w:rsidRDefault="00736DF4" w:rsidP="00736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C0A85" w14:textId="77777777" w:rsidR="00736DF4" w:rsidRPr="00913BA9" w:rsidRDefault="00736DF4" w:rsidP="00913B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BA9">
        <w:rPr>
          <w:rFonts w:ascii="Times New Roman" w:hAnsi="Times New Roman" w:cs="Times New Roman"/>
          <w:b/>
          <w:sz w:val="24"/>
          <w:szCs w:val="24"/>
        </w:rPr>
        <w:t>K bodu 4</w:t>
      </w:r>
      <w:r w:rsidR="00913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BA9" w:rsidRPr="00913BA9">
        <w:rPr>
          <w:rFonts w:ascii="Times New Roman" w:hAnsi="Times New Roman" w:cs="Times New Roman"/>
          <w:b/>
          <w:sz w:val="24"/>
          <w:szCs w:val="24"/>
        </w:rPr>
        <w:t>(</w:t>
      </w:r>
      <w:r w:rsidR="00913BA9" w:rsidRPr="00913BA9">
        <w:rPr>
          <w:rFonts w:ascii="Times New Roman" w:hAnsi="Times New Roman"/>
          <w:b/>
          <w:color w:val="222222"/>
          <w:sz w:val="24"/>
          <w:szCs w:val="24"/>
          <w:lang w:eastAsia="sk-SK"/>
        </w:rPr>
        <w:t>§ 141 ods. 9 a 12)</w:t>
      </w:r>
    </w:p>
    <w:p w14:paraId="1B4C563A" w14:textId="77777777" w:rsidR="00D81ECD" w:rsidRDefault="00D81ECD" w:rsidP="00D81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legislatívno-technickú úpravu vnútorn</w:t>
      </w:r>
      <w:r w:rsidR="00913BA9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odkaz</w:t>
      </w:r>
      <w:r w:rsidR="00913BA9">
        <w:rPr>
          <w:rFonts w:ascii="Times New Roman" w:hAnsi="Times New Roman" w:cs="Times New Roman"/>
          <w:sz w:val="24"/>
          <w:szCs w:val="24"/>
        </w:rPr>
        <w:t>ov vzhľadom na vloženie nového odseku 5 do § 141.</w:t>
      </w:r>
    </w:p>
    <w:p w14:paraId="5A94B49A" w14:textId="77777777" w:rsidR="00736DF4" w:rsidRDefault="00736DF4">
      <w:pPr>
        <w:rPr>
          <w:rFonts w:ascii="Times New Roman" w:hAnsi="Times New Roman" w:cs="Times New Roman"/>
          <w:sz w:val="24"/>
          <w:szCs w:val="24"/>
        </w:rPr>
      </w:pPr>
    </w:p>
    <w:p w14:paraId="15E1675E" w14:textId="77777777" w:rsidR="00736DF4" w:rsidRPr="00913BA9" w:rsidRDefault="00736DF4" w:rsidP="00736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BA9">
        <w:rPr>
          <w:rFonts w:ascii="Times New Roman" w:hAnsi="Times New Roman" w:cs="Times New Roman"/>
          <w:b/>
          <w:sz w:val="24"/>
          <w:szCs w:val="24"/>
        </w:rPr>
        <w:t>K bodu 5</w:t>
      </w:r>
      <w:r w:rsidR="00913BA9" w:rsidRPr="00913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BA9">
        <w:rPr>
          <w:rFonts w:ascii="Times New Roman" w:hAnsi="Times New Roman" w:cs="Times New Roman"/>
          <w:b/>
          <w:sz w:val="24"/>
          <w:szCs w:val="24"/>
        </w:rPr>
        <w:t>(§ 141a)</w:t>
      </w:r>
    </w:p>
    <w:p w14:paraId="03473873" w14:textId="77777777" w:rsidR="00913BA9" w:rsidRPr="00736DF4" w:rsidRDefault="00913BA9" w:rsidP="0073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sa oprávnenie (vládou vymenovaného) podpredsedu úradu požiadať o vykonanie bezpečnostnej previerky v súlade s § 16 ods. 5 zákona č. 215/2004 Z. z. </w:t>
      </w:r>
    </w:p>
    <w:p w14:paraId="5E4D4933" w14:textId="77777777" w:rsidR="00736DF4" w:rsidRDefault="00736DF4">
      <w:pPr>
        <w:rPr>
          <w:rFonts w:ascii="Times New Roman" w:hAnsi="Times New Roman" w:cs="Times New Roman"/>
          <w:sz w:val="24"/>
          <w:szCs w:val="24"/>
        </w:rPr>
      </w:pPr>
    </w:p>
    <w:p w14:paraId="55FE16ED" w14:textId="77777777" w:rsidR="00736DF4" w:rsidRPr="00913BA9" w:rsidRDefault="00736DF4" w:rsidP="00736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BA9">
        <w:rPr>
          <w:rFonts w:ascii="Times New Roman" w:hAnsi="Times New Roman" w:cs="Times New Roman"/>
          <w:b/>
          <w:sz w:val="24"/>
          <w:szCs w:val="24"/>
        </w:rPr>
        <w:t>K bodu 6</w:t>
      </w:r>
      <w:r w:rsidR="00913BA9" w:rsidRPr="00913BA9">
        <w:rPr>
          <w:rFonts w:ascii="Times New Roman" w:hAnsi="Times New Roman" w:cs="Times New Roman"/>
          <w:b/>
          <w:sz w:val="24"/>
          <w:szCs w:val="24"/>
        </w:rPr>
        <w:t xml:space="preserve"> (§ 142 ods. 3)</w:t>
      </w:r>
    </w:p>
    <w:p w14:paraId="0FC25413" w14:textId="77777777" w:rsidR="00736DF4" w:rsidRDefault="00DC2CAF" w:rsidP="0073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Ustanovujú sa ďalšie právne tituly na odvolanie podpredsedu úradu v súvislosti s oprávnením na oboznamovanie sa s utajovanými skutočnosťami. Vláda bude môcť odvolať podpredsedu úradu, ktorý nedisponuje platným osvedčením NBÚ na oboznamovanie sa s utajovanými skutočnosťami ani do siedmich mesiacov od vymenovania alebo ak takéto oprávnenie stratil počas svojho funkčného obdobia po uplynutí siedmich mesiacov od vymenovania.</w:t>
      </w:r>
    </w:p>
    <w:p w14:paraId="2D200571" w14:textId="77777777" w:rsidR="00DC2CAF" w:rsidRDefault="00DC2CAF" w:rsidP="007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D7DCB" w14:textId="77777777" w:rsidR="00736DF4" w:rsidRPr="00D81ECD" w:rsidRDefault="00736DF4" w:rsidP="00736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CD">
        <w:rPr>
          <w:rFonts w:ascii="Times New Roman" w:hAnsi="Times New Roman" w:cs="Times New Roman"/>
          <w:b/>
          <w:sz w:val="24"/>
          <w:szCs w:val="24"/>
        </w:rPr>
        <w:t>K čl. II</w:t>
      </w:r>
      <w:r w:rsidR="00DC2CAF">
        <w:rPr>
          <w:rFonts w:ascii="Times New Roman" w:hAnsi="Times New Roman" w:cs="Times New Roman"/>
          <w:b/>
          <w:sz w:val="24"/>
          <w:szCs w:val="24"/>
        </w:rPr>
        <w:t xml:space="preserve"> (účinnosť)</w:t>
      </w:r>
    </w:p>
    <w:p w14:paraId="294FA200" w14:textId="77777777" w:rsidR="00736DF4" w:rsidRPr="00736DF4" w:rsidRDefault="00736DF4" w:rsidP="00736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nadobudnutie účinnosti predloženej novely zákona o verejnom obstarávaní pri zohľadnení dĺžky legislatívneho</w:t>
      </w:r>
      <w:r w:rsidR="00D81ECD">
        <w:rPr>
          <w:rFonts w:ascii="Times New Roman" w:hAnsi="Times New Roman" w:cs="Times New Roman"/>
          <w:sz w:val="24"/>
          <w:szCs w:val="24"/>
        </w:rPr>
        <w:t xml:space="preserve"> procesu.</w:t>
      </w:r>
    </w:p>
    <w:sectPr w:rsidR="00736DF4" w:rsidRPr="0073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912B" w14:textId="77777777" w:rsidR="00162AD3" w:rsidRDefault="00162AD3" w:rsidP="00082A8F">
      <w:pPr>
        <w:spacing w:after="0" w:line="240" w:lineRule="auto"/>
      </w:pPr>
      <w:r>
        <w:separator/>
      </w:r>
    </w:p>
  </w:endnote>
  <w:endnote w:type="continuationSeparator" w:id="0">
    <w:p w14:paraId="08886ADA" w14:textId="77777777" w:rsidR="00162AD3" w:rsidRDefault="00162AD3" w:rsidP="0008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675752"/>
      <w:docPartObj>
        <w:docPartGallery w:val="Page Numbers (Bottom of Page)"/>
        <w:docPartUnique/>
      </w:docPartObj>
    </w:sdtPr>
    <w:sdtEndPr/>
    <w:sdtContent>
      <w:p w14:paraId="3BDE772F" w14:textId="01B3DFAF" w:rsidR="00082A8F" w:rsidRDefault="00082A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451">
          <w:rPr>
            <w:noProof/>
          </w:rPr>
          <w:t>2</w:t>
        </w:r>
        <w:r>
          <w:fldChar w:fldCharType="end"/>
        </w:r>
      </w:p>
    </w:sdtContent>
  </w:sdt>
  <w:p w14:paraId="608F2C46" w14:textId="77777777" w:rsidR="00082A8F" w:rsidRDefault="00082A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3DBC" w14:textId="77777777" w:rsidR="00162AD3" w:rsidRDefault="00162AD3" w:rsidP="00082A8F">
      <w:pPr>
        <w:spacing w:after="0" w:line="240" w:lineRule="auto"/>
      </w:pPr>
      <w:r>
        <w:separator/>
      </w:r>
    </w:p>
  </w:footnote>
  <w:footnote w:type="continuationSeparator" w:id="0">
    <w:p w14:paraId="714CEC70" w14:textId="77777777" w:rsidR="00162AD3" w:rsidRDefault="00162AD3" w:rsidP="00082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556"/>
    <w:multiLevelType w:val="hybridMultilevel"/>
    <w:tmpl w:val="B106E5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E"/>
    <w:rsid w:val="00082A8F"/>
    <w:rsid w:val="000F0CFC"/>
    <w:rsid w:val="00162AD3"/>
    <w:rsid w:val="00170F7C"/>
    <w:rsid w:val="002220E4"/>
    <w:rsid w:val="002F79D0"/>
    <w:rsid w:val="00307263"/>
    <w:rsid w:val="003A7451"/>
    <w:rsid w:val="004A15EE"/>
    <w:rsid w:val="00736DF4"/>
    <w:rsid w:val="00815DFB"/>
    <w:rsid w:val="00913BA9"/>
    <w:rsid w:val="00AA26AF"/>
    <w:rsid w:val="00B50D0A"/>
    <w:rsid w:val="00BF120E"/>
    <w:rsid w:val="00CC4ED7"/>
    <w:rsid w:val="00D81ECD"/>
    <w:rsid w:val="00DC2CAF"/>
    <w:rsid w:val="00F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1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120E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170F7C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0F7C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170F7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170F7C"/>
  </w:style>
  <w:style w:type="character" w:customStyle="1" w:styleId="Zkladntext2Char1">
    <w:name w:val="Základný text 2 Char1"/>
    <w:link w:val="Zkladntext2"/>
    <w:uiPriority w:val="99"/>
    <w:semiHidden/>
    <w:locked/>
    <w:rsid w:val="00170F7C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082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2A8F"/>
  </w:style>
  <w:style w:type="paragraph" w:styleId="Pta">
    <w:name w:val="footer"/>
    <w:basedOn w:val="Normlny"/>
    <w:link w:val="PtaChar"/>
    <w:uiPriority w:val="99"/>
    <w:unhideWhenUsed/>
    <w:rsid w:val="00082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2023-01-12T07:50:00Z</dcterms:created>
  <dcterms:modified xsi:type="dcterms:W3CDTF">2023-01-13T12:07:00Z</dcterms:modified>
</cp:coreProperties>
</file>