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DE9E3"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5762791D" w14:textId="77777777" w:rsidR="00386510" w:rsidRPr="007C41DB" w:rsidRDefault="00BB6162">
      <w:pPr>
        <w:pBdr>
          <w:top w:val="nil"/>
          <w:left w:val="nil"/>
          <w:bottom w:val="nil"/>
          <w:right w:val="nil"/>
          <w:between w:val="nil"/>
        </w:pBdr>
        <w:tabs>
          <w:tab w:val="center" w:pos="4536"/>
          <w:tab w:val="right" w:pos="9072"/>
          <w:tab w:val="left" w:pos="708"/>
        </w:tabs>
        <w:spacing w:after="0" w:line="240" w:lineRule="auto"/>
        <w:jc w:val="center"/>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DÔVODOVÁ SPRÁVA</w:t>
      </w:r>
    </w:p>
    <w:p w14:paraId="77CD2A98"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14E7F9FD" w14:textId="77777777"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 xml:space="preserve">A. VŠEOBECNÁ ČASŤ </w:t>
      </w:r>
    </w:p>
    <w:p w14:paraId="226E20A0"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75E65910" w14:textId="46D12B09" w:rsidR="006F7B9F" w:rsidRPr="007C41DB" w:rsidRDefault="006F7B9F">
      <w:pPr>
        <w:pBdr>
          <w:top w:val="nil"/>
          <w:left w:val="nil"/>
          <w:bottom w:val="nil"/>
          <w:right w:val="nil"/>
          <w:between w:val="nil"/>
        </w:pBdr>
        <w:tabs>
          <w:tab w:val="center" w:pos="4536"/>
          <w:tab w:val="right" w:pos="9072"/>
          <w:tab w:val="left" w:pos="708"/>
        </w:tabs>
        <w:spacing w:after="0" w:line="240" w:lineRule="auto"/>
        <w:jc w:val="both"/>
        <w:rPr>
          <w:rFonts w:ascii="Times New Roman" w:hAnsi="Times New Roman" w:cs="Times New Roman"/>
          <w:sz w:val="24"/>
          <w:szCs w:val="24"/>
        </w:rPr>
      </w:pPr>
      <w:r w:rsidRPr="007C41DB">
        <w:rPr>
          <w:rFonts w:ascii="Times New Roman" w:hAnsi="Times New Roman" w:cs="Times New Roman"/>
          <w:sz w:val="24"/>
          <w:szCs w:val="24"/>
        </w:rPr>
        <w:t xml:space="preserve">Návrh zákona, </w:t>
      </w:r>
      <w:r w:rsidRPr="007C41DB">
        <w:rPr>
          <w:rFonts w:ascii="Times New Roman" w:hAnsi="Times New Roman" w:cs="Times New Roman"/>
          <w:color w:val="000000"/>
          <w:sz w:val="24"/>
          <w:szCs w:val="24"/>
          <w:lang w:eastAsia="en-GB"/>
        </w:rPr>
        <w:t xml:space="preserve">ktorým sa </w:t>
      </w:r>
      <w:r w:rsidR="002D32CF" w:rsidRPr="007C41DB">
        <w:rPr>
          <w:rFonts w:ascii="Times New Roman" w:hAnsi="Times New Roman" w:cs="Times New Roman"/>
          <w:color w:val="000000"/>
          <w:sz w:val="24"/>
          <w:szCs w:val="24"/>
          <w:lang w:eastAsia="en-GB"/>
        </w:rPr>
        <w:t xml:space="preserve">mení a </w:t>
      </w:r>
      <w:r w:rsidRPr="007C41DB">
        <w:rPr>
          <w:rFonts w:ascii="Times New Roman" w:hAnsi="Times New Roman" w:cs="Times New Roman"/>
          <w:color w:val="000000"/>
          <w:sz w:val="24"/>
          <w:szCs w:val="24"/>
          <w:lang w:eastAsia="en-GB"/>
        </w:rPr>
        <w:t xml:space="preserve">dopĺňa zákon č. 138/2019 Z. z. o pedagogických zamestnancoch a odborných zamestnancoch a o zmene a doplnení niektorých zákonov v znení neskorších predpisov </w:t>
      </w:r>
      <w:r w:rsidRPr="007C41DB">
        <w:rPr>
          <w:rFonts w:ascii="Times New Roman" w:hAnsi="Times New Roman" w:cs="Times New Roman"/>
          <w:sz w:val="24"/>
          <w:szCs w:val="24"/>
        </w:rPr>
        <w:t xml:space="preserve">(ďalej len „návrh zákona“) predkladajú poslanci Národnej rady Slovenskej republiky Karol KUČERA, Richard NEMEC, </w:t>
      </w:r>
      <w:r w:rsidR="00DC4EC6" w:rsidRPr="007C41DB">
        <w:rPr>
          <w:rFonts w:ascii="Times New Roman" w:hAnsi="Times New Roman" w:cs="Times New Roman"/>
          <w:sz w:val="24"/>
          <w:szCs w:val="24"/>
        </w:rPr>
        <w:t>Lucia DRÁBIKOVÁ a Peter POL</w:t>
      </w:r>
      <w:r w:rsidR="00D077E7" w:rsidRPr="007C41DB">
        <w:rPr>
          <w:rFonts w:ascii="Times New Roman" w:hAnsi="Times New Roman" w:cs="Times New Roman"/>
          <w:sz w:val="24"/>
          <w:szCs w:val="24"/>
        </w:rPr>
        <w:t>L</w:t>
      </w:r>
      <w:r w:rsidR="00DC4EC6" w:rsidRPr="007C41DB">
        <w:rPr>
          <w:rFonts w:ascii="Times New Roman" w:hAnsi="Times New Roman" w:cs="Times New Roman"/>
          <w:sz w:val="24"/>
          <w:szCs w:val="24"/>
        </w:rPr>
        <w:t>ÁK.</w:t>
      </w:r>
    </w:p>
    <w:p w14:paraId="20F3AAD5" w14:textId="77777777" w:rsidR="006F7B9F" w:rsidRPr="007C41DB" w:rsidRDefault="006F7B9F">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3EED7622" w14:textId="77777777"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sidRPr="007C41DB">
        <w:rPr>
          <w:rFonts w:ascii="Times New Roman" w:eastAsia="Times New Roman" w:hAnsi="Times New Roman" w:cs="Times New Roman"/>
          <w:color w:val="000000"/>
          <w:sz w:val="24"/>
          <w:szCs w:val="24"/>
        </w:rPr>
        <w:t>Cieľom návrhu zákona je najmä jeho zosúladenie s aktuálnymi potrebami aplikačnej praxe a to najmä v oblastiach, ktoré sa najviac dotýkajú výkonu pracovnej činnosti v kontexte poskytovania výchovy a vzdelávania deťom a žiakom</w:t>
      </w:r>
      <w:r w:rsidRPr="007C41DB">
        <w:rPr>
          <w:rFonts w:ascii="Times New Roman" w:eastAsia="Times New Roman" w:hAnsi="Times New Roman" w:cs="Times New Roman"/>
          <w:sz w:val="24"/>
          <w:szCs w:val="24"/>
        </w:rPr>
        <w:t xml:space="preserve"> v oblasti pohybu a</w:t>
      </w:r>
      <w:r w:rsidR="00D077E7" w:rsidRPr="007C41DB">
        <w:rPr>
          <w:rFonts w:ascii="Times New Roman" w:eastAsia="Times New Roman" w:hAnsi="Times New Roman" w:cs="Times New Roman"/>
          <w:sz w:val="24"/>
          <w:szCs w:val="24"/>
        </w:rPr>
        <w:t> </w:t>
      </w:r>
      <w:r w:rsidRPr="007C41DB">
        <w:rPr>
          <w:rFonts w:ascii="Times New Roman" w:eastAsia="Times New Roman" w:hAnsi="Times New Roman" w:cs="Times New Roman"/>
          <w:sz w:val="24"/>
          <w:szCs w:val="24"/>
        </w:rPr>
        <w:t>zdravia</w:t>
      </w:r>
      <w:r w:rsidR="00D077E7" w:rsidRPr="007C41DB">
        <w:rPr>
          <w:rFonts w:ascii="Times New Roman" w:eastAsia="Times New Roman" w:hAnsi="Times New Roman" w:cs="Times New Roman"/>
          <w:sz w:val="24"/>
          <w:szCs w:val="24"/>
        </w:rPr>
        <w:t>, umenia a odborných činností.</w:t>
      </w:r>
      <w:r w:rsidRPr="007C41DB">
        <w:rPr>
          <w:rFonts w:ascii="Times New Roman" w:eastAsia="Times New Roman" w:hAnsi="Times New Roman" w:cs="Times New Roman"/>
          <w:sz w:val="24"/>
          <w:szCs w:val="24"/>
        </w:rPr>
        <w:t xml:space="preserve"> </w:t>
      </w:r>
    </w:p>
    <w:p w14:paraId="36D9DE81"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5F39C0C5" w14:textId="77777777"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sidRPr="007C41DB">
        <w:rPr>
          <w:rFonts w:ascii="Times New Roman" w:eastAsia="Times New Roman" w:hAnsi="Times New Roman" w:cs="Times New Roman"/>
          <w:color w:val="000000"/>
          <w:sz w:val="24"/>
          <w:szCs w:val="24"/>
        </w:rPr>
        <w:t>V návrhu zákona sa upravuje zaraďovanie peda</w:t>
      </w:r>
      <w:r w:rsidRPr="007C41DB">
        <w:rPr>
          <w:rFonts w:ascii="Times New Roman" w:eastAsia="Times New Roman" w:hAnsi="Times New Roman" w:cs="Times New Roman"/>
          <w:sz w:val="24"/>
          <w:szCs w:val="24"/>
        </w:rPr>
        <w:t xml:space="preserve">gogických zamestnancov a odborných zamestnancov </w:t>
      </w:r>
      <w:r w:rsidRPr="007C41DB">
        <w:rPr>
          <w:rFonts w:ascii="Times New Roman" w:eastAsia="Times New Roman" w:hAnsi="Times New Roman" w:cs="Times New Roman"/>
          <w:color w:val="000000"/>
          <w:sz w:val="24"/>
          <w:szCs w:val="24"/>
        </w:rPr>
        <w:t xml:space="preserve">do </w:t>
      </w:r>
      <w:r w:rsidR="0078037F" w:rsidRPr="007C41DB">
        <w:rPr>
          <w:rFonts w:ascii="Times New Roman" w:eastAsia="Times New Roman" w:hAnsi="Times New Roman" w:cs="Times New Roman"/>
          <w:color w:val="000000"/>
          <w:sz w:val="24"/>
          <w:szCs w:val="24"/>
        </w:rPr>
        <w:t xml:space="preserve">vyšších </w:t>
      </w:r>
      <w:r w:rsidRPr="007C41DB">
        <w:rPr>
          <w:rFonts w:ascii="Times New Roman" w:eastAsia="Times New Roman" w:hAnsi="Times New Roman" w:cs="Times New Roman"/>
          <w:color w:val="000000"/>
          <w:sz w:val="24"/>
          <w:szCs w:val="24"/>
        </w:rPr>
        <w:t xml:space="preserve">kariérových stupňov </w:t>
      </w:r>
      <w:r w:rsidRPr="007C41DB">
        <w:rPr>
          <w:rFonts w:ascii="Times New Roman" w:eastAsia="Times New Roman" w:hAnsi="Times New Roman" w:cs="Times New Roman"/>
          <w:sz w:val="24"/>
          <w:szCs w:val="24"/>
        </w:rPr>
        <w:t>pre odborníkov z</w:t>
      </w:r>
      <w:r w:rsidR="00D077E7" w:rsidRPr="007C41DB">
        <w:rPr>
          <w:rFonts w:ascii="Times New Roman" w:eastAsia="Times New Roman" w:hAnsi="Times New Roman" w:cs="Times New Roman"/>
          <w:sz w:val="24"/>
          <w:szCs w:val="24"/>
        </w:rPr>
        <w:t> rôznych oblastí, súvisiacich</w:t>
      </w:r>
      <w:r w:rsidR="0078037F" w:rsidRPr="007C41DB">
        <w:rPr>
          <w:rFonts w:ascii="Times New Roman" w:eastAsia="Times New Roman" w:hAnsi="Times New Roman" w:cs="Times New Roman"/>
          <w:sz w:val="24"/>
          <w:szCs w:val="24"/>
        </w:rPr>
        <w:t xml:space="preserve"> s výchovou a vzdelávaním v základných školách, stredných školách, špeciálnych školách </w:t>
      </w:r>
      <w:r w:rsidR="00D077E7" w:rsidRPr="007C41DB">
        <w:rPr>
          <w:rFonts w:ascii="Times New Roman" w:eastAsia="Times New Roman" w:hAnsi="Times New Roman" w:cs="Times New Roman"/>
          <w:sz w:val="24"/>
          <w:szCs w:val="24"/>
        </w:rPr>
        <w:t xml:space="preserve">a </w:t>
      </w:r>
      <w:r w:rsidR="0078037F" w:rsidRPr="007C41DB">
        <w:rPr>
          <w:rFonts w:ascii="Times New Roman" w:eastAsia="Times New Roman" w:hAnsi="Times New Roman" w:cs="Times New Roman"/>
          <w:sz w:val="24"/>
          <w:szCs w:val="24"/>
        </w:rPr>
        <w:t>základných umeleckých školách.</w:t>
      </w:r>
      <w:r w:rsidRPr="007C41DB">
        <w:rPr>
          <w:rFonts w:ascii="Times New Roman" w:eastAsia="Times New Roman" w:hAnsi="Times New Roman" w:cs="Times New Roman"/>
          <w:sz w:val="24"/>
          <w:szCs w:val="24"/>
        </w:rPr>
        <w:t xml:space="preserve"> </w:t>
      </w:r>
    </w:p>
    <w:p w14:paraId="45A53177" w14:textId="77777777" w:rsidR="0078037F" w:rsidRPr="007C41DB" w:rsidRDefault="00BB6162">
      <w:pPr>
        <w:tabs>
          <w:tab w:val="center" w:pos="4536"/>
          <w:tab w:val="right" w:pos="9072"/>
          <w:tab w:val="left" w:pos="708"/>
        </w:tabs>
        <w:spacing w:before="240" w:after="24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Návrh zákona </w:t>
      </w:r>
      <w:r w:rsidR="0078037F" w:rsidRPr="007C41DB">
        <w:rPr>
          <w:rFonts w:ascii="Times New Roman" w:eastAsia="Times New Roman" w:hAnsi="Times New Roman" w:cs="Times New Roman"/>
          <w:sz w:val="24"/>
          <w:szCs w:val="24"/>
        </w:rPr>
        <w:t xml:space="preserve">prispieva k naplneniu </w:t>
      </w:r>
      <w:r w:rsidRPr="007C41DB">
        <w:rPr>
          <w:rFonts w:ascii="Times New Roman" w:eastAsia="Times New Roman" w:hAnsi="Times New Roman" w:cs="Times New Roman"/>
          <w:sz w:val="24"/>
          <w:szCs w:val="24"/>
        </w:rPr>
        <w:t>záväzk</w:t>
      </w:r>
      <w:r w:rsidR="0078037F" w:rsidRPr="007C41DB">
        <w:rPr>
          <w:rFonts w:ascii="Times New Roman" w:eastAsia="Times New Roman" w:hAnsi="Times New Roman" w:cs="Times New Roman"/>
          <w:sz w:val="24"/>
          <w:szCs w:val="24"/>
        </w:rPr>
        <w:t>u</w:t>
      </w:r>
      <w:r w:rsidRPr="007C41DB">
        <w:rPr>
          <w:rFonts w:ascii="Times New Roman" w:eastAsia="Times New Roman" w:hAnsi="Times New Roman" w:cs="Times New Roman"/>
          <w:sz w:val="24"/>
          <w:szCs w:val="24"/>
        </w:rPr>
        <w:t xml:space="preserve"> Programového vyhlásenia vlády, ktorým je skvalitňovanie výchovy a vzdelávania v školách a školských zariadeniach tým, že predstavuje priamu motiváciu pre zapojenie sa </w:t>
      </w:r>
      <w:r w:rsidR="0078037F" w:rsidRPr="007C41DB">
        <w:rPr>
          <w:rFonts w:ascii="Times New Roman" w:eastAsia="Times New Roman" w:hAnsi="Times New Roman" w:cs="Times New Roman"/>
          <w:sz w:val="24"/>
          <w:szCs w:val="24"/>
        </w:rPr>
        <w:t>do výchovy a vzdelávania žiakov ďalších o</w:t>
      </w:r>
      <w:r w:rsidRPr="007C41DB">
        <w:rPr>
          <w:rFonts w:ascii="Times New Roman" w:eastAsia="Times New Roman" w:hAnsi="Times New Roman" w:cs="Times New Roman"/>
          <w:sz w:val="24"/>
          <w:szCs w:val="24"/>
        </w:rPr>
        <w:t xml:space="preserve">dborníkov </w:t>
      </w:r>
      <w:r w:rsidR="0078037F" w:rsidRPr="007C41DB">
        <w:rPr>
          <w:rFonts w:ascii="Times New Roman" w:eastAsia="Times New Roman" w:hAnsi="Times New Roman" w:cs="Times New Roman"/>
          <w:sz w:val="24"/>
          <w:szCs w:val="24"/>
        </w:rPr>
        <w:t xml:space="preserve">oblasti športu, významných umelcov alebo významných odborníkov z rôznych oblastí ekonomických </w:t>
      </w:r>
      <w:r w:rsidR="00D077E7" w:rsidRPr="007C41DB">
        <w:rPr>
          <w:rFonts w:ascii="Times New Roman" w:eastAsia="Times New Roman" w:hAnsi="Times New Roman" w:cs="Times New Roman"/>
          <w:sz w:val="24"/>
          <w:szCs w:val="24"/>
        </w:rPr>
        <w:t xml:space="preserve">a iných </w:t>
      </w:r>
      <w:r w:rsidR="0078037F" w:rsidRPr="007C41DB">
        <w:rPr>
          <w:rFonts w:ascii="Times New Roman" w:eastAsia="Times New Roman" w:hAnsi="Times New Roman" w:cs="Times New Roman"/>
          <w:sz w:val="24"/>
          <w:szCs w:val="24"/>
        </w:rPr>
        <w:t>činností, súvisiacich s odborným vzdelávaním.</w:t>
      </w:r>
    </w:p>
    <w:p w14:paraId="6D676B48" w14:textId="77777777" w:rsidR="00A77F33" w:rsidRPr="007C41DB"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sidRPr="007C41DB">
        <w:rPr>
          <w:rFonts w:ascii="Times New Roman" w:eastAsia="Times New Roman" w:hAnsi="Times New Roman" w:cs="Times New Roman"/>
          <w:color w:val="000000"/>
          <w:sz w:val="24"/>
          <w:szCs w:val="24"/>
        </w:rPr>
        <w:t>Návrh zákona nepredpokladá vplyv na rozpočet verejnej správy, sociálne vplyvy, vplyv na manželstvo, rodičovstvo, rodinu, vplyv na informatizáciu spoločnosti, vplyvy na podnikateľské prostredie, vplyvy na životné  prostredie ani vplyvy na služby pre občana. Prípadné negatívne vplyvy na rozpočet verejnej správy budú zabezpečené v rámci rozpočtu Ministerstva školstva, vedy, výskumu a športu Slovenskej republiky.</w:t>
      </w:r>
    </w:p>
    <w:p w14:paraId="338BAD2E" w14:textId="77777777" w:rsidR="00A77F33" w:rsidRPr="007C41DB"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107F99A7" w14:textId="77777777"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sidRPr="007C41DB">
        <w:rPr>
          <w:rFonts w:ascii="Times New Roman" w:eastAsia="Times New Roman" w:hAnsi="Times New Roman" w:cs="Times New Roman"/>
          <w:color w:val="000000"/>
          <w:sz w:val="24"/>
          <w:szCs w:val="24"/>
        </w:rPr>
        <w:t xml:space="preserve">Návrh zákona je v súlade s Ústavou Slovenskej republiky, ústavnými zákonmi a nálezmi Ústavného súdu Slovenskej republiky, medzinárodnými zmluvami a medzinárodnými </w:t>
      </w:r>
      <w:r w:rsidRPr="007C41DB">
        <w:rPr>
          <w:rFonts w:ascii="Times New Roman" w:eastAsia="Times New Roman" w:hAnsi="Times New Roman" w:cs="Times New Roman"/>
          <w:sz w:val="24"/>
          <w:szCs w:val="24"/>
        </w:rPr>
        <w:t>dokumentami</w:t>
      </w:r>
      <w:r w:rsidRPr="007C41DB">
        <w:rPr>
          <w:rFonts w:ascii="Times New Roman" w:eastAsia="Times New Roman" w:hAnsi="Times New Roman" w:cs="Times New Roman"/>
          <w:color w:val="000000"/>
          <w:sz w:val="24"/>
          <w:szCs w:val="24"/>
        </w:rPr>
        <w:t>, ktorými je Slovenská republika viazaná, zákonmi a s právom Európskej únie.</w:t>
      </w:r>
    </w:p>
    <w:p w14:paraId="0A364A47"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5FCC3885" w14:textId="77777777" w:rsidR="004777CE" w:rsidRPr="007C41DB" w:rsidRDefault="004777CE">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38A11F08"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18305225"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10CC1FEC"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1F16958"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256308D2"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63562E71"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7C4080D6"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519B7F23"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5569430C"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423DFB53"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5EDF826E"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3F9BA9A7"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51C83087"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7FA821D" w14:textId="77777777" w:rsidR="00A77F33" w:rsidRPr="007C41DB" w:rsidRDefault="00A77F3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305E488F" w14:textId="77777777"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B. OSOBITNÁ ČASŤ</w:t>
      </w:r>
    </w:p>
    <w:p w14:paraId="2C126E5E"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5A20CC83" w14:textId="77777777"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K Čl. I</w:t>
      </w:r>
    </w:p>
    <w:p w14:paraId="3752988E"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76B346B1" w14:textId="77777777"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K bodu 1</w:t>
      </w:r>
    </w:p>
    <w:p w14:paraId="56ABDC9A" w14:textId="77777777" w:rsidR="00CC2EDB" w:rsidRPr="007C41DB" w:rsidRDefault="00693C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Dôvodom úpravy § 30 ods. 1 písm. e) je potreba podpory vstupu širšieho okruhu významných odborníkov do vzdelávania v školách a školských zariadeniach. Obdobne, ako je v súčasnosti umožnené zaradiť do kariérového stupňa pedagogický zamestnanec s prvou atestáciou </w:t>
      </w:r>
      <w:r w:rsidR="00CC5FD9" w:rsidRPr="007C41DB">
        <w:rPr>
          <w:rFonts w:ascii="Times New Roman" w:eastAsia="Times New Roman" w:hAnsi="Times New Roman" w:cs="Times New Roman"/>
          <w:sz w:val="24"/>
          <w:szCs w:val="24"/>
        </w:rPr>
        <w:t xml:space="preserve">alebo odborný zamestnanec s prvou atestáciou </w:t>
      </w:r>
      <w:r w:rsidRPr="007C41DB">
        <w:rPr>
          <w:rFonts w:ascii="Times New Roman" w:eastAsia="Times New Roman" w:hAnsi="Times New Roman" w:cs="Times New Roman"/>
          <w:sz w:val="24"/>
          <w:szCs w:val="24"/>
        </w:rPr>
        <w:t>učiteľ</w:t>
      </w:r>
      <w:r w:rsidR="006A4D1A" w:rsidRPr="007C41DB">
        <w:rPr>
          <w:rFonts w:ascii="Times New Roman" w:eastAsia="Times New Roman" w:hAnsi="Times New Roman" w:cs="Times New Roman"/>
          <w:sz w:val="24"/>
          <w:szCs w:val="24"/>
        </w:rPr>
        <w:t>a</w:t>
      </w:r>
      <w:r w:rsidRPr="007C41DB">
        <w:rPr>
          <w:rFonts w:ascii="Times New Roman" w:eastAsia="Times New Roman" w:hAnsi="Times New Roman" w:cs="Times New Roman"/>
          <w:sz w:val="24"/>
          <w:szCs w:val="24"/>
        </w:rPr>
        <w:t xml:space="preserve"> prvého stupňa ZŠ, učiteľa telesnej výchovy a športovej výchovy a školského </w:t>
      </w:r>
      <w:r w:rsidR="009A1EB9" w:rsidRPr="007C41DB">
        <w:rPr>
          <w:rFonts w:ascii="Times New Roman" w:eastAsia="Times New Roman" w:hAnsi="Times New Roman" w:cs="Times New Roman"/>
          <w:sz w:val="24"/>
          <w:szCs w:val="24"/>
        </w:rPr>
        <w:t>trénera</w:t>
      </w:r>
      <w:r w:rsidRPr="007C41DB">
        <w:rPr>
          <w:rFonts w:ascii="Times New Roman" w:eastAsia="Times New Roman" w:hAnsi="Times New Roman" w:cs="Times New Roman"/>
          <w:sz w:val="24"/>
          <w:szCs w:val="24"/>
        </w:rPr>
        <w:t>,</w:t>
      </w:r>
      <w:r w:rsidR="00DC4EC6" w:rsidRPr="007C41DB">
        <w:rPr>
          <w:rFonts w:ascii="Times New Roman" w:eastAsia="Times New Roman" w:hAnsi="Times New Roman" w:cs="Times New Roman"/>
          <w:sz w:val="24"/>
          <w:szCs w:val="24"/>
        </w:rPr>
        <w:t xml:space="preserve"> ktorý najmenej tri roky</w:t>
      </w:r>
      <w:r w:rsidRPr="007C41DB">
        <w:rPr>
          <w:rFonts w:ascii="Times New Roman" w:eastAsia="Times New Roman" w:hAnsi="Times New Roman" w:cs="Times New Roman"/>
          <w:b/>
          <w:sz w:val="24"/>
          <w:szCs w:val="24"/>
        </w:rPr>
        <w:t xml:space="preserve"> </w:t>
      </w:r>
      <w:r w:rsidR="00972D01" w:rsidRPr="007C41DB">
        <w:rPr>
          <w:rFonts w:ascii="Times New Roman" w:eastAsia="Times New Roman" w:hAnsi="Times New Roman" w:cs="Times New Roman"/>
          <w:sz w:val="24"/>
          <w:szCs w:val="24"/>
        </w:rPr>
        <w:t>pôsobil ako</w:t>
      </w:r>
      <w:r w:rsidR="00972D01" w:rsidRPr="007C41DB">
        <w:rPr>
          <w:rFonts w:ascii="Times New Roman" w:eastAsia="Times New Roman" w:hAnsi="Times New Roman" w:cs="Times New Roman"/>
          <w:b/>
          <w:sz w:val="24"/>
          <w:szCs w:val="24"/>
        </w:rPr>
        <w:t xml:space="preserve"> </w:t>
      </w:r>
      <w:r w:rsidRPr="007C41DB">
        <w:rPr>
          <w:rFonts w:ascii="Times New Roman" w:eastAsia="Times New Roman" w:hAnsi="Times New Roman" w:cs="Times New Roman"/>
          <w:sz w:val="24"/>
          <w:szCs w:val="24"/>
        </w:rPr>
        <w:t>športovec v najvyššej celoštátnej súťaži Slovenskej republiky, obdobnej súťaži v zahraničí, alebo v športovej reprezentácii Slovenskej republiky</w:t>
      </w:r>
      <w:r w:rsidR="006D253B" w:rsidRPr="007C41DB">
        <w:rPr>
          <w:rFonts w:ascii="Times New Roman" w:eastAsia="Times New Roman" w:hAnsi="Times New Roman" w:cs="Times New Roman"/>
          <w:sz w:val="24"/>
          <w:szCs w:val="24"/>
        </w:rPr>
        <w:t>. N</w:t>
      </w:r>
      <w:r w:rsidR="009A1EB9" w:rsidRPr="007C41DB">
        <w:rPr>
          <w:rFonts w:ascii="Times New Roman" w:eastAsia="Times New Roman" w:hAnsi="Times New Roman" w:cs="Times New Roman"/>
          <w:sz w:val="24"/>
          <w:szCs w:val="24"/>
        </w:rPr>
        <w:t xml:space="preserve">avrhuje sa rozšírenie okruhu pedagogických zamestnancov, ktorí môžu byť na základe predchádzajúceho úspešného najmenej trojročného pôsobenia v inej oblasti, než je školstvo, zaradení do kariérového stupňa pedagogický zamestnanec s prvou atestáciou alebo odborný zamestnanec s prvou atestáciou. </w:t>
      </w:r>
    </w:p>
    <w:p w14:paraId="1A3AD3CB" w14:textId="77777777" w:rsidR="00CC2EDB" w:rsidRPr="007C41DB" w:rsidRDefault="00CC2EDB">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5DDBD009" w14:textId="77777777" w:rsidR="00CC5FD9" w:rsidRPr="007C41DB" w:rsidRDefault="009A1EB9">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Ide o významných športovcov, trénerov, umelcov, ale aj iných odborníkov z ďalších oblastí, ktoré obsahovo korešpondujú s obsahom predmetov, ktorí dotknutí pedagogickí zamestnanci vyučujú. </w:t>
      </w:r>
      <w:r w:rsidR="00CC2EDB" w:rsidRPr="007C41DB">
        <w:rPr>
          <w:rFonts w:ascii="Times New Roman" w:eastAsia="Times New Roman" w:hAnsi="Times New Roman" w:cs="Times New Roman"/>
          <w:sz w:val="24"/>
          <w:szCs w:val="24"/>
        </w:rPr>
        <w:t>Vo výpočte predmetov, ktorých výučba sa navrhuje podporiť úpravou § 30 ods. 1 písm. e), sa okrem doteraz uvedenej telesnej výchovy a športovej výchov</w:t>
      </w:r>
      <w:r w:rsidR="00CC5FD9" w:rsidRPr="007C41DB">
        <w:rPr>
          <w:rFonts w:ascii="Times New Roman" w:eastAsia="Times New Roman" w:hAnsi="Times New Roman" w:cs="Times New Roman"/>
          <w:sz w:val="24"/>
          <w:szCs w:val="24"/>
        </w:rPr>
        <w:t>y</w:t>
      </w:r>
      <w:r w:rsidR="00CC2EDB" w:rsidRPr="007C41DB">
        <w:rPr>
          <w:rFonts w:ascii="Times New Roman" w:eastAsia="Times New Roman" w:hAnsi="Times New Roman" w:cs="Times New Roman"/>
          <w:sz w:val="24"/>
          <w:szCs w:val="24"/>
        </w:rPr>
        <w:t xml:space="preserve"> nachádzajú aj ďalšie predmety</w:t>
      </w:r>
      <w:r w:rsidR="00CC5FD9" w:rsidRPr="007C41DB">
        <w:rPr>
          <w:rFonts w:ascii="Times New Roman" w:eastAsia="Times New Roman" w:hAnsi="Times New Roman" w:cs="Times New Roman"/>
          <w:sz w:val="24"/>
          <w:szCs w:val="24"/>
        </w:rPr>
        <w:t xml:space="preserve"> všeobecného vzdelávania, základného umeleckého vzdelávania a odborného vzdelávania v stredných školách. </w:t>
      </w:r>
    </w:p>
    <w:p w14:paraId="54C8D970" w14:textId="77777777" w:rsidR="00CC5FD9" w:rsidRPr="007C41DB" w:rsidRDefault="00CC5FD9">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384A744E" w14:textId="77777777" w:rsidR="00386510" w:rsidRPr="007C41DB" w:rsidRDefault="00CC5FD9">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Navrhuje sa, aby kvantitatívnym kritériom pre zaradenie úspešného odborníka, umelca alebo športovca do kariérového stupňa pedagogický zamestnanec s prvou atestáciou alebo odborný zamestnanec s prvou atestáciou bolo tak ako doteraz, najmenej trojročné </w:t>
      </w:r>
      <w:r w:rsidR="00336C51" w:rsidRPr="007C41DB">
        <w:rPr>
          <w:rFonts w:ascii="Times New Roman" w:eastAsia="Times New Roman" w:hAnsi="Times New Roman" w:cs="Times New Roman"/>
          <w:sz w:val="24"/>
          <w:szCs w:val="24"/>
        </w:rPr>
        <w:t xml:space="preserve">úspešné </w:t>
      </w:r>
      <w:r w:rsidRPr="007C41DB">
        <w:rPr>
          <w:rFonts w:ascii="Times New Roman" w:eastAsia="Times New Roman" w:hAnsi="Times New Roman" w:cs="Times New Roman"/>
          <w:sz w:val="24"/>
          <w:szCs w:val="24"/>
        </w:rPr>
        <w:t>pôsobenie v oblasti:</w:t>
      </w:r>
    </w:p>
    <w:p w14:paraId="1B5CAD47" w14:textId="77777777" w:rsidR="00CC5FD9" w:rsidRPr="007C41DB" w:rsidRDefault="00CC5FD9">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4D704792" w14:textId="77777777" w:rsidR="00CC5FD9" w:rsidRPr="007C41DB" w:rsidRDefault="0078037F" w:rsidP="00CC5FD9">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športovej činnosti alebo trénerskej činnosti, ak ide o učiteľa prvého stupňa základnej školy, učiteľa predmetu telesná výchova a športová výchova alebo školského trénera</w:t>
      </w:r>
      <w:r w:rsidR="006A4D1A" w:rsidRPr="007C41DB">
        <w:rPr>
          <w:rFonts w:ascii="Times New Roman" w:eastAsia="Times New Roman" w:hAnsi="Times New Roman" w:cs="Times New Roman"/>
          <w:bCs/>
          <w:color w:val="000000"/>
          <w:sz w:val="24"/>
          <w:szCs w:val="24"/>
        </w:rPr>
        <w:t xml:space="preserve"> a ďalej</w:t>
      </w:r>
    </w:p>
    <w:p w14:paraId="67769084" w14:textId="77777777" w:rsidR="00CC5FD9" w:rsidRPr="007C41DB" w:rsidRDefault="0078037F" w:rsidP="00CC5FD9">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umeleckej činnosti súvisiacej s obsahom vyučovacieho predmetu, ak ide o učiteľa prvého stupňa základnej školy, učiteľa predmetov slovenský jazyk a literatúra, materinský jazyk a literatúra, hudobná výchova, výtvarná výchova, umenie a kultúra, učiteľa základnej umeleckej školy, učiteľa odborných vyučovacích predmetov školy umeleckého priemyslu alebo učiteľa odborných vyučovacích predmetov konzervatória alebo</w:t>
      </w:r>
    </w:p>
    <w:p w14:paraId="4A93080C" w14:textId="77777777" w:rsidR="0078037F" w:rsidRPr="007C41DB" w:rsidRDefault="0078037F" w:rsidP="00CC5FD9">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ďalšej činnosti súvisiacej s obsahom vyučovacieho predmetu, ak ide o učiteľa odborných vyučovacích predmetov strednej odbornej školy, učiteľa odborného vzdelávania a prípravy v odbornom učilišti, učiteľa odborného vzdelávania a prípravy v praktickej škole alebo majstra odbornej výchovy.</w:t>
      </w:r>
    </w:p>
    <w:p w14:paraId="05A88403" w14:textId="77777777" w:rsidR="006A4D1A" w:rsidRPr="007C41DB" w:rsidRDefault="006A4D1A" w:rsidP="006A4D1A">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2CDD1DCA" w14:textId="77777777" w:rsidR="006A4D1A" w:rsidRPr="007C41DB" w:rsidRDefault="006A4D1A" w:rsidP="006A4D1A">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K bodu 2</w:t>
      </w:r>
    </w:p>
    <w:p w14:paraId="39CC98CA" w14:textId="77777777" w:rsidR="006A4D1A" w:rsidRPr="007C41DB" w:rsidRDefault="006A4D1A" w:rsidP="006A4D1A">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Dôvodom úpravy § 30 ods. 2 písm. d) je potreba podpory vstupu širšieho okruhu významných odborníkov do vzdelávania v školách a školských zariadeniach. Obdobne, ako je v súčasnosti umožnené zaradiť do kariérového stupňa pedagogický zamestnanec s druhou atestáciou alebo odborný zamestnanec s druhou atestáciou zaradiť učiteľa prvého stupňa ZŠ, učiteľa telesnej výchovy a športovej výchovy a školského trénera, ktorý najmenej päť rokov </w:t>
      </w:r>
      <w:r w:rsidR="0094321D" w:rsidRPr="007C41DB">
        <w:rPr>
          <w:rFonts w:ascii="Times New Roman" w:eastAsia="Times New Roman" w:hAnsi="Times New Roman" w:cs="Times New Roman"/>
          <w:sz w:val="24"/>
          <w:szCs w:val="24"/>
        </w:rPr>
        <w:t xml:space="preserve">pôsobil </w:t>
      </w:r>
      <w:r w:rsidRPr="007C41DB">
        <w:rPr>
          <w:rFonts w:ascii="Times New Roman" w:eastAsia="Times New Roman" w:hAnsi="Times New Roman" w:cs="Times New Roman"/>
          <w:sz w:val="24"/>
          <w:szCs w:val="24"/>
        </w:rPr>
        <w:t>ako</w:t>
      </w:r>
      <w:r w:rsidRPr="007C41DB">
        <w:rPr>
          <w:rFonts w:ascii="Times New Roman" w:eastAsia="Times New Roman" w:hAnsi="Times New Roman" w:cs="Times New Roman"/>
          <w:b/>
          <w:sz w:val="24"/>
          <w:szCs w:val="24"/>
        </w:rPr>
        <w:t xml:space="preserve"> </w:t>
      </w:r>
      <w:r w:rsidR="0094321D" w:rsidRPr="007C41DB">
        <w:rPr>
          <w:rFonts w:ascii="Times New Roman" w:eastAsia="Times New Roman" w:hAnsi="Times New Roman" w:cs="Times New Roman"/>
          <w:sz w:val="24"/>
          <w:szCs w:val="24"/>
        </w:rPr>
        <w:t>športovec</w:t>
      </w:r>
      <w:r w:rsidRPr="007C41DB">
        <w:rPr>
          <w:rFonts w:ascii="Times New Roman" w:eastAsia="Times New Roman" w:hAnsi="Times New Roman" w:cs="Times New Roman"/>
          <w:sz w:val="24"/>
          <w:szCs w:val="24"/>
        </w:rPr>
        <w:t xml:space="preserve"> v najvyššej celoštátnej súťaži Slovenskej republiky, obdobnej súťaži v zahraničí, </w:t>
      </w:r>
      <w:r w:rsidRPr="007C41DB">
        <w:rPr>
          <w:rFonts w:ascii="Times New Roman" w:eastAsia="Times New Roman" w:hAnsi="Times New Roman" w:cs="Times New Roman"/>
          <w:sz w:val="24"/>
          <w:szCs w:val="24"/>
        </w:rPr>
        <w:lastRenderedPageBreak/>
        <w:t>alebo v športovej rep</w:t>
      </w:r>
      <w:r w:rsidR="00DC4EC6" w:rsidRPr="007C41DB">
        <w:rPr>
          <w:rFonts w:ascii="Times New Roman" w:eastAsia="Times New Roman" w:hAnsi="Times New Roman" w:cs="Times New Roman"/>
          <w:sz w:val="24"/>
          <w:szCs w:val="24"/>
        </w:rPr>
        <w:t>rezentácii Slovenskej republiky. N</w:t>
      </w:r>
      <w:r w:rsidRPr="007C41DB">
        <w:rPr>
          <w:rFonts w:ascii="Times New Roman" w:eastAsia="Times New Roman" w:hAnsi="Times New Roman" w:cs="Times New Roman"/>
          <w:sz w:val="24"/>
          <w:szCs w:val="24"/>
        </w:rPr>
        <w:t xml:space="preserve">avrhuje sa rozšírenie okruhu pedagogických zamestnancov, ktorí môžu byť na základe predchádzajúceho úspešného najmenej päťročného pôsobenia v inej oblasti, než je školstvo, zaradení do kariérového stupňa pedagogický zamestnanec s druhou atestáciou alebo odborný zamestnanec s druhou atestáciou. </w:t>
      </w:r>
    </w:p>
    <w:p w14:paraId="790E3F04" w14:textId="77777777" w:rsidR="006A4D1A" w:rsidRPr="007C41DB" w:rsidRDefault="006A4D1A" w:rsidP="006A4D1A">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32948127" w14:textId="77777777" w:rsidR="006A4D1A" w:rsidRPr="007C41DB" w:rsidRDefault="006A4D1A" w:rsidP="006A4D1A">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Ide o významných športovcov, trénerov, umelcov, ale aj iných odborníkov z ďalších oblastí, ktoré obsahovo korešpondujú s obsahom predmetov, ktorí dotknutí pedagogickí zamestnanci vyučujú. Vo výpočte predmetov, ktorých výučba sa navrhuje podporiť úpravou § 30 ods. 1 písm. e), sa okrem doteraz uvedenej telesnej výchovy a športovej výchovy nachádzajú aj ďalšie predmety všeobecného vzdelávania, základného umeleckého vzdelávania a odborného vzdelávania v stredných školách. </w:t>
      </w:r>
    </w:p>
    <w:p w14:paraId="062B8306" w14:textId="77777777" w:rsidR="006A4D1A" w:rsidRPr="007C41DB" w:rsidRDefault="006A4D1A" w:rsidP="006A4D1A">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4E4E2617" w14:textId="77777777" w:rsidR="006A4D1A" w:rsidRPr="007C41DB" w:rsidRDefault="006A4D1A" w:rsidP="006A4D1A">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Navrhuje sa, aby kvantitatívnym kritériom pre zaradenie úspešného odborníka, umelca alebo športovca do kariérového stupňa pedagogický zamestnanec s druhou atestáciou alebo odborný zamestnanec s druhou atestáciou bolo tak ako doteraz, najmenej päťročné </w:t>
      </w:r>
      <w:r w:rsidR="00336C51" w:rsidRPr="007C41DB">
        <w:rPr>
          <w:rFonts w:ascii="Times New Roman" w:eastAsia="Times New Roman" w:hAnsi="Times New Roman" w:cs="Times New Roman"/>
          <w:sz w:val="24"/>
          <w:szCs w:val="24"/>
        </w:rPr>
        <w:t xml:space="preserve">úspešné </w:t>
      </w:r>
      <w:r w:rsidRPr="007C41DB">
        <w:rPr>
          <w:rFonts w:ascii="Times New Roman" w:eastAsia="Times New Roman" w:hAnsi="Times New Roman" w:cs="Times New Roman"/>
          <w:sz w:val="24"/>
          <w:szCs w:val="24"/>
        </w:rPr>
        <w:t>pôsobenie v oblasti:</w:t>
      </w:r>
    </w:p>
    <w:p w14:paraId="271820F1" w14:textId="77777777" w:rsidR="006A4D1A" w:rsidRPr="007C41DB" w:rsidRDefault="006A4D1A" w:rsidP="006A4D1A">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63B47632" w14:textId="77777777" w:rsidR="006F56D3" w:rsidRPr="007C41DB" w:rsidRDefault="006F56D3" w:rsidP="006F56D3">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 xml:space="preserve">športovej činnosti alebo trénerskej činnosti, ak ide o učiteľa prvého stupňa základnej školy, učiteľa predmetu telesná výchova a športová výchova alebo školského trénera, ktorý má vysokoškolské vzdelanie druhého stupňa vyžadované pre príslušnú kategóriu alebo príslušnú podkategóriu pedagogického zamestnanca, </w:t>
      </w:r>
    </w:p>
    <w:p w14:paraId="1D27424B" w14:textId="77777777" w:rsidR="006F56D3" w:rsidRPr="007C41DB" w:rsidRDefault="006F56D3" w:rsidP="006F56D3">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umeleckej činnosti súvisiacej s obsahom vyučovacieho predmetu, ak ide o učiteľa prvého stupňa základnej školy, učiteľa predmetov slovenský jazyk a literatúra, materinský jazyk a literatúra, hudobná výchova, výtvarná výchova, umenie a kultúra, učiteľa základnej umeleckej školy, ktorý má vysokoškolské vzdelanie druhého stupňa vyžadované pre príslušnú kategóriu alebo príslušnú podkategóriu pedagogického zamestnanca, učiteľa odborných vyučovacích predmetov školy umeleckého priemyslu alebo učiteľa odborných vyučovacích predmetov konzervatória alebo</w:t>
      </w:r>
    </w:p>
    <w:p w14:paraId="062700D4" w14:textId="77777777" w:rsidR="006A4D1A" w:rsidRPr="007C41DB" w:rsidRDefault="006F56D3" w:rsidP="006F56D3">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ďalšej činnosti súvisiacej s obsahom vyučovacieho predmetu, ak ide o učiteľa odborných vyučovacích predmetov strednej odbornej školy, učiteľa odborného vzdelávania a prípravy v odbornom učilišti, učiteľa odborného vzdelávania a prípravy v praktickej škole alebo majstra odbornej výchovy, ktorý má vysokoškolské vzdelanie druhého stupňa vyžadované pre príslušnú kategóriu pedagogického zamestnanca</w:t>
      </w:r>
      <w:r w:rsidR="006A4D1A" w:rsidRPr="007C41DB">
        <w:rPr>
          <w:rFonts w:ascii="Times New Roman" w:eastAsia="Times New Roman" w:hAnsi="Times New Roman" w:cs="Times New Roman"/>
          <w:bCs/>
          <w:color w:val="000000"/>
          <w:sz w:val="24"/>
          <w:szCs w:val="24"/>
        </w:rPr>
        <w:t>.</w:t>
      </w:r>
    </w:p>
    <w:p w14:paraId="215786BB" w14:textId="77777777" w:rsidR="00207006" w:rsidRPr="007C41DB" w:rsidRDefault="00207006" w:rsidP="00207006">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35D872E0" w14:textId="77777777" w:rsidR="00207006" w:rsidRPr="007C41DB" w:rsidRDefault="00207006" w:rsidP="00207006">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K bodu 3</w:t>
      </w:r>
    </w:p>
    <w:p w14:paraId="4BBBC507" w14:textId="77777777" w:rsidR="00207006" w:rsidRPr="007C41DB" w:rsidRDefault="00207006" w:rsidP="00A528DF">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Dôvodom úpravy § 30 ods. 4 je potreba rozšírenia </w:t>
      </w:r>
      <w:r w:rsidR="00A528DF" w:rsidRPr="007C41DB">
        <w:rPr>
          <w:rFonts w:ascii="Times New Roman" w:eastAsia="Times New Roman" w:hAnsi="Times New Roman" w:cs="Times New Roman"/>
          <w:sz w:val="24"/>
          <w:szCs w:val="24"/>
        </w:rPr>
        <w:t xml:space="preserve">doterajšej kompetencie priamo </w:t>
      </w:r>
      <w:r w:rsidRPr="007C41DB">
        <w:rPr>
          <w:rFonts w:ascii="Times New Roman" w:eastAsia="Times New Roman" w:hAnsi="Times New Roman" w:cs="Times New Roman"/>
          <w:sz w:val="24"/>
          <w:szCs w:val="24"/>
        </w:rPr>
        <w:t>zaradiť pedagogick</w:t>
      </w:r>
      <w:r w:rsidR="00A528DF" w:rsidRPr="007C41DB">
        <w:rPr>
          <w:rFonts w:ascii="Times New Roman" w:eastAsia="Times New Roman" w:hAnsi="Times New Roman" w:cs="Times New Roman"/>
          <w:sz w:val="24"/>
          <w:szCs w:val="24"/>
        </w:rPr>
        <w:t xml:space="preserve">ého zamestnanca do kariérového stupňa pedagogický zamestnanec s prvou atestáciou alebo odborný zamestnanec s prvou atestáciou v rozsahu, ktorý je recipročný k úprave odseku 1 písm. e). </w:t>
      </w:r>
    </w:p>
    <w:p w14:paraId="7D828C95" w14:textId="77777777" w:rsidR="00207006" w:rsidRPr="007C41DB" w:rsidRDefault="00207006" w:rsidP="00207006">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145837AD" w14:textId="77777777" w:rsidR="00207006" w:rsidRPr="007C41DB" w:rsidRDefault="00207006" w:rsidP="00207006">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Navrhuje sa, aby kvantitatívnym kritériom pre zaradenie úspešného odborníka, umelca alebo športovca do kariérového stupňa pedagogický zamestnanec s </w:t>
      </w:r>
      <w:r w:rsidR="006F56D3" w:rsidRPr="007C41DB">
        <w:rPr>
          <w:rFonts w:ascii="Times New Roman" w:eastAsia="Times New Roman" w:hAnsi="Times New Roman" w:cs="Times New Roman"/>
          <w:sz w:val="24"/>
          <w:szCs w:val="24"/>
        </w:rPr>
        <w:t>prv</w:t>
      </w:r>
      <w:r w:rsidRPr="007C41DB">
        <w:rPr>
          <w:rFonts w:ascii="Times New Roman" w:eastAsia="Times New Roman" w:hAnsi="Times New Roman" w:cs="Times New Roman"/>
          <w:sz w:val="24"/>
          <w:szCs w:val="24"/>
        </w:rPr>
        <w:t>ou atestáciou alebo odborný zamestnanec s </w:t>
      </w:r>
      <w:r w:rsidR="006F56D3" w:rsidRPr="007C41DB">
        <w:rPr>
          <w:rFonts w:ascii="Times New Roman" w:eastAsia="Times New Roman" w:hAnsi="Times New Roman" w:cs="Times New Roman"/>
          <w:sz w:val="24"/>
          <w:szCs w:val="24"/>
        </w:rPr>
        <w:t>prv</w:t>
      </w:r>
      <w:r w:rsidRPr="007C41DB">
        <w:rPr>
          <w:rFonts w:ascii="Times New Roman" w:eastAsia="Times New Roman" w:hAnsi="Times New Roman" w:cs="Times New Roman"/>
          <w:sz w:val="24"/>
          <w:szCs w:val="24"/>
        </w:rPr>
        <w:t xml:space="preserve">ou atestáciou bolo tak ako doteraz, najmenej </w:t>
      </w:r>
      <w:r w:rsidR="006F56D3" w:rsidRPr="007C41DB">
        <w:rPr>
          <w:rFonts w:ascii="Times New Roman" w:eastAsia="Times New Roman" w:hAnsi="Times New Roman" w:cs="Times New Roman"/>
          <w:sz w:val="24"/>
          <w:szCs w:val="24"/>
        </w:rPr>
        <w:t>sedem</w:t>
      </w:r>
      <w:r w:rsidRPr="007C41DB">
        <w:rPr>
          <w:rFonts w:ascii="Times New Roman" w:eastAsia="Times New Roman" w:hAnsi="Times New Roman" w:cs="Times New Roman"/>
          <w:sz w:val="24"/>
          <w:szCs w:val="24"/>
        </w:rPr>
        <w:t>ročné</w:t>
      </w:r>
      <w:r w:rsidR="00336C51" w:rsidRPr="007C41DB">
        <w:rPr>
          <w:rFonts w:ascii="Times New Roman" w:eastAsia="Times New Roman" w:hAnsi="Times New Roman" w:cs="Times New Roman"/>
          <w:sz w:val="24"/>
          <w:szCs w:val="24"/>
        </w:rPr>
        <w:t xml:space="preserve"> úspešné</w:t>
      </w:r>
      <w:r w:rsidRPr="007C41DB">
        <w:rPr>
          <w:rFonts w:ascii="Times New Roman" w:eastAsia="Times New Roman" w:hAnsi="Times New Roman" w:cs="Times New Roman"/>
          <w:sz w:val="24"/>
          <w:szCs w:val="24"/>
        </w:rPr>
        <w:t xml:space="preserve"> pôsobenie v oblasti:</w:t>
      </w:r>
    </w:p>
    <w:p w14:paraId="175CB1F4" w14:textId="77777777" w:rsidR="00207006" w:rsidRPr="007C41DB" w:rsidRDefault="00207006" w:rsidP="00207006">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5A23A9C4" w14:textId="77777777" w:rsidR="00207006" w:rsidRPr="007C41DB" w:rsidRDefault="00207006" w:rsidP="00207006">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športovej činnosti alebo trénerskej činnosti, ak ide o učiteľa prvého stupňa základnej školy, učiteľa predmetu telesná výchova a športová výchova alebo školského trénera a ďalej</w:t>
      </w:r>
    </w:p>
    <w:p w14:paraId="2534B306" w14:textId="77777777" w:rsidR="00207006" w:rsidRPr="007C41DB" w:rsidRDefault="00207006" w:rsidP="00207006">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 xml:space="preserve">umeleckej činnosti súvisiacej s obsahom vyučovacieho predmetu, ak ide o učiteľa prvého stupňa základnej školy, učiteľa predmetov slovenský jazyk a literatúra, </w:t>
      </w:r>
      <w:r w:rsidRPr="007C41DB">
        <w:rPr>
          <w:rFonts w:ascii="Times New Roman" w:eastAsia="Times New Roman" w:hAnsi="Times New Roman" w:cs="Times New Roman"/>
          <w:bCs/>
          <w:color w:val="000000"/>
          <w:sz w:val="24"/>
          <w:szCs w:val="24"/>
        </w:rPr>
        <w:lastRenderedPageBreak/>
        <w:t>materinský jazyk a literatúra, hudobná výchova, výtvarná výchova, umenie a kultúra, učiteľa základnej umeleckej školy, učiteľa odborných vyučovacích predmetov školy umeleckého priemyslu alebo učiteľa odborných vyučovacích predmetov konzervatória alebo</w:t>
      </w:r>
    </w:p>
    <w:p w14:paraId="71C4B974" w14:textId="77777777" w:rsidR="00207006" w:rsidRPr="007C41DB" w:rsidRDefault="00207006" w:rsidP="00207006">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ďalšej činnosti súvisiacej s obsahom vyučovacieho predmetu, ak ide o učiteľa odborných vyučovacích predmetov strednej odbornej školy, učiteľa odborného vzdelávania a prípravy v odbornom učilišti, učiteľa odborného vzdelávania a prípravy v praktickej škole alebo majstra odbornej výchovy.</w:t>
      </w:r>
    </w:p>
    <w:p w14:paraId="230B93E6" w14:textId="77777777" w:rsidR="006F56D3" w:rsidRPr="007C41DB" w:rsidRDefault="006F56D3" w:rsidP="006F56D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E35A2AB" w14:textId="77777777" w:rsidR="006F56D3" w:rsidRPr="007C41DB" w:rsidRDefault="006F56D3" w:rsidP="006F56D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 xml:space="preserve">K bodu </w:t>
      </w:r>
      <w:r w:rsidR="000C1AEA" w:rsidRPr="007C41DB">
        <w:rPr>
          <w:rFonts w:ascii="Times New Roman" w:eastAsia="Times New Roman" w:hAnsi="Times New Roman" w:cs="Times New Roman"/>
          <w:b/>
          <w:color w:val="000000"/>
          <w:sz w:val="24"/>
          <w:szCs w:val="24"/>
        </w:rPr>
        <w:t>4</w:t>
      </w:r>
    </w:p>
    <w:p w14:paraId="3AAE31DE" w14:textId="77777777" w:rsidR="006F56D3" w:rsidRPr="007C41DB" w:rsidRDefault="006F56D3" w:rsidP="006F56D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Dôvodom úpravy § 30 ods. 5 je potreba rozšírenia doterajšej kompetencie priamo zaradiť pedagogického zamestnanca do kariérového stupňa pedagogický zamestnanec s druhou atestáciou alebo odborný zamestnanec s druhou atestáciou v rozsahu, ktorý je recipročný k úprave odseku 2 písm. d). </w:t>
      </w:r>
    </w:p>
    <w:p w14:paraId="47BBF0E2" w14:textId="77777777" w:rsidR="006F56D3" w:rsidRPr="007C41DB" w:rsidRDefault="006F56D3" w:rsidP="006F56D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1014E2C6" w14:textId="77777777" w:rsidR="006F56D3" w:rsidRPr="007C41DB" w:rsidRDefault="006F56D3" w:rsidP="006F56D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7C41DB">
        <w:rPr>
          <w:rFonts w:ascii="Times New Roman" w:eastAsia="Times New Roman" w:hAnsi="Times New Roman" w:cs="Times New Roman"/>
          <w:sz w:val="24"/>
          <w:szCs w:val="24"/>
        </w:rPr>
        <w:t xml:space="preserve">Navrhuje sa, aby kvantitatívnym kritériom pre zaradenie úspešného odborníka, umelca alebo športovca do kariérového stupňa pedagogický zamestnanec s prvou atestáciou alebo odborný zamestnanec s prvou atestáciou bolo tak ako doteraz, najmenej sedemročné </w:t>
      </w:r>
      <w:r w:rsidR="00336C51" w:rsidRPr="007C41DB">
        <w:rPr>
          <w:rFonts w:ascii="Times New Roman" w:eastAsia="Times New Roman" w:hAnsi="Times New Roman" w:cs="Times New Roman"/>
          <w:sz w:val="24"/>
          <w:szCs w:val="24"/>
        </w:rPr>
        <w:t xml:space="preserve">úspešné </w:t>
      </w:r>
      <w:r w:rsidRPr="007C41DB">
        <w:rPr>
          <w:rFonts w:ascii="Times New Roman" w:eastAsia="Times New Roman" w:hAnsi="Times New Roman" w:cs="Times New Roman"/>
          <w:sz w:val="24"/>
          <w:szCs w:val="24"/>
        </w:rPr>
        <w:t>pôsobenie v oblasti:</w:t>
      </w:r>
    </w:p>
    <w:p w14:paraId="0C4C8326" w14:textId="77777777" w:rsidR="006F56D3" w:rsidRPr="007C41DB" w:rsidRDefault="006F56D3" w:rsidP="006F56D3">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6E500BA3" w14:textId="77777777" w:rsidR="006F56D3" w:rsidRPr="007C41DB" w:rsidRDefault="006F56D3" w:rsidP="006F56D3">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športovej činnosti alebo trénerskej činnosti, ak ide o učiteľa prvého stupňa základnej školy, učiteľa predmetu telesná výchova a športová výchova alebo školského trénera, ktorý má vysokoškolské vzdelanie druhého stupňa vyžadované pre príslušnú kategóriu alebo príslušnú podkategóriu pedagogického zamestnanca,</w:t>
      </w:r>
    </w:p>
    <w:p w14:paraId="0FDB6D52" w14:textId="77777777" w:rsidR="006F56D3" w:rsidRPr="007C41DB" w:rsidRDefault="006F56D3" w:rsidP="006F56D3">
      <w:pPr>
        <w:pStyle w:val="Odsekzoznamu"/>
        <w:numPr>
          <w:ilvl w:val="0"/>
          <w:numId w:val="10"/>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umeleckej činnosti súvisiacej s obsahom vyučovacieho predmetu, ak ide o učiteľa prvého stupňa základnej školy, učiteľa predmetov slovenský jazyk a literatúra, materinský jazyk a literatúra, hudobná výchova, výtvarná výchova, umenie a kultúra, učiteľa základnej umeleckej školy, ktorý má vysokoškolské vzdelanie druhého stupňa vyžadované pre príslušnú kategóriu alebo príslušnú podkategóriu pedagogického zamestnanca, učiteľa odborných vyučovacích predmetov školy umeleckého priemyslu alebo učiteľa odborných vyučovacích predmetov konzervatória,</w:t>
      </w:r>
    </w:p>
    <w:p w14:paraId="6FFD9510" w14:textId="77777777" w:rsidR="00386510" w:rsidRPr="007C41DB" w:rsidRDefault="006F56D3" w:rsidP="00644663">
      <w:pPr>
        <w:pStyle w:val="Odsekzoznamu"/>
        <w:numPr>
          <w:ilvl w:val="0"/>
          <w:numId w:val="10"/>
        </w:numPr>
        <w:shd w:val="clear" w:color="auto" w:fill="FFFFFF"/>
        <w:tabs>
          <w:tab w:val="left" w:pos="708"/>
        </w:tabs>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ďalšej činnosti súvisiacej s obsahom vyučovacieho predmetu, ak ide o učiteľa odborných vyučovacích predmetov strednej odbornej školy, učiteľa odborného vzdelávania a prípravy v odbornom učilišti, učiteľa odborného vzdelávania a prípravy v praktickej škole alebo majstra odbornej výchovy, ktorý má vysokoškolské vzdelanie druhého stupňa vyžadované pre príslušnú kategóriu pedagogického zamestnanca.</w:t>
      </w:r>
    </w:p>
    <w:p w14:paraId="47EAE331" w14:textId="77777777" w:rsidR="002D32CF" w:rsidRPr="007C41DB" w:rsidRDefault="002D32CF">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p w14:paraId="6E4C8271" w14:textId="27A6DFF8"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r w:rsidRPr="007C41DB">
        <w:rPr>
          <w:rFonts w:ascii="Times New Roman" w:eastAsia="Times New Roman" w:hAnsi="Times New Roman" w:cs="Times New Roman"/>
          <w:b/>
          <w:sz w:val="24"/>
          <w:szCs w:val="24"/>
        </w:rPr>
        <w:t xml:space="preserve">K bodu </w:t>
      </w:r>
      <w:r w:rsidR="006F56D3" w:rsidRPr="007C41DB">
        <w:rPr>
          <w:rFonts w:ascii="Times New Roman" w:eastAsia="Times New Roman" w:hAnsi="Times New Roman" w:cs="Times New Roman"/>
          <w:b/>
          <w:sz w:val="24"/>
          <w:szCs w:val="24"/>
        </w:rPr>
        <w:t>5</w:t>
      </w:r>
    </w:p>
    <w:p w14:paraId="08351E2B"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78D3077F" w14:textId="187E34BA" w:rsidR="000C1AEA" w:rsidRPr="007C41DB" w:rsidRDefault="006F56D3" w:rsidP="000C1AEA">
      <w:p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sz w:val="24"/>
          <w:szCs w:val="24"/>
        </w:rPr>
        <w:t xml:space="preserve">Vzhľadom k rozsahu navrhovanej úpravy </w:t>
      </w:r>
      <w:r w:rsidR="000C1AEA" w:rsidRPr="007C41DB">
        <w:rPr>
          <w:rFonts w:ascii="Times New Roman" w:eastAsia="Times New Roman" w:hAnsi="Times New Roman" w:cs="Times New Roman"/>
          <w:sz w:val="24"/>
          <w:szCs w:val="24"/>
        </w:rPr>
        <w:t xml:space="preserve">sa § </w:t>
      </w:r>
      <w:r w:rsidR="002D32CF" w:rsidRPr="007C41DB">
        <w:rPr>
          <w:rFonts w:ascii="Times New Roman" w:eastAsia="Times New Roman" w:hAnsi="Times New Roman" w:cs="Times New Roman"/>
          <w:sz w:val="24"/>
          <w:szCs w:val="24"/>
        </w:rPr>
        <w:t>85</w:t>
      </w:r>
      <w:r w:rsidR="000C1AEA" w:rsidRPr="007C41DB">
        <w:rPr>
          <w:rFonts w:ascii="Times New Roman" w:eastAsia="Times New Roman" w:hAnsi="Times New Roman" w:cs="Times New Roman"/>
          <w:sz w:val="24"/>
          <w:szCs w:val="24"/>
        </w:rPr>
        <w:t xml:space="preserve"> </w:t>
      </w:r>
      <w:r w:rsidR="002D32CF" w:rsidRPr="007C41DB">
        <w:rPr>
          <w:rFonts w:ascii="Times New Roman" w:eastAsia="Times New Roman" w:hAnsi="Times New Roman" w:cs="Times New Roman"/>
          <w:sz w:val="24"/>
          <w:szCs w:val="24"/>
        </w:rPr>
        <w:t>dopĺňa písmenom c)</w:t>
      </w:r>
      <w:r w:rsidR="000C1AEA" w:rsidRPr="007C41DB">
        <w:rPr>
          <w:rFonts w:ascii="Times New Roman" w:eastAsia="Times New Roman" w:hAnsi="Times New Roman" w:cs="Times New Roman"/>
          <w:sz w:val="24"/>
          <w:szCs w:val="24"/>
        </w:rPr>
        <w:t>, ktor</w:t>
      </w:r>
      <w:r w:rsidR="002D32CF" w:rsidRPr="007C41DB">
        <w:rPr>
          <w:rFonts w:ascii="Times New Roman" w:eastAsia="Times New Roman" w:hAnsi="Times New Roman" w:cs="Times New Roman"/>
          <w:sz w:val="24"/>
          <w:szCs w:val="24"/>
        </w:rPr>
        <w:t>é</w:t>
      </w:r>
      <w:r w:rsidR="000C1AEA" w:rsidRPr="007C41DB">
        <w:rPr>
          <w:rFonts w:ascii="Times New Roman" w:eastAsia="Times New Roman" w:hAnsi="Times New Roman" w:cs="Times New Roman"/>
          <w:sz w:val="24"/>
          <w:szCs w:val="24"/>
        </w:rPr>
        <w:t xml:space="preserve"> je splnomocňovacím ustanovením na </w:t>
      </w:r>
      <w:r w:rsidR="000C1AEA" w:rsidRPr="007C41DB">
        <w:rPr>
          <w:rFonts w:ascii="Times New Roman" w:eastAsia="Times New Roman" w:hAnsi="Times New Roman" w:cs="Times New Roman"/>
          <w:bCs/>
          <w:color w:val="000000"/>
          <w:sz w:val="24"/>
          <w:szCs w:val="24"/>
        </w:rPr>
        <w:t xml:space="preserve">vydanie všeobecne záväzného právneho predpisu, ktorým sa ustanovia podrobnosti preukazovania úspešného pôsobenia pedagogického zamestnanca v oblasti </w:t>
      </w:r>
    </w:p>
    <w:p w14:paraId="52D395F6" w14:textId="77777777" w:rsidR="000C1AEA" w:rsidRPr="007C41DB" w:rsidRDefault="000C1AEA" w:rsidP="000C1AEA">
      <w:pPr>
        <w:pStyle w:val="Odsekzoznamu"/>
        <w:numPr>
          <w:ilvl w:val="0"/>
          <w:numId w:val="11"/>
        </w:numPr>
        <w:shd w:val="clear" w:color="auto" w:fill="FFFFFF"/>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 xml:space="preserve">športovej činnosti alebo trénerskej činnosti, </w:t>
      </w:r>
    </w:p>
    <w:p w14:paraId="1A2CDDE7" w14:textId="77777777" w:rsidR="000C1AEA" w:rsidRPr="007C41DB" w:rsidRDefault="000C1AEA" w:rsidP="000C1AEA">
      <w:pPr>
        <w:pStyle w:val="Odsekzoznamu"/>
        <w:numPr>
          <w:ilvl w:val="0"/>
          <w:numId w:val="11"/>
        </w:numPr>
        <w:shd w:val="clear" w:color="auto" w:fill="FFFFFF"/>
        <w:tabs>
          <w:tab w:val="left" w:pos="708"/>
        </w:tabs>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umeleckej činnosti,</w:t>
      </w:r>
    </w:p>
    <w:p w14:paraId="4649B119" w14:textId="77777777" w:rsidR="000C1AEA" w:rsidRPr="007C41DB" w:rsidRDefault="000C1AEA" w:rsidP="000C1AEA">
      <w:pPr>
        <w:pStyle w:val="Odsekzoznamu"/>
        <w:numPr>
          <w:ilvl w:val="0"/>
          <w:numId w:val="11"/>
        </w:numPr>
        <w:shd w:val="clear" w:color="auto" w:fill="FFFFFF"/>
        <w:tabs>
          <w:tab w:val="left" w:pos="708"/>
        </w:tabs>
        <w:spacing w:after="0" w:line="240" w:lineRule="auto"/>
        <w:jc w:val="both"/>
        <w:rPr>
          <w:rFonts w:ascii="Times New Roman" w:eastAsia="Times New Roman" w:hAnsi="Times New Roman" w:cs="Times New Roman"/>
          <w:bCs/>
          <w:color w:val="000000"/>
          <w:sz w:val="24"/>
          <w:szCs w:val="24"/>
        </w:rPr>
      </w:pPr>
      <w:r w:rsidRPr="007C41DB">
        <w:rPr>
          <w:rFonts w:ascii="Times New Roman" w:eastAsia="Times New Roman" w:hAnsi="Times New Roman" w:cs="Times New Roman"/>
          <w:bCs/>
          <w:color w:val="000000"/>
          <w:sz w:val="24"/>
          <w:szCs w:val="24"/>
        </w:rPr>
        <w:t>ďalšej činnosti súvisiacej s obsahom vyučovacieho predmetu,</w:t>
      </w:r>
    </w:p>
    <w:p w14:paraId="141BDF2E" w14:textId="77777777" w:rsidR="00386510" w:rsidRPr="007C41DB"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p>
    <w:p w14:paraId="29A64BB1" w14:textId="77777777" w:rsidR="002D32CF" w:rsidRPr="007C41DB" w:rsidRDefault="002D32CF">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C4DAC0D" w14:textId="5FE9DBE8" w:rsidR="00386510" w:rsidRPr="007C41DB"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sidRPr="007C41DB">
        <w:rPr>
          <w:rFonts w:ascii="Times New Roman" w:eastAsia="Times New Roman" w:hAnsi="Times New Roman" w:cs="Times New Roman"/>
          <w:b/>
          <w:color w:val="000000"/>
          <w:sz w:val="24"/>
          <w:szCs w:val="24"/>
        </w:rPr>
        <w:t>K Čl. II</w:t>
      </w:r>
    </w:p>
    <w:p w14:paraId="6F08E6F5" w14:textId="4160E10E" w:rsidR="000C1AEA" w:rsidRPr="007C41DB" w:rsidRDefault="00BB6162" w:rsidP="007C41DB">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000000"/>
          <w:sz w:val="24"/>
          <w:szCs w:val="24"/>
        </w:rPr>
      </w:pPr>
      <w:r w:rsidRPr="007C41DB">
        <w:rPr>
          <w:rFonts w:ascii="Times New Roman" w:eastAsia="Times New Roman" w:hAnsi="Times New Roman" w:cs="Times New Roman"/>
          <w:color w:val="000000"/>
          <w:sz w:val="24"/>
          <w:szCs w:val="24"/>
        </w:rPr>
        <w:t>Navrhuje sa účinnosť návrhu zákona</w:t>
      </w:r>
      <w:r w:rsidRPr="007C41DB">
        <w:rPr>
          <w:rFonts w:ascii="Times New Roman" w:eastAsia="Times New Roman" w:hAnsi="Times New Roman" w:cs="Times New Roman"/>
          <w:sz w:val="24"/>
          <w:szCs w:val="24"/>
        </w:rPr>
        <w:t xml:space="preserve"> 1. septembra 202</w:t>
      </w:r>
      <w:r w:rsidR="000C1AEA" w:rsidRPr="007C41DB">
        <w:rPr>
          <w:rFonts w:ascii="Times New Roman" w:eastAsia="Times New Roman" w:hAnsi="Times New Roman" w:cs="Times New Roman"/>
          <w:sz w:val="24"/>
          <w:szCs w:val="24"/>
        </w:rPr>
        <w:t>3</w:t>
      </w:r>
      <w:r w:rsidRPr="007C41DB">
        <w:rPr>
          <w:rFonts w:ascii="Times New Roman" w:eastAsia="Times New Roman" w:hAnsi="Times New Roman" w:cs="Times New Roman"/>
          <w:color w:val="000000"/>
          <w:sz w:val="24"/>
          <w:szCs w:val="24"/>
        </w:rPr>
        <w:t xml:space="preserve">. </w:t>
      </w:r>
    </w:p>
    <w:p w14:paraId="43914129" w14:textId="77777777" w:rsidR="003B2158" w:rsidRPr="007C41DB" w:rsidRDefault="003B2158" w:rsidP="003B2158">
      <w:pPr>
        <w:tabs>
          <w:tab w:val="left" w:pos="6015"/>
        </w:tabs>
        <w:jc w:val="center"/>
        <w:rPr>
          <w:rFonts w:ascii="Times New Roman" w:hAnsi="Times New Roman" w:cs="Times New Roman"/>
          <w:sz w:val="24"/>
          <w:szCs w:val="24"/>
        </w:rPr>
      </w:pPr>
      <w:r w:rsidRPr="007C41DB">
        <w:rPr>
          <w:rFonts w:ascii="Times New Roman" w:hAnsi="Times New Roman" w:cs="Times New Roman"/>
          <w:b/>
          <w:bCs/>
          <w:caps/>
          <w:spacing w:val="30"/>
          <w:sz w:val="24"/>
          <w:szCs w:val="24"/>
        </w:rPr>
        <w:lastRenderedPageBreak/>
        <w:t>DOLOŽKA ZLUČITEĽNOSTI</w:t>
      </w:r>
    </w:p>
    <w:p w14:paraId="367D9AFC" w14:textId="77777777" w:rsidR="003B2158" w:rsidRPr="007C41DB" w:rsidRDefault="003B2158" w:rsidP="003B2158">
      <w:pPr>
        <w:pStyle w:val="Normlnywebov1"/>
        <w:spacing w:before="120" w:after="0" w:line="276" w:lineRule="auto"/>
        <w:jc w:val="center"/>
      </w:pPr>
      <w:r w:rsidRPr="007C41DB">
        <w:rPr>
          <w:b/>
          <w:bCs/>
        </w:rPr>
        <w:t>návrhu zákona</w:t>
      </w:r>
      <w:r w:rsidRPr="007C41DB">
        <w:t xml:space="preserve"> </w:t>
      </w:r>
      <w:r w:rsidRPr="007C41DB">
        <w:rPr>
          <w:b/>
          <w:bCs/>
        </w:rPr>
        <w:t>s právom Európskej únie</w:t>
      </w:r>
    </w:p>
    <w:p w14:paraId="0BAF8E44" w14:textId="77777777" w:rsidR="003B2158" w:rsidRPr="007C41DB" w:rsidRDefault="003B2158" w:rsidP="003B2158">
      <w:pPr>
        <w:pStyle w:val="Normlnywebov1"/>
        <w:spacing w:before="120" w:after="0" w:line="276" w:lineRule="auto"/>
        <w:jc w:val="both"/>
      </w:pPr>
      <w:r w:rsidRPr="007C41DB">
        <w:t> </w:t>
      </w:r>
    </w:p>
    <w:p w14:paraId="68F17C93" w14:textId="77777777" w:rsidR="003B2158" w:rsidRPr="007C41DB" w:rsidRDefault="003B2158" w:rsidP="003B2158">
      <w:pPr>
        <w:pStyle w:val="Normlnywebov1"/>
        <w:spacing w:before="120" w:after="0" w:line="276" w:lineRule="auto"/>
        <w:jc w:val="both"/>
      </w:pPr>
      <w:r w:rsidRPr="007C41DB">
        <w:rPr>
          <w:b/>
          <w:bCs/>
        </w:rPr>
        <w:t>1. Navrhovateľ zákona:</w:t>
      </w:r>
      <w:r w:rsidR="00644663" w:rsidRPr="007C41DB">
        <w:t xml:space="preserve"> poslanci</w:t>
      </w:r>
      <w:r w:rsidRPr="007C41DB">
        <w:t xml:space="preserve"> Národnej rady Slovenskej republiky</w:t>
      </w:r>
      <w:r w:rsidR="00644663" w:rsidRPr="007C41DB">
        <w:t xml:space="preserve"> Karol Kučera, Richard Nemec, Lucia Drábiková a Peter Pollák</w:t>
      </w:r>
    </w:p>
    <w:p w14:paraId="1345043F" w14:textId="77777777" w:rsidR="003B2158" w:rsidRPr="007C41DB" w:rsidRDefault="003B2158" w:rsidP="003B2158">
      <w:pPr>
        <w:pStyle w:val="Normlnywebov1"/>
        <w:spacing w:before="120" w:after="0" w:line="276" w:lineRule="auto"/>
        <w:jc w:val="both"/>
        <w:rPr>
          <w:b/>
          <w:bCs/>
        </w:rPr>
      </w:pPr>
    </w:p>
    <w:p w14:paraId="59C0AD7E" w14:textId="5292C469" w:rsidR="003B2158" w:rsidRPr="007C41DB" w:rsidRDefault="003B2158" w:rsidP="003B2158">
      <w:pPr>
        <w:jc w:val="both"/>
        <w:rPr>
          <w:rFonts w:ascii="Times New Roman" w:hAnsi="Times New Roman" w:cs="Times New Roman"/>
          <w:sz w:val="24"/>
          <w:szCs w:val="24"/>
        </w:rPr>
      </w:pPr>
      <w:r w:rsidRPr="007C41DB">
        <w:rPr>
          <w:rFonts w:ascii="Times New Roman" w:hAnsi="Times New Roman" w:cs="Times New Roman"/>
          <w:b/>
          <w:bCs/>
          <w:sz w:val="24"/>
          <w:szCs w:val="24"/>
        </w:rPr>
        <w:t>2. Názov návrhu právneho predpisu:</w:t>
      </w:r>
      <w:r w:rsidRPr="007C41DB">
        <w:rPr>
          <w:rFonts w:ascii="Times New Roman" w:hAnsi="Times New Roman" w:cs="Times New Roman"/>
          <w:b/>
          <w:sz w:val="24"/>
          <w:szCs w:val="24"/>
        </w:rPr>
        <w:t xml:space="preserve"> </w:t>
      </w:r>
      <w:r w:rsidRPr="007C41DB">
        <w:rPr>
          <w:rFonts w:ascii="Times New Roman" w:hAnsi="Times New Roman" w:cs="Times New Roman"/>
          <w:sz w:val="24"/>
          <w:szCs w:val="24"/>
        </w:rPr>
        <w:t xml:space="preserve">návrh zákona, </w:t>
      </w:r>
      <w:r w:rsidRPr="007C41DB">
        <w:rPr>
          <w:rFonts w:ascii="Times New Roman" w:hAnsi="Times New Roman" w:cs="Times New Roman"/>
          <w:color w:val="000000"/>
          <w:sz w:val="24"/>
          <w:szCs w:val="24"/>
          <w:lang w:eastAsia="en-GB"/>
        </w:rPr>
        <w:t xml:space="preserve">ktorým sa </w:t>
      </w:r>
      <w:r w:rsidR="002D32CF" w:rsidRPr="007C41DB">
        <w:rPr>
          <w:rFonts w:ascii="Times New Roman" w:hAnsi="Times New Roman" w:cs="Times New Roman"/>
          <w:color w:val="000000"/>
          <w:sz w:val="24"/>
          <w:szCs w:val="24"/>
          <w:lang w:eastAsia="en-GB"/>
        </w:rPr>
        <w:t xml:space="preserve">mení a </w:t>
      </w:r>
      <w:r w:rsidRPr="007C41DB">
        <w:rPr>
          <w:rFonts w:ascii="Times New Roman" w:hAnsi="Times New Roman" w:cs="Times New Roman"/>
          <w:color w:val="000000"/>
          <w:sz w:val="24"/>
          <w:szCs w:val="24"/>
          <w:lang w:eastAsia="en-GB"/>
        </w:rPr>
        <w:t xml:space="preserve">dopĺňa zákon č. 138/2019 Z. z. o pedagogických zamestnancoch a odborných zamestnancoch a o zmene a doplnení niektorých zákonov v znení neskorších predpisov </w:t>
      </w:r>
    </w:p>
    <w:p w14:paraId="4FCC94FD" w14:textId="77777777" w:rsidR="003B2158" w:rsidRPr="007C41DB" w:rsidRDefault="003B2158" w:rsidP="003B2158">
      <w:pPr>
        <w:pStyle w:val="Normlnywebov"/>
        <w:spacing w:before="100" w:beforeAutospacing="1" w:after="100" w:afterAutospacing="1" w:line="276" w:lineRule="auto"/>
        <w:jc w:val="both"/>
      </w:pPr>
      <w:r w:rsidRPr="007C41DB">
        <w:rPr>
          <w:b/>
          <w:bCs/>
        </w:rPr>
        <w:t>3. Predmet návrhu zákona:</w:t>
      </w:r>
    </w:p>
    <w:p w14:paraId="767C7C0F" w14:textId="77777777" w:rsidR="00D53140" w:rsidRPr="007C41DB" w:rsidRDefault="00D53140" w:rsidP="00D53140">
      <w:pPr>
        <w:pStyle w:val="Vchodzie"/>
        <w:numPr>
          <w:ilvl w:val="0"/>
          <w:numId w:val="1"/>
        </w:numPr>
        <w:spacing w:before="120" w:after="200" w:line="276" w:lineRule="auto"/>
        <w:jc w:val="both"/>
      </w:pPr>
      <w:r w:rsidRPr="007C41DB">
        <w:t xml:space="preserve"> nie</w:t>
      </w:r>
      <w:r w:rsidR="003B2158" w:rsidRPr="007C41DB">
        <w:t xml:space="preserve"> je upravený v primárnom práve Európskej únie,</w:t>
      </w:r>
    </w:p>
    <w:p w14:paraId="20B03699" w14:textId="77777777" w:rsidR="003B2158" w:rsidRPr="007C41DB" w:rsidRDefault="00E22E81" w:rsidP="003B2158">
      <w:pPr>
        <w:pStyle w:val="Normlnywebov"/>
        <w:numPr>
          <w:ilvl w:val="0"/>
          <w:numId w:val="1"/>
        </w:numPr>
        <w:spacing w:before="120" w:line="276" w:lineRule="auto"/>
        <w:jc w:val="both"/>
      </w:pPr>
      <w:r w:rsidRPr="007C41DB">
        <w:rPr>
          <w:bCs/>
        </w:rPr>
        <w:t xml:space="preserve"> </w:t>
      </w:r>
      <w:r w:rsidR="003B2158" w:rsidRPr="007C41DB">
        <w:rPr>
          <w:bCs/>
        </w:rPr>
        <w:t xml:space="preserve">je upravený v sekundárnom práve Európskej únie, </w:t>
      </w:r>
    </w:p>
    <w:p w14:paraId="232B5BD5" w14:textId="77777777" w:rsidR="003B2158" w:rsidRPr="007C41DB" w:rsidRDefault="003B2158" w:rsidP="003B2158">
      <w:pPr>
        <w:pStyle w:val="Normlnywebov"/>
        <w:spacing w:before="120" w:line="276" w:lineRule="auto"/>
        <w:jc w:val="both"/>
        <w:rPr>
          <w:rFonts w:eastAsia="Calibri"/>
          <w:b/>
          <w:bCs/>
        </w:rPr>
      </w:pPr>
      <w:r w:rsidRPr="007C41DB">
        <w:rPr>
          <w:rFonts w:eastAsia="Calibri"/>
        </w:rPr>
        <w:t xml:space="preserve">            Smernica Európskeho parlamentu a Rady 2011/93/EÚ z 13. decembra 2011 o boji proti sexuálnemu zneužívaniu a sexuálnemu vykorisťovaniu detí a proti detskej pornografii, ktorou sa nahrádza rámcové rozhodnutie Rady 2004/68/SVV (Ú. v. EÚ L 335, 17. 12. 2011); </w:t>
      </w:r>
      <w:r w:rsidRPr="007C41DB">
        <w:rPr>
          <w:rFonts w:eastAsia="Calibri"/>
          <w:b/>
          <w:bCs/>
        </w:rPr>
        <w:t>gestor Ministerstvo spravodlivosti Slovenskej republiky</w:t>
      </w:r>
      <w:r w:rsidR="00844FFC" w:rsidRPr="007C41DB">
        <w:rPr>
          <w:rFonts w:eastAsia="Calibri"/>
          <w:b/>
          <w:bCs/>
        </w:rPr>
        <w:t xml:space="preserve"> </w:t>
      </w:r>
    </w:p>
    <w:p w14:paraId="516EC276" w14:textId="77777777" w:rsidR="003B2158" w:rsidRPr="007C41DB" w:rsidRDefault="003B2158" w:rsidP="003B2158">
      <w:pPr>
        <w:pStyle w:val="Normlnywebov"/>
        <w:spacing w:before="120" w:line="276" w:lineRule="auto"/>
        <w:jc w:val="both"/>
      </w:pPr>
    </w:p>
    <w:p w14:paraId="2126F8AB" w14:textId="77777777" w:rsidR="003B2158" w:rsidRPr="007C41DB" w:rsidRDefault="003B2158" w:rsidP="003B2158">
      <w:pPr>
        <w:pStyle w:val="Normlnywebov"/>
        <w:numPr>
          <w:ilvl w:val="0"/>
          <w:numId w:val="1"/>
        </w:numPr>
        <w:spacing w:before="120" w:line="276" w:lineRule="auto"/>
        <w:jc w:val="both"/>
      </w:pPr>
      <w:r w:rsidRPr="007C41DB">
        <w:t>nie</w:t>
      </w:r>
      <w:r w:rsidRPr="007C41DB">
        <w:rPr>
          <w:bCs/>
        </w:rPr>
        <w:t xml:space="preserve"> je obsiahnutý v judikatúre Súdneho dvora Európskej únie.</w:t>
      </w:r>
    </w:p>
    <w:p w14:paraId="6F1E7CC1" w14:textId="77777777" w:rsidR="0038768A" w:rsidRPr="007C41DB" w:rsidRDefault="0038768A" w:rsidP="0038768A">
      <w:pPr>
        <w:pStyle w:val="Odsekzoznamu"/>
        <w:numPr>
          <w:ilvl w:val="0"/>
          <w:numId w:val="2"/>
        </w:numPr>
        <w:spacing w:before="200" w:after="200" w:line="240" w:lineRule="auto"/>
        <w:jc w:val="both"/>
        <w:rPr>
          <w:rFonts w:ascii="Times New Roman" w:eastAsia="Times New Roman" w:hAnsi="Times New Roman" w:cs="Times New Roman"/>
          <w:bCs/>
          <w:sz w:val="24"/>
          <w:szCs w:val="24"/>
        </w:rPr>
      </w:pPr>
      <w:r w:rsidRPr="007C41DB">
        <w:rPr>
          <w:rFonts w:ascii="Times New Roman" w:eastAsia="Times New Roman" w:hAnsi="Times New Roman" w:cs="Times New Roman"/>
          <w:bCs/>
          <w:sz w:val="24"/>
          <w:szCs w:val="24"/>
        </w:rPr>
        <w:t>Záväzky Slovenskej republiky vo vzťahu k Európskej únii:</w:t>
      </w:r>
    </w:p>
    <w:p w14:paraId="7FA4E0A2" w14:textId="77777777" w:rsidR="0038768A" w:rsidRPr="007C41DB" w:rsidRDefault="0038768A" w:rsidP="0038768A">
      <w:pPr>
        <w:pStyle w:val="Odsekzoznamu"/>
        <w:spacing w:before="200" w:after="200" w:line="240" w:lineRule="auto"/>
        <w:ind w:left="420"/>
        <w:jc w:val="both"/>
        <w:rPr>
          <w:rFonts w:ascii="Times New Roman" w:eastAsia="Times New Roman" w:hAnsi="Times New Roman" w:cs="Times New Roman"/>
          <w:bCs/>
          <w:sz w:val="24"/>
          <w:szCs w:val="24"/>
        </w:rPr>
      </w:pPr>
    </w:p>
    <w:p w14:paraId="734AB609" w14:textId="77777777" w:rsidR="0038768A" w:rsidRPr="007C41DB" w:rsidRDefault="0038768A" w:rsidP="0038768A">
      <w:pPr>
        <w:pStyle w:val="Odsekzoznamu"/>
        <w:numPr>
          <w:ilvl w:val="0"/>
          <w:numId w:val="3"/>
        </w:numPr>
        <w:spacing w:before="200" w:after="200" w:line="240" w:lineRule="auto"/>
        <w:jc w:val="both"/>
        <w:rPr>
          <w:rFonts w:ascii="Times New Roman" w:eastAsia="Times New Roman" w:hAnsi="Times New Roman" w:cs="Times New Roman"/>
          <w:bCs/>
          <w:sz w:val="24"/>
          <w:szCs w:val="24"/>
        </w:rPr>
      </w:pPr>
      <w:r w:rsidRPr="007C41DB">
        <w:rPr>
          <w:rFonts w:ascii="Times New Roman" w:eastAsia="Times New Roman" w:hAnsi="Times New Roman" w:cs="Times New Roman"/>
          <w:bCs/>
          <w:sz w:val="24"/>
          <w:szCs w:val="24"/>
        </w:rPr>
        <w:t>lehota na prebranie príslušného právneho aktu Európskej únie, príp. aj osobitná lehota účinnosti jeho ustanovení</w:t>
      </w:r>
      <w:r w:rsidR="00844FFC" w:rsidRPr="007C41DB">
        <w:rPr>
          <w:rFonts w:ascii="Times New Roman" w:eastAsia="Times New Roman" w:hAnsi="Times New Roman" w:cs="Times New Roman"/>
          <w:bCs/>
          <w:sz w:val="24"/>
          <w:szCs w:val="24"/>
        </w:rPr>
        <w:t xml:space="preserve"> </w:t>
      </w:r>
    </w:p>
    <w:p w14:paraId="14367BF8" w14:textId="77777777" w:rsidR="00844FFC" w:rsidRPr="007C41DB" w:rsidRDefault="00844FFC" w:rsidP="00844FFC">
      <w:pPr>
        <w:pStyle w:val="Odsekzoznamu"/>
        <w:spacing w:before="200" w:after="200" w:line="240" w:lineRule="auto"/>
        <w:ind w:left="420"/>
        <w:jc w:val="both"/>
        <w:rPr>
          <w:rFonts w:ascii="Times New Roman" w:eastAsia="Times New Roman" w:hAnsi="Times New Roman" w:cs="Times New Roman"/>
          <w:bCs/>
          <w:sz w:val="24"/>
          <w:szCs w:val="24"/>
        </w:rPr>
      </w:pPr>
    </w:p>
    <w:p w14:paraId="093EA6F3" w14:textId="77777777" w:rsidR="0038768A" w:rsidRPr="007C41DB" w:rsidRDefault="00844FFC" w:rsidP="00644663">
      <w:pPr>
        <w:pStyle w:val="Odsekzoznamu"/>
        <w:spacing w:before="200" w:after="200" w:line="240" w:lineRule="auto"/>
        <w:ind w:left="420"/>
        <w:jc w:val="both"/>
        <w:rPr>
          <w:rFonts w:ascii="Times New Roman" w:eastAsia="Times New Roman" w:hAnsi="Times New Roman" w:cs="Times New Roman"/>
          <w:bCs/>
          <w:i/>
          <w:iCs/>
          <w:sz w:val="24"/>
          <w:szCs w:val="24"/>
        </w:rPr>
      </w:pPr>
      <w:r w:rsidRPr="007C41DB">
        <w:rPr>
          <w:rFonts w:ascii="Times New Roman" w:eastAsia="Times New Roman" w:hAnsi="Times New Roman" w:cs="Times New Roman"/>
          <w:bCs/>
          <w:i/>
          <w:iCs/>
          <w:sz w:val="24"/>
          <w:szCs w:val="24"/>
        </w:rPr>
        <w:t>do 18. decembra 2013</w:t>
      </w:r>
    </w:p>
    <w:p w14:paraId="43976130" w14:textId="77777777" w:rsidR="00644663" w:rsidRPr="007C41DB" w:rsidRDefault="00644663" w:rsidP="00644663">
      <w:pPr>
        <w:pStyle w:val="Odsekzoznamu"/>
        <w:spacing w:before="200" w:after="200" w:line="240" w:lineRule="auto"/>
        <w:ind w:left="420"/>
        <w:jc w:val="both"/>
        <w:rPr>
          <w:rFonts w:ascii="Times New Roman" w:eastAsia="Times New Roman" w:hAnsi="Times New Roman" w:cs="Times New Roman"/>
          <w:bCs/>
          <w:i/>
          <w:iCs/>
          <w:sz w:val="24"/>
          <w:szCs w:val="24"/>
        </w:rPr>
      </w:pPr>
    </w:p>
    <w:p w14:paraId="21784F06" w14:textId="77777777" w:rsidR="0038768A" w:rsidRPr="007C41DB" w:rsidRDefault="0038768A" w:rsidP="00A75AE5">
      <w:pPr>
        <w:pStyle w:val="Odsekzoznamu"/>
        <w:numPr>
          <w:ilvl w:val="0"/>
          <w:numId w:val="3"/>
        </w:numPr>
        <w:spacing w:before="200" w:after="200" w:line="240" w:lineRule="auto"/>
        <w:jc w:val="both"/>
        <w:rPr>
          <w:rFonts w:ascii="Times New Roman" w:eastAsia="Times New Roman" w:hAnsi="Times New Roman" w:cs="Times New Roman"/>
          <w:sz w:val="24"/>
          <w:szCs w:val="24"/>
          <w:lang w:eastAsia="ar-SA"/>
        </w:rPr>
      </w:pPr>
      <w:r w:rsidRPr="007C41DB">
        <w:rPr>
          <w:rFonts w:ascii="Times New Roman" w:eastAsia="Times New Roman" w:hAnsi="Times New Roman" w:cs="Times New Roman"/>
          <w:sz w:val="24"/>
          <w:szCs w:val="24"/>
          <w:lang w:eastAsia="ar-SA"/>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1F7C51D4" w14:textId="77777777" w:rsidR="00844FFC" w:rsidRPr="007C41DB" w:rsidRDefault="00844FFC" w:rsidP="00844FFC">
      <w:pPr>
        <w:spacing w:before="200" w:after="200" w:line="240" w:lineRule="auto"/>
        <w:ind w:left="420"/>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INF (2019) 2135</w:t>
      </w:r>
      <w:r w:rsidR="00E22E81" w:rsidRPr="007C41DB">
        <w:rPr>
          <w:rFonts w:ascii="Times New Roman" w:eastAsia="Times New Roman" w:hAnsi="Times New Roman" w:cs="Times New Roman"/>
          <w:i/>
          <w:iCs/>
          <w:sz w:val="24"/>
          <w:szCs w:val="24"/>
          <w:lang w:eastAsia="ar-SA"/>
        </w:rPr>
        <w:t xml:space="preserve"> </w:t>
      </w:r>
      <w:r w:rsidR="0069020B" w:rsidRPr="007C41DB">
        <w:rPr>
          <w:rFonts w:ascii="Times New Roman" w:eastAsia="Times New Roman" w:hAnsi="Times New Roman" w:cs="Times New Roman"/>
          <w:i/>
          <w:iCs/>
          <w:sz w:val="24"/>
          <w:szCs w:val="24"/>
          <w:lang w:eastAsia="ar-SA"/>
        </w:rPr>
        <w:t>z 25. júla 2019</w:t>
      </w:r>
    </w:p>
    <w:p w14:paraId="7F5BF1C7" w14:textId="77777777" w:rsidR="00A75AE5" w:rsidRPr="007C41DB" w:rsidRDefault="00A75AE5" w:rsidP="00A75AE5">
      <w:pPr>
        <w:pStyle w:val="Odsekzoznamu"/>
        <w:jc w:val="both"/>
        <w:rPr>
          <w:rFonts w:ascii="Times New Roman" w:eastAsia="Times New Roman" w:hAnsi="Times New Roman" w:cs="Times New Roman"/>
          <w:sz w:val="24"/>
          <w:szCs w:val="24"/>
          <w:lang w:eastAsia="ar-SA"/>
        </w:rPr>
      </w:pPr>
    </w:p>
    <w:p w14:paraId="05574F3D" w14:textId="77777777" w:rsidR="00A75AE5" w:rsidRPr="007C41DB" w:rsidRDefault="00A75AE5" w:rsidP="00A75AE5">
      <w:pPr>
        <w:pStyle w:val="Odsekzoznamu"/>
        <w:numPr>
          <w:ilvl w:val="0"/>
          <w:numId w:val="3"/>
        </w:numPr>
        <w:spacing w:after="0" w:line="240" w:lineRule="auto"/>
        <w:jc w:val="both"/>
        <w:rPr>
          <w:rFonts w:ascii="Times New Roman" w:eastAsia="Times New Roman" w:hAnsi="Times New Roman" w:cs="Times New Roman"/>
          <w:sz w:val="24"/>
          <w:szCs w:val="24"/>
          <w:lang w:eastAsia="ar-SA"/>
        </w:rPr>
      </w:pPr>
      <w:r w:rsidRPr="007C41DB">
        <w:rPr>
          <w:rFonts w:ascii="Times New Roman" w:eastAsia="Times New Roman" w:hAnsi="Times New Roman" w:cs="Times New Roman"/>
          <w:sz w:val="24"/>
          <w:szCs w:val="24"/>
          <w:lang w:eastAsia="ar-SA"/>
        </w:rPr>
        <w:t>Informácia o právnych predpisoch, v ktorých sú uvádzané právne akty Európskej únie už prebrané, spolu s uvedením rozsahu ich prebrania, príp. potreby prijatia ďalších úprav</w:t>
      </w:r>
    </w:p>
    <w:p w14:paraId="01879907" w14:textId="77777777" w:rsidR="00A75AE5" w:rsidRPr="007C41DB" w:rsidRDefault="00A75AE5" w:rsidP="00A75AE5">
      <w:pPr>
        <w:spacing w:after="0" w:line="240" w:lineRule="auto"/>
        <w:jc w:val="both"/>
        <w:rPr>
          <w:rFonts w:ascii="Times New Roman" w:eastAsia="Times New Roman" w:hAnsi="Times New Roman" w:cs="Times New Roman"/>
          <w:sz w:val="24"/>
          <w:szCs w:val="24"/>
          <w:lang w:eastAsia="ar-SA"/>
        </w:rPr>
      </w:pPr>
    </w:p>
    <w:p w14:paraId="4A06480E" w14:textId="77777777" w:rsidR="00A75AE5" w:rsidRPr="007C41DB" w:rsidRDefault="00A75AE5"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Smernica Európskeho parlamentu a Rady 2011/93/EÚ bola prebratá do</w:t>
      </w:r>
    </w:p>
    <w:p w14:paraId="6E0728DC" w14:textId="77777777" w:rsidR="00A75AE5" w:rsidRPr="007C41DB" w:rsidRDefault="00A75AE5"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 xml:space="preserve">- zákona č. 578/2004 Z. z. o poskytovateľoch zdravotnej starostlivosti, zdravotníckych pracovníkoch, stavovských organizáciách v zdravotníctve a o zmene a doplnení niektorých zákonov v znení neskorších predpisov, </w:t>
      </w:r>
    </w:p>
    <w:p w14:paraId="23B77B2E" w14:textId="77777777" w:rsidR="00A75AE5" w:rsidRPr="007C41DB" w:rsidRDefault="00A75AE5"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lastRenderedPageBreak/>
        <w:t xml:space="preserve">- zákona č. 300/2005 Z. z. Trestný zákon v znení neskorších predpisov, </w:t>
      </w:r>
    </w:p>
    <w:p w14:paraId="50FD65E8" w14:textId="77777777" w:rsidR="00011B96" w:rsidRPr="007C41DB" w:rsidRDefault="00A75AE5"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 xml:space="preserve">- zákona č. 301/2005 Z. z. Trestný poriadok v znení neskorších predpisov, </w:t>
      </w:r>
    </w:p>
    <w:p w14:paraId="243B5916" w14:textId="77777777" w:rsidR="00011B96" w:rsidRPr="007C41DB" w:rsidRDefault="00A75AE5"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 xml:space="preserve">- zákona č. 245/2008 Z. z. o výchove a vzdelávaní (školský zákon) a o zmene a doplnení niektorých zákonov v znení neskorších predpisov, </w:t>
      </w:r>
    </w:p>
    <w:p w14:paraId="13D578BC" w14:textId="77777777" w:rsidR="00A75AE5" w:rsidRPr="007C41DB" w:rsidRDefault="00A75AE5"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 zákona č. 282/2008 Z. z. o podpore práce s mládežou a o zmene a doplnení zákona č. 131/2002 Z. z. o vysokých školách a o zmene a doplnení niektorých zákonov v znení neskorších predpisov</w:t>
      </w:r>
      <w:r w:rsidR="00323127" w:rsidRPr="007C41DB">
        <w:rPr>
          <w:rFonts w:ascii="Times New Roman" w:eastAsia="Times New Roman" w:hAnsi="Times New Roman" w:cs="Times New Roman"/>
          <w:i/>
          <w:iCs/>
          <w:sz w:val="24"/>
          <w:szCs w:val="24"/>
          <w:lang w:eastAsia="ar-SA"/>
        </w:rPr>
        <w:t>,</w:t>
      </w:r>
    </w:p>
    <w:p w14:paraId="7F8592AB" w14:textId="77777777" w:rsidR="00011B96" w:rsidRPr="007C41DB" w:rsidRDefault="00011B96"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 xml:space="preserve">- zákona č. 138/2019 Z. z. o pedagogických zamestnancoch a odborných zamestnancoch a o zmene a doplnení niektorých zákonov </w:t>
      </w:r>
      <w:r w:rsidR="00323127" w:rsidRPr="007C41DB">
        <w:rPr>
          <w:rFonts w:ascii="Times New Roman" w:eastAsia="Times New Roman" w:hAnsi="Times New Roman" w:cs="Times New Roman"/>
          <w:i/>
          <w:iCs/>
          <w:sz w:val="24"/>
          <w:szCs w:val="24"/>
          <w:lang w:eastAsia="ar-SA"/>
        </w:rPr>
        <w:t>v znení neskorších predpisov,</w:t>
      </w:r>
    </w:p>
    <w:p w14:paraId="4258AA2C" w14:textId="77777777" w:rsidR="00323127" w:rsidRPr="007C41DB" w:rsidRDefault="00323127"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 zákona č. 440/2015 Z. z. o športe a o zmene a doplnení niektorých zákonov v znení neskorších predpisov,</w:t>
      </w:r>
    </w:p>
    <w:p w14:paraId="5E854428" w14:textId="77777777" w:rsidR="00323127" w:rsidRPr="007C41DB" w:rsidRDefault="00323127" w:rsidP="00A75AE5">
      <w:pPr>
        <w:spacing w:after="0" w:line="240" w:lineRule="auto"/>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 zákona č. 91/2016 Z. z. o trestnej zodpovednosti právnických osôb a o zmene a doplnení niektorých zákonov v znení neskorších predpisov.</w:t>
      </w:r>
    </w:p>
    <w:p w14:paraId="39949B22" w14:textId="77777777" w:rsidR="00323127" w:rsidRPr="007C41DB" w:rsidRDefault="00323127" w:rsidP="00A75AE5">
      <w:pPr>
        <w:spacing w:after="0" w:line="240" w:lineRule="auto"/>
        <w:jc w:val="both"/>
        <w:rPr>
          <w:rFonts w:ascii="Times New Roman" w:eastAsia="Times New Roman" w:hAnsi="Times New Roman" w:cs="Times New Roman"/>
          <w:i/>
          <w:iCs/>
          <w:sz w:val="24"/>
          <w:szCs w:val="24"/>
          <w:lang w:eastAsia="ar-SA"/>
        </w:rPr>
      </w:pPr>
    </w:p>
    <w:p w14:paraId="151030B6" w14:textId="77777777" w:rsidR="00A75AE5" w:rsidRPr="007C41DB" w:rsidRDefault="00323127" w:rsidP="00A75AE5">
      <w:pPr>
        <w:pStyle w:val="Odsekzoznamu"/>
        <w:numPr>
          <w:ilvl w:val="0"/>
          <w:numId w:val="2"/>
        </w:numPr>
        <w:spacing w:before="200" w:after="200" w:line="240" w:lineRule="auto"/>
        <w:jc w:val="both"/>
        <w:rPr>
          <w:rFonts w:ascii="Times New Roman" w:eastAsia="Times New Roman" w:hAnsi="Times New Roman" w:cs="Times New Roman"/>
          <w:sz w:val="24"/>
          <w:szCs w:val="24"/>
          <w:lang w:eastAsia="ar-SA"/>
        </w:rPr>
      </w:pPr>
      <w:r w:rsidRPr="007C41DB">
        <w:rPr>
          <w:rFonts w:ascii="Times New Roman" w:eastAsia="Times New Roman" w:hAnsi="Times New Roman" w:cs="Times New Roman"/>
          <w:sz w:val="24"/>
          <w:szCs w:val="24"/>
          <w:lang w:eastAsia="ar-SA"/>
        </w:rPr>
        <w:t xml:space="preserve">Návrh zákona je zlučiteľný s právom Európskej únie </w:t>
      </w:r>
    </w:p>
    <w:p w14:paraId="292962ED" w14:textId="77777777" w:rsidR="00323127" w:rsidRPr="007C41DB" w:rsidRDefault="00323127" w:rsidP="00323127">
      <w:pPr>
        <w:spacing w:before="200" w:after="200" w:line="240" w:lineRule="auto"/>
        <w:ind w:left="60"/>
        <w:jc w:val="both"/>
        <w:rPr>
          <w:rFonts w:ascii="Times New Roman" w:eastAsia="Times New Roman" w:hAnsi="Times New Roman" w:cs="Times New Roman"/>
          <w:i/>
          <w:iCs/>
          <w:sz w:val="24"/>
          <w:szCs w:val="24"/>
          <w:lang w:eastAsia="ar-SA"/>
        </w:rPr>
      </w:pPr>
      <w:r w:rsidRPr="007C41DB">
        <w:rPr>
          <w:rFonts w:ascii="Times New Roman" w:eastAsia="Times New Roman" w:hAnsi="Times New Roman" w:cs="Times New Roman"/>
          <w:i/>
          <w:iCs/>
          <w:sz w:val="24"/>
          <w:szCs w:val="24"/>
          <w:lang w:eastAsia="ar-SA"/>
        </w:rPr>
        <w:t>úplne</w:t>
      </w:r>
    </w:p>
    <w:p w14:paraId="33C4E967" w14:textId="77777777" w:rsidR="003B2158" w:rsidRPr="007C41DB" w:rsidRDefault="003B2158" w:rsidP="00A75AE5">
      <w:pPr>
        <w:pStyle w:val="Normlnywebov"/>
        <w:spacing w:before="100" w:beforeAutospacing="1" w:after="100" w:afterAutospacing="1"/>
        <w:jc w:val="both"/>
        <w:rPr>
          <w:lang w:eastAsia="ar-SA"/>
        </w:rPr>
      </w:pPr>
    </w:p>
    <w:p w14:paraId="243ADCF3" w14:textId="77777777" w:rsidR="00A75AE5" w:rsidRPr="007C41DB" w:rsidRDefault="00A75AE5" w:rsidP="00A75AE5">
      <w:pPr>
        <w:pStyle w:val="Normlnywebov"/>
        <w:spacing w:before="100" w:beforeAutospacing="1" w:after="100" w:afterAutospacing="1"/>
        <w:jc w:val="both"/>
        <w:rPr>
          <w:lang w:eastAsia="ar-SA"/>
        </w:rPr>
      </w:pPr>
    </w:p>
    <w:p w14:paraId="013B2987" w14:textId="77777777" w:rsidR="00A75AE5" w:rsidRPr="007C41DB" w:rsidRDefault="00A75AE5" w:rsidP="00A75AE5">
      <w:pPr>
        <w:pStyle w:val="Normlnywebov"/>
        <w:spacing w:before="100" w:beforeAutospacing="1" w:after="100" w:afterAutospacing="1"/>
        <w:jc w:val="both"/>
        <w:rPr>
          <w:lang w:eastAsia="ar-SA"/>
        </w:rPr>
      </w:pPr>
    </w:p>
    <w:p w14:paraId="55B4CBF3" w14:textId="77777777" w:rsidR="00A75AE5" w:rsidRPr="007C41DB" w:rsidRDefault="00A75AE5" w:rsidP="00A75AE5">
      <w:pPr>
        <w:pStyle w:val="Normlnywebov"/>
        <w:spacing w:before="100" w:beforeAutospacing="1" w:after="100" w:afterAutospacing="1"/>
        <w:jc w:val="both"/>
        <w:rPr>
          <w:lang w:eastAsia="ar-SA"/>
        </w:rPr>
      </w:pPr>
    </w:p>
    <w:p w14:paraId="1401140E" w14:textId="77777777" w:rsidR="00A75AE5" w:rsidRPr="007C41DB" w:rsidRDefault="00A75AE5" w:rsidP="00A75AE5">
      <w:pPr>
        <w:pStyle w:val="Normlnywebov"/>
        <w:spacing w:before="100" w:beforeAutospacing="1" w:after="100" w:afterAutospacing="1"/>
        <w:jc w:val="both"/>
        <w:rPr>
          <w:lang w:eastAsia="ar-SA"/>
        </w:rPr>
      </w:pPr>
    </w:p>
    <w:p w14:paraId="086B15CF" w14:textId="77777777" w:rsidR="00A75AE5" w:rsidRPr="007C41DB" w:rsidRDefault="00A75AE5" w:rsidP="00A75AE5">
      <w:pPr>
        <w:pStyle w:val="Normlnywebov"/>
        <w:spacing w:before="100" w:beforeAutospacing="1" w:after="100" w:afterAutospacing="1"/>
        <w:jc w:val="both"/>
        <w:rPr>
          <w:lang w:eastAsia="ar-SA"/>
        </w:rPr>
      </w:pPr>
    </w:p>
    <w:p w14:paraId="0F306CEF" w14:textId="77777777" w:rsidR="003B2158" w:rsidRPr="007C41DB" w:rsidRDefault="003B2158" w:rsidP="00A75AE5">
      <w:pPr>
        <w:jc w:val="both"/>
        <w:rPr>
          <w:rFonts w:ascii="Times New Roman" w:eastAsia="Times New Roman" w:hAnsi="Times New Roman" w:cs="Times New Roman"/>
          <w:sz w:val="24"/>
          <w:szCs w:val="24"/>
          <w:lang w:eastAsia="ar-SA"/>
        </w:rPr>
      </w:pPr>
    </w:p>
    <w:p w14:paraId="4FCFD248" w14:textId="77777777" w:rsidR="00A75AE5" w:rsidRPr="007C41DB" w:rsidRDefault="00A75AE5" w:rsidP="00A75AE5">
      <w:pPr>
        <w:jc w:val="both"/>
        <w:rPr>
          <w:rFonts w:ascii="Times New Roman" w:eastAsia="Times New Roman" w:hAnsi="Times New Roman" w:cs="Times New Roman"/>
          <w:sz w:val="24"/>
          <w:szCs w:val="24"/>
          <w:lang w:eastAsia="ar-SA"/>
        </w:rPr>
      </w:pPr>
    </w:p>
    <w:p w14:paraId="72C2FC9A" w14:textId="77777777" w:rsidR="00A75AE5" w:rsidRPr="007C41DB" w:rsidRDefault="00A75AE5" w:rsidP="00A75AE5">
      <w:pPr>
        <w:jc w:val="both"/>
        <w:rPr>
          <w:rFonts w:ascii="Times New Roman" w:eastAsia="Times New Roman" w:hAnsi="Times New Roman" w:cs="Times New Roman"/>
          <w:sz w:val="24"/>
          <w:szCs w:val="24"/>
          <w:lang w:eastAsia="ar-SA"/>
        </w:rPr>
      </w:pPr>
    </w:p>
    <w:p w14:paraId="3D61A817" w14:textId="77777777" w:rsidR="00A75AE5" w:rsidRPr="007C41DB" w:rsidRDefault="00A75AE5" w:rsidP="00A75AE5">
      <w:pPr>
        <w:jc w:val="both"/>
        <w:rPr>
          <w:rFonts w:ascii="Times New Roman" w:eastAsia="Times New Roman" w:hAnsi="Times New Roman" w:cs="Times New Roman"/>
          <w:sz w:val="24"/>
          <w:szCs w:val="24"/>
          <w:lang w:eastAsia="ar-SA"/>
        </w:rPr>
      </w:pPr>
    </w:p>
    <w:p w14:paraId="667A55D7" w14:textId="77777777" w:rsidR="00A75AE5" w:rsidRPr="007C41DB" w:rsidRDefault="00A75AE5" w:rsidP="00A75AE5">
      <w:pPr>
        <w:jc w:val="both"/>
        <w:rPr>
          <w:rFonts w:ascii="Times New Roman" w:eastAsia="Times New Roman" w:hAnsi="Times New Roman" w:cs="Times New Roman"/>
          <w:sz w:val="24"/>
          <w:szCs w:val="24"/>
          <w:lang w:eastAsia="ar-SA"/>
        </w:rPr>
      </w:pPr>
    </w:p>
    <w:p w14:paraId="7E3C10FD" w14:textId="77777777" w:rsidR="00A75AE5" w:rsidRPr="007C41DB" w:rsidRDefault="00A75AE5" w:rsidP="00A75AE5">
      <w:pPr>
        <w:jc w:val="both"/>
        <w:rPr>
          <w:rFonts w:ascii="Times New Roman" w:eastAsia="Times New Roman" w:hAnsi="Times New Roman" w:cs="Times New Roman"/>
          <w:sz w:val="24"/>
          <w:szCs w:val="24"/>
          <w:lang w:eastAsia="ar-SA"/>
        </w:rPr>
      </w:pPr>
    </w:p>
    <w:p w14:paraId="6164ABB9" w14:textId="77777777" w:rsidR="00A75AE5" w:rsidRPr="007C41DB" w:rsidRDefault="00A75AE5" w:rsidP="00A75AE5">
      <w:pPr>
        <w:jc w:val="both"/>
        <w:rPr>
          <w:rFonts w:ascii="Times New Roman" w:eastAsia="Times New Roman" w:hAnsi="Times New Roman" w:cs="Times New Roman"/>
          <w:sz w:val="24"/>
          <w:szCs w:val="24"/>
          <w:lang w:eastAsia="ar-SA"/>
        </w:rPr>
      </w:pPr>
    </w:p>
    <w:p w14:paraId="6E1CD51C" w14:textId="77777777" w:rsidR="0069020B" w:rsidRPr="007C41DB" w:rsidRDefault="0069020B" w:rsidP="00A75AE5">
      <w:pPr>
        <w:jc w:val="both"/>
        <w:rPr>
          <w:rFonts w:ascii="Times New Roman" w:eastAsia="Times New Roman" w:hAnsi="Times New Roman" w:cs="Times New Roman"/>
          <w:sz w:val="24"/>
          <w:szCs w:val="24"/>
          <w:lang w:eastAsia="ar-SA"/>
        </w:rPr>
      </w:pPr>
    </w:p>
    <w:p w14:paraId="63288B81" w14:textId="77777777" w:rsidR="0069020B" w:rsidRPr="007C41DB" w:rsidRDefault="0069020B" w:rsidP="00A75AE5">
      <w:pPr>
        <w:jc w:val="both"/>
        <w:rPr>
          <w:rFonts w:ascii="Times New Roman" w:eastAsia="Times New Roman" w:hAnsi="Times New Roman" w:cs="Times New Roman"/>
          <w:sz w:val="24"/>
          <w:szCs w:val="24"/>
          <w:lang w:eastAsia="ar-SA"/>
        </w:rPr>
      </w:pPr>
    </w:p>
    <w:p w14:paraId="257CC947" w14:textId="77777777" w:rsidR="00A75AE5" w:rsidRPr="007C41DB" w:rsidRDefault="00A75AE5" w:rsidP="003B2158">
      <w:pPr>
        <w:rPr>
          <w:rFonts w:ascii="Times New Roman" w:hAnsi="Times New Roman" w:cs="Times New Roman"/>
          <w:b/>
          <w:bCs/>
          <w:caps/>
          <w:spacing w:val="30"/>
          <w:sz w:val="24"/>
          <w:szCs w:val="24"/>
        </w:rPr>
      </w:pPr>
    </w:p>
    <w:p w14:paraId="3F427479" w14:textId="3DB10D8D" w:rsidR="003B2158" w:rsidRDefault="003B2158" w:rsidP="003B2158">
      <w:pPr>
        <w:rPr>
          <w:rFonts w:ascii="Times New Roman" w:hAnsi="Times New Roman" w:cs="Times New Roman"/>
          <w:b/>
          <w:bCs/>
          <w:caps/>
          <w:spacing w:val="30"/>
          <w:sz w:val="24"/>
          <w:szCs w:val="24"/>
        </w:rPr>
      </w:pPr>
    </w:p>
    <w:p w14:paraId="4C61B93B" w14:textId="4796349D" w:rsidR="007C41DB" w:rsidRDefault="007C41DB" w:rsidP="003B2158">
      <w:pPr>
        <w:rPr>
          <w:rFonts w:ascii="Times New Roman" w:hAnsi="Times New Roman" w:cs="Times New Roman"/>
          <w:b/>
          <w:bCs/>
          <w:caps/>
          <w:spacing w:val="30"/>
          <w:sz w:val="24"/>
          <w:szCs w:val="24"/>
        </w:rPr>
      </w:pPr>
    </w:p>
    <w:p w14:paraId="686D3CEE" w14:textId="77777777" w:rsidR="007C41DB" w:rsidRPr="007C41DB" w:rsidRDefault="007C41DB" w:rsidP="003B2158">
      <w:pPr>
        <w:rPr>
          <w:rFonts w:ascii="Times New Roman" w:hAnsi="Times New Roman" w:cs="Times New Roman"/>
          <w:b/>
          <w:bCs/>
          <w:caps/>
          <w:spacing w:val="30"/>
          <w:sz w:val="24"/>
          <w:szCs w:val="24"/>
        </w:rPr>
      </w:pPr>
      <w:bookmarkStart w:id="0" w:name="_GoBack"/>
      <w:bookmarkEnd w:id="0"/>
    </w:p>
    <w:p w14:paraId="737B0AF7" w14:textId="77777777" w:rsidR="003B2158" w:rsidRPr="007C41DB" w:rsidRDefault="003B2158" w:rsidP="003B2158">
      <w:pPr>
        <w:jc w:val="center"/>
        <w:rPr>
          <w:rFonts w:ascii="Times New Roman" w:hAnsi="Times New Roman" w:cs="Times New Roman"/>
          <w:sz w:val="24"/>
          <w:szCs w:val="24"/>
        </w:rPr>
      </w:pPr>
      <w:r w:rsidRPr="007C41DB">
        <w:rPr>
          <w:rFonts w:ascii="Times New Roman" w:hAnsi="Times New Roman" w:cs="Times New Roman"/>
          <w:b/>
          <w:bCs/>
          <w:caps/>
          <w:spacing w:val="30"/>
          <w:sz w:val="24"/>
          <w:szCs w:val="24"/>
        </w:rPr>
        <w:lastRenderedPageBreak/>
        <w:t>Doložka</w:t>
      </w:r>
    </w:p>
    <w:p w14:paraId="52608ABC" w14:textId="77777777" w:rsidR="003B2158" w:rsidRPr="007C41DB" w:rsidRDefault="003B2158" w:rsidP="003B2158">
      <w:pPr>
        <w:jc w:val="center"/>
        <w:rPr>
          <w:rFonts w:ascii="Times New Roman" w:hAnsi="Times New Roman" w:cs="Times New Roman"/>
          <w:sz w:val="24"/>
          <w:szCs w:val="24"/>
        </w:rPr>
      </w:pPr>
      <w:r w:rsidRPr="007C41DB">
        <w:rPr>
          <w:rFonts w:ascii="Times New Roman" w:hAnsi="Times New Roman" w:cs="Times New Roman"/>
          <w:b/>
          <w:bCs/>
          <w:sz w:val="24"/>
          <w:szCs w:val="24"/>
        </w:rPr>
        <w:t>vybraných vplyvov</w:t>
      </w:r>
    </w:p>
    <w:p w14:paraId="5CB72271" w14:textId="77777777" w:rsidR="003B2158" w:rsidRPr="007C41DB" w:rsidRDefault="003B2158" w:rsidP="003B2158">
      <w:pPr>
        <w:jc w:val="both"/>
        <w:rPr>
          <w:rFonts w:ascii="Times New Roman" w:hAnsi="Times New Roman" w:cs="Times New Roman"/>
          <w:sz w:val="24"/>
          <w:szCs w:val="24"/>
        </w:rPr>
      </w:pPr>
    </w:p>
    <w:p w14:paraId="78B12236" w14:textId="3CB9911F" w:rsidR="003B2158" w:rsidRPr="007C41DB" w:rsidRDefault="003B2158" w:rsidP="003B2158">
      <w:pPr>
        <w:jc w:val="both"/>
        <w:rPr>
          <w:rFonts w:ascii="Times New Roman" w:hAnsi="Times New Roman" w:cs="Times New Roman"/>
          <w:sz w:val="24"/>
          <w:szCs w:val="24"/>
        </w:rPr>
      </w:pPr>
      <w:r w:rsidRPr="007C41DB">
        <w:rPr>
          <w:rFonts w:ascii="Times New Roman" w:hAnsi="Times New Roman" w:cs="Times New Roman"/>
          <w:b/>
          <w:bCs/>
          <w:sz w:val="24"/>
          <w:szCs w:val="24"/>
        </w:rPr>
        <w:t xml:space="preserve">A.1. Názov materiálu: </w:t>
      </w:r>
      <w:r w:rsidRPr="007C41DB">
        <w:rPr>
          <w:rFonts w:ascii="Times New Roman" w:hAnsi="Times New Roman" w:cs="Times New Roman"/>
          <w:sz w:val="24"/>
          <w:szCs w:val="24"/>
        </w:rPr>
        <w:t xml:space="preserve">návrh zákona, </w:t>
      </w:r>
      <w:r w:rsidRPr="007C41DB">
        <w:rPr>
          <w:rFonts w:ascii="Times New Roman" w:hAnsi="Times New Roman" w:cs="Times New Roman"/>
          <w:color w:val="000000"/>
          <w:sz w:val="24"/>
          <w:szCs w:val="24"/>
          <w:lang w:eastAsia="en-GB"/>
        </w:rPr>
        <w:t xml:space="preserve">ktorým sa </w:t>
      </w:r>
      <w:r w:rsidR="002D32CF" w:rsidRPr="007C41DB">
        <w:rPr>
          <w:rFonts w:ascii="Times New Roman" w:hAnsi="Times New Roman" w:cs="Times New Roman"/>
          <w:color w:val="000000"/>
          <w:sz w:val="24"/>
          <w:szCs w:val="24"/>
          <w:lang w:eastAsia="en-GB"/>
        </w:rPr>
        <w:t xml:space="preserve">mení a </w:t>
      </w:r>
      <w:r w:rsidRPr="007C41DB">
        <w:rPr>
          <w:rFonts w:ascii="Times New Roman" w:hAnsi="Times New Roman" w:cs="Times New Roman"/>
          <w:color w:val="000000"/>
          <w:sz w:val="24"/>
          <w:szCs w:val="24"/>
          <w:lang w:eastAsia="en-GB"/>
        </w:rPr>
        <w:t>dopĺňa zákon č. 138/2019 Z. z. o pedagogických zamestnancoch a odborných zamestnancoch a o zmene a doplnení niektorých zákonov v znení neskorších predpisov</w:t>
      </w:r>
    </w:p>
    <w:p w14:paraId="3E7A77AA" w14:textId="77777777" w:rsidR="003B2158" w:rsidRPr="007C41DB" w:rsidRDefault="003B2158" w:rsidP="003B2158">
      <w:pPr>
        <w:jc w:val="both"/>
        <w:rPr>
          <w:rFonts w:ascii="Times New Roman" w:hAnsi="Times New Roman" w:cs="Times New Roman"/>
          <w:bCs/>
          <w:sz w:val="24"/>
          <w:szCs w:val="24"/>
        </w:rPr>
      </w:pPr>
    </w:p>
    <w:p w14:paraId="7B4D8CF2" w14:textId="77777777" w:rsidR="003B2158" w:rsidRPr="007C41DB" w:rsidRDefault="003B2158" w:rsidP="003B2158">
      <w:pPr>
        <w:jc w:val="both"/>
        <w:rPr>
          <w:rFonts w:ascii="Times New Roman" w:hAnsi="Times New Roman" w:cs="Times New Roman"/>
          <w:sz w:val="24"/>
          <w:szCs w:val="24"/>
        </w:rPr>
      </w:pPr>
      <w:r w:rsidRPr="007C41DB">
        <w:rPr>
          <w:rFonts w:ascii="Times New Roman" w:hAnsi="Times New Roman" w:cs="Times New Roman"/>
          <w:b/>
          <w:bCs/>
          <w:sz w:val="24"/>
          <w:szCs w:val="24"/>
        </w:rPr>
        <w:t>Termín začatia a ukončenia PPK:</w:t>
      </w:r>
      <w:r w:rsidRPr="007C41DB">
        <w:rPr>
          <w:rFonts w:ascii="Times New Roman" w:hAnsi="Times New Roman" w:cs="Times New Roman"/>
          <w:sz w:val="24"/>
          <w:szCs w:val="24"/>
        </w:rPr>
        <w:t xml:space="preserve"> </w:t>
      </w:r>
      <w:r w:rsidRPr="007C41DB">
        <w:rPr>
          <w:rFonts w:ascii="Times New Roman" w:hAnsi="Times New Roman" w:cs="Times New Roman"/>
          <w:i/>
          <w:iCs/>
          <w:sz w:val="24"/>
          <w:szCs w:val="24"/>
        </w:rPr>
        <w:t>bezpredmetné</w:t>
      </w:r>
    </w:p>
    <w:p w14:paraId="69251819" w14:textId="77777777" w:rsidR="003B2158" w:rsidRPr="007C41DB" w:rsidRDefault="003B2158" w:rsidP="003B2158">
      <w:pPr>
        <w:jc w:val="both"/>
        <w:rPr>
          <w:rFonts w:ascii="Times New Roman" w:hAnsi="Times New Roman" w:cs="Times New Roman"/>
          <w:i/>
          <w:iCs/>
          <w:sz w:val="24"/>
          <w:szCs w:val="24"/>
        </w:rPr>
      </w:pPr>
    </w:p>
    <w:p w14:paraId="4F1A5E68" w14:textId="77777777" w:rsidR="003B2158" w:rsidRPr="007C41DB" w:rsidRDefault="003B2158" w:rsidP="003B2158">
      <w:pPr>
        <w:pStyle w:val="Normlnywebov"/>
        <w:spacing w:before="100" w:beforeAutospacing="1" w:after="100" w:afterAutospacing="1" w:line="276" w:lineRule="auto"/>
        <w:jc w:val="both"/>
      </w:pPr>
      <w:r w:rsidRPr="007C41DB">
        <w:rPr>
          <w:b/>
          <w:bCs/>
          <w:color w:val="000000"/>
        </w:rPr>
        <w:t>A.2. Vplyvy:</w:t>
      </w:r>
    </w:p>
    <w:tbl>
      <w:tblPr>
        <w:tblW w:w="5000" w:type="pct"/>
        <w:tblCellMar>
          <w:left w:w="7" w:type="dxa"/>
          <w:right w:w="7" w:type="dxa"/>
        </w:tblCellMar>
        <w:tblLook w:val="04A0" w:firstRow="1" w:lastRow="0" w:firstColumn="1" w:lastColumn="0" w:noHBand="0" w:noVBand="1"/>
      </w:tblPr>
      <w:tblGrid>
        <w:gridCol w:w="5473"/>
        <w:gridCol w:w="1198"/>
        <w:gridCol w:w="1180"/>
        <w:gridCol w:w="1205"/>
      </w:tblGrid>
      <w:tr w:rsidR="003B2158" w:rsidRPr="007C41DB" w14:paraId="40753AA6"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41A4A821"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 </w:t>
            </w:r>
          </w:p>
        </w:tc>
        <w:tc>
          <w:tcPr>
            <w:tcW w:w="1199" w:type="dxa"/>
            <w:tcBorders>
              <w:top w:val="single" w:sz="6" w:space="0" w:color="000000"/>
              <w:left w:val="single" w:sz="6" w:space="0" w:color="000000"/>
              <w:bottom w:val="single" w:sz="6" w:space="0" w:color="000000"/>
              <w:right w:val="single" w:sz="6" w:space="0" w:color="000000"/>
            </w:tcBorders>
            <w:vAlign w:val="center"/>
            <w:hideMark/>
          </w:tcPr>
          <w:p w14:paraId="64D2C67D"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Pozitívne </w:t>
            </w:r>
          </w:p>
        </w:tc>
        <w:tc>
          <w:tcPr>
            <w:tcW w:w="1183" w:type="dxa"/>
            <w:tcBorders>
              <w:top w:val="single" w:sz="6" w:space="0" w:color="000000"/>
              <w:left w:val="single" w:sz="6" w:space="0" w:color="000000"/>
              <w:bottom w:val="single" w:sz="6" w:space="0" w:color="000000"/>
              <w:right w:val="single" w:sz="6" w:space="0" w:color="000000"/>
            </w:tcBorders>
            <w:vAlign w:val="center"/>
            <w:hideMark/>
          </w:tcPr>
          <w:p w14:paraId="051594B6"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Žiadne </w:t>
            </w: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27F6C1CA"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Negatívne </w:t>
            </w:r>
          </w:p>
        </w:tc>
      </w:tr>
      <w:tr w:rsidR="003B2158" w:rsidRPr="007C41DB" w14:paraId="197BF49D"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6C57CB18"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1. Vplyvy na rozpočet verejnej správy</w:t>
            </w:r>
          </w:p>
        </w:tc>
        <w:tc>
          <w:tcPr>
            <w:tcW w:w="1199" w:type="dxa"/>
            <w:tcBorders>
              <w:top w:val="single" w:sz="6" w:space="0" w:color="000000"/>
              <w:left w:val="single" w:sz="6" w:space="0" w:color="000000"/>
              <w:bottom w:val="single" w:sz="6" w:space="0" w:color="000000"/>
              <w:right w:val="single" w:sz="6" w:space="0" w:color="000000"/>
            </w:tcBorders>
            <w:vAlign w:val="center"/>
            <w:hideMark/>
          </w:tcPr>
          <w:p w14:paraId="7F173AEC"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c>
          <w:tcPr>
            <w:tcW w:w="1183" w:type="dxa"/>
            <w:tcBorders>
              <w:top w:val="single" w:sz="6" w:space="0" w:color="000000"/>
              <w:left w:val="single" w:sz="6" w:space="0" w:color="000000"/>
              <w:bottom w:val="single" w:sz="6" w:space="0" w:color="000000"/>
              <w:right w:val="single" w:sz="6" w:space="0" w:color="000000"/>
            </w:tcBorders>
            <w:vAlign w:val="center"/>
            <w:hideMark/>
          </w:tcPr>
          <w:p w14:paraId="393C5C75" w14:textId="77777777" w:rsidR="003B2158" w:rsidRPr="007C41DB" w:rsidRDefault="003B2158">
            <w:pPr>
              <w:pStyle w:val="Normlnywebov"/>
              <w:spacing w:before="100" w:beforeAutospacing="1" w:after="100" w:afterAutospacing="1" w:line="276" w:lineRule="auto"/>
              <w:jc w:val="center"/>
              <w:rPr>
                <w:lang w:eastAsia="en-US"/>
              </w:rPr>
            </w:pPr>
            <w:r w:rsidRPr="007C41DB">
              <w:rPr>
                <w:lang w:eastAsia="en-US"/>
              </w:rPr>
              <w:t>x</w:t>
            </w: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5BB3BD8F" w14:textId="77777777" w:rsidR="003B2158" w:rsidRPr="007C41DB" w:rsidRDefault="003B2158">
            <w:pPr>
              <w:rPr>
                <w:rFonts w:ascii="Times New Roman" w:hAnsi="Times New Roman" w:cs="Times New Roman"/>
                <w:sz w:val="24"/>
                <w:szCs w:val="24"/>
                <w:lang w:eastAsia="en-US"/>
              </w:rPr>
            </w:pPr>
          </w:p>
        </w:tc>
      </w:tr>
      <w:tr w:rsidR="003B2158" w:rsidRPr="007C41DB" w14:paraId="59998C3D"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4363E076"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2. Vplyvy na podnikateľské prostredie – dochádza k zvýšeniu regulačného zaťaženia?</w:t>
            </w:r>
          </w:p>
        </w:tc>
        <w:tc>
          <w:tcPr>
            <w:tcW w:w="1199" w:type="dxa"/>
            <w:tcBorders>
              <w:top w:val="single" w:sz="6" w:space="0" w:color="000000"/>
              <w:left w:val="single" w:sz="6" w:space="0" w:color="000000"/>
              <w:bottom w:val="single" w:sz="6" w:space="0" w:color="000000"/>
              <w:right w:val="single" w:sz="6" w:space="0" w:color="000000"/>
            </w:tcBorders>
            <w:vAlign w:val="center"/>
            <w:hideMark/>
          </w:tcPr>
          <w:p w14:paraId="69A6D5E6"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c>
          <w:tcPr>
            <w:tcW w:w="1183" w:type="dxa"/>
            <w:tcBorders>
              <w:top w:val="single" w:sz="6" w:space="0" w:color="000000"/>
              <w:left w:val="single" w:sz="6" w:space="0" w:color="000000"/>
              <w:bottom w:val="single" w:sz="6" w:space="0" w:color="000000"/>
              <w:right w:val="single" w:sz="6" w:space="0" w:color="000000"/>
            </w:tcBorders>
            <w:vAlign w:val="center"/>
            <w:hideMark/>
          </w:tcPr>
          <w:p w14:paraId="4068B9E3" w14:textId="77777777" w:rsidR="003B2158" w:rsidRPr="007C41DB" w:rsidRDefault="003B2158">
            <w:pPr>
              <w:pStyle w:val="Normlnywebov"/>
              <w:spacing w:before="100" w:beforeAutospacing="1" w:after="100" w:afterAutospacing="1" w:line="276" w:lineRule="auto"/>
              <w:jc w:val="center"/>
              <w:rPr>
                <w:lang w:eastAsia="en-US"/>
              </w:rPr>
            </w:pPr>
            <w:r w:rsidRPr="007C41DB">
              <w:rPr>
                <w:lang w:eastAsia="en-US"/>
              </w:rPr>
              <w:t>x</w:t>
            </w: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0CB0116F"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r>
      <w:tr w:rsidR="003B2158" w:rsidRPr="007C41DB" w14:paraId="1179F0E5"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72A5F3D9"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3. Sociálne vplyvy</w:t>
            </w:r>
          </w:p>
        </w:tc>
        <w:tc>
          <w:tcPr>
            <w:tcW w:w="1199" w:type="dxa"/>
            <w:tcBorders>
              <w:top w:val="single" w:sz="6" w:space="0" w:color="000000"/>
              <w:left w:val="single" w:sz="6" w:space="0" w:color="000000"/>
              <w:bottom w:val="single" w:sz="6" w:space="0" w:color="000000"/>
              <w:right w:val="single" w:sz="6" w:space="0" w:color="000000"/>
            </w:tcBorders>
            <w:vAlign w:val="center"/>
            <w:hideMark/>
          </w:tcPr>
          <w:p w14:paraId="6388B70D" w14:textId="77777777" w:rsidR="003B2158" w:rsidRPr="007C41DB" w:rsidRDefault="003B2158">
            <w:pPr>
              <w:rPr>
                <w:rFonts w:ascii="Times New Roman" w:hAnsi="Times New Roman" w:cs="Times New Roman"/>
                <w:sz w:val="24"/>
                <w:szCs w:val="24"/>
                <w:lang w:eastAsia="en-US"/>
              </w:rPr>
            </w:pPr>
          </w:p>
        </w:tc>
        <w:tc>
          <w:tcPr>
            <w:tcW w:w="1183" w:type="dxa"/>
            <w:tcBorders>
              <w:top w:val="single" w:sz="6" w:space="0" w:color="000000"/>
              <w:left w:val="single" w:sz="6" w:space="0" w:color="000000"/>
              <w:bottom w:val="single" w:sz="6" w:space="0" w:color="000000"/>
              <w:right w:val="single" w:sz="6" w:space="0" w:color="000000"/>
            </w:tcBorders>
            <w:vAlign w:val="center"/>
            <w:hideMark/>
          </w:tcPr>
          <w:p w14:paraId="0EE36B3B" w14:textId="77777777" w:rsidR="003B2158" w:rsidRPr="007C41DB" w:rsidRDefault="003B2158">
            <w:pPr>
              <w:pStyle w:val="Normlnywebov"/>
              <w:spacing w:before="100" w:beforeAutospacing="1" w:after="100" w:afterAutospacing="1" w:line="276" w:lineRule="auto"/>
              <w:jc w:val="center"/>
              <w:rPr>
                <w:lang w:eastAsia="en-US"/>
              </w:rPr>
            </w:pPr>
            <w:r w:rsidRPr="007C41DB">
              <w:rPr>
                <w:lang w:eastAsia="en-US"/>
              </w:rPr>
              <w:t>x</w:t>
            </w: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4595736D"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 </w:t>
            </w:r>
          </w:p>
        </w:tc>
      </w:tr>
      <w:tr w:rsidR="003B2158" w:rsidRPr="007C41DB" w14:paraId="1ED0039E"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0E1B41EF"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 vplyvy na hospodárenie obyvateľstva,</w:t>
            </w:r>
          </w:p>
        </w:tc>
        <w:tc>
          <w:tcPr>
            <w:tcW w:w="1199" w:type="dxa"/>
            <w:tcBorders>
              <w:top w:val="single" w:sz="6" w:space="0" w:color="000000"/>
              <w:left w:val="single" w:sz="6" w:space="0" w:color="000000"/>
              <w:bottom w:val="single" w:sz="6" w:space="0" w:color="000000"/>
              <w:right w:val="single" w:sz="6" w:space="0" w:color="000000"/>
            </w:tcBorders>
            <w:vAlign w:val="center"/>
          </w:tcPr>
          <w:p w14:paraId="46BD1EE7" w14:textId="77777777" w:rsidR="003B2158" w:rsidRPr="007C41DB" w:rsidRDefault="003B2158">
            <w:pPr>
              <w:pStyle w:val="Normlnywebov"/>
              <w:spacing w:before="100" w:beforeAutospacing="1" w:after="100" w:afterAutospacing="1" w:line="276" w:lineRule="auto"/>
              <w:jc w:val="center"/>
              <w:rPr>
                <w:lang w:eastAsia="en-US"/>
              </w:rPr>
            </w:pPr>
          </w:p>
        </w:tc>
        <w:tc>
          <w:tcPr>
            <w:tcW w:w="1183" w:type="dxa"/>
            <w:tcBorders>
              <w:top w:val="single" w:sz="6" w:space="0" w:color="000000"/>
              <w:left w:val="single" w:sz="6" w:space="0" w:color="000000"/>
              <w:bottom w:val="single" w:sz="6" w:space="0" w:color="000000"/>
              <w:right w:val="single" w:sz="6" w:space="0" w:color="000000"/>
            </w:tcBorders>
            <w:vAlign w:val="center"/>
            <w:hideMark/>
          </w:tcPr>
          <w:p w14:paraId="60575CC8" w14:textId="77777777" w:rsidR="003B2158" w:rsidRPr="007C41DB" w:rsidRDefault="003B2158">
            <w:pPr>
              <w:rPr>
                <w:rFonts w:ascii="Times New Roman" w:hAnsi="Times New Roman" w:cs="Times New Roman"/>
                <w:sz w:val="24"/>
                <w:szCs w:val="24"/>
                <w:lang w:eastAsia="en-US"/>
              </w:rPr>
            </w:pP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128F4ED5"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r>
      <w:tr w:rsidR="003B2158" w:rsidRPr="007C41DB" w14:paraId="5A3DF451"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2D278DC1"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 sociálnu exklúziu,</w:t>
            </w:r>
          </w:p>
        </w:tc>
        <w:tc>
          <w:tcPr>
            <w:tcW w:w="1199" w:type="dxa"/>
            <w:tcBorders>
              <w:top w:val="single" w:sz="6" w:space="0" w:color="000000"/>
              <w:left w:val="single" w:sz="6" w:space="0" w:color="000000"/>
              <w:bottom w:val="single" w:sz="6" w:space="0" w:color="000000"/>
              <w:right w:val="single" w:sz="6" w:space="0" w:color="000000"/>
            </w:tcBorders>
            <w:vAlign w:val="center"/>
          </w:tcPr>
          <w:p w14:paraId="6175F848" w14:textId="77777777" w:rsidR="003B2158" w:rsidRPr="007C41DB" w:rsidRDefault="003B2158">
            <w:pPr>
              <w:pStyle w:val="Normlnywebov"/>
              <w:spacing w:before="100" w:beforeAutospacing="1" w:after="100" w:afterAutospacing="1" w:line="276" w:lineRule="auto"/>
              <w:jc w:val="center"/>
              <w:rPr>
                <w:color w:val="000000"/>
                <w:lang w:eastAsia="en-US"/>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05C2D3D4" w14:textId="77777777" w:rsidR="003B2158" w:rsidRPr="007C41DB" w:rsidRDefault="003B2158">
            <w:pPr>
              <w:pStyle w:val="Normlnywebov"/>
              <w:spacing w:before="100" w:beforeAutospacing="1" w:after="100" w:afterAutospacing="1" w:line="276" w:lineRule="auto"/>
              <w:jc w:val="center"/>
              <w:rPr>
                <w:lang w:eastAsia="en-US"/>
              </w:rPr>
            </w:pP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1E450E2F" w14:textId="77777777" w:rsidR="003B2158" w:rsidRPr="007C41DB" w:rsidRDefault="003B2158">
            <w:pPr>
              <w:rPr>
                <w:rFonts w:ascii="Times New Roman" w:hAnsi="Times New Roman" w:cs="Times New Roman"/>
                <w:sz w:val="24"/>
                <w:szCs w:val="24"/>
                <w:lang w:eastAsia="en-US"/>
              </w:rPr>
            </w:pPr>
          </w:p>
        </w:tc>
      </w:tr>
      <w:tr w:rsidR="003B2158" w:rsidRPr="007C41DB" w14:paraId="7EE617DE"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15D2C010"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 rovnosť príležitostí a rodovú rovnosť a vplyvy na zamestnanosť</w:t>
            </w:r>
          </w:p>
        </w:tc>
        <w:tc>
          <w:tcPr>
            <w:tcW w:w="1199" w:type="dxa"/>
            <w:tcBorders>
              <w:top w:val="single" w:sz="6" w:space="0" w:color="000000"/>
              <w:left w:val="single" w:sz="6" w:space="0" w:color="000000"/>
              <w:bottom w:val="single" w:sz="6" w:space="0" w:color="000000"/>
              <w:right w:val="single" w:sz="6" w:space="0" w:color="000000"/>
            </w:tcBorders>
            <w:vAlign w:val="center"/>
          </w:tcPr>
          <w:p w14:paraId="511EEA39" w14:textId="77777777" w:rsidR="003B2158" w:rsidRPr="007C41DB" w:rsidRDefault="003B2158">
            <w:pPr>
              <w:pStyle w:val="Normlnywebov"/>
              <w:spacing w:before="100" w:beforeAutospacing="1" w:after="100" w:afterAutospacing="1" w:line="276" w:lineRule="auto"/>
              <w:jc w:val="center"/>
              <w:rPr>
                <w:lang w:eastAsia="en-US"/>
              </w:rPr>
            </w:pPr>
          </w:p>
        </w:tc>
        <w:tc>
          <w:tcPr>
            <w:tcW w:w="1183" w:type="dxa"/>
            <w:tcBorders>
              <w:top w:val="single" w:sz="6" w:space="0" w:color="000000"/>
              <w:left w:val="single" w:sz="6" w:space="0" w:color="000000"/>
              <w:bottom w:val="single" w:sz="6" w:space="0" w:color="000000"/>
              <w:right w:val="single" w:sz="6" w:space="0" w:color="000000"/>
            </w:tcBorders>
            <w:vAlign w:val="center"/>
            <w:hideMark/>
          </w:tcPr>
          <w:p w14:paraId="2A0C6054"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37D84544"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r>
      <w:tr w:rsidR="003B2158" w:rsidRPr="007C41DB" w14:paraId="7FD1217A"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5C2E9B81"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4. Vplyvy na životné prostredie</w:t>
            </w:r>
          </w:p>
        </w:tc>
        <w:tc>
          <w:tcPr>
            <w:tcW w:w="1199" w:type="dxa"/>
            <w:tcBorders>
              <w:top w:val="single" w:sz="6" w:space="0" w:color="000000"/>
              <w:left w:val="single" w:sz="6" w:space="0" w:color="000000"/>
              <w:bottom w:val="single" w:sz="6" w:space="0" w:color="000000"/>
              <w:right w:val="single" w:sz="6" w:space="0" w:color="000000"/>
            </w:tcBorders>
            <w:vAlign w:val="center"/>
          </w:tcPr>
          <w:p w14:paraId="03108772" w14:textId="77777777" w:rsidR="003B2158" w:rsidRPr="007C41DB" w:rsidRDefault="003B2158">
            <w:pPr>
              <w:pStyle w:val="Normlnywebov"/>
              <w:spacing w:before="100" w:beforeAutospacing="1" w:after="100" w:afterAutospacing="1" w:line="276" w:lineRule="auto"/>
              <w:jc w:val="center"/>
              <w:rPr>
                <w:lang w:eastAsia="en-US"/>
              </w:rPr>
            </w:pPr>
          </w:p>
        </w:tc>
        <w:tc>
          <w:tcPr>
            <w:tcW w:w="1183" w:type="dxa"/>
            <w:tcBorders>
              <w:top w:val="single" w:sz="6" w:space="0" w:color="000000"/>
              <w:left w:val="single" w:sz="6" w:space="0" w:color="000000"/>
              <w:bottom w:val="single" w:sz="6" w:space="0" w:color="000000"/>
              <w:right w:val="single" w:sz="6" w:space="0" w:color="000000"/>
            </w:tcBorders>
            <w:vAlign w:val="center"/>
            <w:hideMark/>
          </w:tcPr>
          <w:p w14:paraId="2C28E340" w14:textId="77777777" w:rsidR="003B2158" w:rsidRPr="007C41DB" w:rsidRDefault="003B2158">
            <w:pPr>
              <w:pStyle w:val="Normlnywebov"/>
              <w:spacing w:before="100" w:beforeAutospacing="1" w:after="100" w:afterAutospacing="1" w:line="276" w:lineRule="auto"/>
              <w:jc w:val="center"/>
              <w:rPr>
                <w:lang w:eastAsia="en-US"/>
              </w:rPr>
            </w:pPr>
            <w:r w:rsidRPr="007C41DB">
              <w:rPr>
                <w:lang w:eastAsia="en-US"/>
              </w:rPr>
              <w:t>x</w:t>
            </w: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37A2E8FE"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r>
      <w:tr w:rsidR="003B2158" w:rsidRPr="007C41DB" w14:paraId="76E2605C"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hideMark/>
          </w:tcPr>
          <w:p w14:paraId="14FE30EC" w14:textId="77777777" w:rsidR="003B2158" w:rsidRPr="007C41DB" w:rsidRDefault="003B2158">
            <w:pPr>
              <w:pStyle w:val="Normlnywebov"/>
              <w:spacing w:before="100" w:beforeAutospacing="1" w:after="100" w:afterAutospacing="1" w:line="276" w:lineRule="auto"/>
              <w:rPr>
                <w:lang w:eastAsia="en-US"/>
              </w:rPr>
            </w:pPr>
            <w:r w:rsidRPr="007C41DB">
              <w:rPr>
                <w:color w:val="000000"/>
                <w:lang w:eastAsia="en-US"/>
              </w:rPr>
              <w:t>5. Vplyvy na informatizáciu spoločnosti</w:t>
            </w:r>
          </w:p>
        </w:tc>
        <w:tc>
          <w:tcPr>
            <w:tcW w:w="1199" w:type="dxa"/>
            <w:tcBorders>
              <w:top w:val="single" w:sz="6" w:space="0" w:color="000000"/>
              <w:left w:val="single" w:sz="6" w:space="0" w:color="000000"/>
              <w:bottom w:val="single" w:sz="6" w:space="0" w:color="000000"/>
              <w:right w:val="single" w:sz="6" w:space="0" w:color="000000"/>
            </w:tcBorders>
            <w:vAlign w:val="center"/>
            <w:hideMark/>
          </w:tcPr>
          <w:p w14:paraId="76A77AEA"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c>
          <w:tcPr>
            <w:tcW w:w="1183" w:type="dxa"/>
            <w:tcBorders>
              <w:top w:val="single" w:sz="6" w:space="0" w:color="000000"/>
              <w:left w:val="single" w:sz="6" w:space="0" w:color="000000"/>
              <w:bottom w:val="single" w:sz="6" w:space="0" w:color="000000"/>
              <w:right w:val="single" w:sz="6" w:space="0" w:color="000000"/>
            </w:tcBorders>
            <w:vAlign w:val="center"/>
            <w:hideMark/>
          </w:tcPr>
          <w:p w14:paraId="12235128"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x</w:t>
            </w:r>
          </w:p>
        </w:tc>
        <w:tc>
          <w:tcPr>
            <w:tcW w:w="1206" w:type="dxa"/>
            <w:tcBorders>
              <w:top w:val="single" w:sz="6" w:space="0" w:color="000000"/>
              <w:left w:val="single" w:sz="6" w:space="0" w:color="000000"/>
              <w:bottom w:val="single" w:sz="6" w:space="0" w:color="000000"/>
              <w:right w:val="single" w:sz="6" w:space="0" w:color="000000"/>
            </w:tcBorders>
            <w:vAlign w:val="center"/>
            <w:hideMark/>
          </w:tcPr>
          <w:p w14:paraId="6FED1F9B" w14:textId="77777777" w:rsidR="003B2158" w:rsidRPr="007C41DB" w:rsidRDefault="003B2158">
            <w:pPr>
              <w:pStyle w:val="Normlnywebov"/>
              <w:spacing w:before="100" w:beforeAutospacing="1" w:after="100" w:afterAutospacing="1" w:line="276" w:lineRule="auto"/>
              <w:jc w:val="center"/>
              <w:rPr>
                <w:lang w:eastAsia="en-US"/>
              </w:rPr>
            </w:pPr>
            <w:r w:rsidRPr="007C41DB">
              <w:rPr>
                <w:color w:val="000000"/>
                <w:lang w:eastAsia="en-US"/>
              </w:rPr>
              <w:t> </w:t>
            </w:r>
          </w:p>
        </w:tc>
      </w:tr>
      <w:tr w:rsidR="002D32CF" w:rsidRPr="007C41DB" w14:paraId="07DEF9E8"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tcPr>
          <w:p w14:paraId="6580D18A" w14:textId="28EB23E4" w:rsidR="002D32CF" w:rsidRPr="007C41DB" w:rsidRDefault="002D32CF" w:rsidP="002D32CF">
            <w:pPr>
              <w:pStyle w:val="Normlnywebov"/>
              <w:spacing w:before="100" w:beforeAutospacing="1" w:after="100" w:afterAutospacing="1" w:line="276" w:lineRule="auto"/>
              <w:rPr>
                <w:color w:val="000000"/>
                <w:lang w:eastAsia="en-US"/>
              </w:rPr>
            </w:pPr>
            <w:r w:rsidRPr="007C41DB">
              <w:rPr>
                <w:rStyle w:val="awspan"/>
                <w:color w:val="000000" w:themeColor="text1"/>
              </w:rPr>
              <w:t>6. Vplyvy na služby verejnej správy pre občana</w:t>
            </w:r>
          </w:p>
        </w:tc>
        <w:tc>
          <w:tcPr>
            <w:tcW w:w="1199" w:type="dxa"/>
            <w:tcBorders>
              <w:top w:val="single" w:sz="6" w:space="0" w:color="000000"/>
              <w:left w:val="single" w:sz="6" w:space="0" w:color="000000"/>
              <w:bottom w:val="single" w:sz="6" w:space="0" w:color="000000"/>
              <w:right w:val="single" w:sz="6" w:space="0" w:color="000000"/>
            </w:tcBorders>
            <w:vAlign w:val="center"/>
          </w:tcPr>
          <w:p w14:paraId="19F38BAE" w14:textId="11FC20CA" w:rsidR="002D32CF" w:rsidRPr="007C41DB" w:rsidRDefault="002D32CF" w:rsidP="002D32CF">
            <w:pPr>
              <w:pStyle w:val="Normlnywebov"/>
              <w:spacing w:before="100" w:beforeAutospacing="1" w:after="100" w:afterAutospacing="1" w:line="276" w:lineRule="auto"/>
              <w:jc w:val="center"/>
              <w:rPr>
                <w:color w:val="000000"/>
                <w:lang w:eastAsia="en-US"/>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2F423EF2" w14:textId="2B7274AD" w:rsidR="002D32CF" w:rsidRPr="007C41DB" w:rsidRDefault="002D32CF" w:rsidP="002D32CF">
            <w:pPr>
              <w:pStyle w:val="Normlnywebov"/>
              <w:spacing w:before="100" w:beforeAutospacing="1" w:after="100" w:afterAutospacing="1" w:line="276" w:lineRule="auto"/>
              <w:jc w:val="center"/>
              <w:rPr>
                <w:color w:val="000000"/>
                <w:lang w:eastAsia="en-US"/>
              </w:rPr>
            </w:pPr>
            <w:r w:rsidRPr="007C41DB">
              <w:rPr>
                <w:color w:val="000000"/>
                <w:lang w:eastAsia="en-US"/>
              </w:rPr>
              <w:t>x</w:t>
            </w:r>
          </w:p>
        </w:tc>
        <w:tc>
          <w:tcPr>
            <w:tcW w:w="1206" w:type="dxa"/>
            <w:tcBorders>
              <w:top w:val="single" w:sz="6" w:space="0" w:color="000000"/>
              <w:left w:val="single" w:sz="6" w:space="0" w:color="000000"/>
              <w:bottom w:val="single" w:sz="6" w:space="0" w:color="000000"/>
              <w:right w:val="single" w:sz="6" w:space="0" w:color="000000"/>
            </w:tcBorders>
            <w:vAlign w:val="center"/>
          </w:tcPr>
          <w:p w14:paraId="1B758E40" w14:textId="77777777" w:rsidR="002D32CF" w:rsidRPr="007C41DB" w:rsidRDefault="002D32CF" w:rsidP="002D32CF">
            <w:pPr>
              <w:pStyle w:val="Normlnywebov"/>
              <w:spacing w:before="100" w:beforeAutospacing="1" w:after="100" w:afterAutospacing="1" w:line="276" w:lineRule="auto"/>
              <w:jc w:val="center"/>
              <w:rPr>
                <w:color w:val="000000"/>
                <w:lang w:eastAsia="en-US"/>
              </w:rPr>
            </w:pPr>
          </w:p>
        </w:tc>
      </w:tr>
      <w:tr w:rsidR="002D32CF" w:rsidRPr="007C41DB" w14:paraId="57986E14" w14:textId="77777777" w:rsidTr="002D32CF">
        <w:tc>
          <w:tcPr>
            <w:tcW w:w="5500" w:type="dxa"/>
            <w:tcBorders>
              <w:top w:val="single" w:sz="6" w:space="0" w:color="000000"/>
              <w:left w:val="single" w:sz="6" w:space="0" w:color="000000"/>
              <w:bottom w:val="single" w:sz="6" w:space="0" w:color="000000"/>
              <w:right w:val="single" w:sz="6" w:space="0" w:color="000000"/>
            </w:tcBorders>
            <w:vAlign w:val="center"/>
          </w:tcPr>
          <w:p w14:paraId="2463C506" w14:textId="49EF9BD2" w:rsidR="002D32CF" w:rsidRPr="007C41DB" w:rsidRDefault="002D32CF" w:rsidP="002D32CF">
            <w:pPr>
              <w:pStyle w:val="Normlnywebov"/>
              <w:spacing w:before="100" w:beforeAutospacing="1" w:after="100" w:afterAutospacing="1" w:line="276" w:lineRule="auto"/>
              <w:rPr>
                <w:color w:val="000000"/>
                <w:lang w:eastAsia="en-US"/>
              </w:rPr>
            </w:pPr>
            <w:r w:rsidRPr="007C41DB">
              <w:rPr>
                <w:rStyle w:val="awspan"/>
                <w:color w:val="000000" w:themeColor="text1"/>
              </w:rPr>
              <w:t>7. Vplyvy na manželstvo, rodičovstvo a rodinu</w:t>
            </w:r>
          </w:p>
        </w:tc>
        <w:tc>
          <w:tcPr>
            <w:tcW w:w="1199" w:type="dxa"/>
            <w:tcBorders>
              <w:top w:val="single" w:sz="6" w:space="0" w:color="000000"/>
              <w:left w:val="single" w:sz="6" w:space="0" w:color="000000"/>
              <w:bottom w:val="single" w:sz="6" w:space="0" w:color="000000"/>
              <w:right w:val="single" w:sz="6" w:space="0" w:color="000000"/>
            </w:tcBorders>
            <w:vAlign w:val="center"/>
          </w:tcPr>
          <w:p w14:paraId="228A3572" w14:textId="77777777" w:rsidR="002D32CF" w:rsidRPr="007C41DB" w:rsidRDefault="002D32CF" w:rsidP="002D32CF">
            <w:pPr>
              <w:pStyle w:val="Normlnywebov"/>
              <w:spacing w:before="100" w:beforeAutospacing="1" w:after="100" w:afterAutospacing="1" w:line="276" w:lineRule="auto"/>
              <w:jc w:val="center"/>
              <w:rPr>
                <w:color w:val="000000"/>
                <w:lang w:eastAsia="en-US"/>
              </w:rPr>
            </w:pPr>
          </w:p>
        </w:tc>
        <w:tc>
          <w:tcPr>
            <w:tcW w:w="1183" w:type="dxa"/>
            <w:tcBorders>
              <w:top w:val="single" w:sz="6" w:space="0" w:color="000000"/>
              <w:left w:val="single" w:sz="6" w:space="0" w:color="000000"/>
              <w:bottom w:val="single" w:sz="6" w:space="0" w:color="000000"/>
              <w:right w:val="single" w:sz="6" w:space="0" w:color="000000"/>
            </w:tcBorders>
            <w:vAlign w:val="center"/>
          </w:tcPr>
          <w:p w14:paraId="2B312E15" w14:textId="0839B1FE" w:rsidR="002D32CF" w:rsidRPr="007C41DB" w:rsidRDefault="002D32CF" w:rsidP="002D32CF">
            <w:pPr>
              <w:pStyle w:val="Normlnywebov"/>
              <w:spacing w:before="100" w:beforeAutospacing="1" w:after="100" w:afterAutospacing="1" w:line="276" w:lineRule="auto"/>
              <w:jc w:val="center"/>
              <w:rPr>
                <w:color w:val="000000"/>
                <w:lang w:eastAsia="en-US"/>
              </w:rPr>
            </w:pPr>
            <w:r w:rsidRPr="007C41DB">
              <w:rPr>
                <w:color w:val="000000" w:themeColor="text1"/>
              </w:rPr>
              <w:t>x</w:t>
            </w:r>
          </w:p>
        </w:tc>
        <w:tc>
          <w:tcPr>
            <w:tcW w:w="1206" w:type="dxa"/>
            <w:tcBorders>
              <w:top w:val="single" w:sz="6" w:space="0" w:color="000000"/>
              <w:left w:val="single" w:sz="6" w:space="0" w:color="000000"/>
              <w:bottom w:val="single" w:sz="6" w:space="0" w:color="000000"/>
              <w:right w:val="single" w:sz="6" w:space="0" w:color="000000"/>
            </w:tcBorders>
            <w:vAlign w:val="center"/>
          </w:tcPr>
          <w:p w14:paraId="18C1A30A" w14:textId="77777777" w:rsidR="002D32CF" w:rsidRPr="007C41DB" w:rsidRDefault="002D32CF" w:rsidP="002D32CF">
            <w:pPr>
              <w:pStyle w:val="Normlnywebov"/>
              <w:spacing w:before="100" w:beforeAutospacing="1" w:after="100" w:afterAutospacing="1" w:line="276" w:lineRule="auto"/>
              <w:jc w:val="center"/>
              <w:rPr>
                <w:color w:val="000000"/>
                <w:lang w:eastAsia="en-US"/>
              </w:rPr>
            </w:pPr>
          </w:p>
        </w:tc>
      </w:tr>
    </w:tbl>
    <w:p w14:paraId="6597AEB8" w14:textId="77777777" w:rsidR="003B2158" w:rsidRPr="007C41DB" w:rsidRDefault="003B2158" w:rsidP="003B2158">
      <w:pPr>
        <w:pStyle w:val="Normlnywebov"/>
        <w:spacing w:before="100" w:beforeAutospacing="1" w:after="100" w:afterAutospacing="1" w:line="276" w:lineRule="auto"/>
      </w:pPr>
      <w:r w:rsidRPr="007C41DB">
        <w:rPr>
          <w:color w:val="000000"/>
        </w:rPr>
        <w:t> </w:t>
      </w:r>
    </w:p>
    <w:p w14:paraId="0716A815" w14:textId="77777777" w:rsidR="003B2158" w:rsidRPr="007C41DB" w:rsidRDefault="003B2158" w:rsidP="003B2158">
      <w:pPr>
        <w:pStyle w:val="Normlnywebov"/>
        <w:spacing w:before="100" w:beforeAutospacing="1" w:after="100" w:afterAutospacing="1" w:line="276" w:lineRule="auto"/>
        <w:jc w:val="both"/>
        <w:rPr>
          <w:bCs/>
          <w:i/>
        </w:rPr>
      </w:pPr>
      <w:r w:rsidRPr="007C41DB">
        <w:rPr>
          <w:b/>
          <w:bCs/>
          <w:color w:val="000000"/>
        </w:rPr>
        <w:t>A.3. Poznámky</w:t>
      </w:r>
      <w:r w:rsidRPr="007C41DB">
        <w:rPr>
          <w:bCs/>
          <w:i/>
        </w:rPr>
        <w:t xml:space="preserve"> </w:t>
      </w:r>
    </w:p>
    <w:p w14:paraId="0B3ADBF0" w14:textId="77777777" w:rsidR="00B76A1E" w:rsidRPr="007C41DB" w:rsidRDefault="00B76A1E" w:rsidP="003B2158">
      <w:pPr>
        <w:pStyle w:val="Normlnywebov"/>
        <w:spacing w:before="100" w:beforeAutospacing="1" w:after="100" w:afterAutospacing="1" w:line="276" w:lineRule="auto"/>
        <w:jc w:val="both"/>
      </w:pPr>
      <w:r w:rsidRPr="007C41DB">
        <w:t>Prípadné negatívne vplyvy na rozpočet verejnej správy budú zabezpečené v rámci rozpočtu Ministerstva školstva, vedy, výskumu a športu Slovenskej republiky na príslušné rozpočtové roky, bez dodatočných nárokov na štátny rozpočet.</w:t>
      </w:r>
      <w:r w:rsidR="0099219C" w:rsidRPr="007C41DB">
        <w:t xml:space="preserve"> V súčasnosti nie je možné kvantifikovať vplyvy na rozpočet, pretože nie je možné určiť u akého počtu </w:t>
      </w:r>
      <w:r w:rsidR="00DF0CE7" w:rsidRPr="007C41DB">
        <w:t>úspešných športovcov</w:t>
      </w:r>
      <w:r w:rsidR="000C1AEA" w:rsidRPr="007C41DB">
        <w:t>, trénerov, umelcov alebo ďalších odborníkov</w:t>
      </w:r>
      <w:r w:rsidR="0099219C" w:rsidRPr="007C41DB">
        <w:t xml:space="preserve"> </w:t>
      </w:r>
      <w:r w:rsidR="00DF0CE7" w:rsidRPr="007C41DB">
        <w:t xml:space="preserve">sa zvýši motivácia pracovať </w:t>
      </w:r>
      <w:r w:rsidR="0099219C" w:rsidRPr="007C41DB">
        <w:t>v</w:t>
      </w:r>
      <w:r w:rsidR="00DF0CE7" w:rsidRPr="007C41DB">
        <w:t> </w:t>
      </w:r>
      <w:r w:rsidR="0099219C" w:rsidRPr="007C41DB">
        <w:t>školstve</w:t>
      </w:r>
      <w:r w:rsidR="00DF0CE7" w:rsidRPr="007C41DB">
        <w:t xml:space="preserve"> ako pedagogický zamestnanec.</w:t>
      </w:r>
      <w:r w:rsidR="0099219C" w:rsidRPr="007C41DB">
        <w:t xml:space="preserve"> </w:t>
      </w:r>
    </w:p>
    <w:p w14:paraId="6C144367" w14:textId="77777777" w:rsidR="003B2158" w:rsidRPr="007C41DB" w:rsidRDefault="003B2158" w:rsidP="003B2158">
      <w:pPr>
        <w:jc w:val="both"/>
        <w:rPr>
          <w:rFonts w:ascii="Times New Roman" w:hAnsi="Times New Roman" w:cs="Times New Roman"/>
          <w:sz w:val="24"/>
          <w:szCs w:val="24"/>
        </w:rPr>
      </w:pPr>
      <w:r w:rsidRPr="007C41DB">
        <w:rPr>
          <w:rFonts w:ascii="Times New Roman" w:hAnsi="Times New Roman" w:cs="Times New Roman"/>
          <w:b/>
          <w:bCs/>
          <w:sz w:val="24"/>
          <w:szCs w:val="24"/>
        </w:rPr>
        <w:t>A.4. Alternatívne riešenia</w:t>
      </w:r>
    </w:p>
    <w:p w14:paraId="606AAF9E" w14:textId="77777777" w:rsidR="003B2158" w:rsidRPr="007C41DB" w:rsidRDefault="003B2158" w:rsidP="003B2158">
      <w:pPr>
        <w:jc w:val="both"/>
        <w:rPr>
          <w:rFonts w:ascii="Times New Roman" w:hAnsi="Times New Roman" w:cs="Times New Roman"/>
          <w:sz w:val="24"/>
          <w:szCs w:val="24"/>
        </w:rPr>
      </w:pPr>
      <w:r w:rsidRPr="007C41DB">
        <w:rPr>
          <w:rFonts w:ascii="Times New Roman" w:hAnsi="Times New Roman" w:cs="Times New Roman"/>
          <w:i/>
          <w:sz w:val="24"/>
          <w:szCs w:val="24"/>
        </w:rPr>
        <w:t>bezpredmetné </w:t>
      </w:r>
    </w:p>
    <w:p w14:paraId="77E01B22" w14:textId="77777777" w:rsidR="003B2158" w:rsidRPr="007C41DB" w:rsidRDefault="003B2158" w:rsidP="00566C2B">
      <w:pPr>
        <w:pStyle w:val="Normlnywebov"/>
        <w:spacing w:before="100" w:beforeAutospacing="1" w:after="100" w:afterAutospacing="1" w:line="276" w:lineRule="auto"/>
        <w:ind w:left="567" w:hanging="567"/>
        <w:jc w:val="both"/>
      </w:pPr>
      <w:r w:rsidRPr="007C41DB">
        <w:rPr>
          <w:b/>
          <w:bCs/>
        </w:rPr>
        <w:t xml:space="preserve">A.5. </w:t>
      </w:r>
      <w:r w:rsidRPr="007C41DB">
        <w:rPr>
          <w:b/>
          <w:bCs/>
        </w:rPr>
        <w:tab/>
        <w:t>Stanovisko gestorov</w:t>
      </w:r>
    </w:p>
    <w:sectPr w:rsidR="003B2158" w:rsidRPr="007C41DB" w:rsidSect="000B58B4">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4C0D5" w14:textId="77777777" w:rsidR="00BB656D" w:rsidRDefault="00BB656D" w:rsidP="00473DEE">
      <w:pPr>
        <w:spacing w:after="0" w:line="240" w:lineRule="auto"/>
      </w:pPr>
      <w:r>
        <w:separator/>
      </w:r>
    </w:p>
  </w:endnote>
  <w:endnote w:type="continuationSeparator" w:id="0">
    <w:p w14:paraId="2F71F2D8" w14:textId="77777777" w:rsidR="00BB656D" w:rsidRDefault="00BB656D" w:rsidP="0047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783007"/>
      <w:docPartObj>
        <w:docPartGallery w:val="Page Numbers (Bottom of Page)"/>
        <w:docPartUnique/>
      </w:docPartObj>
    </w:sdtPr>
    <w:sdtEndPr/>
    <w:sdtContent>
      <w:p w14:paraId="6C4C5C5E" w14:textId="6DF888F6" w:rsidR="009870F6" w:rsidRDefault="000B58B4">
        <w:pPr>
          <w:pStyle w:val="Pta"/>
          <w:jc w:val="center"/>
        </w:pPr>
        <w:r>
          <w:fldChar w:fldCharType="begin"/>
        </w:r>
        <w:r w:rsidR="009870F6">
          <w:instrText>PAGE   \* MERGEFORMAT</w:instrText>
        </w:r>
        <w:r>
          <w:fldChar w:fldCharType="separate"/>
        </w:r>
        <w:r w:rsidR="007C41DB">
          <w:rPr>
            <w:noProof/>
          </w:rPr>
          <w:t>6</w:t>
        </w:r>
        <w:r>
          <w:fldChar w:fldCharType="end"/>
        </w:r>
      </w:p>
    </w:sdtContent>
  </w:sdt>
  <w:p w14:paraId="488070D1" w14:textId="77777777" w:rsidR="009870F6" w:rsidRDefault="009870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4CE6C" w14:textId="77777777" w:rsidR="00BB656D" w:rsidRDefault="00BB656D" w:rsidP="00473DEE">
      <w:pPr>
        <w:spacing w:after="0" w:line="240" w:lineRule="auto"/>
      </w:pPr>
      <w:r>
        <w:separator/>
      </w:r>
    </w:p>
  </w:footnote>
  <w:footnote w:type="continuationSeparator" w:id="0">
    <w:p w14:paraId="29BDB7FA" w14:textId="77777777" w:rsidR="00BB656D" w:rsidRDefault="00BB656D" w:rsidP="00473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E12"/>
    <w:multiLevelType w:val="hybridMultilevel"/>
    <w:tmpl w:val="E9FC15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24138C"/>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FE5481"/>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855F6"/>
    <w:multiLevelType w:val="hybridMultilevel"/>
    <w:tmpl w:val="30E07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 w15:restartNumberingAfterBreak="0">
    <w:nsid w:val="29FA17D4"/>
    <w:multiLevelType w:val="hybridMultilevel"/>
    <w:tmpl w:val="8C480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 w15:restartNumberingAfterBreak="0">
    <w:nsid w:val="4EF54C78"/>
    <w:multiLevelType w:val="hybridMultilevel"/>
    <w:tmpl w:val="55ECBC1A"/>
    <w:lvl w:ilvl="0" w:tplc="DC460F5C">
      <w:start w:val="1"/>
      <w:numFmt w:val="decimal"/>
      <w:lvlText w:val="%1."/>
      <w:lvlJc w:val="left"/>
      <w:pPr>
        <w:ind w:left="720" w:hanging="360"/>
      </w:pPr>
      <w:rPr>
        <w:rFonts w:ascii="Segoe UI" w:eastAsia="Times New Roman"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00B0236"/>
    <w:multiLevelType w:val="hybridMultilevel"/>
    <w:tmpl w:val="55ECBC1A"/>
    <w:lvl w:ilvl="0" w:tplc="DC460F5C">
      <w:start w:val="1"/>
      <w:numFmt w:val="decimal"/>
      <w:lvlText w:val="%1."/>
      <w:lvlJc w:val="left"/>
      <w:pPr>
        <w:ind w:left="720" w:hanging="360"/>
      </w:pPr>
      <w:rPr>
        <w:rFonts w:ascii="Segoe UI" w:eastAsia="Times New Roman"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6137D61"/>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9"/>
  </w:num>
  <w:num w:numId="6">
    <w:abstractNumId w:val="8"/>
  </w:num>
  <w:num w:numId="7">
    <w:abstractNumId w:val="1"/>
  </w:num>
  <w:num w:numId="8">
    <w:abstractNumId w:val="2"/>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11B96"/>
    <w:rsid w:val="000B58B4"/>
    <w:rsid w:val="000C1AEA"/>
    <w:rsid w:val="00207006"/>
    <w:rsid w:val="002D0C54"/>
    <w:rsid w:val="002D32CF"/>
    <w:rsid w:val="00323127"/>
    <w:rsid w:val="00336C51"/>
    <w:rsid w:val="00386510"/>
    <w:rsid w:val="0038768A"/>
    <w:rsid w:val="003B2158"/>
    <w:rsid w:val="00473DEE"/>
    <w:rsid w:val="004777CE"/>
    <w:rsid w:val="00510E60"/>
    <w:rsid w:val="00566C2B"/>
    <w:rsid w:val="00644663"/>
    <w:rsid w:val="0069020B"/>
    <w:rsid w:val="00693C62"/>
    <w:rsid w:val="006A4D1A"/>
    <w:rsid w:val="006C2C57"/>
    <w:rsid w:val="006D253B"/>
    <w:rsid w:val="006F56D3"/>
    <w:rsid w:val="006F7B9F"/>
    <w:rsid w:val="0073113B"/>
    <w:rsid w:val="0078037F"/>
    <w:rsid w:val="007C41DB"/>
    <w:rsid w:val="00844FFC"/>
    <w:rsid w:val="008E367A"/>
    <w:rsid w:val="0094321D"/>
    <w:rsid w:val="00972D01"/>
    <w:rsid w:val="009870F6"/>
    <w:rsid w:val="0099219C"/>
    <w:rsid w:val="009A1EB9"/>
    <w:rsid w:val="00A528DF"/>
    <w:rsid w:val="00A75AE5"/>
    <w:rsid w:val="00A77F33"/>
    <w:rsid w:val="00AA3A2F"/>
    <w:rsid w:val="00B76A1E"/>
    <w:rsid w:val="00BB6162"/>
    <w:rsid w:val="00BB656D"/>
    <w:rsid w:val="00C14C20"/>
    <w:rsid w:val="00CC2EDB"/>
    <w:rsid w:val="00CC5FD9"/>
    <w:rsid w:val="00CE61F8"/>
    <w:rsid w:val="00D077E7"/>
    <w:rsid w:val="00D53140"/>
    <w:rsid w:val="00DC4EC6"/>
    <w:rsid w:val="00DF0CE7"/>
    <w:rsid w:val="00E22E81"/>
    <w:rsid w:val="00F91A4D"/>
    <w:rsid w:val="00FB2A4D"/>
    <w:rsid w:val="00FB48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7B09"/>
  <w15:docId w15:val="{1B5C9C81-499B-41DC-B4F3-B9613723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B58B4"/>
  </w:style>
  <w:style w:type="paragraph" w:styleId="Nadpis1">
    <w:name w:val="heading 1"/>
    <w:basedOn w:val="Normlny"/>
    <w:next w:val="Normlny"/>
    <w:rsid w:val="000B58B4"/>
    <w:pPr>
      <w:keepNext/>
      <w:keepLines/>
      <w:spacing w:before="480" w:after="120"/>
      <w:outlineLvl w:val="0"/>
    </w:pPr>
    <w:rPr>
      <w:b/>
      <w:sz w:val="48"/>
      <w:szCs w:val="48"/>
    </w:rPr>
  </w:style>
  <w:style w:type="paragraph" w:styleId="Nadpis2">
    <w:name w:val="heading 2"/>
    <w:basedOn w:val="Normlny"/>
    <w:next w:val="Normlny"/>
    <w:rsid w:val="000B58B4"/>
    <w:pPr>
      <w:keepNext/>
      <w:keepLines/>
      <w:spacing w:before="360" w:after="80"/>
      <w:outlineLvl w:val="1"/>
    </w:pPr>
    <w:rPr>
      <w:b/>
      <w:sz w:val="36"/>
      <w:szCs w:val="36"/>
    </w:rPr>
  </w:style>
  <w:style w:type="paragraph" w:styleId="Nadpis3">
    <w:name w:val="heading 3"/>
    <w:basedOn w:val="Normlny"/>
    <w:next w:val="Normlny"/>
    <w:rsid w:val="000B58B4"/>
    <w:pPr>
      <w:keepNext/>
      <w:keepLines/>
      <w:spacing w:before="280" w:after="80"/>
      <w:outlineLvl w:val="2"/>
    </w:pPr>
    <w:rPr>
      <w:b/>
      <w:sz w:val="28"/>
      <w:szCs w:val="28"/>
    </w:rPr>
  </w:style>
  <w:style w:type="paragraph" w:styleId="Nadpis4">
    <w:name w:val="heading 4"/>
    <w:basedOn w:val="Normlny"/>
    <w:next w:val="Normlny"/>
    <w:rsid w:val="000B58B4"/>
    <w:pPr>
      <w:keepNext/>
      <w:keepLines/>
      <w:spacing w:before="240" w:after="40"/>
      <w:outlineLvl w:val="3"/>
    </w:pPr>
    <w:rPr>
      <w:b/>
      <w:sz w:val="24"/>
      <w:szCs w:val="24"/>
    </w:rPr>
  </w:style>
  <w:style w:type="paragraph" w:styleId="Nadpis5">
    <w:name w:val="heading 5"/>
    <w:basedOn w:val="Normlny"/>
    <w:next w:val="Normlny"/>
    <w:rsid w:val="000B58B4"/>
    <w:pPr>
      <w:keepNext/>
      <w:keepLines/>
      <w:spacing w:before="220" w:after="40"/>
      <w:outlineLvl w:val="4"/>
    </w:pPr>
    <w:rPr>
      <w:b/>
    </w:rPr>
  </w:style>
  <w:style w:type="paragraph" w:styleId="Nadpis6">
    <w:name w:val="heading 6"/>
    <w:basedOn w:val="Normlny"/>
    <w:next w:val="Normlny"/>
    <w:rsid w:val="000B58B4"/>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0B58B4"/>
    <w:tblPr>
      <w:tblCellMar>
        <w:top w:w="0" w:type="dxa"/>
        <w:left w:w="0" w:type="dxa"/>
        <w:bottom w:w="0" w:type="dxa"/>
        <w:right w:w="0" w:type="dxa"/>
      </w:tblCellMar>
    </w:tblPr>
  </w:style>
  <w:style w:type="paragraph" w:styleId="Nzov">
    <w:name w:val="Title"/>
    <w:basedOn w:val="Normlny"/>
    <w:next w:val="Normlny"/>
    <w:rsid w:val="000B58B4"/>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rsid w:val="000B58B4"/>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qFormat/>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473DEE"/>
    <w:pPr>
      <w:tabs>
        <w:tab w:val="center" w:pos="4536"/>
        <w:tab w:val="right" w:pos="9072"/>
      </w:tabs>
      <w:spacing w:after="0" w:line="240" w:lineRule="auto"/>
    </w:pPr>
  </w:style>
  <w:style w:type="character" w:customStyle="1" w:styleId="PtaChar">
    <w:name w:val="Päta Char"/>
    <w:basedOn w:val="Predvolenpsmoodseku"/>
    <w:link w:val="Pta"/>
    <w:uiPriority w:val="99"/>
    <w:rsid w:val="00473DEE"/>
  </w:style>
  <w:style w:type="character" w:styleId="Odkaznakomentr">
    <w:name w:val="annotation reference"/>
    <w:basedOn w:val="Predvolenpsmoodseku"/>
    <w:uiPriority w:val="99"/>
    <w:semiHidden/>
    <w:unhideWhenUsed/>
    <w:rsid w:val="009870F6"/>
    <w:rPr>
      <w:sz w:val="16"/>
      <w:szCs w:val="16"/>
    </w:rPr>
  </w:style>
  <w:style w:type="paragraph" w:styleId="Textkomentra">
    <w:name w:val="annotation text"/>
    <w:basedOn w:val="Normlny"/>
    <w:link w:val="TextkomentraChar"/>
    <w:uiPriority w:val="99"/>
    <w:semiHidden/>
    <w:unhideWhenUsed/>
    <w:rsid w:val="009870F6"/>
    <w:pPr>
      <w:spacing w:line="240" w:lineRule="auto"/>
    </w:pPr>
    <w:rPr>
      <w:sz w:val="20"/>
      <w:szCs w:val="20"/>
    </w:rPr>
  </w:style>
  <w:style w:type="character" w:customStyle="1" w:styleId="TextkomentraChar">
    <w:name w:val="Text komentára Char"/>
    <w:basedOn w:val="Predvolenpsmoodseku"/>
    <w:link w:val="Textkomentra"/>
    <w:uiPriority w:val="99"/>
    <w:semiHidden/>
    <w:rsid w:val="009870F6"/>
    <w:rPr>
      <w:sz w:val="20"/>
      <w:szCs w:val="20"/>
    </w:rPr>
  </w:style>
  <w:style w:type="paragraph" w:styleId="Predmetkomentra">
    <w:name w:val="annotation subject"/>
    <w:basedOn w:val="Textkomentra"/>
    <w:next w:val="Textkomentra"/>
    <w:link w:val="PredmetkomentraChar"/>
    <w:uiPriority w:val="99"/>
    <w:semiHidden/>
    <w:unhideWhenUsed/>
    <w:rsid w:val="009870F6"/>
    <w:rPr>
      <w:b/>
      <w:bCs/>
    </w:rPr>
  </w:style>
  <w:style w:type="character" w:customStyle="1" w:styleId="PredmetkomentraChar">
    <w:name w:val="Predmet komentára Char"/>
    <w:basedOn w:val="TextkomentraChar"/>
    <w:link w:val="Predmetkomentra"/>
    <w:uiPriority w:val="99"/>
    <w:semiHidden/>
    <w:rsid w:val="009870F6"/>
    <w:rPr>
      <w:b/>
      <w:bCs/>
      <w:sz w:val="20"/>
      <w:szCs w:val="20"/>
    </w:rPr>
  </w:style>
  <w:style w:type="paragraph" w:styleId="Textbubliny">
    <w:name w:val="Balloon Text"/>
    <w:basedOn w:val="Normlny"/>
    <w:link w:val="TextbublinyChar"/>
    <w:uiPriority w:val="99"/>
    <w:semiHidden/>
    <w:unhideWhenUsed/>
    <w:rsid w:val="009870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70F6"/>
    <w:rPr>
      <w:rFonts w:ascii="Segoe UI" w:hAnsi="Segoe UI" w:cs="Segoe UI"/>
      <w:sz w:val="18"/>
      <w:szCs w:val="18"/>
    </w:rPr>
  </w:style>
  <w:style w:type="paragraph" w:styleId="Revzia">
    <w:name w:val="Revision"/>
    <w:hidden/>
    <w:uiPriority w:val="99"/>
    <w:semiHidden/>
    <w:rsid w:val="002D3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2335</Words>
  <Characters>13316</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Kučera Karol</dc:creator>
  <cp:lastModifiedBy>klub OĽANO</cp:lastModifiedBy>
  <cp:revision>2</cp:revision>
  <dcterms:created xsi:type="dcterms:W3CDTF">2023-01-13T07:47:00Z</dcterms:created>
  <dcterms:modified xsi:type="dcterms:W3CDTF">2023-01-13T07:47:00Z</dcterms:modified>
</cp:coreProperties>
</file>