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F7" w:rsidRPr="007D5748" w:rsidRDefault="009840F7" w:rsidP="009840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9840F7" w:rsidRPr="007D5748" w:rsidRDefault="009840F7" w:rsidP="009840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9840F7" w:rsidRPr="00212894" w:rsidRDefault="009840F7" w:rsidP="009840F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840F7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840F7" w:rsidRPr="00212894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E4028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návrhu</w:t>
      </w:r>
      <w:r w:rsidR="00E4028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9840F7" w:rsidRDefault="009840F7" w:rsidP="009840F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9840F7" w:rsidRPr="007D5748" w:rsidRDefault="009840F7" w:rsidP="009840F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9840F7" w:rsidRPr="007D5748" w:rsidTr="00C55B49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9840F7" w:rsidRPr="006B04A1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9840F7" w:rsidRPr="006B04A1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8579CD" w:rsidRPr="007D5748" w:rsidTr="00C55B49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8579CD" w:rsidRPr="006B04A1" w:rsidRDefault="008579CD" w:rsidP="0085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8579CD" w:rsidRPr="00174881" w:rsidRDefault="008579CD" w:rsidP="0085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8579CD" w:rsidRPr="00174881" w:rsidRDefault="008579CD" w:rsidP="0085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8579CD" w:rsidRPr="00174881" w:rsidRDefault="008579CD" w:rsidP="0085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8579CD" w:rsidRPr="00174881" w:rsidRDefault="008579CD" w:rsidP="0085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267" w:type="dxa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840F7" w:rsidRPr="007D5748" w:rsidTr="00C55B4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174881" w:rsidTr="00C55B4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174881" w:rsidTr="00C55B4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8579C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579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40F7" w:rsidRPr="00174881" w:rsidRDefault="00BD4C7F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595 000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40F7" w:rsidRPr="00174881" w:rsidRDefault="00BD4C7F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545 000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40F7" w:rsidRPr="00174881" w:rsidRDefault="00BD4C7F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545 000</w:t>
            </w:r>
          </w:p>
        </w:tc>
      </w:tr>
      <w:tr w:rsidR="00B908BD" w:rsidRPr="007D5748" w:rsidTr="00C55B49">
        <w:trPr>
          <w:trHeight w:val="428"/>
          <w:jc w:val="center"/>
        </w:trPr>
        <w:tc>
          <w:tcPr>
            <w:tcW w:w="4661" w:type="dxa"/>
            <w:noWrap/>
            <w:vAlign w:val="center"/>
          </w:tcPr>
          <w:p w:rsidR="00B908BD" w:rsidRDefault="00B908BD" w:rsidP="00B90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Kancelária verejného ochrancu práv</w:t>
            </w:r>
          </w:p>
          <w:p w:rsidR="00B908BD" w:rsidRDefault="00C1685A" w:rsidP="00B90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Úrad</w:t>
            </w:r>
            <w:r w:rsidR="00B908B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komisára </w:t>
            </w:r>
            <w:r w:rsidR="005C6D8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 osoby so </w:t>
            </w:r>
            <w:proofErr w:type="spellStart"/>
            <w:r w:rsidR="005C6D8B">
              <w:rPr>
                <w:rFonts w:ascii="Times New Roman" w:hAnsi="Times New Roman"/>
                <w:sz w:val="24"/>
                <w:szCs w:val="24"/>
                <w:lang w:eastAsia="sk-SK"/>
              </w:rPr>
              <w:t>zd</w:t>
            </w:r>
            <w:proofErr w:type="spellEnd"/>
            <w:r w:rsidR="005C6D8B">
              <w:rPr>
                <w:rFonts w:ascii="Times New Roman" w:hAnsi="Times New Roman"/>
                <w:sz w:val="24"/>
                <w:szCs w:val="24"/>
                <w:lang w:eastAsia="sk-SK"/>
              </w:rPr>
              <w:t>.. postihnutím</w:t>
            </w:r>
          </w:p>
          <w:p w:rsidR="00B908BD" w:rsidRDefault="00C1685A" w:rsidP="00C1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Úrad komisára </w:t>
            </w:r>
            <w:r w:rsidR="00B908BD">
              <w:rPr>
                <w:rFonts w:ascii="Times New Roman" w:hAnsi="Times New Roman"/>
                <w:sz w:val="24"/>
                <w:szCs w:val="24"/>
                <w:lang w:eastAsia="sk-SK"/>
              </w:rPr>
              <w:t>pre deti</w:t>
            </w:r>
          </w:p>
        </w:tc>
        <w:tc>
          <w:tcPr>
            <w:tcW w:w="1267" w:type="dxa"/>
            <w:noWrap/>
            <w:vAlign w:val="center"/>
          </w:tcPr>
          <w:p w:rsidR="00B908BD" w:rsidRDefault="00B908BD" w:rsidP="00B908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B908BD" w:rsidRDefault="00B908BD" w:rsidP="00B908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B908BD" w:rsidRPr="002E5CFF" w:rsidRDefault="00B908BD" w:rsidP="00B908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908BD" w:rsidRDefault="00BD4C7F" w:rsidP="00B908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246 000</w:t>
            </w:r>
          </w:p>
          <w:p w:rsidR="00B908BD" w:rsidRDefault="00BD4C7F" w:rsidP="00B908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241 000</w:t>
            </w:r>
          </w:p>
          <w:p w:rsidR="00B908BD" w:rsidRPr="002E5CFF" w:rsidRDefault="00BD4C7F" w:rsidP="00B908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108 000</w:t>
            </w:r>
          </w:p>
        </w:tc>
        <w:tc>
          <w:tcPr>
            <w:tcW w:w="1267" w:type="dxa"/>
            <w:noWrap/>
            <w:vAlign w:val="center"/>
          </w:tcPr>
          <w:p w:rsidR="00B908BD" w:rsidRDefault="00BD4C7F" w:rsidP="00B908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230 000</w:t>
            </w:r>
          </w:p>
          <w:p w:rsidR="00B908BD" w:rsidRDefault="00BD4C7F" w:rsidP="00B908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210 000</w:t>
            </w:r>
          </w:p>
          <w:p w:rsidR="00B908BD" w:rsidRPr="002E5CFF" w:rsidRDefault="00BD4C7F" w:rsidP="00B908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105 000</w:t>
            </w:r>
          </w:p>
        </w:tc>
        <w:tc>
          <w:tcPr>
            <w:tcW w:w="1267" w:type="dxa"/>
            <w:noWrap/>
            <w:vAlign w:val="center"/>
          </w:tcPr>
          <w:p w:rsidR="00BD4C7F" w:rsidRDefault="00BD4C7F" w:rsidP="00BD4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230 000</w:t>
            </w:r>
          </w:p>
          <w:p w:rsidR="00BD4C7F" w:rsidRDefault="00BD4C7F" w:rsidP="00BD4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210 000</w:t>
            </w:r>
          </w:p>
          <w:p w:rsidR="00B908BD" w:rsidRPr="002E5CFF" w:rsidRDefault="00BD4C7F" w:rsidP="00BD4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105 000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C55B49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5B49" w:rsidRPr="006B04A1" w:rsidRDefault="00C55B49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C55B49" w:rsidRPr="00B908BD" w:rsidRDefault="00C55B49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5B49" w:rsidRPr="00B908BD" w:rsidRDefault="00BD4C7F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595 000</w:t>
            </w:r>
          </w:p>
        </w:tc>
        <w:tc>
          <w:tcPr>
            <w:tcW w:w="1267" w:type="dxa"/>
            <w:noWrap/>
            <w:vAlign w:val="center"/>
          </w:tcPr>
          <w:p w:rsidR="00C55B49" w:rsidRPr="00B908BD" w:rsidRDefault="00BD4C7F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545 000</w:t>
            </w:r>
          </w:p>
        </w:tc>
        <w:tc>
          <w:tcPr>
            <w:tcW w:w="1267" w:type="dxa"/>
            <w:noWrap/>
            <w:vAlign w:val="center"/>
          </w:tcPr>
          <w:p w:rsidR="00C55B49" w:rsidRPr="00B908BD" w:rsidRDefault="00BD4C7F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545 000</w:t>
            </w:r>
          </w:p>
        </w:tc>
      </w:tr>
      <w:tr w:rsidR="00C55B49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5B49" w:rsidRPr="006B04A1" w:rsidRDefault="00C55B49" w:rsidP="00C55B49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5B49" w:rsidRPr="00B908BD" w:rsidRDefault="00C55B49" w:rsidP="00C55B4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5B49" w:rsidRPr="00B908BD" w:rsidRDefault="00BD4C7F" w:rsidP="00C55B4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595 000</w:t>
            </w:r>
          </w:p>
        </w:tc>
        <w:tc>
          <w:tcPr>
            <w:tcW w:w="1267" w:type="dxa"/>
            <w:noWrap/>
            <w:vAlign w:val="center"/>
          </w:tcPr>
          <w:p w:rsidR="00C55B49" w:rsidRPr="00B908BD" w:rsidRDefault="00BD4C7F" w:rsidP="00C55B4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545 000</w:t>
            </w:r>
          </w:p>
        </w:tc>
        <w:tc>
          <w:tcPr>
            <w:tcW w:w="1267" w:type="dxa"/>
            <w:noWrap/>
            <w:vAlign w:val="center"/>
          </w:tcPr>
          <w:p w:rsidR="00C55B49" w:rsidRPr="00B908BD" w:rsidRDefault="00BD4C7F" w:rsidP="00C55B4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545 000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15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174881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908BD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90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152A" w:rsidRPr="007D5748" w:rsidTr="00C55B49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EF152A" w:rsidRPr="006B04A1" w:rsidRDefault="00EF152A" w:rsidP="00EF1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F152A" w:rsidRPr="00174881" w:rsidRDefault="00EF152A" w:rsidP="00EF15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F152A" w:rsidRPr="00174881" w:rsidRDefault="00EF152A" w:rsidP="00EF15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327 420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F152A" w:rsidRPr="00174881" w:rsidRDefault="00EF152A" w:rsidP="00EF15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327 420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F152A" w:rsidRPr="00174881" w:rsidRDefault="00EF152A" w:rsidP="00EF15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327 420</w:t>
            </w:r>
          </w:p>
        </w:tc>
      </w:tr>
      <w:tr w:rsidR="00EF152A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F152A" w:rsidRPr="006B04A1" w:rsidRDefault="00EF152A" w:rsidP="00EF15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EF152A" w:rsidRPr="00BD4C7F" w:rsidRDefault="00EF152A" w:rsidP="00EF15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F152A" w:rsidRPr="00BD4C7F" w:rsidRDefault="00EF152A" w:rsidP="00EF15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327 420</w:t>
            </w:r>
          </w:p>
        </w:tc>
        <w:tc>
          <w:tcPr>
            <w:tcW w:w="1267" w:type="dxa"/>
            <w:noWrap/>
            <w:vAlign w:val="center"/>
          </w:tcPr>
          <w:p w:rsidR="00EF152A" w:rsidRPr="00BD4C7F" w:rsidRDefault="00EF152A" w:rsidP="00EF15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327 420</w:t>
            </w:r>
          </w:p>
        </w:tc>
        <w:tc>
          <w:tcPr>
            <w:tcW w:w="1267" w:type="dxa"/>
            <w:noWrap/>
            <w:vAlign w:val="center"/>
          </w:tcPr>
          <w:p w:rsidR="00EF152A" w:rsidRPr="00BD4C7F" w:rsidRDefault="00EF152A" w:rsidP="00EF15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327 420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40F7" w:rsidRPr="00BD4C7F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D4C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840F7" w:rsidRPr="008B47BA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B47B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40F7" w:rsidRPr="008B47BA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B47B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40F7" w:rsidRPr="008B47BA" w:rsidRDefault="005C6D8B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595 000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40F7" w:rsidRPr="008B47BA" w:rsidRDefault="005C6D8B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545 000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40F7" w:rsidRPr="008B47BA" w:rsidRDefault="005C6D8B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545 000</w:t>
            </w:r>
          </w:p>
        </w:tc>
      </w:tr>
      <w:tr w:rsidR="00BD4C7F" w:rsidRPr="007D5748" w:rsidTr="005C6D8B">
        <w:trPr>
          <w:trHeight w:val="405"/>
          <w:jc w:val="center"/>
        </w:trPr>
        <w:tc>
          <w:tcPr>
            <w:tcW w:w="4661" w:type="dxa"/>
            <w:noWrap/>
            <w:vAlign w:val="center"/>
          </w:tcPr>
          <w:p w:rsidR="00BD4C7F" w:rsidRPr="008B47BA" w:rsidRDefault="0059157E" w:rsidP="00BD4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Všeobecná </w:t>
            </w:r>
            <w:r w:rsidR="005C6D8B">
              <w:rPr>
                <w:rFonts w:ascii="Times New Roman" w:hAnsi="Times New Roman"/>
                <w:sz w:val="24"/>
                <w:szCs w:val="24"/>
                <w:lang w:eastAsia="sk-SK"/>
              </w:rPr>
              <w:t>pokladničná správa</w:t>
            </w:r>
          </w:p>
        </w:tc>
        <w:tc>
          <w:tcPr>
            <w:tcW w:w="1267" w:type="dxa"/>
            <w:noWrap/>
            <w:vAlign w:val="center"/>
          </w:tcPr>
          <w:p w:rsidR="00BD4C7F" w:rsidRPr="008B47BA" w:rsidRDefault="005C6D8B" w:rsidP="005C6D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D4C7F" w:rsidRPr="008B47BA" w:rsidRDefault="005C6D8B" w:rsidP="00BD4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595 000</w:t>
            </w:r>
          </w:p>
        </w:tc>
        <w:tc>
          <w:tcPr>
            <w:tcW w:w="1267" w:type="dxa"/>
            <w:noWrap/>
            <w:vAlign w:val="center"/>
          </w:tcPr>
          <w:p w:rsidR="00BD4C7F" w:rsidRPr="008B47BA" w:rsidRDefault="005C6D8B" w:rsidP="005C6D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C6D8B">
              <w:rPr>
                <w:rFonts w:ascii="Times New Roman" w:hAnsi="Times New Roman"/>
                <w:sz w:val="24"/>
                <w:szCs w:val="24"/>
                <w:lang w:eastAsia="sk-SK"/>
              </w:rPr>
              <w:t>545 000</w:t>
            </w:r>
          </w:p>
        </w:tc>
        <w:tc>
          <w:tcPr>
            <w:tcW w:w="1267" w:type="dxa"/>
            <w:noWrap/>
            <w:vAlign w:val="center"/>
          </w:tcPr>
          <w:p w:rsidR="00BD4C7F" w:rsidRPr="008B47BA" w:rsidRDefault="005C6D8B" w:rsidP="00BD4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C6D8B">
              <w:rPr>
                <w:rFonts w:ascii="Times New Roman" w:hAnsi="Times New Roman"/>
                <w:sz w:val="24"/>
                <w:szCs w:val="24"/>
                <w:lang w:eastAsia="sk-SK"/>
              </w:rPr>
              <w:t>545 000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840F7" w:rsidRPr="007D5748" w:rsidTr="00C55B49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9840F7" w:rsidRPr="006B04A1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40F7" w:rsidRPr="00174881" w:rsidRDefault="009840F7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7488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40F7" w:rsidRPr="00174881" w:rsidRDefault="005C6D8B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40F7" w:rsidRPr="00174881" w:rsidRDefault="005C6D8B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40F7" w:rsidRPr="00174881" w:rsidRDefault="005C6D8B" w:rsidP="00C5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9840F7" w:rsidRDefault="009840F7" w:rsidP="0098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840F7" w:rsidRDefault="009840F7" w:rsidP="00C55B49">
      <w:pPr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9840F7" w:rsidRPr="007D5748" w:rsidRDefault="009840F7" w:rsidP="0098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9840F7" w:rsidRPr="007D5748" w:rsidRDefault="009840F7" w:rsidP="009840F7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9840F7" w:rsidRPr="004C7B9A" w:rsidRDefault="009840F7" w:rsidP="009840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4C7B9A">
        <w:rPr>
          <w:rFonts w:ascii="Times New Roman" w:hAnsi="Times New Roman"/>
          <w:bCs/>
          <w:sz w:val="24"/>
          <w:szCs w:val="24"/>
          <w:lang w:eastAsia="sk-SK"/>
        </w:rPr>
        <w:t xml:space="preserve">Navýšenie </w:t>
      </w:r>
      <w:r w:rsidR="008579CD">
        <w:rPr>
          <w:rFonts w:ascii="Times New Roman" w:hAnsi="Times New Roman"/>
          <w:bCs/>
          <w:sz w:val="24"/>
          <w:szCs w:val="24"/>
          <w:lang w:eastAsia="sk-SK"/>
        </w:rPr>
        <w:t xml:space="preserve">záväzných ukazovateľov - </w:t>
      </w:r>
      <w:r w:rsidRPr="004C7B9A">
        <w:rPr>
          <w:rFonts w:ascii="Times New Roman" w:hAnsi="Times New Roman"/>
          <w:bCs/>
          <w:sz w:val="24"/>
          <w:szCs w:val="24"/>
          <w:lang w:eastAsia="sk-SK"/>
        </w:rPr>
        <w:t>limitu výdavkov</w:t>
      </w:r>
      <w:r w:rsidR="00B06278">
        <w:rPr>
          <w:rFonts w:ascii="Times New Roman" w:hAnsi="Times New Roman"/>
          <w:bCs/>
          <w:sz w:val="24"/>
          <w:szCs w:val="24"/>
          <w:lang w:eastAsia="sk-SK"/>
        </w:rPr>
        <w:t xml:space="preserve"> štátneho rozpočtu</w:t>
      </w:r>
      <w:r w:rsidRPr="004C7B9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B06278">
        <w:rPr>
          <w:rFonts w:ascii="Times New Roman" w:hAnsi="Times New Roman"/>
          <w:bCs/>
          <w:sz w:val="24"/>
          <w:szCs w:val="24"/>
          <w:lang w:eastAsia="sk-SK"/>
        </w:rPr>
        <w:t xml:space="preserve">v </w:t>
      </w:r>
      <w:r w:rsidR="008579CD">
        <w:rPr>
          <w:rFonts w:ascii="Times New Roman" w:hAnsi="Times New Roman"/>
          <w:bCs/>
          <w:sz w:val="24"/>
          <w:szCs w:val="24"/>
          <w:lang w:eastAsia="sk-SK"/>
        </w:rPr>
        <w:t xml:space="preserve">jednotlivých </w:t>
      </w:r>
      <w:r w:rsidR="00B06278">
        <w:rPr>
          <w:rFonts w:ascii="Times New Roman" w:hAnsi="Times New Roman"/>
          <w:bCs/>
          <w:sz w:val="24"/>
          <w:szCs w:val="24"/>
          <w:lang w:eastAsia="sk-SK"/>
        </w:rPr>
        <w:t>organizáciách</w:t>
      </w:r>
      <w:r w:rsidRPr="004C7B9A">
        <w:rPr>
          <w:rFonts w:ascii="Times New Roman" w:hAnsi="Times New Roman"/>
          <w:bCs/>
          <w:sz w:val="24"/>
          <w:szCs w:val="24"/>
          <w:lang w:eastAsia="sk-SK"/>
        </w:rPr>
        <w:t xml:space="preserve"> v príslušných rokoch.</w:t>
      </w:r>
    </w:p>
    <w:p w:rsidR="009840F7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840F7" w:rsidRPr="007D5748" w:rsidRDefault="009840F7" w:rsidP="0098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9840F7" w:rsidRPr="007D5748" w:rsidRDefault="009840F7" w:rsidP="0098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840F7" w:rsidRDefault="008579CD" w:rsidP="00984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Ide o návrh zmeny</w:t>
      </w:r>
      <w:r w:rsidRPr="005D29B2">
        <w:rPr>
          <w:rFonts w:ascii="Times New Roman" w:hAnsi="Times New Roman"/>
          <w:sz w:val="24"/>
          <w:szCs w:val="24"/>
          <w:lang w:eastAsia="sk-SK"/>
        </w:rPr>
        <w:t xml:space="preserve"> zákon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5D29B2">
        <w:rPr>
          <w:rFonts w:ascii="Times New Roman" w:hAnsi="Times New Roman"/>
          <w:sz w:val="24"/>
          <w:szCs w:val="24"/>
          <w:lang w:eastAsia="sk-SK"/>
        </w:rPr>
        <w:t xml:space="preserve"> o verejnom ochrancovi práv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C1685A">
        <w:rPr>
          <w:rFonts w:ascii="Times New Roman" w:hAnsi="Times New Roman"/>
          <w:sz w:val="24"/>
          <w:szCs w:val="24"/>
          <w:lang w:eastAsia="sk-SK"/>
        </w:rPr>
        <w:t xml:space="preserve">a ktorým sa menia a dopĺňajú niektoré zákony </w:t>
      </w:r>
      <w:r>
        <w:rPr>
          <w:rFonts w:ascii="Times New Roman" w:hAnsi="Times New Roman"/>
          <w:sz w:val="24"/>
          <w:szCs w:val="24"/>
          <w:lang w:eastAsia="sk-SK"/>
        </w:rPr>
        <w:t>s </w:t>
      </w:r>
      <w:bookmarkStart w:id="1" w:name="_GoBack"/>
      <w:r>
        <w:rPr>
          <w:rFonts w:ascii="Times New Roman" w:hAnsi="Times New Roman"/>
          <w:sz w:val="24"/>
          <w:szCs w:val="24"/>
          <w:lang w:eastAsia="sk-SK"/>
        </w:rPr>
        <w:t>účinn</w:t>
      </w:r>
      <w:bookmarkEnd w:id="1"/>
      <w:r>
        <w:rPr>
          <w:rFonts w:ascii="Times New Roman" w:hAnsi="Times New Roman"/>
          <w:sz w:val="24"/>
          <w:szCs w:val="24"/>
          <w:lang w:eastAsia="sk-SK"/>
        </w:rPr>
        <w:t>osťou od 1.</w:t>
      </w:r>
      <w:r w:rsidR="006D0179">
        <w:rPr>
          <w:rFonts w:ascii="Times New Roman" w:hAnsi="Times New Roman"/>
          <w:sz w:val="24"/>
          <w:szCs w:val="24"/>
          <w:lang w:eastAsia="sk-SK"/>
        </w:rPr>
        <w:t>5</w:t>
      </w:r>
      <w:r w:rsidRPr="005D29B2">
        <w:rPr>
          <w:rFonts w:ascii="Times New Roman" w:hAnsi="Times New Roman"/>
          <w:sz w:val="24"/>
          <w:szCs w:val="24"/>
          <w:lang w:eastAsia="sk-SK"/>
        </w:rPr>
        <w:t>.202</w:t>
      </w:r>
      <w:r>
        <w:rPr>
          <w:rFonts w:ascii="Times New Roman" w:hAnsi="Times New Roman"/>
          <w:sz w:val="24"/>
          <w:szCs w:val="24"/>
          <w:lang w:eastAsia="sk-SK"/>
        </w:rPr>
        <w:t>3</w:t>
      </w:r>
      <w:r w:rsidRPr="005D29B2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840F7">
        <w:rPr>
          <w:rFonts w:ascii="Times New Roman" w:hAnsi="Times New Roman"/>
          <w:sz w:val="24"/>
          <w:szCs w:val="24"/>
          <w:lang w:eastAsia="sk-SK"/>
        </w:rPr>
        <w:t xml:space="preserve">Návrh rieši problematiku vytvorenia </w:t>
      </w:r>
      <w:r w:rsidR="00C1685A">
        <w:rPr>
          <w:rFonts w:ascii="Times New Roman" w:hAnsi="Times New Roman"/>
          <w:sz w:val="24"/>
          <w:szCs w:val="24"/>
          <w:lang w:eastAsia="sk-SK"/>
        </w:rPr>
        <w:t xml:space="preserve">národného </w:t>
      </w:r>
      <w:r w:rsidR="009840F7">
        <w:rPr>
          <w:rFonts w:ascii="Times New Roman" w:hAnsi="Times New Roman"/>
          <w:sz w:val="24"/>
          <w:szCs w:val="24"/>
          <w:lang w:eastAsia="sk-SK"/>
        </w:rPr>
        <w:t>preventívneho mechanizmu (ďalej len „NPM“), ktorého primárnou úlohou je vykonávať preventívne systematické návštevy miest, kde sa nachádzajú alebo sa môžu nachádzať osoby obmedzené na osobnej slobode s cieľom posilniť ochranu týchto osôb, zlepšiť zaobchádzanie s nimi a podmienky, v ktorých tieto osoby žijú. Povinnosť zriadiť NPM vyplýva z Opčného protokolu k Dohovoru OSN proti mučeniu a inému krutému, neľudskému alebo ponižujúcemu zaobchádzaniu alebo trestaniu (OP-CAT)</w:t>
      </w:r>
      <w:r w:rsidR="009840F7" w:rsidRPr="007D5748">
        <w:rPr>
          <w:rFonts w:ascii="Times New Roman" w:hAnsi="Times New Roman"/>
          <w:sz w:val="24"/>
          <w:szCs w:val="24"/>
          <w:lang w:eastAsia="sk-SK"/>
        </w:rPr>
        <w:t>.</w:t>
      </w:r>
      <w:r w:rsidR="009840F7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9840F7" w:rsidRDefault="009840F7" w:rsidP="00984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79CD" w:rsidRDefault="009840F7" w:rsidP="00984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NPM </w:t>
      </w:r>
      <w:r w:rsidR="008579CD">
        <w:rPr>
          <w:rFonts w:ascii="Times New Roman" w:hAnsi="Times New Roman"/>
          <w:sz w:val="24"/>
          <w:szCs w:val="24"/>
          <w:lang w:eastAsia="sk-SK"/>
        </w:rPr>
        <w:t xml:space="preserve">bude vykonávať Kancelária verejného ochrancu práv, </w:t>
      </w:r>
      <w:r w:rsidR="00C1685A">
        <w:rPr>
          <w:rFonts w:ascii="Times New Roman" w:hAnsi="Times New Roman"/>
          <w:sz w:val="24"/>
          <w:szCs w:val="24"/>
          <w:lang w:eastAsia="sk-SK"/>
        </w:rPr>
        <w:t xml:space="preserve">Úrad </w:t>
      </w:r>
      <w:r w:rsidR="008579CD">
        <w:rPr>
          <w:rFonts w:ascii="Times New Roman" w:hAnsi="Times New Roman"/>
          <w:sz w:val="24"/>
          <w:szCs w:val="24"/>
          <w:lang w:eastAsia="sk-SK"/>
        </w:rPr>
        <w:t>komisár</w:t>
      </w:r>
      <w:r w:rsidR="00C1685A">
        <w:rPr>
          <w:rFonts w:ascii="Times New Roman" w:hAnsi="Times New Roman"/>
          <w:sz w:val="24"/>
          <w:szCs w:val="24"/>
          <w:lang w:eastAsia="sk-SK"/>
        </w:rPr>
        <w:t>a</w:t>
      </w:r>
      <w:r w:rsidR="008579CD">
        <w:rPr>
          <w:rFonts w:ascii="Times New Roman" w:hAnsi="Times New Roman"/>
          <w:sz w:val="24"/>
          <w:szCs w:val="24"/>
          <w:lang w:eastAsia="sk-SK"/>
        </w:rPr>
        <w:t xml:space="preserve"> pre osoby so zdravotným postihnutím a </w:t>
      </w:r>
      <w:r w:rsidR="00C1685A">
        <w:rPr>
          <w:rFonts w:ascii="Times New Roman" w:hAnsi="Times New Roman"/>
          <w:sz w:val="24"/>
          <w:szCs w:val="24"/>
          <w:lang w:eastAsia="sk-SK"/>
        </w:rPr>
        <w:t xml:space="preserve">Úrad komisára </w:t>
      </w:r>
      <w:r w:rsidR="008579CD">
        <w:rPr>
          <w:rFonts w:ascii="Times New Roman" w:hAnsi="Times New Roman"/>
          <w:sz w:val="24"/>
          <w:szCs w:val="24"/>
          <w:lang w:eastAsia="sk-SK"/>
        </w:rPr>
        <w:t>pre deti.</w:t>
      </w:r>
      <w:r w:rsidR="008579CD" w:rsidRPr="008579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579CD">
        <w:rPr>
          <w:rFonts w:ascii="Times New Roman" w:hAnsi="Times New Roman"/>
          <w:sz w:val="24"/>
          <w:szCs w:val="24"/>
          <w:lang w:eastAsia="sk-SK"/>
        </w:rPr>
        <w:t>Služby sa budú poskytovať na celoštátnej úrovni.</w:t>
      </w:r>
    </w:p>
    <w:p w:rsidR="009840F7" w:rsidRDefault="009840F7" w:rsidP="00984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840F7" w:rsidRDefault="009840F7" w:rsidP="00984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Návrh bude implementovať Ministerstvo spravodlivosti Slovenskej republiky.</w:t>
      </w:r>
    </w:p>
    <w:p w:rsidR="009840F7" w:rsidRDefault="009840F7" w:rsidP="00984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x 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9840F7" w:rsidRPr="007D5748" w:rsidRDefault="009840F7" w:rsidP="009840F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840F7" w:rsidRPr="007D5748" w:rsidRDefault="009840F7" w:rsidP="009840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9840F7" w:rsidRPr="007D5748" w:rsidRDefault="009840F7" w:rsidP="009840F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9840F7" w:rsidRPr="007D5748" w:rsidTr="00C55B49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9840F7" w:rsidRPr="007D5748" w:rsidTr="00C55B49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9840F7" w:rsidRPr="007D5748" w:rsidTr="00C55B49">
        <w:trPr>
          <w:trHeight w:val="70"/>
        </w:trPr>
        <w:tc>
          <w:tcPr>
            <w:tcW w:w="4530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40F7" w:rsidRPr="007D5748" w:rsidTr="00C55B49">
        <w:trPr>
          <w:trHeight w:val="70"/>
        </w:trPr>
        <w:tc>
          <w:tcPr>
            <w:tcW w:w="4530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40F7" w:rsidRPr="007D5748" w:rsidTr="00C55B49">
        <w:trPr>
          <w:trHeight w:val="70"/>
        </w:trPr>
        <w:tc>
          <w:tcPr>
            <w:tcW w:w="4530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40F7" w:rsidRPr="007D5748" w:rsidRDefault="009840F7" w:rsidP="00C55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9840F7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840F7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840F7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840F7" w:rsidRDefault="009840F7" w:rsidP="009840F7">
      <w:pPr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9840F7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2.2.4. Výpočty vplyvov na verejné financie</w:t>
      </w:r>
    </w:p>
    <w:p w:rsidR="009840F7" w:rsidRDefault="009840F7" w:rsidP="009840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840F7" w:rsidRPr="00DF675E" w:rsidRDefault="009840F7" w:rsidP="00984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F675E">
        <w:rPr>
          <w:rFonts w:ascii="Times New Roman" w:hAnsi="Times New Roman"/>
          <w:sz w:val="24"/>
          <w:szCs w:val="24"/>
          <w:lang w:eastAsia="sk-SK"/>
        </w:rPr>
        <w:t xml:space="preserve">Návrh zákona má negatívny dopad na výdavky štátneho rozpočtu. Požadované zdroje sú určené </w:t>
      </w:r>
      <w:r w:rsidR="009513B0">
        <w:rPr>
          <w:rFonts w:ascii="Times New Roman" w:hAnsi="Times New Roman"/>
          <w:sz w:val="24"/>
          <w:szCs w:val="24"/>
          <w:lang w:eastAsia="sk-SK"/>
        </w:rPr>
        <w:t xml:space="preserve">predovšetkým </w:t>
      </w:r>
      <w:r w:rsidRPr="00DF675E">
        <w:rPr>
          <w:rFonts w:ascii="Times New Roman" w:hAnsi="Times New Roman"/>
          <w:sz w:val="24"/>
          <w:szCs w:val="24"/>
          <w:lang w:eastAsia="sk-SK"/>
        </w:rPr>
        <w:t xml:space="preserve">na zvýšenie počtu </w:t>
      </w:r>
      <w:r>
        <w:rPr>
          <w:rFonts w:ascii="Times New Roman" w:hAnsi="Times New Roman"/>
          <w:sz w:val="24"/>
          <w:szCs w:val="24"/>
          <w:lang w:eastAsia="sk-SK"/>
        </w:rPr>
        <w:t xml:space="preserve">zamestnancov </w:t>
      </w:r>
      <w:r w:rsidR="009513B0">
        <w:rPr>
          <w:rFonts w:ascii="Times New Roman" w:hAnsi="Times New Roman"/>
          <w:sz w:val="24"/>
          <w:szCs w:val="24"/>
          <w:lang w:eastAsia="sk-SK"/>
        </w:rPr>
        <w:t>rozpočtových organizácií</w:t>
      </w:r>
      <w:r>
        <w:rPr>
          <w:rFonts w:ascii="Times New Roman" w:hAnsi="Times New Roman"/>
          <w:sz w:val="24"/>
          <w:szCs w:val="24"/>
          <w:lang w:eastAsia="sk-SK"/>
        </w:rPr>
        <w:t xml:space="preserve">, ktorí budú zabezpečovať realizáciu novej služby </w:t>
      </w:r>
      <w:r>
        <w:rPr>
          <w:rFonts w:ascii="Times New Roman" w:hAnsi="Times New Roman"/>
          <w:sz w:val="24"/>
          <w:szCs w:val="24"/>
        </w:rPr>
        <w:t>NPM</w:t>
      </w:r>
      <w:r>
        <w:rPr>
          <w:rFonts w:ascii="Times New Roman" w:hAnsi="Times New Roman"/>
          <w:sz w:val="24"/>
          <w:szCs w:val="24"/>
          <w:lang w:eastAsia="sk-SK"/>
        </w:rPr>
        <w:t xml:space="preserve"> – </w:t>
      </w:r>
      <w:r>
        <w:rPr>
          <w:rFonts w:ascii="Times New Roman" w:hAnsi="Times New Roman"/>
          <w:sz w:val="24"/>
          <w:szCs w:val="24"/>
        </w:rPr>
        <w:t>agendy podľa čl. 19 OP-CAT a podľa odporúčania SPT (</w:t>
      </w:r>
      <w:proofErr w:type="spellStart"/>
      <w:r w:rsidRPr="007F19D1">
        <w:rPr>
          <w:rFonts w:ascii="Times New Roman" w:hAnsi="Times New Roman"/>
          <w:i/>
          <w:sz w:val="24"/>
          <w:szCs w:val="24"/>
        </w:rPr>
        <w:t>Subcommitee</w:t>
      </w:r>
      <w:proofErr w:type="spellEnd"/>
      <w:r w:rsidRPr="007F19D1">
        <w:rPr>
          <w:rFonts w:ascii="Times New Roman" w:hAnsi="Times New Roman"/>
          <w:i/>
          <w:sz w:val="24"/>
          <w:szCs w:val="24"/>
        </w:rPr>
        <w:t xml:space="preserve"> on </w:t>
      </w:r>
      <w:proofErr w:type="spellStart"/>
      <w:r w:rsidRPr="007F19D1">
        <w:rPr>
          <w:rFonts w:ascii="Times New Roman" w:hAnsi="Times New Roman"/>
          <w:i/>
          <w:sz w:val="24"/>
          <w:szCs w:val="24"/>
        </w:rPr>
        <w:t>Prevention</w:t>
      </w:r>
      <w:proofErr w:type="spellEnd"/>
      <w:r w:rsidRPr="007F19D1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7F19D1">
        <w:rPr>
          <w:rFonts w:ascii="Times New Roman" w:hAnsi="Times New Roman"/>
          <w:i/>
          <w:sz w:val="24"/>
          <w:szCs w:val="24"/>
        </w:rPr>
        <w:t>Torture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DF675E">
        <w:rPr>
          <w:rFonts w:ascii="Times New Roman" w:hAnsi="Times New Roman"/>
          <w:sz w:val="24"/>
          <w:szCs w:val="24"/>
          <w:lang w:eastAsia="sk-SK"/>
        </w:rPr>
        <w:t>a s tým súvisiace náklady v nevyhnutnom rozsahu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DF675E">
        <w:rPr>
          <w:rFonts w:ascii="Times New Roman" w:hAnsi="Times New Roman"/>
          <w:sz w:val="24"/>
          <w:szCs w:val="24"/>
          <w:lang w:eastAsia="sk-SK"/>
        </w:rPr>
        <w:t xml:space="preserve"> pričom sa súčasne </w:t>
      </w:r>
      <w:r w:rsidR="009F7626">
        <w:rPr>
          <w:rFonts w:ascii="Times New Roman" w:hAnsi="Times New Roman"/>
          <w:sz w:val="24"/>
          <w:szCs w:val="24"/>
          <w:lang w:eastAsia="sk-SK"/>
        </w:rPr>
        <w:t>uvažuje</w:t>
      </w:r>
      <w:r w:rsidRPr="00DF675E">
        <w:rPr>
          <w:rFonts w:ascii="Times New Roman" w:hAnsi="Times New Roman"/>
          <w:sz w:val="24"/>
          <w:szCs w:val="24"/>
          <w:lang w:eastAsia="sk-SK"/>
        </w:rPr>
        <w:t xml:space="preserve"> aj s využitím existujúceho personálneho a materiálno-technického zabezpečenia.</w:t>
      </w:r>
    </w:p>
    <w:p w:rsidR="009840F7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9F7626" w:rsidRDefault="009840F7" w:rsidP="00984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Zabezpečenie</w:t>
      </w:r>
      <w:r w:rsidRPr="003E53FE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novej agendy</w:t>
      </w:r>
      <w:r w:rsidRPr="003E53FE">
        <w:rPr>
          <w:rFonts w:ascii="Times New Roman" w:hAnsi="Times New Roman"/>
          <w:sz w:val="24"/>
          <w:szCs w:val="24"/>
          <w:lang w:eastAsia="sk-SK"/>
        </w:rPr>
        <w:t xml:space="preserve"> si vyžaduje</w:t>
      </w:r>
      <w:r>
        <w:rPr>
          <w:rFonts w:ascii="Times New Roman" w:hAnsi="Times New Roman"/>
          <w:sz w:val="24"/>
          <w:szCs w:val="24"/>
          <w:lang w:eastAsia="sk-SK"/>
        </w:rPr>
        <w:t xml:space="preserve">, aby bol celkový počet zamestnancov </w:t>
      </w:r>
      <w:r w:rsidR="009513B0">
        <w:rPr>
          <w:rFonts w:ascii="Times New Roman" w:hAnsi="Times New Roman"/>
          <w:sz w:val="24"/>
          <w:szCs w:val="24"/>
          <w:lang w:eastAsia="sk-SK"/>
        </w:rPr>
        <w:t xml:space="preserve">navýšený </w:t>
      </w:r>
      <w:r w:rsidR="009513B0">
        <w:rPr>
          <w:rFonts w:ascii="Times New Roman" w:hAnsi="Times New Roman"/>
          <w:sz w:val="24"/>
          <w:szCs w:val="24"/>
          <w:lang w:eastAsia="sk-SK"/>
        </w:rPr>
        <w:br/>
        <w:t xml:space="preserve">o 15 osôb, z toho pre Kanceláriu </w:t>
      </w:r>
      <w:r>
        <w:rPr>
          <w:rFonts w:ascii="Times New Roman" w:hAnsi="Times New Roman"/>
          <w:sz w:val="24"/>
          <w:szCs w:val="24"/>
          <w:lang w:eastAsia="sk-SK"/>
        </w:rPr>
        <w:t xml:space="preserve">verejného ochrancu práv </w:t>
      </w:r>
      <w:r w:rsidR="009513B0">
        <w:rPr>
          <w:rFonts w:ascii="Times New Roman" w:hAnsi="Times New Roman"/>
          <w:sz w:val="24"/>
          <w:szCs w:val="24"/>
          <w:lang w:eastAsia="sk-SK"/>
        </w:rPr>
        <w:t xml:space="preserve">6 osôb, pre </w:t>
      </w:r>
      <w:r w:rsidR="00C1685A">
        <w:rPr>
          <w:rFonts w:ascii="Times New Roman" w:hAnsi="Times New Roman"/>
          <w:sz w:val="24"/>
          <w:szCs w:val="24"/>
          <w:lang w:eastAsia="sk-SK"/>
        </w:rPr>
        <w:t xml:space="preserve">Úrad komisára </w:t>
      </w:r>
      <w:r w:rsidR="009513B0">
        <w:rPr>
          <w:rFonts w:ascii="Times New Roman" w:hAnsi="Times New Roman"/>
          <w:sz w:val="24"/>
          <w:szCs w:val="24"/>
          <w:lang w:eastAsia="sk-SK"/>
        </w:rPr>
        <w:t xml:space="preserve">pre osoby so zdravotným postihnutím 6 osôb a pre </w:t>
      </w:r>
      <w:r w:rsidR="00C1685A">
        <w:rPr>
          <w:rFonts w:ascii="Times New Roman" w:hAnsi="Times New Roman"/>
          <w:sz w:val="24"/>
          <w:szCs w:val="24"/>
          <w:lang w:eastAsia="sk-SK"/>
        </w:rPr>
        <w:t xml:space="preserve">Úrad komisára </w:t>
      </w:r>
      <w:r w:rsidR="009513B0">
        <w:rPr>
          <w:rFonts w:ascii="Times New Roman" w:hAnsi="Times New Roman"/>
          <w:sz w:val="24"/>
          <w:szCs w:val="24"/>
          <w:lang w:eastAsia="sk-SK"/>
        </w:rPr>
        <w:t xml:space="preserve">pre deti 3 osoby. </w:t>
      </w:r>
      <w:r w:rsidR="009F7626">
        <w:rPr>
          <w:rFonts w:ascii="Times New Roman" w:hAnsi="Times New Roman"/>
          <w:sz w:val="24"/>
          <w:szCs w:val="24"/>
          <w:lang w:eastAsia="sk-SK"/>
        </w:rPr>
        <w:t xml:space="preserve">Gro výdavkov tvoria výdavky na mzdy, poistné </w:t>
      </w:r>
      <w:r w:rsidR="00EA76E5">
        <w:rPr>
          <w:rFonts w:ascii="Times New Roman" w:hAnsi="Times New Roman"/>
          <w:sz w:val="24"/>
          <w:szCs w:val="24"/>
          <w:lang w:eastAsia="sk-SK"/>
        </w:rPr>
        <w:t xml:space="preserve">odvody </w:t>
      </w:r>
      <w:r w:rsidR="009F7626">
        <w:rPr>
          <w:rFonts w:ascii="Times New Roman" w:hAnsi="Times New Roman"/>
          <w:sz w:val="24"/>
          <w:szCs w:val="24"/>
          <w:lang w:eastAsia="sk-SK"/>
        </w:rPr>
        <w:t xml:space="preserve">a transfery. </w:t>
      </w:r>
      <w:r w:rsidRPr="00A71C4F">
        <w:rPr>
          <w:rFonts w:ascii="Times New Roman" w:hAnsi="Times New Roman"/>
          <w:sz w:val="24"/>
          <w:szCs w:val="24"/>
          <w:lang w:eastAsia="sk-SK"/>
        </w:rPr>
        <w:t xml:space="preserve">Zriadenie nových pracovných miest si </w:t>
      </w:r>
      <w:r w:rsidR="00AC2436">
        <w:rPr>
          <w:rFonts w:ascii="Times New Roman" w:hAnsi="Times New Roman"/>
          <w:sz w:val="24"/>
          <w:szCs w:val="24"/>
          <w:lang w:eastAsia="sk-SK"/>
        </w:rPr>
        <w:t xml:space="preserve">však </w:t>
      </w:r>
      <w:r w:rsidR="009513B0">
        <w:rPr>
          <w:rFonts w:ascii="Times New Roman" w:hAnsi="Times New Roman"/>
          <w:sz w:val="24"/>
          <w:szCs w:val="24"/>
          <w:lang w:eastAsia="sk-SK"/>
        </w:rPr>
        <w:t>bude vyžadovať aj prevádzkové výdavky na zamestnancov</w:t>
      </w:r>
      <w:r w:rsidR="009F7626">
        <w:rPr>
          <w:rFonts w:ascii="Times New Roman" w:hAnsi="Times New Roman"/>
          <w:sz w:val="24"/>
          <w:szCs w:val="24"/>
          <w:lang w:eastAsia="sk-SK"/>
        </w:rPr>
        <w:t xml:space="preserve"> (stravovanie, tvorba sociálneho fondu, cestovné náhrady, školenia, telekomunikačné a poštové služby, kancelársky materiál a pod.) vrátane priestorového riešenia a zvýšených výdavkov na prevádzku priestorov (nájom, energie a pod.), pričom v prvom roku budú jednorazovo zvýšené o výdavky na prvotné materiálno-technické vybavenie novoprijatých zamestnancov</w:t>
      </w:r>
      <w:r w:rsidR="00AC2436">
        <w:rPr>
          <w:rFonts w:ascii="Times New Roman" w:hAnsi="Times New Roman"/>
          <w:sz w:val="24"/>
          <w:szCs w:val="24"/>
          <w:lang w:eastAsia="sk-SK"/>
        </w:rPr>
        <w:t xml:space="preserve"> (výpočtová a telekomunikačná technika, interiérové zariadenie)</w:t>
      </w:r>
      <w:r w:rsidR="009F7626">
        <w:rPr>
          <w:rFonts w:ascii="Times New Roman" w:hAnsi="Times New Roman"/>
          <w:sz w:val="24"/>
          <w:szCs w:val="24"/>
          <w:lang w:eastAsia="sk-SK"/>
        </w:rPr>
        <w:t>. Zároveň sa uvažuje čiastočne aj s výdavkami na služby nezávislých expertov.</w:t>
      </w:r>
      <w:r w:rsidR="005460DE">
        <w:rPr>
          <w:rFonts w:ascii="Times New Roman" w:hAnsi="Times New Roman"/>
          <w:sz w:val="24"/>
          <w:szCs w:val="24"/>
          <w:lang w:eastAsia="sk-SK"/>
        </w:rPr>
        <w:t xml:space="preserve"> Pre </w:t>
      </w:r>
      <w:r w:rsidR="00C1685A">
        <w:rPr>
          <w:rFonts w:ascii="Times New Roman" w:hAnsi="Times New Roman"/>
          <w:sz w:val="24"/>
          <w:szCs w:val="24"/>
          <w:lang w:eastAsia="sk-SK"/>
        </w:rPr>
        <w:t xml:space="preserve">Úrad komisára </w:t>
      </w:r>
      <w:r w:rsidR="005460DE">
        <w:rPr>
          <w:rFonts w:ascii="Times New Roman" w:hAnsi="Times New Roman"/>
          <w:sz w:val="24"/>
          <w:szCs w:val="24"/>
          <w:lang w:eastAsia="sk-SK"/>
        </w:rPr>
        <w:t>pre osoby so zdravotným postihnutím sa požaduje kúpa jedného motorového vozidla.</w:t>
      </w:r>
    </w:p>
    <w:p w:rsidR="009F7626" w:rsidRDefault="009F7626" w:rsidP="00984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840F7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9840F7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R="009840F7" w:rsidSect="00C55B49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9840F7" w:rsidRPr="007D5748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9840F7" w:rsidRPr="007D5748" w:rsidTr="00C55B49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653201" w:rsidRPr="007D5748" w:rsidTr="00C55B49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01" w:rsidRPr="007D5748" w:rsidRDefault="00653201" w:rsidP="0065320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3201" w:rsidRPr="007D5748" w:rsidRDefault="00653201" w:rsidP="00653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3201" w:rsidRPr="007D5748" w:rsidRDefault="00653201" w:rsidP="00653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3201" w:rsidRPr="007D5748" w:rsidRDefault="00653201" w:rsidP="00653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3201" w:rsidRPr="007D5748" w:rsidRDefault="00653201" w:rsidP="00653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01" w:rsidRPr="007D5748" w:rsidRDefault="00653201" w:rsidP="0065320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840F7" w:rsidRPr="007D5748" w:rsidTr="00C55B4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0F7" w:rsidRPr="007D5748" w:rsidTr="00C55B4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0F7" w:rsidRPr="007D5748" w:rsidTr="00C55B4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0F7" w:rsidRPr="007D5748" w:rsidTr="00C55B4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0F7" w:rsidRPr="007D5748" w:rsidTr="00C55B4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0F7" w:rsidRPr="007D5748" w:rsidTr="00C55B4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9840F7" w:rsidRPr="007D5748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9840F7" w:rsidRPr="007D5748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9840F7" w:rsidRPr="007D5748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55345A" w:rsidRDefault="0055345A" w:rsidP="0055345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55345A" w:rsidRPr="007D5748" w:rsidTr="00193BF6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45A" w:rsidRPr="007D5748" w:rsidRDefault="0055345A" w:rsidP="00193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– Kancelária verejného ochrancu práv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45A" w:rsidRPr="007D5748" w:rsidRDefault="0055345A" w:rsidP="00193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5345A" w:rsidRPr="007D5748" w:rsidRDefault="0055345A" w:rsidP="00193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55345A" w:rsidRPr="007D5748" w:rsidTr="00193BF6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45A" w:rsidRPr="00021154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45A" w:rsidRPr="00021154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45A" w:rsidRPr="00021154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45A" w:rsidRPr="00021154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246 000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230 000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9C9" w:rsidRPr="0077799A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9C9" w:rsidRPr="0077799A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130 970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9C9" w:rsidRPr="0077799A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130 970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9C9" w:rsidRPr="0077799A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130 970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9C9" w:rsidRPr="0077799A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9C9" w:rsidRPr="0077799A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45 780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9C9" w:rsidRPr="0077799A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45 780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9C9" w:rsidRPr="0077799A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45 780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C9" w:rsidRPr="00F36E6A" w:rsidRDefault="008409C9" w:rsidP="00840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631, 632, 633, 634, 636,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67 450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51 450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51 450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C9" w:rsidRPr="004F79F0" w:rsidRDefault="008409C9" w:rsidP="00840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- 642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1 800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C9" w:rsidRPr="00150CF0" w:rsidRDefault="008409C9" w:rsidP="00840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09C9" w:rsidRPr="007D5748" w:rsidTr="00193BF6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246 000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230 000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9C9" w:rsidRPr="007D5748" w:rsidRDefault="008409C9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230 000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409C9" w:rsidRPr="007D5748" w:rsidRDefault="008409C9" w:rsidP="0084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55345A" w:rsidRDefault="0055345A" w:rsidP="0055345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55345A" w:rsidRDefault="0055345A" w:rsidP="0055345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55345A" w:rsidRPr="007D5748" w:rsidTr="00193BF6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345A" w:rsidRPr="007D5748" w:rsidRDefault="0055345A" w:rsidP="00193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– Kancelária komisárky pre osoby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br/>
              <w:t>so zdravotným postihnutím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45A" w:rsidRPr="007D5748" w:rsidRDefault="0055345A" w:rsidP="00193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5345A" w:rsidRPr="007D5748" w:rsidRDefault="0055345A" w:rsidP="00193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23569D" w:rsidRPr="007D5748" w:rsidTr="00193BF6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021154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021154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021154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021154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21</w:t>
            </w:r>
            <w:r w:rsidR="008409C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0F6C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0F6CC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0F6C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0F6CC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130 970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130 970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130 970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45 780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45 780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45 780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F36E6A" w:rsidRDefault="0023569D" w:rsidP="000F6C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631, 632, 633, 634, 636,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840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  <w:r w:rsidR="008409C9">
              <w:rPr>
                <w:rFonts w:ascii="Times New Roman" w:hAnsi="Times New Roman"/>
                <w:sz w:val="20"/>
                <w:szCs w:val="20"/>
                <w:lang w:eastAsia="sk-SK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31</w:t>
            </w:r>
            <w:r w:rsidR="001B591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31</w:t>
            </w:r>
            <w:r w:rsidR="001B591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450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4F79F0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- 642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1 800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150CF0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- 714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193BF6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7D5748" w:rsidRDefault="001B5918" w:rsidP="0084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24</w:t>
            </w:r>
            <w:r w:rsidR="008409C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7D5748" w:rsidRDefault="001B5918" w:rsidP="000F6C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0F6CC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7D5748" w:rsidRDefault="001B5918" w:rsidP="000F6C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0F6CC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9840F7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9840F7" w:rsidRPr="007D5748" w:rsidTr="00C55B4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40F7" w:rsidRPr="007D5748" w:rsidRDefault="009840F7" w:rsidP="002A43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 w:rsidR="0055345A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– Kancelária komisár</w:t>
            </w:r>
            <w:r w:rsidR="002A431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a</w:t>
            </w:r>
            <w:r w:rsidR="0055345A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pre deti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23569D" w:rsidRPr="007D5748" w:rsidTr="00C55B4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021154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021154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021154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021154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65 480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65 480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65 480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1B5918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22 890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22 890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69D" w:rsidRPr="0077799A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22 890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F36E6A" w:rsidRDefault="0023569D" w:rsidP="000F6C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631, 632, 633, 634, 636,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18 730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15 730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15 730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4F79F0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- 642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1B5918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150CF0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3569D" w:rsidRPr="007D5748" w:rsidTr="00C55B4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7D5748" w:rsidRDefault="0023569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108 000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105 000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569D" w:rsidRPr="007D5748" w:rsidRDefault="000F6CCD" w:rsidP="002356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105 000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3569D" w:rsidRPr="007D5748" w:rsidRDefault="0023569D" w:rsidP="00235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9840F7" w:rsidRDefault="009840F7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55345A" w:rsidRDefault="0055345A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55345A" w:rsidRPr="007D5748" w:rsidRDefault="0055345A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9840F7" w:rsidRPr="007D5748" w:rsidRDefault="009840F7" w:rsidP="009840F7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5 </w:t>
      </w:r>
    </w:p>
    <w:p w:rsidR="00D5308A" w:rsidRDefault="00D5308A" w:rsidP="00D5308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D5308A" w:rsidRDefault="00D5308A" w:rsidP="00D5308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W w:w="15434" w:type="dxa"/>
        <w:tblInd w:w="-7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2095"/>
        <w:gridCol w:w="2045"/>
        <w:gridCol w:w="1620"/>
      </w:tblGrid>
      <w:tr w:rsidR="00D5308A" w:rsidRPr="007D5748" w:rsidTr="002F07B1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308A" w:rsidRPr="007D5748" w:rsidRDefault="00D5308A" w:rsidP="002F0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– Kancelária verejného ochrancu práv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308A" w:rsidRPr="007D5748" w:rsidRDefault="00D5308A" w:rsidP="002F0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5308A" w:rsidRPr="007D5748" w:rsidRDefault="00D5308A" w:rsidP="002F0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5714C" w:rsidRPr="007D5748" w:rsidTr="002F07B1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714C" w:rsidRPr="007D5748" w:rsidRDefault="00B5714C" w:rsidP="00B571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714C" w:rsidRPr="00253B6D" w:rsidRDefault="00B5714C" w:rsidP="00B57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714C" w:rsidRPr="00253B6D" w:rsidRDefault="00B5714C" w:rsidP="00B57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714C" w:rsidRPr="00253B6D" w:rsidRDefault="00B5714C" w:rsidP="00B57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714C" w:rsidRPr="00253B6D" w:rsidRDefault="00B5714C" w:rsidP="00B57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714C" w:rsidRPr="007D5748" w:rsidRDefault="00B5714C" w:rsidP="00B5714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590FB3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3" w:rsidRPr="007D5748" w:rsidRDefault="00590FB3" w:rsidP="00590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90FB3" w:rsidRPr="007850C0" w:rsidRDefault="00590FB3" w:rsidP="00590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590FB3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3" w:rsidRPr="007D5748" w:rsidRDefault="00590FB3" w:rsidP="00590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590FB3" w:rsidRPr="007D5748" w:rsidRDefault="00590FB3" w:rsidP="00590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90FB3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3" w:rsidRPr="007D5748" w:rsidRDefault="00590FB3" w:rsidP="00590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FB3" w:rsidRPr="00171F0B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1 819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FB3" w:rsidRPr="00171F0B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1 819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FB3" w:rsidRPr="00171F0B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1 819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590FB3" w:rsidRPr="007D5748" w:rsidRDefault="00590FB3" w:rsidP="00590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90FB3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3" w:rsidRPr="007D5748" w:rsidRDefault="00590FB3" w:rsidP="00590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FB3" w:rsidRPr="006D6CE9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FB3" w:rsidRPr="00171F0B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1F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FB3" w:rsidRPr="00171F0B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1F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FB3" w:rsidRPr="00171F0B" w:rsidRDefault="00590FB3" w:rsidP="00590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1F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819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FB3" w:rsidRPr="007D5748" w:rsidRDefault="00590FB3" w:rsidP="00590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176 750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176 750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176 750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CE787E" w:rsidRPr="007D5748" w:rsidRDefault="00CE787E" w:rsidP="00CE78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5308A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D5308A" w:rsidRDefault="00D5308A" w:rsidP="00D5308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D5308A" w:rsidRDefault="00D5308A" w:rsidP="00D5308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W w:w="15434" w:type="dxa"/>
        <w:tblInd w:w="-7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2095"/>
        <w:gridCol w:w="2045"/>
        <w:gridCol w:w="1620"/>
      </w:tblGrid>
      <w:tr w:rsidR="00D5308A" w:rsidRPr="007D5748" w:rsidTr="002F07B1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308A" w:rsidRPr="007D5748" w:rsidRDefault="00D5308A" w:rsidP="002F0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–</w:t>
            </w:r>
            <w:r w:rsidR="00590FB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Kancelária </w:t>
            </w:r>
            <w:r w:rsidR="00EB23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komisárky pre osoby </w:t>
            </w:r>
            <w:r w:rsidR="00972DB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="00EB23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so zdravotným postihnutím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308A" w:rsidRPr="007D5748" w:rsidRDefault="00D5308A" w:rsidP="002F0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5308A" w:rsidRPr="007D5748" w:rsidRDefault="00D5308A" w:rsidP="002F0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CE787E" w:rsidRPr="007D5748" w:rsidTr="002F07B1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87E" w:rsidRPr="00253B6D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87E" w:rsidRPr="00253B6D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87E" w:rsidRPr="00253B6D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87E" w:rsidRPr="00253B6D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CE787E" w:rsidRPr="007850C0" w:rsidRDefault="00CE787E" w:rsidP="00CE7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87E" w:rsidRPr="00171F0B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1 819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87E" w:rsidRPr="00171F0B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1 819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87E" w:rsidRPr="00171F0B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1 819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87E" w:rsidRPr="00171F0B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1F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87E" w:rsidRPr="00171F0B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1F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87E" w:rsidRPr="00171F0B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1F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819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176 750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176 750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176 750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CE787E" w:rsidRPr="007D5748" w:rsidRDefault="00CE787E" w:rsidP="00CE78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130 970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E787E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87E" w:rsidRPr="006D6CE9" w:rsidRDefault="00CE787E" w:rsidP="00CE7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45 780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87E" w:rsidRPr="007D5748" w:rsidRDefault="00CE787E" w:rsidP="00CE7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5308A" w:rsidRPr="007D5748" w:rsidTr="002F07B1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308A" w:rsidRPr="007D5748" w:rsidRDefault="00D5308A" w:rsidP="002F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D5308A" w:rsidRDefault="00D5308A" w:rsidP="009840F7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W w:w="15434" w:type="dxa"/>
        <w:tblInd w:w="-7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375"/>
        <w:gridCol w:w="323"/>
        <w:gridCol w:w="1722"/>
        <w:gridCol w:w="630"/>
        <w:gridCol w:w="990"/>
      </w:tblGrid>
      <w:tr w:rsidR="009840F7" w:rsidRPr="007D5748" w:rsidTr="00C55B4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40F7" w:rsidRPr="007D5748" w:rsidRDefault="009840F7" w:rsidP="002A43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 w:rsidR="00972DB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– Kancelária komisár</w:t>
            </w:r>
            <w:r w:rsidR="002A431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</w:t>
            </w:r>
            <w:r w:rsidR="00972DB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pre deti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840F7" w:rsidRPr="007D5748" w:rsidRDefault="009840F7" w:rsidP="00C5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AD469E" w:rsidRPr="007D5748" w:rsidTr="00C55B4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469E" w:rsidRPr="007D5748" w:rsidRDefault="00AD469E" w:rsidP="00AD46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469E" w:rsidRPr="00253B6D" w:rsidRDefault="00AD469E" w:rsidP="00AD46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469E" w:rsidRPr="00253B6D" w:rsidRDefault="00AD469E" w:rsidP="00AD46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469E" w:rsidRPr="00253B6D" w:rsidRDefault="00AD469E" w:rsidP="00AD46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469E" w:rsidRPr="00253B6D" w:rsidRDefault="00AD469E" w:rsidP="00AD46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469E" w:rsidRPr="007D5748" w:rsidRDefault="00AD469E" w:rsidP="00AD469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55345A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5345A" w:rsidRPr="007850C0" w:rsidRDefault="0055345A" w:rsidP="00553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55345A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5345A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5A" w:rsidRPr="00171F0B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1 819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5A" w:rsidRPr="00171F0B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1 819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5A" w:rsidRPr="00171F0B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1 819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5345A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5A" w:rsidRPr="00171F0B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1F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819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5A" w:rsidRPr="00171F0B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1F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819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5A" w:rsidRPr="00171F0B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71F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819</w:t>
            </w: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5345A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88 370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88 370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88 370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55345A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65 480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65 480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65 480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5345A" w:rsidRPr="007D5748" w:rsidRDefault="0055345A" w:rsidP="005534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5345A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65 480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65 480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65 480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5345A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22 890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22 890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22 890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5345A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22 890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22 890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45A" w:rsidRPr="006D6CE9" w:rsidRDefault="0055345A" w:rsidP="00553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22 890</w:t>
            </w: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45A" w:rsidRPr="007D5748" w:rsidRDefault="0055345A" w:rsidP="0055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9840F7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9840F7" w:rsidRPr="007D5748" w:rsidTr="00C55B4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9840F7" w:rsidRPr="007D5748" w:rsidTr="00C55B49">
        <w:trPr>
          <w:trHeight w:val="255"/>
        </w:trPr>
        <w:tc>
          <w:tcPr>
            <w:tcW w:w="138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9840F7" w:rsidRPr="007D5748" w:rsidRDefault="009840F7" w:rsidP="00C55B4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9840F7" w:rsidRPr="007D5748" w:rsidTr="00C55B4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0F7" w:rsidRPr="007D5748" w:rsidRDefault="009840F7" w:rsidP="00C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9840F7" w:rsidRPr="005D5D87" w:rsidRDefault="009840F7" w:rsidP="009840F7">
      <w:pPr>
        <w:spacing w:after="0" w:line="240" w:lineRule="auto"/>
        <w:jc w:val="center"/>
      </w:pPr>
    </w:p>
    <w:p w:rsidR="00C55B49" w:rsidRDefault="00C55B49"/>
    <w:sectPr w:rsidR="00C55B49" w:rsidSect="00C55B4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6C" w:rsidRDefault="00A5506C">
      <w:pPr>
        <w:spacing w:after="0" w:line="240" w:lineRule="auto"/>
      </w:pPr>
      <w:r>
        <w:separator/>
      </w:r>
    </w:p>
  </w:endnote>
  <w:endnote w:type="continuationSeparator" w:id="0">
    <w:p w:rsidR="00A5506C" w:rsidRDefault="00A5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7E" w:rsidRDefault="0059157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59157E" w:rsidRDefault="0059157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7E" w:rsidRDefault="0059157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D0179">
      <w:rPr>
        <w:noProof/>
      </w:rPr>
      <w:t>8</w:t>
    </w:r>
    <w:r>
      <w:fldChar w:fldCharType="end"/>
    </w:r>
  </w:p>
  <w:p w:rsidR="0059157E" w:rsidRDefault="0059157E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7E" w:rsidRDefault="0059157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59157E" w:rsidRDefault="0059157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6C" w:rsidRDefault="00A5506C">
      <w:pPr>
        <w:spacing w:after="0" w:line="240" w:lineRule="auto"/>
      </w:pPr>
      <w:r>
        <w:separator/>
      </w:r>
    </w:p>
  </w:footnote>
  <w:footnote w:type="continuationSeparator" w:id="0">
    <w:p w:rsidR="00A5506C" w:rsidRDefault="00A5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7E" w:rsidRDefault="0059157E" w:rsidP="00C55B49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59157E" w:rsidRPr="00EB59C8" w:rsidRDefault="0059157E" w:rsidP="00C55B49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7E" w:rsidRPr="000A15AE" w:rsidRDefault="0059157E" w:rsidP="00C55B49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F7"/>
    <w:rsid w:val="000B0952"/>
    <w:rsid w:val="000D5BC6"/>
    <w:rsid w:val="000F3F45"/>
    <w:rsid w:val="000F6CCD"/>
    <w:rsid w:val="001323F5"/>
    <w:rsid w:val="00170704"/>
    <w:rsid w:val="00193BF6"/>
    <w:rsid w:val="001B5918"/>
    <w:rsid w:val="0023569D"/>
    <w:rsid w:val="002A4313"/>
    <w:rsid w:val="002F07B1"/>
    <w:rsid w:val="00344AD0"/>
    <w:rsid w:val="003B1149"/>
    <w:rsid w:val="003D099D"/>
    <w:rsid w:val="004203B3"/>
    <w:rsid w:val="00475CDD"/>
    <w:rsid w:val="005403E3"/>
    <w:rsid w:val="005460DE"/>
    <w:rsid w:val="0055345A"/>
    <w:rsid w:val="00590FB3"/>
    <w:rsid w:val="0059157E"/>
    <w:rsid w:val="005C6D8B"/>
    <w:rsid w:val="00620F39"/>
    <w:rsid w:val="00633EB1"/>
    <w:rsid w:val="00653201"/>
    <w:rsid w:val="00673DB9"/>
    <w:rsid w:val="00682B20"/>
    <w:rsid w:val="006C37A5"/>
    <w:rsid w:val="006D0179"/>
    <w:rsid w:val="00756080"/>
    <w:rsid w:val="007A20C5"/>
    <w:rsid w:val="008409C9"/>
    <w:rsid w:val="008579CD"/>
    <w:rsid w:val="008B47BA"/>
    <w:rsid w:val="008D5973"/>
    <w:rsid w:val="00937324"/>
    <w:rsid w:val="009513B0"/>
    <w:rsid w:val="00972DB8"/>
    <w:rsid w:val="009840F7"/>
    <w:rsid w:val="009F7626"/>
    <w:rsid w:val="00A5506C"/>
    <w:rsid w:val="00A61ABA"/>
    <w:rsid w:val="00AC2436"/>
    <w:rsid w:val="00AD469E"/>
    <w:rsid w:val="00B06278"/>
    <w:rsid w:val="00B31D5B"/>
    <w:rsid w:val="00B5714C"/>
    <w:rsid w:val="00B8297F"/>
    <w:rsid w:val="00B908BD"/>
    <w:rsid w:val="00BD4C7F"/>
    <w:rsid w:val="00C1685A"/>
    <w:rsid w:val="00C55B49"/>
    <w:rsid w:val="00CE787E"/>
    <w:rsid w:val="00D5308A"/>
    <w:rsid w:val="00D74264"/>
    <w:rsid w:val="00D74C83"/>
    <w:rsid w:val="00D95DBD"/>
    <w:rsid w:val="00DA46A6"/>
    <w:rsid w:val="00E40282"/>
    <w:rsid w:val="00EA76E5"/>
    <w:rsid w:val="00EB23B2"/>
    <w:rsid w:val="00E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34A69-5759-B740-953A-BAD3397D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40F7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840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840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40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9840F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9840F7"/>
    <w:rPr>
      <w:rFonts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840F7"/>
    <w:pPr>
      <w:ind w:left="720"/>
      <w:contextualSpacing/>
    </w:pPr>
    <w:rPr>
      <w:rFonts w:ascii="Calibri" w:hAnsi="Calibri"/>
    </w:rPr>
  </w:style>
  <w:style w:type="table" w:styleId="Mriekatabuky">
    <w:name w:val="Table Grid"/>
    <w:basedOn w:val="Normlnatabuka"/>
    <w:uiPriority w:val="59"/>
    <w:rsid w:val="009840F7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840F7"/>
    <w:rPr>
      <w:rFonts w:ascii="Calibri" w:eastAsia="Times New Roman" w:hAnsi="Calibri" w:cs="Times New Roman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0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09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6_vplyv_rozpočet_OPCAT_2022_final"/>
    <f:field ref="objsubject" par="" edit="true" text=""/>
    <f:field ref="objcreatedby" par="" text="Urbanová, Jana"/>
    <f:field ref="objcreatedat" par="" text="10.6.2022 13:16:28"/>
    <f:field ref="objchangedby" par="" text="Administrator, System"/>
    <f:field ref="objmodifiedat" par="" text="10.6.2022 13:16:2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KROČKOVÁ Kristína</cp:lastModifiedBy>
  <cp:revision>34</cp:revision>
  <cp:lastPrinted>2022-04-04T14:45:00Z</cp:lastPrinted>
  <dcterms:created xsi:type="dcterms:W3CDTF">2021-06-15T09:14:00Z</dcterms:created>
  <dcterms:modified xsi:type="dcterms:W3CDTF">2023-01-11T07:49:00Z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align="center"&gt;&lt;strong&gt;SPrÁva o&amp;nbsp;Účasti verejnosti na Tvorbe právnych Predpisov &lt;/strong&gt;&lt;/p&gt;&lt;p&gt;&amp;nbsp;&lt;/p&gt;&lt;table align="left" border="1" cellpadding="0" cellspacing="0" style="width:100.0%;" width="100%"&gt;	&lt;tbody&gt;		&lt;tr&gt;			&lt;td colspan="5" style="widt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Ľudské 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Jana Urbanová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564/2001 Z. z. o verejnom ochrancovi práv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C.1. uznesenia vlády SR č. 414 z 12. septembra 2018</vt:lpwstr>
  </property>
  <property fmtid="{D5CDD505-2E9C-101B-9397-08002B2CF9AE}" pid="23" name="FSC#SKEDITIONSLOVLEX@103.510:plnynazovpredpis">
    <vt:lpwstr> Zákon, ktorým sa mení a dopĺňa zákon č. 564/2001 Z. z. o verejnom ochrancovi práv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09423/2022/13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LP/2022/336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19. 4. 2022</vt:lpwstr>
  </property>
  <property fmtid="{D5CDD505-2E9C-101B-9397-08002B2CF9AE}" pid="59" name="FSC#SKEDITIONSLOVLEX@103.510:AttrDateDocPropUkonceniePKK">
    <vt:lpwstr>28. 4. 2022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-</vt:lpwstr>
  </property>
  <property fmtid="{D5CDD505-2E9C-101B-9397-08002B2CF9AE}" pid="66" name="FSC#SKEDITIONSLOVLEX@103.510:AttrStrListDocPropAltRiesenia">
    <vt:lpwstr>Nulový variantSlovenská republika dňa 14. decembra 2018 podpísala opčný protokol. Uznesením vlády SR č. 414/2018 sa uložilo ministrovi spravodlivosti vykonať právnu analýzu opčného protokolu a v prípade potreby predložiť na rokovanie vlády návrh potrebnýc</vt:lpwstr>
  </property>
  <property fmtid="{D5CDD505-2E9C-101B-9397-08002B2CF9AE}" pid="67" name="FSC#SKEDITIONSLOVLEX@103.510:AttrStrListDocPropStanoviskoGest">
    <vt:lpwstr>Súhlasné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spravodlivosti Slovenskej republiky predkladá do medzirezortného pripomienkového konania návrh zákona, ktorým sa mení a dopĺňa zákon č. 564/2001 Z. z. o verejnom ochrancovi práv v znení neskorších predpisov a k</vt:lpwstr>
  </property>
  <property fmtid="{D5CDD505-2E9C-101B-9397-08002B2CF9AE}" pid="150" name="FSC#SKEDITIONSLOVLEX@103.510:vytvorenedna">
    <vt:lpwstr>10. 6. 2022</vt:lpwstr>
  </property>
  <property fmtid="{D5CDD505-2E9C-101B-9397-08002B2CF9AE}" pid="151" name="FSC#COOSYSTEM@1.1:Container">
    <vt:lpwstr>COO.2145.1000.3.5014290</vt:lpwstr>
  </property>
  <property fmtid="{D5CDD505-2E9C-101B-9397-08002B2CF9AE}" pid="152" name="FSC#FSCFOLIO@1.1001:docpropproject">
    <vt:lpwstr/>
  </property>
</Properties>
</file>