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142" w:rsidRPr="00D91093" w:rsidRDefault="00745142" w:rsidP="00745142">
      <w:pPr>
        <w:widowControl w:val="0"/>
        <w:jc w:val="center"/>
        <w:rPr>
          <w:b/>
        </w:rPr>
      </w:pPr>
      <w:r w:rsidRPr="00D91093">
        <w:rPr>
          <w:b/>
        </w:rPr>
        <w:t>Dôvodová  správa</w:t>
      </w:r>
    </w:p>
    <w:p w:rsidR="00745142" w:rsidRPr="00D91093" w:rsidRDefault="00745142" w:rsidP="00745142">
      <w:pPr>
        <w:jc w:val="center"/>
        <w:rPr>
          <w:b/>
          <w:snapToGrid w:val="0"/>
        </w:rPr>
      </w:pPr>
    </w:p>
    <w:p w:rsidR="00745142" w:rsidRPr="00D91093" w:rsidRDefault="00745142" w:rsidP="00745142">
      <w:pPr>
        <w:ind w:left="-720" w:firstLine="720"/>
        <w:rPr>
          <w:b/>
          <w:snapToGrid w:val="0"/>
        </w:rPr>
      </w:pPr>
      <w:r w:rsidRPr="00D91093">
        <w:rPr>
          <w:b/>
          <w:snapToGrid w:val="0"/>
        </w:rPr>
        <w:t>Všeobecná časť</w:t>
      </w:r>
    </w:p>
    <w:p w:rsidR="00745142" w:rsidRPr="00D91093" w:rsidRDefault="00745142" w:rsidP="00745142">
      <w:pPr>
        <w:tabs>
          <w:tab w:val="left" w:pos="2235"/>
        </w:tabs>
        <w:jc w:val="both"/>
      </w:pPr>
    </w:p>
    <w:p w:rsidR="00745142" w:rsidRPr="00D91093" w:rsidRDefault="00745142" w:rsidP="00A74563">
      <w:pPr>
        <w:widowControl w:val="0"/>
        <w:spacing w:after="120"/>
        <w:ind w:firstLine="567"/>
        <w:jc w:val="both"/>
      </w:pPr>
      <w:r w:rsidRPr="00D91093">
        <w:t xml:space="preserve">Návrh zákona </w:t>
      </w:r>
      <w:r w:rsidR="00996E71">
        <w:t xml:space="preserve">sa </w:t>
      </w:r>
      <w:r w:rsidRPr="00D91093">
        <w:t>predkladá na základe uznesenia vlády Slovenskej republiky č. 235</w:t>
      </w:r>
      <w:r w:rsidR="001D23D3">
        <w:t xml:space="preserve"> </w:t>
      </w:r>
      <w:r w:rsidRPr="00D91093">
        <w:t xml:space="preserve">z 30. marca 2022, ktorým bol schválený Akčný plán koordinácie boja proti hybridným hrozbám na roky 2022 – 2024 (ďalej len „akčný plán“). Z akčného plánu vyplýva úloha Z.1 novelou zákona č. 110/2004 Z. z. o fungovaní Bezpečnostnej rady Slovenskej republiky v čase mieru v znení neskorších predpisov zriadiť stály pracovný výbor Bezpečnostnej rady Slovenskej republiky pre hybridné hrozby.  </w:t>
      </w:r>
    </w:p>
    <w:p w:rsidR="00745142" w:rsidRPr="00D91093" w:rsidRDefault="00745142" w:rsidP="00A74563">
      <w:pPr>
        <w:widowControl w:val="0"/>
        <w:spacing w:after="120"/>
        <w:ind w:firstLine="567"/>
        <w:jc w:val="both"/>
      </w:pPr>
      <w:r w:rsidRPr="00D91093">
        <w:t>Bezpečnostná rada Slovenskej republiky v súčasnosti nedisponuje stálym pracovným orgánom, ktorý by sa špecializoval výhradne na problematiku hybridných hrozieb a ktorý by dokázal pružne reagovať na dynamický vývoj medzinárodného bezpečnostného prostredia v oblasti hybridných hrozieb. Cudzie mocnosti voči Slovenskej republike v súčasnosti využívajú široké spektrum nástrojov hybridného pôsobenia, ktorých cieľom je manipulovať verejnou mienkou,</w:t>
      </w:r>
      <w:r w:rsidR="009B7E33">
        <w:t xml:space="preserve"> </w:t>
      </w:r>
      <w:r w:rsidR="009B7E33" w:rsidRPr="009B7E33">
        <w:t>oslabovať dôveru v demokratické inštitúcie a právny štát,</w:t>
      </w:r>
      <w:r w:rsidR="009B7E33">
        <w:t xml:space="preserve"> </w:t>
      </w:r>
      <w:r w:rsidRPr="00D91093">
        <w:t>vplývať na predstaviteľov štátu a jeho inštitúcie, oslabiť alebo inak poškodiť záujmy Slovenskej republiky, či narušiť vnútornú kohéziu Európskej úni</w:t>
      </w:r>
      <w:r w:rsidR="009B7E33">
        <w:t>e a Severoatlantickej aliancie.</w:t>
      </w:r>
    </w:p>
    <w:p w:rsidR="00745142" w:rsidRPr="00D91093" w:rsidRDefault="00745142" w:rsidP="00A74563">
      <w:pPr>
        <w:widowControl w:val="0"/>
        <w:spacing w:after="120"/>
        <w:ind w:firstLine="567"/>
        <w:jc w:val="both"/>
      </w:pPr>
      <w:r w:rsidRPr="00D91093">
        <w:t>Cieľom návrhu zákona je posilnenie odolnosti štátu a spoločnosti voči hybridným hrozbám a zabezpečenie medzirezortnej spolupráce a koordinácie opatrení na boj proti hybridným hrozbám. Návrhom zákona sa navrhuje zriadiť nový pracovný orgán Bezpečnostnej r</w:t>
      </w:r>
      <w:r w:rsidR="00715848">
        <w:t>ady Slovenskej republiky, a to v</w:t>
      </w:r>
      <w:r w:rsidRPr="00D91093">
        <w:t xml:space="preserve">ýbor Bezpečnostnej rady Slovenskej republiky pre hybridné hrozby. Hlavným poslaním nového výboru Bezpečnostnej rady Slovenskej republiky bude podieľať sa na koordinácii činností zameraných na vyhodnocovanie bezpečnostnej situácie doma i v zahraničí, prijímanie opatrení na riešenie hybridného pôsobenia proti záujmom Slovenskej republiky a tvorbu relevantných politík v oblasti boja proti hybridným hrozbám. </w:t>
      </w:r>
    </w:p>
    <w:p w:rsidR="00745142" w:rsidRPr="00D91093" w:rsidRDefault="001D7E39" w:rsidP="00A74563">
      <w:pPr>
        <w:widowControl w:val="0"/>
        <w:spacing w:after="120"/>
        <w:ind w:firstLine="567"/>
        <w:jc w:val="both"/>
      </w:pPr>
      <w:r>
        <w:t xml:space="preserve">Návrh zákona reaguje aj na ďalšie aplikačné problémy, ktoré sa vyskytli pri uplatňovaní zákona č. 110/2004 Z. z. </w:t>
      </w:r>
      <w:r w:rsidR="00745142" w:rsidRPr="00E802F6">
        <w:t>Navrhova</w:t>
      </w:r>
      <w:r w:rsidR="00745142" w:rsidRPr="00D91093">
        <w:t>ná právna úprava vychádza zo schválených koncepčných dokumentov, najmä</w:t>
      </w:r>
      <w:r w:rsidR="00D851F0">
        <w:t xml:space="preserve"> z </w:t>
      </w:r>
      <w:r w:rsidR="00D851F0" w:rsidRPr="00D851F0">
        <w:t>Bezpečnostnej stratégie Slovenskej republiky, ktorú schválila Národná rada Slovenskej republiky 28. januára 2021, Obrannej stratégie Slovenskej republiky, schválenej Národnou radou Slovenskej republiky 27. januára 2021,</w:t>
      </w:r>
      <w:r w:rsidR="00745142" w:rsidRPr="00D91093">
        <w:t xml:space="preserve"> zo Spoločného rámca pre boj proti hybridným hrozbám, kt</w:t>
      </w:r>
      <w:r w:rsidR="00D851F0">
        <w:t>orý Európska komisia vydala</w:t>
      </w:r>
      <w:r w:rsidR="00A74563">
        <w:t xml:space="preserve"> 6. </w:t>
      </w:r>
      <w:r w:rsidR="00745142" w:rsidRPr="00D91093">
        <w:t>apríla 2016, a z Koncepcie pre boj Slovenskej republiky proti hybridným hrozbám, ktorú vláda Slovenskej republik</w:t>
      </w:r>
      <w:r w:rsidR="00D851F0">
        <w:t>y schválila uznesením č. </w:t>
      </w:r>
      <w:r w:rsidR="00745142" w:rsidRPr="00D91093">
        <w:t xml:space="preserve">345 z 11. júla 2018. Podľa predmetnej koncepcie majú hybridné hrozby „prierezový, </w:t>
      </w:r>
      <w:proofErr w:type="spellStart"/>
      <w:r w:rsidR="00745142" w:rsidRPr="00D91093">
        <w:t>medziinštitu</w:t>
      </w:r>
      <w:r w:rsidR="00A74563">
        <w:t>cionálny</w:t>
      </w:r>
      <w:proofErr w:type="spellEnd"/>
      <w:r w:rsidR="00A74563">
        <w:t xml:space="preserve"> charakter a spadajú do </w:t>
      </w:r>
      <w:r w:rsidR="00745142" w:rsidRPr="00D91093">
        <w:t>kompetencie viacerých štátnych orgánov“. Medzi základné indikátory hybridných hrozieb predmetná koncepcia zaraďuje „externý alebo interný politický nátlak na najvyšších štátnych predstaviteľov a štátne inštitúcie, ekonomický alebo energetický nátlak ako rozšírenie politického nátlaku, rozsiahle sabotáže proti kľúčovej infraštruktúre, kybernetické útoky s potenciálom spôsobiť škody veľkého rozsahu, informačné a propagandistické operácie s cieľom podkopať dôveru v štátne inštitúcie, vyvolať spoločenské nepokoje a vážne destabilizovať politickú a bezpečnostnú situáciu, ovplyvňo</w:t>
      </w:r>
      <w:r w:rsidR="00A74563">
        <w:t>vanie etnických, náboženských a </w:t>
      </w:r>
      <w:r w:rsidR="00745142" w:rsidRPr="00D91093">
        <w:t xml:space="preserve">kultúrnych menšín a ich manipulácia na politické účely, hrozba použitia vojenskej sily“. „Podstatnou črtou hybridného spôsobu boja je súčinnosť a prepojenie rôznych prvkov hybridnej hrozby a ich paralelné nasadenie tak, aby </w:t>
      </w:r>
      <w:r w:rsidR="00D851F0">
        <w:t>vytvorili kvalitatívne vyššiu a </w:t>
      </w:r>
      <w:r w:rsidR="00745142" w:rsidRPr="00D91093">
        <w:t>zložitejšiu viacdimenzionálnu hrozbu.“</w:t>
      </w:r>
      <w:r w:rsidR="00DA565C">
        <w:t xml:space="preserve"> </w:t>
      </w:r>
      <w:r w:rsidR="00DA565C" w:rsidRPr="00DA565C">
        <w:t>V Bezpečnostnej st</w:t>
      </w:r>
      <w:r w:rsidR="00D162AC">
        <w:t>ratégii</w:t>
      </w:r>
      <w:r w:rsidR="00D851F0">
        <w:t xml:space="preserve"> Slovenskej republiky sa </w:t>
      </w:r>
      <w:r w:rsidR="00DA565C" w:rsidRPr="00DA565C">
        <w:t xml:space="preserve">vláda zároveň zaviazala, že „na zvýšenie odolnosti štátu a spoločnosti voči hybridným hrozbám Slovenská republika posilní kapacity a expertízu vo verejnej správe, ako aj celoštátnu koordináciu predovšetkým v oblasti plánovania, riadenia a tvorby politík na vládnej a rezortnej úrovni“. Zároveň štát v zmysle Obrannej stratégie Slovenskej republiky na </w:t>
      </w:r>
      <w:r w:rsidR="00DA565C" w:rsidRPr="00DA565C">
        <w:lastRenderedPageBreak/>
        <w:t>zabezpečenie včasnej identifikácie a analýzy hrozieb a ich rizík, vrátane hybridného pôsobenia „systémovo usporiada vzájomné zdieľanie informácií, proces koordin</w:t>
      </w:r>
      <w:r w:rsidR="00D851F0">
        <w:t>ovanej medzirezortnej analýzy a </w:t>
      </w:r>
      <w:r w:rsidR="00DA565C" w:rsidRPr="00DA565C">
        <w:t>postup predkladania informácií príslušným ústavným orgánom a štátnym orgánom na včasné prijatie rozhodnutí.</w:t>
      </w:r>
      <w:r w:rsidR="00EC2745">
        <w:t>“</w:t>
      </w:r>
    </w:p>
    <w:p w:rsidR="00745142" w:rsidRPr="00D91093" w:rsidRDefault="00745142" w:rsidP="00A74563">
      <w:pPr>
        <w:widowControl w:val="0"/>
        <w:spacing w:after="120"/>
        <w:ind w:firstLine="567"/>
        <w:jc w:val="both"/>
      </w:pPr>
      <w:r w:rsidRPr="00D91093">
        <w:t xml:space="preserve">Návrh zákona nemá byť predmetom </w:t>
      </w:r>
      <w:proofErr w:type="spellStart"/>
      <w:r w:rsidRPr="00D91093">
        <w:t>vnútrokomunitárneho</w:t>
      </w:r>
      <w:proofErr w:type="spellEnd"/>
      <w:r w:rsidRPr="00D91093">
        <w:t xml:space="preserve"> pripomienkového konania.</w:t>
      </w:r>
    </w:p>
    <w:p w:rsidR="00745142" w:rsidRPr="00D91093" w:rsidRDefault="00745142" w:rsidP="00A74563">
      <w:pPr>
        <w:widowControl w:val="0"/>
        <w:spacing w:after="120"/>
        <w:ind w:firstLine="567"/>
        <w:jc w:val="both"/>
      </w:pPr>
      <w:r w:rsidRPr="00D91093">
        <w:t>Predložený návrh zákona nemá vplyv na roz</w:t>
      </w:r>
      <w:r w:rsidR="00A74563">
        <w:t>počet verejnej správy, vplyv na </w:t>
      </w:r>
      <w:r w:rsidRPr="00D91093">
        <w:t xml:space="preserve">podnikateľské prostredie, sociálny vplyv, vplyv </w:t>
      </w:r>
      <w:r w:rsidR="00A74563">
        <w:t>na životné prostredie, vplyv na </w:t>
      </w:r>
      <w:r w:rsidRPr="00D91093">
        <w:t>informatizáciu spoločnosti, vplyv na služby pre občana</w:t>
      </w:r>
      <w:r w:rsidR="00877038">
        <w:t>,</w:t>
      </w:r>
      <w:r w:rsidRPr="00D91093">
        <w:t xml:space="preserve"> ani vplyv na manželstvo, rodičovstvo a rodinu. </w:t>
      </w:r>
    </w:p>
    <w:p w:rsidR="00745142" w:rsidRPr="00D91093" w:rsidRDefault="00745142" w:rsidP="00A74563">
      <w:pPr>
        <w:widowControl w:val="0"/>
        <w:spacing w:after="120"/>
        <w:ind w:firstLine="567"/>
        <w:jc w:val="both"/>
      </w:pPr>
      <w:r w:rsidRPr="00D91093">
        <w:t xml:space="preserve">Návrh zákona je v súlade s Ústavou Slovenskej republiky, ústavnými zákonmi, nálezmi Ústavného súdu Slovenskej republiky, so zákonmi, ako aj s medzinárodnými zmluvami a inými dokumentmi, ktorými je Slovenská republika viazaná, a je v súlade s právom Európskej únie. </w:t>
      </w:r>
    </w:p>
    <w:p w:rsidR="00924D31" w:rsidRDefault="00745142" w:rsidP="00A74563">
      <w:pPr>
        <w:widowControl w:val="0"/>
        <w:spacing w:after="120"/>
        <w:ind w:firstLine="567"/>
        <w:jc w:val="both"/>
      </w:pPr>
      <w:r w:rsidRPr="00D91093">
        <w:t xml:space="preserve">Účinnosť návrhu zákona sa navrhuje vzhľadom na dĺžku legislatívneho procesu a zabezpečenie primeranej </w:t>
      </w:r>
      <w:proofErr w:type="spellStart"/>
      <w:r w:rsidRPr="00D91093">
        <w:t>legisvakancie</w:t>
      </w:r>
      <w:proofErr w:type="spellEnd"/>
      <w:r w:rsidRPr="00D91093">
        <w:t xml:space="preserve"> od 1. </w:t>
      </w:r>
      <w:r w:rsidR="00A74563">
        <w:t>mája</w:t>
      </w:r>
      <w:r w:rsidRPr="00D91093">
        <w:t xml:space="preserve"> 2023.</w:t>
      </w:r>
    </w:p>
    <w:p w:rsidR="00924D31" w:rsidRDefault="00924D31">
      <w:pPr>
        <w:spacing w:after="160" w:line="259" w:lineRule="auto"/>
      </w:pPr>
      <w:r>
        <w:br w:type="page"/>
      </w:r>
    </w:p>
    <w:p w:rsidR="00924D31" w:rsidRPr="00924D31" w:rsidRDefault="00924D31" w:rsidP="00924D31">
      <w:pPr>
        <w:ind w:right="141"/>
        <w:rPr>
          <w:b/>
          <w:sz w:val="20"/>
          <w:szCs w:val="20"/>
        </w:rPr>
      </w:pPr>
    </w:p>
    <w:p w:rsidR="00924D31" w:rsidRPr="00924D31" w:rsidRDefault="00924D31" w:rsidP="00924D31">
      <w:pPr>
        <w:jc w:val="center"/>
        <w:rPr>
          <w:b/>
          <w:sz w:val="28"/>
          <w:szCs w:val="28"/>
        </w:rPr>
      </w:pPr>
      <w:r w:rsidRPr="00924D31">
        <w:rPr>
          <w:b/>
          <w:sz w:val="28"/>
          <w:szCs w:val="28"/>
        </w:rPr>
        <w:t>Doložka vybraných vplyvov</w:t>
      </w:r>
    </w:p>
    <w:p w:rsidR="00924D31" w:rsidRPr="00924D31" w:rsidRDefault="00924D31" w:rsidP="00924D31">
      <w:pPr>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4212"/>
        <w:gridCol w:w="705"/>
        <w:gridCol w:w="1032"/>
        <w:gridCol w:w="3231"/>
      </w:tblGrid>
      <w:tr w:rsidR="00924D31" w:rsidRPr="00924D31" w:rsidTr="00A104FC">
        <w:tc>
          <w:tcPr>
            <w:tcW w:w="9180" w:type="dxa"/>
            <w:gridSpan w:val="4"/>
            <w:tcBorders>
              <w:bottom w:val="single" w:sz="4" w:space="0" w:color="FFFFFF"/>
            </w:tcBorders>
            <w:shd w:val="clear" w:color="auto" w:fill="E2E2E2"/>
          </w:tcPr>
          <w:p w:rsidR="00924D31" w:rsidRPr="00924D31" w:rsidRDefault="00924D31" w:rsidP="00924D31">
            <w:pPr>
              <w:numPr>
                <w:ilvl w:val="0"/>
                <w:numId w:val="1"/>
              </w:numPr>
              <w:ind w:left="426"/>
              <w:contextualSpacing/>
              <w:rPr>
                <w:rFonts w:eastAsia="Calibri"/>
                <w:b/>
              </w:rPr>
            </w:pPr>
            <w:r w:rsidRPr="00924D31">
              <w:rPr>
                <w:rFonts w:eastAsia="Calibri"/>
                <w:b/>
              </w:rPr>
              <w:t>Základné údaje</w:t>
            </w:r>
          </w:p>
        </w:tc>
      </w:tr>
      <w:tr w:rsidR="00924D31" w:rsidRPr="00924D31" w:rsidTr="00A104FC">
        <w:tc>
          <w:tcPr>
            <w:tcW w:w="9180" w:type="dxa"/>
            <w:gridSpan w:val="4"/>
            <w:tcBorders>
              <w:bottom w:val="single" w:sz="4" w:space="0" w:color="FFFFFF"/>
            </w:tcBorders>
            <w:shd w:val="clear" w:color="auto" w:fill="E2E2E2"/>
          </w:tcPr>
          <w:p w:rsidR="00924D31" w:rsidRPr="00924D31" w:rsidRDefault="00924D31" w:rsidP="00924D31">
            <w:pPr>
              <w:ind w:left="142"/>
              <w:contextualSpacing/>
              <w:rPr>
                <w:rFonts w:eastAsia="Calibri"/>
                <w:b/>
              </w:rPr>
            </w:pPr>
            <w:r w:rsidRPr="00924D31">
              <w:rPr>
                <w:rFonts w:eastAsia="Calibri"/>
                <w:b/>
              </w:rPr>
              <w:t>Názov materiálu</w:t>
            </w:r>
          </w:p>
        </w:tc>
      </w:tr>
      <w:tr w:rsidR="00924D31" w:rsidRPr="00924D31" w:rsidTr="00A104FC">
        <w:tc>
          <w:tcPr>
            <w:tcW w:w="9180" w:type="dxa"/>
            <w:gridSpan w:val="4"/>
            <w:tcBorders>
              <w:top w:val="single" w:sz="4" w:space="0" w:color="FFFFFF"/>
              <w:bottom w:val="single" w:sz="4" w:space="0" w:color="auto"/>
            </w:tcBorders>
          </w:tcPr>
          <w:p w:rsidR="00924D31" w:rsidRPr="00924D31" w:rsidRDefault="00924D31" w:rsidP="00924D31">
            <w:pPr>
              <w:rPr>
                <w:sz w:val="20"/>
                <w:szCs w:val="20"/>
              </w:rPr>
            </w:pPr>
            <w:r w:rsidRPr="00924D31">
              <w:rPr>
                <w:sz w:val="20"/>
                <w:szCs w:val="20"/>
              </w:rPr>
              <w:t>Návrh zákona, ktorým sa mení a dopĺňa zákon č. 110/2004 Z. z. o fungovaní Bezpečnostnej rady Slovenskej republiky v čase mieru v znení neskorších predpisov</w:t>
            </w:r>
          </w:p>
        </w:tc>
      </w:tr>
      <w:tr w:rsidR="00924D31" w:rsidRPr="00924D31" w:rsidTr="00A104FC">
        <w:tc>
          <w:tcPr>
            <w:tcW w:w="9180" w:type="dxa"/>
            <w:gridSpan w:val="4"/>
            <w:tcBorders>
              <w:top w:val="single" w:sz="4" w:space="0" w:color="auto"/>
              <w:left w:val="single" w:sz="4" w:space="0" w:color="auto"/>
              <w:bottom w:val="single" w:sz="4" w:space="0" w:color="FFFFFF"/>
            </w:tcBorders>
            <w:shd w:val="clear" w:color="auto" w:fill="E2E2E2"/>
          </w:tcPr>
          <w:p w:rsidR="00924D31" w:rsidRPr="00924D31" w:rsidRDefault="00924D31" w:rsidP="00924D31">
            <w:pPr>
              <w:ind w:left="142"/>
              <w:contextualSpacing/>
              <w:rPr>
                <w:rFonts w:eastAsia="Calibri"/>
                <w:b/>
              </w:rPr>
            </w:pPr>
            <w:r w:rsidRPr="00924D31">
              <w:rPr>
                <w:rFonts w:eastAsia="Calibri"/>
                <w:b/>
              </w:rPr>
              <w:t>Predkladateľ (a spolupredkladateľ)</w:t>
            </w:r>
          </w:p>
        </w:tc>
      </w:tr>
      <w:tr w:rsidR="00924D31" w:rsidRPr="00924D31" w:rsidTr="00A104FC">
        <w:tc>
          <w:tcPr>
            <w:tcW w:w="9180" w:type="dxa"/>
            <w:gridSpan w:val="4"/>
            <w:tcBorders>
              <w:top w:val="single" w:sz="4" w:space="0" w:color="FFFFFF"/>
              <w:left w:val="single" w:sz="4" w:space="0" w:color="auto"/>
              <w:bottom w:val="single" w:sz="4" w:space="0" w:color="auto"/>
            </w:tcBorders>
            <w:shd w:val="clear" w:color="auto" w:fill="FFFFFF"/>
          </w:tcPr>
          <w:p w:rsidR="00924D31" w:rsidRPr="00924D31" w:rsidRDefault="008E099A" w:rsidP="00924D31">
            <w:pPr>
              <w:rPr>
                <w:sz w:val="20"/>
                <w:szCs w:val="20"/>
              </w:rPr>
            </w:pPr>
            <w:r>
              <w:rPr>
                <w:rFonts w:ascii="Times" w:hAnsi="Times" w:cs="Times"/>
                <w:sz w:val="20"/>
                <w:szCs w:val="20"/>
              </w:rPr>
              <w:t>V</w:t>
            </w:r>
            <w:r w:rsidR="009238D8">
              <w:rPr>
                <w:rFonts w:ascii="Times" w:hAnsi="Times" w:cs="Times"/>
                <w:sz w:val="20"/>
                <w:szCs w:val="20"/>
              </w:rPr>
              <w:t>láda</w:t>
            </w:r>
            <w:r w:rsidR="00924D31" w:rsidRPr="00924D31">
              <w:rPr>
                <w:rFonts w:ascii="Times" w:hAnsi="Times" w:cs="Times"/>
                <w:sz w:val="20"/>
                <w:szCs w:val="20"/>
              </w:rPr>
              <w:t xml:space="preserve"> Slovenskej republiky</w:t>
            </w:r>
          </w:p>
          <w:p w:rsidR="00924D31" w:rsidRPr="00924D31" w:rsidRDefault="00924D31" w:rsidP="00924D31">
            <w:pPr>
              <w:rPr>
                <w:sz w:val="20"/>
                <w:szCs w:val="20"/>
              </w:rPr>
            </w:pPr>
          </w:p>
        </w:tc>
      </w:tr>
      <w:tr w:rsidR="00924D31" w:rsidRPr="00924D31" w:rsidTr="00A104FC">
        <w:tc>
          <w:tcPr>
            <w:tcW w:w="4212" w:type="dxa"/>
            <w:vMerge w:val="restart"/>
            <w:tcBorders>
              <w:top w:val="single" w:sz="4" w:space="0" w:color="auto"/>
              <w:left w:val="single" w:sz="4" w:space="0" w:color="auto"/>
              <w:bottom w:val="single" w:sz="4" w:space="0" w:color="FFFFFF"/>
            </w:tcBorders>
            <w:shd w:val="clear" w:color="auto" w:fill="E2E2E2"/>
            <w:vAlign w:val="center"/>
          </w:tcPr>
          <w:p w:rsidR="00924D31" w:rsidRPr="00924D31" w:rsidRDefault="00924D31" w:rsidP="00924D31">
            <w:pPr>
              <w:ind w:left="142"/>
              <w:contextualSpacing/>
              <w:rPr>
                <w:rFonts w:eastAsia="Calibri"/>
                <w:b/>
              </w:rPr>
            </w:pPr>
            <w:r w:rsidRPr="00924D31">
              <w:rPr>
                <w:rFonts w:eastAsia="Calibri"/>
                <w:b/>
              </w:rPr>
              <w:t>Charakter predkladaného materiálu</w:t>
            </w:r>
          </w:p>
        </w:tc>
        <w:sdt>
          <w:sdtPr>
            <w:rPr>
              <w:sz w:val="20"/>
              <w:szCs w:val="20"/>
            </w:rPr>
            <w:id w:val="901099221"/>
            <w14:checkbox>
              <w14:checked w14:val="0"/>
              <w14:checkedState w14:val="2612" w14:font="MS Gothic"/>
              <w14:uncheckedState w14:val="2610" w14:font="MS Gothic"/>
            </w14:checkbox>
          </w:sdtPr>
          <w:sdtEndPr/>
          <w:sdtContent>
            <w:tc>
              <w:tcPr>
                <w:tcW w:w="705" w:type="dxa"/>
                <w:tcBorders>
                  <w:top w:val="single" w:sz="4" w:space="0" w:color="auto"/>
                  <w:left w:val="single" w:sz="4" w:space="0" w:color="auto"/>
                  <w:bottom w:val="single" w:sz="4" w:space="0" w:color="auto"/>
                  <w:right w:val="nil"/>
                </w:tcBorders>
                <w:shd w:val="clear" w:color="auto" w:fill="FFFFFF"/>
              </w:tcPr>
              <w:p w:rsidR="00924D31" w:rsidRPr="00924D31" w:rsidRDefault="00924D31" w:rsidP="00924D31">
                <w:pPr>
                  <w:jc w:val="center"/>
                  <w:rPr>
                    <w:sz w:val="20"/>
                    <w:szCs w:val="20"/>
                  </w:rPr>
                </w:pPr>
                <w:r w:rsidRPr="00924D31">
                  <w:rPr>
                    <w:rFonts w:ascii="Segoe UI Symbol" w:eastAsia="MS Gothic" w:hAnsi="Segoe UI Symbol" w:cs="Segoe UI Symbol"/>
                    <w:sz w:val="20"/>
                    <w:szCs w:val="20"/>
                  </w:rPr>
                  <w:t>☐</w:t>
                </w:r>
              </w:p>
            </w:tc>
          </w:sdtContent>
        </w:sdt>
        <w:tc>
          <w:tcPr>
            <w:tcW w:w="4263" w:type="dxa"/>
            <w:gridSpan w:val="2"/>
            <w:tcBorders>
              <w:top w:val="single" w:sz="4" w:space="0" w:color="auto"/>
              <w:left w:val="nil"/>
              <w:bottom w:val="single" w:sz="4" w:space="0" w:color="auto"/>
              <w:right w:val="single" w:sz="4" w:space="0" w:color="auto"/>
            </w:tcBorders>
            <w:shd w:val="clear" w:color="auto" w:fill="FFFFFF"/>
          </w:tcPr>
          <w:p w:rsidR="00924D31" w:rsidRPr="00924D31" w:rsidRDefault="00924D31" w:rsidP="00924D31">
            <w:pPr>
              <w:rPr>
                <w:sz w:val="20"/>
                <w:szCs w:val="20"/>
              </w:rPr>
            </w:pPr>
            <w:r w:rsidRPr="00924D31">
              <w:rPr>
                <w:sz w:val="20"/>
                <w:szCs w:val="20"/>
              </w:rPr>
              <w:t>Materiál nelegislatívnej povahy</w:t>
            </w:r>
          </w:p>
        </w:tc>
      </w:tr>
      <w:tr w:rsidR="00924D31" w:rsidRPr="00924D31" w:rsidTr="00A104FC">
        <w:tc>
          <w:tcPr>
            <w:tcW w:w="4212" w:type="dxa"/>
            <w:vMerge/>
            <w:tcBorders>
              <w:top w:val="nil"/>
              <w:left w:val="single" w:sz="4" w:space="0" w:color="auto"/>
              <w:bottom w:val="single" w:sz="4" w:space="0" w:color="FFFFFF"/>
            </w:tcBorders>
            <w:shd w:val="clear" w:color="auto" w:fill="E2E2E2"/>
          </w:tcPr>
          <w:p w:rsidR="00924D31" w:rsidRPr="00924D31" w:rsidRDefault="00924D31" w:rsidP="00924D31">
            <w:pPr>
              <w:rPr>
                <w:sz w:val="20"/>
                <w:szCs w:val="20"/>
              </w:rPr>
            </w:pPr>
          </w:p>
        </w:tc>
        <w:sdt>
          <w:sdtPr>
            <w:rPr>
              <w:sz w:val="20"/>
              <w:szCs w:val="20"/>
            </w:rPr>
            <w:id w:val="1281381661"/>
            <w14:checkbox>
              <w14:checked w14:val="1"/>
              <w14:checkedState w14:val="2612" w14:font="MS Gothic"/>
              <w14:uncheckedState w14:val="2610" w14:font="MS Gothic"/>
            </w14:checkbox>
          </w:sdtPr>
          <w:sdtEndPr/>
          <w:sdtContent>
            <w:tc>
              <w:tcPr>
                <w:tcW w:w="705" w:type="dxa"/>
                <w:tcBorders>
                  <w:top w:val="single" w:sz="4" w:space="0" w:color="auto"/>
                  <w:left w:val="single" w:sz="4" w:space="0" w:color="auto"/>
                  <w:bottom w:val="single" w:sz="4" w:space="0" w:color="auto"/>
                  <w:right w:val="nil"/>
                </w:tcBorders>
                <w:shd w:val="clear" w:color="auto" w:fill="FFFFFF"/>
              </w:tcPr>
              <w:p w:rsidR="00924D31" w:rsidRPr="00924D31" w:rsidRDefault="00924D31" w:rsidP="00924D31">
                <w:pPr>
                  <w:jc w:val="center"/>
                  <w:rPr>
                    <w:sz w:val="20"/>
                    <w:szCs w:val="20"/>
                  </w:rPr>
                </w:pPr>
                <w:r w:rsidRPr="00924D31">
                  <w:rPr>
                    <w:rFonts w:ascii="Segoe UI Symbol" w:eastAsia="MS Gothic" w:hAnsi="Segoe UI Symbol" w:cs="Segoe UI Symbol"/>
                    <w:sz w:val="20"/>
                    <w:szCs w:val="20"/>
                  </w:rPr>
                  <w:t>☒</w:t>
                </w:r>
              </w:p>
            </w:tc>
          </w:sdtContent>
        </w:sdt>
        <w:tc>
          <w:tcPr>
            <w:tcW w:w="4263" w:type="dxa"/>
            <w:gridSpan w:val="2"/>
            <w:tcBorders>
              <w:top w:val="single" w:sz="4" w:space="0" w:color="auto"/>
              <w:left w:val="nil"/>
              <w:bottom w:val="single" w:sz="4" w:space="0" w:color="auto"/>
            </w:tcBorders>
            <w:shd w:val="clear" w:color="auto" w:fill="FFFFFF"/>
          </w:tcPr>
          <w:p w:rsidR="00924D31" w:rsidRPr="00924D31" w:rsidRDefault="00924D31" w:rsidP="00924D31">
            <w:pPr>
              <w:ind w:left="175" w:hanging="175"/>
              <w:rPr>
                <w:sz w:val="20"/>
                <w:szCs w:val="20"/>
              </w:rPr>
            </w:pPr>
            <w:r w:rsidRPr="00924D31">
              <w:rPr>
                <w:sz w:val="20"/>
                <w:szCs w:val="20"/>
              </w:rPr>
              <w:t>Materiál legislatívnej povahy</w:t>
            </w:r>
          </w:p>
        </w:tc>
      </w:tr>
      <w:tr w:rsidR="00924D31" w:rsidRPr="00924D31" w:rsidTr="00A104FC">
        <w:tc>
          <w:tcPr>
            <w:tcW w:w="4212" w:type="dxa"/>
            <w:vMerge/>
            <w:tcBorders>
              <w:top w:val="nil"/>
              <w:left w:val="single" w:sz="4" w:space="0" w:color="auto"/>
              <w:bottom w:val="single" w:sz="4" w:space="0" w:color="auto"/>
            </w:tcBorders>
            <w:shd w:val="clear" w:color="auto" w:fill="E2E2E2"/>
          </w:tcPr>
          <w:p w:rsidR="00924D31" w:rsidRPr="00924D31" w:rsidRDefault="00924D31" w:rsidP="00924D31">
            <w:pPr>
              <w:rPr>
                <w:sz w:val="20"/>
                <w:szCs w:val="20"/>
              </w:rPr>
            </w:pPr>
          </w:p>
        </w:tc>
        <w:sdt>
          <w:sdtPr>
            <w:rPr>
              <w:sz w:val="20"/>
              <w:szCs w:val="20"/>
            </w:rPr>
            <w:id w:val="-1821804044"/>
            <w14:checkbox>
              <w14:checked w14:val="0"/>
              <w14:checkedState w14:val="2612" w14:font="MS Gothic"/>
              <w14:uncheckedState w14:val="2610" w14:font="MS Gothic"/>
            </w14:checkbox>
          </w:sdtPr>
          <w:sdtEndPr/>
          <w:sdtContent>
            <w:tc>
              <w:tcPr>
                <w:tcW w:w="705" w:type="dxa"/>
                <w:tcBorders>
                  <w:top w:val="single" w:sz="4" w:space="0" w:color="auto"/>
                  <w:left w:val="single" w:sz="4" w:space="0" w:color="auto"/>
                  <w:bottom w:val="single" w:sz="4" w:space="0" w:color="auto"/>
                  <w:right w:val="nil"/>
                </w:tcBorders>
                <w:shd w:val="clear" w:color="auto" w:fill="FFFFFF"/>
              </w:tcPr>
              <w:p w:rsidR="00924D31" w:rsidRPr="00924D31" w:rsidRDefault="00924D31" w:rsidP="00924D31">
                <w:pPr>
                  <w:jc w:val="center"/>
                  <w:rPr>
                    <w:sz w:val="20"/>
                    <w:szCs w:val="20"/>
                  </w:rPr>
                </w:pPr>
                <w:r w:rsidRPr="00924D31">
                  <w:rPr>
                    <w:rFonts w:ascii="Segoe UI Symbol" w:eastAsia="MS Gothic" w:hAnsi="Segoe UI Symbol" w:cs="Segoe UI Symbol"/>
                    <w:sz w:val="20"/>
                    <w:szCs w:val="20"/>
                  </w:rPr>
                  <w:t>☐</w:t>
                </w:r>
              </w:p>
            </w:tc>
          </w:sdtContent>
        </w:sdt>
        <w:tc>
          <w:tcPr>
            <w:tcW w:w="4263" w:type="dxa"/>
            <w:gridSpan w:val="2"/>
            <w:tcBorders>
              <w:top w:val="single" w:sz="4" w:space="0" w:color="auto"/>
              <w:left w:val="nil"/>
              <w:bottom w:val="single" w:sz="4" w:space="0" w:color="auto"/>
            </w:tcBorders>
            <w:shd w:val="clear" w:color="auto" w:fill="FFFFFF"/>
          </w:tcPr>
          <w:p w:rsidR="00924D31" w:rsidRPr="00924D31" w:rsidRDefault="00924D31" w:rsidP="00924D31">
            <w:pPr>
              <w:rPr>
                <w:sz w:val="20"/>
                <w:szCs w:val="20"/>
              </w:rPr>
            </w:pPr>
            <w:r w:rsidRPr="00924D31">
              <w:rPr>
                <w:sz w:val="20"/>
                <w:szCs w:val="20"/>
              </w:rPr>
              <w:t>Transpozícia práva EÚ</w:t>
            </w:r>
          </w:p>
        </w:tc>
      </w:tr>
      <w:tr w:rsidR="00924D31" w:rsidRPr="00924D31" w:rsidTr="00A104FC">
        <w:tc>
          <w:tcPr>
            <w:tcW w:w="9180" w:type="dxa"/>
            <w:gridSpan w:val="4"/>
            <w:tcBorders>
              <w:top w:val="single" w:sz="4" w:space="0" w:color="auto"/>
              <w:left w:val="single" w:sz="4" w:space="0" w:color="auto"/>
              <w:bottom w:val="single" w:sz="4" w:space="0" w:color="FFFFFF"/>
            </w:tcBorders>
            <w:shd w:val="clear" w:color="auto" w:fill="FFFFFF"/>
          </w:tcPr>
          <w:p w:rsidR="00924D31" w:rsidRPr="00924D31" w:rsidRDefault="00924D31" w:rsidP="00924D31">
            <w:pPr>
              <w:rPr>
                <w:sz w:val="20"/>
                <w:szCs w:val="20"/>
              </w:rPr>
            </w:pPr>
          </w:p>
          <w:p w:rsidR="00924D31" w:rsidRPr="00924D31" w:rsidRDefault="00924D31" w:rsidP="00924D31">
            <w:pPr>
              <w:rPr>
                <w:sz w:val="20"/>
                <w:szCs w:val="20"/>
              </w:rPr>
            </w:pPr>
          </w:p>
        </w:tc>
      </w:tr>
      <w:tr w:rsidR="00924D31" w:rsidRPr="00924D31" w:rsidTr="00A104FC">
        <w:tc>
          <w:tcPr>
            <w:tcW w:w="5949" w:type="dxa"/>
            <w:gridSpan w:val="3"/>
            <w:tcBorders>
              <w:top w:val="single" w:sz="4" w:space="0" w:color="000000"/>
              <w:left w:val="single" w:sz="4" w:space="0" w:color="auto"/>
              <w:bottom w:val="single" w:sz="4" w:space="0" w:color="FFFFFF"/>
              <w:right w:val="single" w:sz="4" w:space="0" w:color="auto"/>
            </w:tcBorders>
            <w:shd w:val="clear" w:color="auto" w:fill="E2E2E2"/>
          </w:tcPr>
          <w:p w:rsidR="00924D31" w:rsidRPr="00924D31" w:rsidRDefault="00924D31" w:rsidP="00924D31">
            <w:pPr>
              <w:ind w:left="142"/>
              <w:contextualSpacing/>
              <w:rPr>
                <w:rFonts w:eastAsia="Calibri"/>
                <w:b/>
              </w:rPr>
            </w:pPr>
            <w:r w:rsidRPr="00924D31">
              <w:rPr>
                <w:rFonts w:eastAsia="Calibri"/>
                <w:b/>
              </w:rPr>
              <w:t>Termín začiatku a ukončenia PPK</w:t>
            </w:r>
          </w:p>
        </w:tc>
        <w:tc>
          <w:tcPr>
            <w:tcW w:w="3231" w:type="dxa"/>
            <w:tcBorders>
              <w:top w:val="single" w:sz="4" w:space="0" w:color="000000"/>
              <w:left w:val="single" w:sz="4" w:space="0" w:color="auto"/>
              <w:bottom w:val="single" w:sz="4" w:space="0" w:color="auto"/>
              <w:right w:val="single" w:sz="4" w:space="0" w:color="auto"/>
            </w:tcBorders>
          </w:tcPr>
          <w:p w:rsidR="00924D31" w:rsidRPr="00924D31" w:rsidRDefault="00924D31" w:rsidP="00924D31">
            <w:pPr>
              <w:rPr>
                <w:i/>
                <w:sz w:val="20"/>
                <w:szCs w:val="20"/>
              </w:rPr>
            </w:pPr>
          </w:p>
        </w:tc>
      </w:tr>
      <w:tr w:rsidR="00924D31" w:rsidRPr="00924D31" w:rsidTr="00A104FC">
        <w:tc>
          <w:tcPr>
            <w:tcW w:w="5949" w:type="dxa"/>
            <w:gridSpan w:val="3"/>
            <w:tcBorders>
              <w:top w:val="single" w:sz="4" w:space="0" w:color="auto"/>
              <w:left w:val="single" w:sz="4" w:space="0" w:color="auto"/>
              <w:bottom w:val="single" w:sz="4" w:space="0" w:color="FFFFFF"/>
              <w:right w:val="single" w:sz="4" w:space="0" w:color="auto"/>
            </w:tcBorders>
            <w:shd w:val="clear" w:color="auto" w:fill="E2E2E2"/>
          </w:tcPr>
          <w:p w:rsidR="00924D31" w:rsidRPr="00924D31" w:rsidRDefault="00924D31" w:rsidP="00924D31">
            <w:pPr>
              <w:ind w:left="142"/>
              <w:contextualSpacing/>
              <w:rPr>
                <w:rFonts w:eastAsia="Calibri"/>
                <w:b/>
              </w:rPr>
            </w:pPr>
            <w:r w:rsidRPr="00924D31">
              <w:rPr>
                <w:rFonts w:eastAsia="Calibri"/>
                <w:b/>
              </w:rPr>
              <w:t>Predpokladaný termín predloženia na pripomienkové konanie</w:t>
            </w:r>
          </w:p>
        </w:tc>
        <w:tc>
          <w:tcPr>
            <w:tcW w:w="3231" w:type="dxa"/>
            <w:tcBorders>
              <w:top w:val="single" w:sz="4" w:space="0" w:color="auto"/>
              <w:left w:val="single" w:sz="4" w:space="0" w:color="auto"/>
              <w:bottom w:val="single" w:sz="4" w:space="0" w:color="auto"/>
              <w:right w:val="single" w:sz="4" w:space="0" w:color="auto"/>
            </w:tcBorders>
          </w:tcPr>
          <w:p w:rsidR="00924D31" w:rsidRPr="00924D31" w:rsidRDefault="00924D31" w:rsidP="00924D31">
            <w:pPr>
              <w:rPr>
                <w:i/>
                <w:sz w:val="20"/>
                <w:szCs w:val="20"/>
              </w:rPr>
            </w:pPr>
            <w:r w:rsidRPr="00924D31">
              <w:rPr>
                <w:i/>
                <w:sz w:val="20"/>
                <w:szCs w:val="20"/>
              </w:rPr>
              <w:t>október 2022</w:t>
            </w:r>
          </w:p>
        </w:tc>
      </w:tr>
      <w:tr w:rsidR="00924D31" w:rsidRPr="00924D31" w:rsidTr="00A104FC">
        <w:trPr>
          <w:trHeight w:val="320"/>
        </w:trPr>
        <w:tc>
          <w:tcPr>
            <w:tcW w:w="5949" w:type="dxa"/>
            <w:gridSpan w:val="3"/>
            <w:tcBorders>
              <w:top w:val="single" w:sz="4" w:space="0" w:color="auto"/>
              <w:left w:val="single" w:sz="4" w:space="0" w:color="auto"/>
              <w:bottom w:val="single" w:sz="4" w:space="0" w:color="FFFFFF"/>
              <w:right w:val="single" w:sz="4" w:space="0" w:color="auto"/>
            </w:tcBorders>
            <w:shd w:val="clear" w:color="auto" w:fill="E2E2E2"/>
          </w:tcPr>
          <w:p w:rsidR="00924D31" w:rsidRPr="00924D31" w:rsidRDefault="00924D31" w:rsidP="00924D31">
            <w:pPr>
              <w:ind w:left="142"/>
              <w:contextualSpacing/>
              <w:rPr>
                <w:rFonts w:ascii="Calibri" w:eastAsia="Calibri" w:hAnsi="Calibri"/>
                <w:b/>
              </w:rPr>
            </w:pPr>
            <w:r w:rsidRPr="00924D31">
              <w:rPr>
                <w:rFonts w:eastAsia="Calibri"/>
                <w:b/>
              </w:rPr>
              <w:t>Predpokladaný termín začiatku a ukončenia ZP**</w:t>
            </w:r>
            <w:r w:rsidRPr="00924D31">
              <w:rPr>
                <w:rFonts w:ascii="Calibri" w:eastAsia="Calibri" w:hAnsi="Calibri"/>
                <w:b/>
              </w:rPr>
              <w:t xml:space="preserve"> </w:t>
            </w:r>
          </w:p>
        </w:tc>
        <w:tc>
          <w:tcPr>
            <w:tcW w:w="3231" w:type="dxa"/>
            <w:tcBorders>
              <w:top w:val="single" w:sz="4" w:space="0" w:color="auto"/>
              <w:left w:val="single" w:sz="4" w:space="0" w:color="auto"/>
              <w:bottom w:val="single" w:sz="4" w:space="0" w:color="auto"/>
              <w:right w:val="single" w:sz="4" w:space="0" w:color="auto"/>
            </w:tcBorders>
          </w:tcPr>
          <w:p w:rsidR="00924D31" w:rsidRPr="00924D31" w:rsidRDefault="00924D31" w:rsidP="00924D31">
            <w:pPr>
              <w:rPr>
                <w:i/>
                <w:sz w:val="20"/>
                <w:szCs w:val="20"/>
              </w:rPr>
            </w:pPr>
          </w:p>
        </w:tc>
      </w:tr>
      <w:tr w:rsidR="00924D31" w:rsidRPr="00924D31" w:rsidTr="00A104FC">
        <w:tc>
          <w:tcPr>
            <w:tcW w:w="5949" w:type="dxa"/>
            <w:gridSpan w:val="3"/>
            <w:tcBorders>
              <w:top w:val="single" w:sz="4" w:space="0" w:color="auto"/>
              <w:left w:val="single" w:sz="4" w:space="0" w:color="auto"/>
              <w:bottom w:val="single" w:sz="4" w:space="0" w:color="FFFFFF"/>
              <w:right w:val="single" w:sz="4" w:space="0" w:color="auto"/>
            </w:tcBorders>
            <w:shd w:val="clear" w:color="auto" w:fill="E2E2E2"/>
          </w:tcPr>
          <w:p w:rsidR="00924D31" w:rsidRPr="00924D31" w:rsidRDefault="00924D31" w:rsidP="00924D31">
            <w:pPr>
              <w:ind w:left="142"/>
              <w:contextualSpacing/>
              <w:jc w:val="both"/>
              <w:rPr>
                <w:rFonts w:eastAsia="Calibri"/>
                <w:b/>
              </w:rPr>
            </w:pPr>
            <w:r w:rsidRPr="00924D31">
              <w:rPr>
                <w:rFonts w:eastAsia="Calibri"/>
                <w:b/>
              </w:rPr>
              <w:t>Predpokladaný termín predloženia na rokovanie vlády SR*</w:t>
            </w:r>
          </w:p>
        </w:tc>
        <w:tc>
          <w:tcPr>
            <w:tcW w:w="3231" w:type="dxa"/>
            <w:tcBorders>
              <w:top w:val="single" w:sz="4" w:space="0" w:color="auto"/>
              <w:left w:val="single" w:sz="4" w:space="0" w:color="auto"/>
              <w:bottom w:val="single" w:sz="4" w:space="0" w:color="auto"/>
              <w:right w:val="single" w:sz="4" w:space="0" w:color="auto"/>
            </w:tcBorders>
          </w:tcPr>
          <w:p w:rsidR="00924D31" w:rsidRPr="00924D31" w:rsidRDefault="00924D31" w:rsidP="00924D31">
            <w:pPr>
              <w:rPr>
                <w:i/>
                <w:sz w:val="20"/>
                <w:szCs w:val="20"/>
              </w:rPr>
            </w:pPr>
            <w:r w:rsidRPr="00924D31">
              <w:rPr>
                <w:i/>
                <w:sz w:val="20"/>
                <w:szCs w:val="20"/>
              </w:rPr>
              <w:t>december 2022</w:t>
            </w:r>
          </w:p>
        </w:tc>
      </w:tr>
      <w:tr w:rsidR="00924D31" w:rsidRPr="00924D31" w:rsidTr="00A104FC">
        <w:tc>
          <w:tcPr>
            <w:tcW w:w="9180" w:type="dxa"/>
            <w:gridSpan w:val="4"/>
            <w:tcBorders>
              <w:top w:val="single" w:sz="4" w:space="0" w:color="auto"/>
              <w:left w:val="nil"/>
              <w:bottom w:val="single" w:sz="4" w:space="0" w:color="auto"/>
              <w:right w:val="nil"/>
            </w:tcBorders>
            <w:shd w:val="clear" w:color="auto" w:fill="FFFFFF"/>
          </w:tcPr>
          <w:p w:rsidR="00924D31" w:rsidRPr="00924D31" w:rsidRDefault="00924D31" w:rsidP="00924D31">
            <w:pPr>
              <w:rPr>
                <w:sz w:val="20"/>
                <w:szCs w:val="20"/>
              </w:rPr>
            </w:pPr>
          </w:p>
        </w:tc>
      </w:tr>
      <w:tr w:rsidR="00924D31" w:rsidRPr="00924D31" w:rsidTr="00A104FC">
        <w:tc>
          <w:tcPr>
            <w:tcW w:w="9180" w:type="dxa"/>
            <w:gridSpan w:val="4"/>
            <w:tcBorders>
              <w:top w:val="single" w:sz="4" w:space="0" w:color="auto"/>
              <w:left w:val="single" w:sz="4" w:space="0" w:color="auto"/>
              <w:bottom w:val="single" w:sz="4" w:space="0" w:color="FFFFFF"/>
              <w:right w:val="single" w:sz="4" w:space="0" w:color="auto"/>
            </w:tcBorders>
            <w:shd w:val="clear" w:color="auto" w:fill="E2E2E2"/>
          </w:tcPr>
          <w:p w:rsidR="00924D31" w:rsidRPr="00924D31" w:rsidRDefault="00924D31" w:rsidP="00924D31">
            <w:pPr>
              <w:numPr>
                <w:ilvl w:val="0"/>
                <w:numId w:val="1"/>
              </w:numPr>
              <w:ind w:left="426"/>
              <w:contextualSpacing/>
              <w:rPr>
                <w:rFonts w:eastAsia="Calibri"/>
                <w:b/>
              </w:rPr>
            </w:pPr>
            <w:r w:rsidRPr="00924D31">
              <w:rPr>
                <w:rFonts w:eastAsia="Calibri"/>
                <w:b/>
              </w:rPr>
              <w:t>Definovanie problému</w:t>
            </w:r>
          </w:p>
        </w:tc>
      </w:tr>
      <w:tr w:rsidR="00924D31" w:rsidRPr="00924D31" w:rsidTr="00A104FC">
        <w:trPr>
          <w:trHeight w:val="718"/>
        </w:trPr>
        <w:tc>
          <w:tcPr>
            <w:tcW w:w="9180" w:type="dxa"/>
            <w:gridSpan w:val="4"/>
            <w:tcBorders>
              <w:top w:val="single" w:sz="4" w:space="0" w:color="FFFFFF"/>
              <w:left w:val="single" w:sz="4" w:space="0" w:color="auto"/>
              <w:bottom w:val="single" w:sz="4" w:space="0" w:color="auto"/>
              <w:right w:val="single" w:sz="4" w:space="0" w:color="auto"/>
            </w:tcBorders>
            <w:shd w:val="clear" w:color="auto" w:fill="FFFFFF"/>
          </w:tcPr>
          <w:p w:rsidR="00924D31" w:rsidRPr="00924D31" w:rsidRDefault="00924D31" w:rsidP="00924D31">
            <w:pPr>
              <w:widowControl w:val="0"/>
              <w:jc w:val="both"/>
              <w:rPr>
                <w:rFonts w:ascii="Times" w:hAnsi="Times" w:cs="Times"/>
                <w:sz w:val="20"/>
              </w:rPr>
            </w:pPr>
            <w:r w:rsidRPr="00924D31">
              <w:rPr>
                <w:rFonts w:ascii="Times" w:hAnsi="Times" w:cs="Times"/>
                <w:sz w:val="20"/>
              </w:rPr>
              <w:t xml:space="preserve">Zákon č. 110/2004 Z. z. o fungovaní Bezpečnostnej rady Slovenskej republiky v čase mieru v znení neskorších predpisov nedostatočne reflektuje dynamický vývoj medzinárodného bezpečnostného prostredia v oblasti hybridných hrozieb, neodráža potreby súčasného stavu a požadovanú schopnosť zodpovedných orgánov reagovať na hybridné hrozby. Bezpečnostná rada Slovenskej republiky v súčasnosti nedisponuje stálym pracovným výborom, ktorý by sa špecializoval na problematiku hybridných hrozieb a ktorý by mal v pôsobnosti koordinovať plánovanie opatrení zameraných na zachovanie bezpečnosti a budovanie odolnosti Slovenskej republiky voči pôsobeniu hybridných hrozieb. </w:t>
            </w:r>
          </w:p>
          <w:p w:rsidR="00924D31" w:rsidRPr="00924D31" w:rsidRDefault="00924D31" w:rsidP="00924D31">
            <w:pPr>
              <w:jc w:val="both"/>
              <w:rPr>
                <w:b/>
                <w:sz w:val="20"/>
                <w:szCs w:val="20"/>
              </w:rPr>
            </w:pPr>
            <w:r w:rsidRPr="00924D31">
              <w:rPr>
                <w:rFonts w:ascii="Times" w:hAnsi="Times" w:cs="Times"/>
                <w:sz w:val="20"/>
                <w:szCs w:val="20"/>
              </w:rPr>
              <w:t>V Slovenskej republike je dlhodobo zaznamenávaný nárast hybridného pôsobenia Ruskej federácie, ako aj ďalších aktérov. Ruská invázia na Ukrajinu navyše zviditeľnila zraniteľnosti Slovenskej republiky voči hybridným hrozbám. Cudzie mocnosti využívajú široké spektrum nástrojov hybridného pôsobenia od diplomacie cez pôsobenie cudzích spravodajských služieb až po šírenie strategickej propagandy, ktorej cieľom je manipulovať verejnou mienkou, vplývať na predstaviteľov štátu a jeho inštitúcie, oslabiť alebo inak poškodiť záujmy Slovenskej republiky, či narušiť vnútornú kohéziu organizácií EÚ a NATO.</w:t>
            </w:r>
          </w:p>
        </w:tc>
      </w:tr>
      <w:tr w:rsidR="00924D31" w:rsidRPr="00924D31" w:rsidTr="00A104FC">
        <w:tc>
          <w:tcPr>
            <w:tcW w:w="9180" w:type="dxa"/>
            <w:gridSpan w:val="4"/>
            <w:tcBorders>
              <w:top w:val="single" w:sz="4" w:space="0" w:color="auto"/>
              <w:left w:val="single" w:sz="4" w:space="0" w:color="auto"/>
              <w:bottom w:val="nil"/>
              <w:right w:val="single" w:sz="4" w:space="0" w:color="auto"/>
            </w:tcBorders>
            <w:shd w:val="clear" w:color="auto" w:fill="E2E2E2"/>
          </w:tcPr>
          <w:p w:rsidR="00924D31" w:rsidRPr="00924D31" w:rsidRDefault="00924D31" w:rsidP="00924D31">
            <w:pPr>
              <w:numPr>
                <w:ilvl w:val="0"/>
                <w:numId w:val="1"/>
              </w:numPr>
              <w:ind w:left="426"/>
              <w:contextualSpacing/>
              <w:rPr>
                <w:rFonts w:eastAsia="Calibri"/>
                <w:b/>
              </w:rPr>
            </w:pPr>
            <w:r w:rsidRPr="00924D31">
              <w:rPr>
                <w:rFonts w:eastAsia="Calibri"/>
                <w:b/>
              </w:rPr>
              <w:t>Ciele a výsledný stav</w:t>
            </w:r>
          </w:p>
        </w:tc>
      </w:tr>
      <w:tr w:rsidR="00924D31" w:rsidRPr="00924D31" w:rsidTr="00A104FC">
        <w:trPr>
          <w:trHeight w:val="741"/>
        </w:trPr>
        <w:tc>
          <w:tcPr>
            <w:tcW w:w="9180" w:type="dxa"/>
            <w:gridSpan w:val="4"/>
            <w:tcBorders>
              <w:top w:val="nil"/>
              <w:left w:val="single" w:sz="4" w:space="0" w:color="auto"/>
              <w:bottom w:val="single" w:sz="4" w:space="0" w:color="auto"/>
              <w:right w:val="single" w:sz="4" w:space="0" w:color="auto"/>
            </w:tcBorders>
            <w:shd w:val="clear" w:color="auto" w:fill="FFFFFF"/>
          </w:tcPr>
          <w:p w:rsidR="00924D31" w:rsidRPr="00924D31" w:rsidRDefault="00924D31" w:rsidP="00924D31">
            <w:pPr>
              <w:jc w:val="both"/>
              <w:rPr>
                <w:rFonts w:ascii="Times" w:hAnsi="Times" w:cs="Times"/>
                <w:sz w:val="20"/>
              </w:rPr>
            </w:pPr>
            <w:r w:rsidRPr="00924D31">
              <w:rPr>
                <w:rFonts w:ascii="Times" w:hAnsi="Times" w:cs="Times"/>
                <w:sz w:val="20"/>
              </w:rPr>
              <w:t>Návrhom zákona sa realizuje úloha Z.1 novelizovať zákon č. 110/2004 Z. z. o fungovaní Bezpečnostnej rady Slovenskej republiky v čase mieru v znení neskorších predpisov, ktorá pre Ministerstvo obrany Slovenskej republiky vyplýva z Akčného plánu koordinácie boja proti hybridným hrozbám na roky 2022 - 2024, schváleného uznesením vlády Slovenskej republiky č. 235 z 30. marca 2022. Hlavným poslaním nového výboru Bezpečnostnej rady Slovenskej republiky bude podieľať sa na koordinácii činností zameraných na vyhodnocovanie bezpečnostnej situácie doma a v zahraničí, koordinovanie opatrení na riešenie hybridného pôsobenia proti záujmom Slovenskej republiky a podieľať sa na tvorbe relevantných politík v oblasti boja  proti hybridným hrozbám s tým, že vykonávaním činností v oblasti koordinácie medzirezortnej a medzinárodnej spolupráce v oblasti hybridných hrozieb nový výbor Bezpečnostnej rady Slovenskej republiky nebude zasahovať do vymedzenia úloh a pôsobnosti Situačného centra Slovenskej republiky, Národného bezpečnostného analytického centra a výboru Bezpečnostnej rady Slovenskej republiky pre koordináciu spravodajských služieb.</w:t>
            </w:r>
          </w:p>
        </w:tc>
      </w:tr>
      <w:tr w:rsidR="00924D31" w:rsidRPr="00924D31" w:rsidTr="00A104FC">
        <w:tc>
          <w:tcPr>
            <w:tcW w:w="9180" w:type="dxa"/>
            <w:gridSpan w:val="4"/>
            <w:tcBorders>
              <w:top w:val="single" w:sz="4" w:space="0" w:color="auto"/>
              <w:left w:val="single" w:sz="4" w:space="0" w:color="auto"/>
              <w:bottom w:val="nil"/>
              <w:right w:val="single" w:sz="4" w:space="0" w:color="auto"/>
            </w:tcBorders>
            <w:shd w:val="clear" w:color="auto" w:fill="E2E2E2"/>
          </w:tcPr>
          <w:p w:rsidR="00924D31" w:rsidRPr="00924D31" w:rsidRDefault="00924D31" w:rsidP="00924D31">
            <w:pPr>
              <w:numPr>
                <w:ilvl w:val="0"/>
                <w:numId w:val="1"/>
              </w:numPr>
              <w:ind w:left="426"/>
              <w:contextualSpacing/>
              <w:rPr>
                <w:rFonts w:eastAsia="Calibri"/>
                <w:b/>
              </w:rPr>
            </w:pPr>
            <w:r w:rsidRPr="00924D31">
              <w:rPr>
                <w:rFonts w:eastAsia="Calibri"/>
                <w:b/>
              </w:rPr>
              <w:t>Dotknuté subjekty</w:t>
            </w:r>
          </w:p>
        </w:tc>
      </w:tr>
      <w:tr w:rsidR="00924D31" w:rsidRPr="00924D31" w:rsidTr="00A104FC">
        <w:tc>
          <w:tcPr>
            <w:tcW w:w="9180" w:type="dxa"/>
            <w:gridSpan w:val="4"/>
            <w:tcBorders>
              <w:top w:val="nil"/>
              <w:left w:val="single" w:sz="4" w:space="0" w:color="auto"/>
              <w:bottom w:val="single" w:sz="4" w:space="0" w:color="auto"/>
              <w:right w:val="single" w:sz="4" w:space="0" w:color="auto"/>
            </w:tcBorders>
            <w:shd w:val="clear" w:color="auto" w:fill="FFFFFF"/>
          </w:tcPr>
          <w:p w:rsidR="00924D31" w:rsidRPr="00924D31" w:rsidRDefault="00924D31" w:rsidP="00924D31">
            <w:pPr>
              <w:rPr>
                <w:rFonts w:ascii="Times" w:hAnsi="Times" w:cs="Times"/>
                <w:sz w:val="20"/>
                <w:szCs w:val="20"/>
              </w:rPr>
            </w:pPr>
            <w:r w:rsidRPr="00924D31">
              <w:rPr>
                <w:rFonts w:ascii="Times" w:hAnsi="Times" w:cs="Times"/>
                <w:sz w:val="20"/>
                <w:szCs w:val="20"/>
              </w:rPr>
              <w:t xml:space="preserve">ústredné orgány štátnej správy, SIS </w:t>
            </w:r>
          </w:p>
        </w:tc>
      </w:tr>
    </w:tbl>
    <w:p w:rsidR="00924D31" w:rsidRDefault="00924D31"/>
    <w:p w:rsidR="00924D31" w:rsidRDefault="00924D31"/>
    <w:p w:rsidR="00924D31" w:rsidRDefault="00924D31"/>
    <w:p w:rsidR="00924D31" w:rsidRDefault="00924D31"/>
    <w:p w:rsidR="00924D31" w:rsidRDefault="00924D31"/>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924D31" w:rsidRPr="00924D31" w:rsidTr="00A104FC">
        <w:tc>
          <w:tcPr>
            <w:tcW w:w="9180" w:type="dxa"/>
            <w:gridSpan w:val="9"/>
            <w:tcBorders>
              <w:top w:val="single" w:sz="4" w:space="0" w:color="auto"/>
              <w:left w:val="single" w:sz="4" w:space="0" w:color="auto"/>
              <w:bottom w:val="nil"/>
              <w:right w:val="single" w:sz="4" w:space="0" w:color="auto"/>
            </w:tcBorders>
            <w:shd w:val="clear" w:color="auto" w:fill="E2E2E2"/>
          </w:tcPr>
          <w:p w:rsidR="00924D31" w:rsidRPr="00924D31" w:rsidRDefault="00924D31" w:rsidP="00924D31">
            <w:pPr>
              <w:numPr>
                <w:ilvl w:val="0"/>
                <w:numId w:val="1"/>
              </w:numPr>
              <w:ind w:left="426"/>
              <w:contextualSpacing/>
              <w:rPr>
                <w:rFonts w:eastAsia="Calibri"/>
                <w:b/>
              </w:rPr>
            </w:pPr>
            <w:r w:rsidRPr="00924D31">
              <w:rPr>
                <w:rFonts w:eastAsia="Calibri"/>
                <w:b/>
              </w:rPr>
              <w:lastRenderedPageBreak/>
              <w:t>Alternatívne riešenia</w:t>
            </w:r>
          </w:p>
        </w:tc>
      </w:tr>
      <w:tr w:rsidR="00924D31" w:rsidRPr="00924D31" w:rsidTr="00A104FC">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rsidR="00924D31" w:rsidRPr="00924D31" w:rsidRDefault="00924D31" w:rsidP="00924D31">
            <w:pPr>
              <w:jc w:val="both"/>
              <w:rPr>
                <w:sz w:val="20"/>
                <w:szCs w:val="20"/>
              </w:rPr>
            </w:pPr>
            <w:r w:rsidRPr="00924D31">
              <w:rPr>
                <w:sz w:val="20"/>
                <w:szCs w:val="20"/>
              </w:rPr>
              <w:t xml:space="preserve">Vzhľadom na úlohu vyplývajúcu z Akčného plánu koordinácie boja proti hybridným hrozbám na roky 2022 – 2024 schváleného uznesením vlády Slovenskej republiky č. 235/2022 sa pri riešení uvedenej problematiky uvažovalo iba s prijatím navrhovanej právnej úpravy. </w:t>
            </w:r>
          </w:p>
          <w:p w:rsidR="00924D31" w:rsidRPr="00924D31" w:rsidRDefault="00924D31" w:rsidP="00924D31">
            <w:pPr>
              <w:jc w:val="both"/>
              <w:rPr>
                <w:sz w:val="20"/>
                <w:szCs w:val="20"/>
              </w:rPr>
            </w:pPr>
          </w:p>
          <w:p w:rsidR="00924D31" w:rsidRPr="00924D31" w:rsidRDefault="00924D31" w:rsidP="00924D31">
            <w:pPr>
              <w:jc w:val="both"/>
              <w:rPr>
                <w:sz w:val="20"/>
                <w:szCs w:val="20"/>
              </w:rPr>
            </w:pPr>
            <w:r w:rsidRPr="00924D31">
              <w:rPr>
                <w:sz w:val="20"/>
                <w:szCs w:val="20"/>
              </w:rPr>
              <w:t>Nulový variant (neprijatie novej právnej úpravy) by mohol viesť k nasledujúcim dôsledkom:</w:t>
            </w:r>
          </w:p>
          <w:p w:rsidR="00924D31" w:rsidRPr="00924D31" w:rsidRDefault="00924D31" w:rsidP="00924D31">
            <w:pPr>
              <w:jc w:val="both"/>
              <w:rPr>
                <w:sz w:val="20"/>
                <w:szCs w:val="20"/>
              </w:rPr>
            </w:pPr>
            <w:r w:rsidRPr="00924D31">
              <w:rPr>
                <w:sz w:val="20"/>
                <w:szCs w:val="20"/>
              </w:rPr>
              <w:t>- oslabená reakcia štátu na podvratné činnosti, ktoré vykonávajú cudzie mocnosti prostredníctvom využitia širokého spektra nástrojov hybridného pôsobenia, ktorých cieľom je manipulovať verejnou mienkou, vplývať na predstaviteľov štátu a jeho inštitúcie, oslabiť alebo inak poškodiť záujmy Slovenskej republiky, či narušiť vnútornú kohéziu Európskej únie a Severoatlantickej aliancie,</w:t>
            </w:r>
          </w:p>
          <w:p w:rsidR="00924D31" w:rsidRPr="00924D31" w:rsidRDefault="00924D31" w:rsidP="00924D31">
            <w:pPr>
              <w:jc w:val="both"/>
              <w:rPr>
                <w:sz w:val="20"/>
                <w:szCs w:val="20"/>
              </w:rPr>
            </w:pPr>
          </w:p>
          <w:p w:rsidR="00924D31" w:rsidRPr="00924D31" w:rsidRDefault="00924D31" w:rsidP="00924D31">
            <w:pPr>
              <w:jc w:val="both"/>
              <w:rPr>
                <w:i/>
                <w:sz w:val="20"/>
                <w:szCs w:val="20"/>
              </w:rPr>
            </w:pPr>
            <w:r w:rsidRPr="00924D31">
              <w:rPr>
                <w:sz w:val="20"/>
                <w:szCs w:val="20"/>
              </w:rPr>
              <w:t>- nedostatočná koordinácia z dôvodu absencie orgánu, ktorý by sa výhradne špecializoval na problematiku hybridných hrozieb a ktorý by dokázal pružne reagovať na dynamický vývoj medzinárodného bezpečnostného prostredia v oblasti hybridných hrozieb.</w:t>
            </w:r>
          </w:p>
        </w:tc>
      </w:tr>
      <w:tr w:rsidR="00924D31" w:rsidRPr="00924D31" w:rsidTr="00A104F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rsidR="00924D31" w:rsidRPr="00924D31" w:rsidRDefault="00924D31" w:rsidP="00924D31">
            <w:pPr>
              <w:numPr>
                <w:ilvl w:val="0"/>
                <w:numId w:val="1"/>
              </w:numPr>
              <w:ind w:left="426"/>
              <w:contextualSpacing/>
              <w:rPr>
                <w:rFonts w:eastAsia="Calibri"/>
                <w:b/>
              </w:rPr>
            </w:pPr>
            <w:r w:rsidRPr="00924D31">
              <w:rPr>
                <w:rFonts w:eastAsia="Calibri"/>
                <w:b/>
              </w:rPr>
              <w:t>Vykonávacie predpisy</w:t>
            </w:r>
          </w:p>
        </w:tc>
      </w:tr>
      <w:tr w:rsidR="00924D31" w:rsidRPr="00924D31" w:rsidTr="00A104FC">
        <w:tc>
          <w:tcPr>
            <w:tcW w:w="6203" w:type="dxa"/>
            <w:gridSpan w:val="5"/>
            <w:tcBorders>
              <w:top w:val="single" w:sz="4" w:space="0" w:color="FFFFFF"/>
              <w:left w:val="single" w:sz="4" w:space="0" w:color="auto"/>
              <w:bottom w:val="nil"/>
              <w:right w:val="nil"/>
            </w:tcBorders>
            <w:shd w:val="clear" w:color="auto" w:fill="FFFFFF"/>
          </w:tcPr>
          <w:p w:rsidR="00924D31" w:rsidRPr="00924D31" w:rsidRDefault="00924D31" w:rsidP="00924D31">
            <w:pPr>
              <w:rPr>
                <w:i/>
                <w:sz w:val="20"/>
                <w:szCs w:val="20"/>
              </w:rPr>
            </w:pPr>
            <w:r w:rsidRPr="00924D31">
              <w:rPr>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924D31" w:rsidRPr="00924D31" w:rsidRDefault="0097020D" w:rsidP="00924D31">
            <w:pPr>
              <w:jc w:val="center"/>
              <w:rPr>
                <w:b/>
                <w:sz w:val="20"/>
                <w:szCs w:val="20"/>
              </w:rPr>
            </w:pPr>
            <w:sdt>
              <w:sdtPr>
                <w:rPr>
                  <w:b/>
                  <w:sz w:val="20"/>
                  <w:szCs w:val="20"/>
                </w:rPr>
                <w:id w:val="1929613764"/>
                <w14:checkbox>
                  <w14:checked w14:val="0"/>
                  <w14:checkedState w14:val="2612" w14:font="MS Gothic"/>
                  <w14:uncheckedState w14:val="2610" w14:font="MS Gothic"/>
                </w14:checkbox>
              </w:sdtPr>
              <w:sdtEndPr/>
              <w:sdtContent>
                <w:r w:rsidR="00924D31" w:rsidRPr="00924D31">
                  <w:rPr>
                    <w:rFonts w:ascii="Segoe UI Symbol" w:eastAsia="MS Gothic" w:hAnsi="Segoe UI Symbol" w:cs="Segoe UI Symbol"/>
                    <w:b/>
                    <w:sz w:val="20"/>
                    <w:szCs w:val="20"/>
                  </w:rPr>
                  <w:t>☐</w:t>
                </w:r>
              </w:sdtContent>
            </w:sdt>
            <w:r w:rsidR="00924D31" w:rsidRPr="00924D31">
              <w:rPr>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924D31" w:rsidRPr="00924D31" w:rsidRDefault="0097020D" w:rsidP="00924D31">
            <w:pPr>
              <w:jc w:val="center"/>
              <w:rPr>
                <w:b/>
                <w:sz w:val="20"/>
                <w:szCs w:val="20"/>
              </w:rPr>
            </w:pPr>
            <w:sdt>
              <w:sdtPr>
                <w:rPr>
                  <w:b/>
                  <w:sz w:val="20"/>
                  <w:szCs w:val="20"/>
                </w:rPr>
                <w:id w:val="-1594626508"/>
                <w14:checkbox>
                  <w14:checked w14:val="1"/>
                  <w14:checkedState w14:val="2612" w14:font="MS Gothic"/>
                  <w14:uncheckedState w14:val="2610" w14:font="MS Gothic"/>
                </w14:checkbox>
              </w:sdtPr>
              <w:sdtEndPr/>
              <w:sdtContent>
                <w:r w:rsidR="00924D31" w:rsidRPr="00924D31">
                  <w:rPr>
                    <w:rFonts w:ascii="Segoe UI Symbol" w:eastAsia="MS Gothic" w:hAnsi="Segoe UI Symbol" w:cs="Segoe UI Symbol"/>
                    <w:b/>
                    <w:sz w:val="20"/>
                    <w:szCs w:val="20"/>
                  </w:rPr>
                  <w:t>☒</w:t>
                </w:r>
              </w:sdtContent>
            </w:sdt>
            <w:r w:rsidR="00924D31" w:rsidRPr="00924D31">
              <w:rPr>
                <w:b/>
                <w:sz w:val="20"/>
                <w:szCs w:val="20"/>
              </w:rPr>
              <w:t xml:space="preserve">  Nie</w:t>
            </w:r>
          </w:p>
        </w:tc>
      </w:tr>
      <w:tr w:rsidR="00924D31" w:rsidRPr="00924D31" w:rsidTr="00A104FC">
        <w:tc>
          <w:tcPr>
            <w:tcW w:w="9180" w:type="dxa"/>
            <w:gridSpan w:val="9"/>
            <w:tcBorders>
              <w:top w:val="nil"/>
              <w:left w:val="single" w:sz="4" w:space="0" w:color="auto"/>
              <w:bottom w:val="single" w:sz="4" w:space="0" w:color="auto"/>
              <w:right w:val="single" w:sz="4" w:space="0" w:color="auto"/>
            </w:tcBorders>
            <w:shd w:val="clear" w:color="auto" w:fill="FFFFFF"/>
          </w:tcPr>
          <w:p w:rsidR="00924D31" w:rsidRPr="00924D31" w:rsidRDefault="00924D31" w:rsidP="00924D31">
            <w:pPr>
              <w:rPr>
                <w:i/>
                <w:sz w:val="20"/>
                <w:szCs w:val="20"/>
              </w:rPr>
            </w:pPr>
            <w:r w:rsidRPr="00924D31">
              <w:rPr>
                <w:i/>
                <w:sz w:val="20"/>
                <w:szCs w:val="20"/>
              </w:rPr>
              <w:t>Ak áno, uveďte ktoré oblasti budú nimi upravené, resp. ktorých vykonávacích predpisov sa zmena dotkne:</w:t>
            </w:r>
          </w:p>
          <w:p w:rsidR="00924D31" w:rsidRPr="00924D31" w:rsidRDefault="00924D31" w:rsidP="00924D31">
            <w:pPr>
              <w:rPr>
                <w:sz w:val="20"/>
                <w:szCs w:val="20"/>
              </w:rPr>
            </w:pPr>
          </w:p>
        </w:tc>
      </w:tr>
      <w:tr w:rsidR="00924D31" w:rsidRPr="00924D31" w:rsidTr="00A104F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rsidR="00924D31" w:rsidRPr="00924D31" w:rsidRDefault="00924D31" w:rsidP="00924D31">
            <w:pPr>
              <w:numPr>
                <w:ilvl w:val="0"/>
                <w:numId w:val="1"/>
              </w:numPr>
              <w:ind w:left="426"/>
              <w:contextualSpacing/>
              <w:rPr>
                <w:rFonts w:eastAsia="Calibri"/>
                <w:b/>
              </w:rPr>
            </w:pPr>
            <w:r w:rsidRPr="00924D31">
              <w:rPr>
                <w:rFonts w:eastAsia="Calibri"/>
                <w:b/>
              </w:rPr>
              <w:t xml:space="preserve">Transpozícia práva EÚ </w:t>
            </w:r>
          </w:p>
        </w:tc>
      </w:tr>
      <w:tr w:rsidR="00924D31" w:rsidRPr="00924D31" w:rsidTr="00A104FC">
        <w:trPr>
          <w:trHeight w:val="157"/>
        </w:trPr>
        <w:tc>
          <w:tcPr>
            <w:tcW w:w="9180" w:type="dxa"/>
            <w:gridSpan w:val="9"/>
            <w:tcBorders>
              <w:top w:val="nil"/>
              <w:left w:val="single" w:sz="4" w:space="0" w:color="000000"/>
              <w:bottom w:val="nil"/>
              <w:right w:val="single" w:sz="4" w:space="0" w:color="auto"/>
            </w:tcBorders>
            <w:shd w:val="clear" w:color="auto" w:fill="FFFFFF"/>
          </w:tcPr>
          <w:p w:rsidR="00924D31" w:rsidRPr="00924D31" w:rsidRDefault="00924D31" w:rsidP="00924D31">
            <w:pPr>
              <w:jc w:val="both"/>
              <w:rPr>
                <w:i/>
                <w:sz w:val="20"/>
                <w:szCs w:val="20"/>
              </w:rPr>
            </w:pPr>
            <w:r w:rsidRPr="00924D31">
              <w:rPr>
                <w:rFonts w:ascii="Times" w:hAnsi="Times" w:cs="Times"/>
                <w:bCs/>
                <w:sz w:val="20"/>
                <w:szCs w:val="20"/>
              </w:rPr>
              <w:t>Navrhovaná právna úprava nie je transpozíciou práva Európskej únie.</w:t>
            </w:r>
          </w:p>
        </w:tc>
      </w:tr>
      <w:tr w:rsidR="00924D31" w:rsidRPr="00924D31" w:rsidTr="00A104FC">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rsidR="00924D31" w:rsidRPr="00924D31" w:rsidRDefault="00924D31" w:rsidP="00924D31">
            <w:pPr>
              <w:jc w:val="center"/>
              <w:rPr>
                <w:sz w:val="20"/>
                <w:szCs w:val="20"/>
              </w:rPr>
            </w:pPr>
          </w:p>
        </w:tc>
      </w:tr>
      <w:tr w:rsidR="00924D31" w:rsidRPr="00924D31" w:rsidTr="00A104FC">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rsidR="00924D31" w:rsidRPr="00924D31" w:rsidRDefault="00924D31" w:rsidP="00924D31">
            <w:pPr>
              <w:numPr>
                <w:ilvl w:val="0"/>
                <w:numId w:val="1"/>
              </w:numPr>
              <w:ind w:left="426"/>
              <w:contextualSpacing/>
              <w:rPr>
                <w:rFonts w:eastAsia="Calibri"/>
                <w:b/>
              </w:rPr>
            </w:pPr>
            <w:r w:rsidRPr="00924D31">
              <w:rPr>
                <w:rFonts w:eastAsia="Calibri"/>
                <w:b/>
              </w:rPr>
              <w:t>Preskúmanie účelnosti</w:t>
            </w:r>
          </w:p>
        </w:tc>
      </w:tr>
      <w:tr w:rsidR="00924D31" w:rsidRPr="00924D31" w:rsidTr="00A104FC">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rsidR="00924D31" w:rsidRPr="00924D31" w:rsidRDefault="00924D31" w:rsidP="00924D31">
            <w:pPr>
              <w:jc w:val="both"/>
              <w:rPr>
                <w:i/>
                <w:sz w:val="20"/>
                <w:szCs w:val="20"/>
              </w:rPr>
            </w:pPr>
            <w:r w:rsidRPr="00924D31">
              <w:rPr>
                <w:sz w:val="20"/>
                <w:szCs w:val="20"/>
              </w:rPr>
              <w:t>Preskúmanie účelnosti zákona sa zrealizuje v roku 2024 na základe získaných poznatkov z aplikačnej praxe v oblasti hybridných hrozieb.</w:t>
            </w:r>
          </w:p>
        </w:tc>
      </w:tr>
      <w:tr w:rsidR="00924D31" w:rsidRPr="00924D31" w:rsidTr="00A104FC">
        <w:tc>
          <w:tcPr>
            <w:tcW w:w="9180" w:type="dxa"/>
            <w:gridSpan w:val="9"/>
            <w:tcBorders>
              <w:top w:val="nil"/>
              <w:left w:val="nil"/>
              <w:bottom w:val="single" w:sz="4" w:space="0" w:color="auto"/>
              <w:right w:val="nil"/>
            </w:tcBorders>
            <w:shd w:val="clear" w:color="auto" w:fill="FFFFFF"/>
          </w:tcPr>
          <w:p w:rsidR="00924D31" w:rsidRPr="00924D31" w:rsidRDefault="00924D31" w:rsidP="00924D31">
            <w:pPr>
              <w:rPr>
                <w:b/>
                <w:sz w:val="20"/>
                <w:szCs w:val="20"/>
              </w:rPr>
            </w:pPr>
          </w:p>
          <w:p w:rsidR="00924D31" w:rsidRPr="00924D31" w:rsidRDefault="00924D31" w:rsidP="00924D31">
            <w:pPr>
              <w:ind w:left="142" w:hanging="142"/>
              <w:rPr>
                <w:sz w:val="20"/>
                <w:szCs w:val="20"/>
              </w:rPr>
            </w:pPr>
            <w:r w:rsidRPr="00924D31">
              <w:rPr>
                <w:sz w:val="20"/>
                <w:szCs w:val="20"/>
              </w:rPr>
              <w:t xml:space="preserve">* vyplniť iba v prípade, ak materiál nie je zahrnutý do Plánu práce vlády Slovenskej republiky alebo Plánu        legislatívnych úloh vlády Slovenskej republiky. </w:t>
            </w:r>
          </w:p>
          <w:p w:rsidR="00924D31" w:rsidRPr="00924D31" w:rsidRDefault="00924D31" w:rsidP="00924D31">
            <w:pPr>
              <w:rPr>
                <w:sz w:val="20"/>
                <w:szCs w:val="20"/>
              </w:rPr>
            </w:pPr>
            <w:r w:rsidRPr="00924D31">
              <w:rPr>
                <w:sz w:val="20"/>
                <w:szCs w:val="20"/>
              </w:rPr>
              <w:t>** vyplniť iba v prípade, ak sa záverečné posúdenie vybraných vplyvov uskutočnilo v zmysle bodu 9.1. jednotnej metodiky.</w:t>
            </w:r>
          </w:p>
          <w:p w:rsidR="00924D31" w:rsidRPr="00924D31" w:rsidRDefault="00924D31" w:rsidP="00924D31">
            <w:pPr>
              <w:rPr>
                <w:b/>
                <w:sz w:val="20"/>
                <w:szCs w:val="20"/>
              </w:rPr>
            </w:pPr>
          </w:p>
        </w:tc>
      </w:tr>
      <w:tr w:rsidR="00924D31" w:rsidRPr="00924D31" w:rsidTr="00A104FC">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rsidR="00924D31" w:rsidRPr="00924D31" w:rsidRDefault="00924D31" w:rsidP="00924D31">
            <w:pPr>
              <w:numPr>
                <w:ilvl w:val="0"/>
                <w:numId w:val="1"/>
              </w:numPr>
              <w:ind w:left="426"/>
              <w:contextualSpacing/>
              <w:rPr>
                <w:rFonts w:eastAsia="Calibri"/>
                <w:b/>
              </w:rPr>
            </w:pPr>
            <w:r w:rsidRPr="00924D31">
              <w:rPr>
                <w:rFonts w:eastAsia="Calibri"/>
                <w:b/>
              </w:rPr>
              <w:t>Vybrané vplyvy  materiálu</w:t>
            </w:r>
          </w:p>
        </w:tc>
      </w:tr>
      <w:tr w:rsidR="00924D31" w:rsidRPr="00924D31" w:rsidTr="00A104FC">
        <w:tc>
          <w:tcPr>
            <w:tcW w:w="3812" w:type="dxa"/>
            <w:tcBorders>
              <w:top w:val="single" w:sz="4" w:space="0" w:color="auto"/>
              <w:left w:val="single" w:sz="4" w:space="0" w:color="auto"/>
              <w:bottom w:val="nil"/>
              <w:right w:val="single" w:sz="4" w:space="0" w:color="auto"/>
            </w:tcBorders>
            <w:shd w:val="clear" w:color="auto" w:fill="E2E2E2"/>
          </w:tcPr>
          <w:p w:rsidR="00924D31" w:rsidRPr="00924D31" w:rsidRDefault="00924D31" w:rsidP="00924D31">
            <w:pPr>
              <w:rPr>
                <w:b/>
                <w:sz w:val="20"/>
                <w:szCs w:val="20"/>
              </w:rPr>
            </w:pPr>
            <w:r w:rsidRPr="00924D31">
              <w:rPr>
                <w:b/>
                <w:sz w:val="20"/>
                <w:szCs w:val="20"/>
              </w:rPr>
              <w:t>Vplyvy na rozpočet verejnej správy</w:t>
            </w:r>
          </w:p>
        </w:tc>
        <w:sdt>
          <w:sdtPr>
            <w:rPr>
              <w:b/>
              <w:sz w:val="20"/>
              <w:szCs w:val="20"/>
            </w:rPr>
            <w:id w:val="-1066412587"/>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312" w:type="dxa"/>
            <w:tcBorders>
              <w:top w:val="single" w:sz="4" w:space="0" w:color="auto"/>
              <w:left w:val="nil"/>
              <w:bottom w:val="dotted" w:sz="4" w:space="0" w:color="auto"/>
              <w:right w:val="nil"/>
            </w:tcBorders>
          </w:tcPr>
          <w:p w:rsidR="00924D31" w:rsidRPr="00924D31" w:rsidRDefault="00924D31" w:rsidP="00924D31">
            <w:pPr>
              <w:rPr>
                <w:b/>
                <w:sz w:val="20"/>
                <w:szCs w:val="20"/>
              </w:rPr>
            </w:pPr>
            <w:r w:rsidRPr="00924D31">
              <w:rPr>
                <w:b/>
                <w:sz w:val="20"/>
                <w:szCs w:val="20"/>
              </w:rPr>
              <w:t>Pozitívne</w:t>
            </w:r>
          </w:p>
        </w:tc>
        <w:sdt>
          <w:sdtPr>
            <w:rPr>
              <w:b/>
              <w:sz w:val="20"/>
              <w:szCs w:val="20"/>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133" w:type="dxa"/>
            <w:tcBorders>
              <w:top w:val="single" w:sz="4" w:space="0" w:color="auto"/>
              <w:left w:val="nil"/>
              <w:bottom w:val="dotted" w:sz="4" w:space="0" w:color="auto"/>
              <w:right w:val="nil"/>
            </w:tcBorders>
          </w:tcPr>
          <w:p w:rsidR="00924D31" w:rsidRPr="00924D31" w:rsidRDefault="00924D31" w:rsidP="00924D31">
            <w:pPr>
              <w:rPr>
                <w:b/>
                <w:sz w:val="20"/>
                <w:szCs w:val="20"/>
              </w:rPr>
            </w:pPr>
            <w:r w:rsidRPr="00924D31">
              <w:rPr>
                <w:b/>
                <w:sz w:val="20"/>
                <w:szCs w:val="20"/>
              </w:rPr>
              <w:t>Žiadne</w:t>
            </w:r>
          </w:p>
        </w:tc>
        <w:sdt>
          <w:sdtPr>
            <w:rPr>
              <w:b/>
              <w:sz w:val="20"/>
              <w:szCs w:val="20"/>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924D31" w:rsidRPr="00924D31" w:rsidRDefault="00924D31" w:rsidP="00924D31">
                <w:pPr>
                  <w:ind w:left="-107" w:right="-108"/>
                  <w:jc w:val="center"/>
                  <w:rPr>
                    <w:b/>
                    <w:sz w:val="20"/>
                    <w:szCs w:val="20"/>
                  </w:rPr>
                </w:pPr>
                <w:r w:rsidRPr="00924D31">
                  <w:rPr>
                    <w:rFonts w:ascii="Segoe UI Symbol" w:eastAsia="MS Gothic"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tcPr>
          <w:p w:rsidR="00924D31" w:rsidRPr="00924D31" w:rsidRDefault="00924D31" w:rsidP="00924D31">
            <w:pPr>
              <w:ind w:left="34"/>
              <w:rPr>
                <w:b/>
                <w:sz w:val="20"/>
                <w:szCs w:val="20"/>
              </w:rPr>
            </w:pPr>
            <w:r w:rsidRPr="00924D31">
              <w:rPr>
                <w:b/>
                <w:sz w:val="20"/>
                <w:szCs w:val="20"/>
              </w:rPr>
              <w:t>Negatívne</w:t>
            </w:r>
          </w:p>
        </w:tc>
      </w:tr>
      <w:tr w:rsidR="00924D31" w:rsidRPr="00924D31" w:rsidTr="00A104FC">
        <w:tc>
          <w:tcPr>
            <w:tcW w:w="3812" w:type="dxa"/>
            <w:tcBorders>
              <w:top w:val="nil"/>
              <w:left w:val="single" w:sz="4" w:space="0" w:color="auto"/>
              <w:bottom w:val="nil"/>
              <w:right w:val="single" w:sz="4" w:space="0" w:color="auto"/>
            </w:tcBorders>
            <w:shd w:val="clear" w:color="auto" w:fill="E2E2E2"/>
          </w:tcPr>
          <w:p w:rsidR="00924D31" w:rsidRPr="00924D31" w:rsidRDefault="00924D31" w:rsidP="00924D31">
            <w:pPr>
              <w:rPr>
                <w:sz w:val="20"/>
                <w:szCs w:val="20"/>
              </w:rPr>
            </w:pPr>
            <w:r w:rsidRPr="00924D31">
              <w:rPr>
                <w:sz w:val="20"/>
                <w:szCs w:val="20"/>
              </w:rPr>
              <w:t xml:space="preserve">    z toho rozpočtovo zabezpečené vplyvy,         </w:t>
            </w:r>
          </w:p>
          <w:p w:rsidR="00924D31" w:rsidRPr="00924D31" w:rsidRDefault="00924D31" w:rsidP="00924D31">
            <w:pPr>
              <w:rPr>
                <w:sz w:val="20"/>
                <w:szCs w:val="20"/>
              </w:rPr>
            </w:pPr>
            <w:r w:rsidRPr="00924D31">
              <w:rPr>
                <w:sz w:val="20"/>
                <w:szCs w:val="20"/>
              </w:rPr>
              <w:t xml:space="preserve">    v prípade identifikovaného negatívneho </w:t>
            </w:r>
          </w:p>
          <w:p w:rsidR="00924D31" w:rsidRPr="00924D31" w:rsidRDefault="00924D31" w:rsidP="00924D31">
            <w:pPr>
              <w:rPr>
                <w:sz w:val="20"/>
                <w:szCs w:val="20"/>
              </w:rPr>
            </w:pPr>
            <w:r w:rsidRPr="00924D31">
              <w:rPr>
                <w:sz w:val="20"/>
                <w:szCs w:val="20"/>
              </w:rPr>
              <w:t xml:space="preserve">    vplyvu</w:t>
            </w:r>
          </w:p>
        </w:tc>
        <w:sdt>
          <w:sdtPr>
            <w:rPr>
              <w:sz w:val="20"/>
              <w:szCs w:val="20"/>
            </w:rPr>
            <w:id w:val="-114334045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rsidR="00924D31" w:rsidRPr="00924D31" w:rsidRDefault="00924D31" w:rsidP="00924D31">
                <w:pPr>
                  <w:jc w:val="center"/>
                  <w:rPr>
                    <w:sz w:val="20"/>
                    <w:szCs w:val="20"/>
                  </w:rPr>
                </w:pPr>
                <w:r w:rsidRPr="00924D31">
                  <w:rPr>
                    <w:rFonts w:ascii="Segoe UI Symbol" w:eastAsia="MS Gothic" w:hAnsi="Segoe UI Symbol" w:cs="Segoe UI Symbol"/>
                    <w:sz w:val="20"/>
                    <w:szCs w:val="20"/>
                  </w:rPr>
                  <w:t>☐</w:t>
                </w:r>
              </w:p>
            </w:tc>
          </w:sdtContent>
        </w:sdt>
        <w:tc>
          <w:tcPr>
            <w:tcW w:w="1312" w:type="dxa"/>
            <w:tcBorders>
              <w:top w:val="dotted" w:sz="4" w:space="0" w:color="auto"/>
              <w:left w:val="nil"/>
              <w:bottom w:val="dotted" w:sz="4" w:space="0" w:color="auto"/>
              <w:right w:val="nil"/>
            </w:tcBorders>
            <w:vAlign w:val="center"/>
          </w:tcPr>
          <w:p w:rsidR="00924D31" w:rsidRPr="00924D31" w:rsidRDefault="00924D31" w:rsidP="00924D31">
            <w:pPr>
              <w:rPr>
                <w:sz w:val="20"/>
                <w:szCs w:val="20"/>
              </w:rPr>
            </w:pPr>
            <w:r w:rsidRPr="00924D31">
              <w:rPr>
                <w:sz w:val="20"/>
                <w:szCs w:val="20"/>
              </w:rPr>
              <w:t>Áno</w:t>
            </w:r>
          </w:p>
        </w:tc>
        <w:sdt>
          <w:sdtPr>
            <w:rPr>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924D31" w:rsidRPr="00924D31" w:rsidRDefault="00924D31" w:rsidP="00924D31">
                <w:pPr>
                  <w:jc w:val="center"/>
                  <w:rPr>
                    <w:sz w:val="20"/>
                    <w:szCs w:val="20"/>
                  </w:rPr>
                </w:pPr>
                <w:r w:rsidRPr="00924D31">
                  <w:rPr>
                    <w:rFonts w:ascii="Segoe UI Symbol" w:eastAsia="MS Gothic"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rsidR="00924D31" w:rsidRPr="00924D31" w:rsidRDefault="00924D31" w:rsidP="00924D31">
            <w:pPr>
              <w:rPr>
                <w:sz w:val="20"/>
                <w:szCs w:val="20"/>
              </w:rPr>
            </w:pPr>
            <w:r w:rsidRPr="00924D31">
              <w:rPr>
                <w:sz w:val="20"/>
                <w:szCs w:val="20"/>
              </w:rPr>
              <w:t>Nie</w:t>
            </w:r>
          </w:p>
        </w:tc>
        <w:sdt>
          <w:sdtPr>
            <w:rPr>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924D31" w:rsidRPr="00924D31" w:rsidRDefault="00924D31" w:rsidP="00924D31">
                <w:pPr>
                  <w:ind w:left="-107" w:right="-108"/>
                  <w:jc w:val="center"/>
                  <w:rPr>
                    <w:sz w:val="20"/>
                    <w:szCs w:val="20"/>
                  </w:rPr>
                </w:pPr>
                <w:r w:rsidRPr="00924D31">
                  <w:rPr>
                    <w:rFonts w:ascii="Segoe UI Symbol" w:eastAsia="MS Gothic"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924D31" w:rsidRPr="00924D31" w:rsidRDefault="00924D31" w:rsidP="00924D31">
            <w:pPr>
              <w:ind w:left="34"/>
              <w:rPr>
                <w:sz w:val="20"/>
                <w:szCs w:val="20"/>
              </w:rPr>
            </w:pPr>
            <w:r w:rsidRPr="00924D31">
              <w:rPr>
                <w:sz w:val="20"/>
                <w:szCs w:val="20"/>
              </w:rPr>
              <w:t>Čiastočne</w:t>
            </w:r>
          </w:p>
        </w:tc>
      </w:tr>
      <w:tr w:rsidR="00924D31" w:rsidRPr="00924D31" w:rsidTr="00A104FC">
        <w:tc>
          <w:tcPr>
            <w:tcW w:w="3812" w:type="dxa"/>
            <w:tcBorders>
              <w:top w:val="nil"/>
              <w:left w:val="single" w:sz="4" w:space="0" w:color="auto"/>
              <w:bottom w:val="nil"/>
              <w:right w:val="single" w:sz="4" w:space="0" w:color="auto"/>
            </w:tcBorders>
            <w:shd w:val="clear" w:color="auto" w:fill="E2E2E2"/>
          </w:tcPr>
          <w:p w:rsidR="00924D31" w:rsidRPr="00924D31" w:rsidRDefault="00924D31" w:rsidP="00924D31">
            <w:pPr>
              <w:rPr>
                <w:b/>
                <w:sz w:val="20"/>
                <w:szCs w:val="20"/>
              </w:rPr>
            </w:pPr>
            <w:r w:rsidRPr="00924D31">
              <w:rPr>
                <w:b/>
                <w:sz w:val="20"/>
                <w:szCs w:val="20"/>
              </w:rPr>
              <w:t>v tom vplyvy na rozpočty obcí a vyšších územných celkov</w:t>
            </w:r>
          </w:p>
        </w:tc>
        <w:sdt>
          <w:sdtPr>
            <w:rPr>
              <w:b/>
              <w:sz w:val="20"/>
              <w:szCs w:val="20"/>
            </w:rPr>
            <w:id w:val="-1577430931"/>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312" w:type="dxa"/>
            <w:tcBorders>
              <w:top w:val="dotted" w:sz="4" w:space="0" w:color="auto"/>
              <w:left w:val="nil"/>
              <w:bottom w:val="dotted" w:sz="4" w:space="0" w:color="auto"/>
              <w:right w:val="nil"/>
            </w:tcBorders>
          </w:tcPr>
          <w:p w:rsidR="00924D31" w:rsidRPr="00924D31" w:rsidRDefault="00924D31" w:rsidP="00924D31">
            <w:pPr>
              <w:rPr>
                <w:b/>
                <w:sz w:val="20"/>
                <w:szCs w:val="20"/>
              </w:rPr>
            </w:pPr>
            <w:r w:rsidRPr="00924D31">
              <w:rPr>
                <w:b/>
                <w:sz w:val="20"/>
                <w:szCs w:val="20"/>
              </w:rPr>
              <w:t>Pozitívne</w:t>
            </w:r>
          </w:p>
        </w:tc>
        <w:sdt>
          <w:sdtPr>
            <w:rPr>
              <w:b/>
              <w:sz w:val="20"/>
              <w:szCs w:val="20"/>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133" w:type="dxa"/>
            <w:tcBorders>
              <w:top w:val="dotted" w:sz="4" w:space="0" w:color="auto"/>
              <w:left w:val="nil"/>
              <w:bottom w:val="dotted" w:sz="4" w:space="0" w:color="auto"/>
              <w:right w:val="nil"/>
            </w:tcBorders>
          </w:tcPr>
          <w:p w:rsidR="00924D31" w:rsidRPr="00924D31" w:rsidRDefault="00924D31" w:rsidP="00924D31">
            <w:pPr>
              <w:rPr>
                <w:b/>
                <w:sz w:val="20"/>
                <w:szCs w:val="20"/>
              </w:rPr>
            </w:pPr>
            <w:r w:rsidRPr="00924D31">
              <w:rPr>
                <w:b/>
                <w:sz w:val="20"/>
                <w:szCs w:val="20"/>
              </w:rPr>
              <w:t>Žiadne</w:t>
            </w:r>
          </w:p>
        </w:tc>
        <w:sdt>
          <w:sdtPr>
            <w:rPr>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924D31" w:rsidRPr="00924D31" w:rsidRDefault="00924D31" w:rsidP="00924D31">
                <w:pPr>
                  <w:ind w:left="-107" w:right="-108"/>
                  <w:jc w:val="center"/>
                  <w:rPr>
                    <w:b/>
                    <w:sz w:val="20"/>
                    <w:szCs w:val="20"/>
                  </w:rPr>
                </w:pPr>
                <w:r w:rsidRPr="00924D31">
                  <w:rPr>
                    <w:rFonts w:ascii="Segoe UI Symbol" w:eastAsia="MS Gothic"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tcPr>
          <w:p w:rsidR="00924D31" w:rsidRPr="00924D31" w:rsidRDefault="00924D31" w:rsidP="00924D31">
            <w:pPr>
              <w:ind w:left="34"/>
              <w:rPr>
                <w:b/>
                <w:sz w:val="20"/>
                <w:szCs w:val="20"/>
              </w:rPr>
            </w:pPr>
            <w:r w:rsidRPr="00924D31">
              <w:rPr>
                <w:b/>
                <w:sz w:val="20"/>
                <w:szCs w:val="20"/>
              </w:rPr>
              <w:t>Negatívne</w:t>
            </w:r>
          </w:p>
        </w:tc>
      </w:tr>
      <w:tr w:rsidR="00924D31" w:rsidRPr="00924D31" w:rsidTr="00A104FC">
        <w:tc>
          <w:tcPr>
            <w:tcW w:w="3812" w:type="dxa"/>
            <w:tcBorders>
              <w:top w:val="nil"/>
              <w:left w:val="single" w:sz="4" w:space="0" w:color="auto"/>
              <w:bottom w:val="single" w:sz="4" w:space="0" w:color="000000"/>
              <w:right w:val="single" w:sz="4" w:space="0" w:color="auto"/>
            </w:tcBorders>
            <w:shd w:val="clear" w:color="auto" w:fill="E2E2E2"/>
          </w:tcPr>
          <w:p w:rsidR="00924D31" w:rsidRPr="00924D31" w:rsidRDefault="00924D31" w:rsidP="00924D31">
            <w:pPr>
              <w:ind w:left="171"/>
              <w:rPr>
                <w:sz w:val="20"/>
                <w:szCs w:val="20"/>
              </w:rPr>
            </w:pPr>
            <w:r w:rsidRPr="00924D31">
              <w:rPr>
                <w:sz w:val="20"/>
                <w:szCs w:val="20"/>
              </w:rPr>
              <w:t>z toho rozpočtovo zabezpečené vplyvy,</w:t>
            </w:r>
          </w:p>
          <w:p w:rsidR="00924D31" w:rsidRPr="00924D31" w:rsidRDefault="00924D31" w:rsidP="00924D31">
            <w:pPr>
              <w:ind w:left="171"/>
              <w:rPr>
                <w:sz w:val="20"/>
                <w:szCs w:val="20"/>
              </w:rPr>
            </w:pPr>
            <w:r w:rsidRPr="00924D31">
              <w:rPr>
                <w:sz w:val="20"/>
                <w:szCs w:val="20"/>
              </w:rPr>
              <w:t>v prípade identifikovaného negatívneho vplyvu</w:t>
            </w:r>
          </w:p>
        </w:tc>
        <w:sdt>
          <w:sdtPr>
            <w:rPr>
              <w:sz w:val="20"/>
              <w:szCs w:val="20"/>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rsidR="00924D31" w:rsidRPr="00924D31" w:rsidRDefault="00924D31" w:rsidP="00924D31">
                <w:pPr>
                  <w:jc w:val="center"/>
                  <w:rPr>
                    <w:sz w:val="20"/>
                    <w:szCs w:val="20"/>
                  </w:rPr>
                </w:pPr>
                <w:r w:rsidRPr="00924D31">
                  <w:rPr>
                    <w:rFonts w:ascii="Segoe UI Symbol" w:eastAsia="MS Gothic" w:hAnsi="Segoe UI Symbol" w:cs="Segoe UI Symbol"/>
                    <w:sz w:val="20"/>
                    <w:szCs w:val="20"/>
                  </w:rPr>
                  <w:t>☐</w:t>
                </w:r>
              </w:p>
            </w:tc>
          </w:sdtContent>
        </w:sdt>
        <w:tc>
          <w:tcPr>
            <w:tcW w:w="1312" w:type="dxa"/>
            <w:tcBorders>
              <w:top w:val="dotted" w:sz="4" w:space="0" w:color="auto"/>
              <w:left w:val="nil"/>
              <w:bottom w:val="dotted" w:sz="4" w:space="0" w:color="auto"/>
              <w:right w:val="nil"/>
            </w:tcBorders>
            <w:vAlign w:val="center"/>
          </w:tcPr>
          <w:p w:rsidR="00924D31" w:rsidRPr="00924D31" w:rsidRDefault="00924D31" w:rsidP="00924D31">
            <w:pPr>
              <w:rPr>
                <w:sz w:val="20"/>
                <w:szCs w:val="20"/>
              </w:rPr>
            </w:pPr>
            <w:r w:rsidRPr="00924D31">
              <w:rPr>
                <w:sz w:val="20"/>
                <w:szCs w:val="20"/>
              </w:rPr>
              <w:t>Áno</w:t>
            </w:r>
          </w:p>
        </w:tc>
        <w:sdt>
          <w:sdtPr>
            <w:rPr>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924D31" w:rsidRPr="00924D31" w:rsidRDefault="00924D31" w:rsidP="00924D31">
                <w:pPr>
                  <w:jc w:val="center"/>
                  <w:rPr>
                    <w:sz w:val="20"/>
                    <w:szCs w:val="20"/>
                  </w:rPr>
                </w:pPr>
                <w:r w:rsidRPr="00924D31">
                  <w:rPr>
                    <w:rFonts w:ascii="Segoe UI Symbol" w:eastAsia="MS Gothic"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rsidR="00924D31" w:rsidRPr="00924D31" w:rsidRDefault="00924D31" w:rsidP="00924D31">
            <w:pPr>
              <w:rPr>
                <w:sz w:val="20"/>
                <w:szCs w:val="20"/>
              </w:rPr>
            </w:pPr>
            <w:r w:rsidRPr="00924D31">
              <w:rPr>
                <w:sz w:val="20"/>
                <w:szCs w:val="20"/>
              </w:rPr>
              <w:t>Nie</w:t>
            </w:r>
          </w:p>
        </w:tc>
        <w:sdt>
          <w:sdtPr>
            <w:rPr>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924D31" w:rsidRPr="00924D31" w:rsidRDefault="00924D31" w:rsidP="00924D31">
                <w:pPr>
                  <w:ind w:left="-107" w:right="-108"/>
                  <w:jc w:val="center"/>
                  <w:rPr>
                    <w:sz w:val="20"/>
                    <w:szCs w:val="20"/>
                  </w:rPr>
                </w:pPr>
                <w:r w:rsidRPr="00924D31">
                  <w:rPr>
                    <w:rFonts w:ascii="Segoe UI Symbol" w:eastAsia="MS Gothic"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924D31" w:rsidRPr="00924D31" w:rsidRDefault="00924D31" w:rsidP="00924D31">
            <w:pPr>
              <w:ind w:left="34"/>
              <w:rPr>
                <w:sz w:val="20"/>
                <w:szCs w:val="20"/>
              </w:rPr>
            </w:pPr>
            <w:r w:rsidRPr="00924D31">
              <w:rPr>
                <w:sz w:val="20"/>
                <w:szCs w:val="20"/>
              </w:rPr>
              <w:t>Čiastočne</w:t>
            </w:r>
          </w:p>
        </w:tc>
      </w:tr>
      <w:tr w:rsidR="00924D31" w:rsidRPr="00924D31" w:rsidTr="00A104FC">
        <w:tc>
          <w:tcPr>
            <w:tcW w:w="3812" w:type="dxa"/>
            <w:tcBorders>
              <w:top w:val="single" w:sz="4" w:space="0" w:color="000000"/>
              <w:left w:val="single" w:sz="4" w:space="0" w:color="auto"/>
              <w:bottom w:val="nil"/>
              <w:right w:val="single" w:sz="4" w:space="0" w:color="auto"/>
            </w:tcBorders>
            <w:shd w:val="clear" w:color="auto" w:fill="E2E2E2"/>
          </w:tcPr>
          <w:p w:rsidR="00924D31" w:rsidRPr="00924D31" w:rsidRDefault="00924D31" w:rsidP="00924D31">
            <w:pPr>
              <w:rPr>
                <w:b/>
                <w:sz w:val="20"/>
                <w:szCs w:val="20"/>
              </w:rPr>
            </w:pPr>
            <w:r w:rsidRPr="00924D31">
              <w:rPr>
                <w:b/>
                <w:sz w:val="20"/>
                <w:szCs w:val="20"/>
              </w:rPr>
              <w:t>Vplyvy na podnikateľské prostredie</w:t>
            </w:r>
          </w:p>
        </w:tc>
        <w:sdt>
          <w:sdtPr>
            <w:rPr>
              <w:b/>
              <w:sz w:val="20"/>
              <w:szCs w:val="20"/>
            </w:rPr>
            <w:id w:val="470941242"/>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312" w:type="dxa"/>
            <w:tcBorders>
              <w:top w:val="single" w:sz="4" w:space="0" w:color="auto"/>
              <w:left w:val="nil"/>
              <w:bottom w:val="dotted" w:sz="4" w:space="0" w:color="auto"/>
              <w:right w:val="nil"/>
            </w:tcBorders>
            <w:vAlign w:val="center"/>
          </w:tcPr>
          <w:p w:rsidR="00924D31" w:rsidRPr="00924D31" w:rsidRDefault="00924D31" w:rsidP="00924D31">
            <w:pPr>
              <w:ind w:right="-108"/>
              <w:rPr>
                <w:b/>
                <w:sz w:val="20"/>
                <w:szCs w:val="20"/>
              </w:rPr>
            </w:pPr>
            <w:r w:rsidRPr="00924D31">
              <w:rPr>
                <w:b/>
                <w:sz w:val="20"/>
                <w:szCs w:val="20"/>
              </w:rPr>
              <w:t>Pozitívne</w:t>
            </w:r>
          </w:p>
        </w:tc>
        <w:sdt>
          <w:sdtPr>
            <w:rPr>
              <w:b/>
              <w:sz w:val="20"/>
              <w:szCs w:val="20"/>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133" w:type="dxa"/>
            <w:tcBorders>
              <w:top w:val="single" w:sz="4" w:space="0" w:color="auto"/>
              <w:left w:val="nil"/>
              <w:bottom w:val="dotted" w:sz="4" w:space="0" w:color="auto"/>
              <w:right w:val="nil"/>
            </w:tcBorders>
            <w:vAlign w:val="center"/>
          </w:tcPr>
          <w:p w:rsidR="00924D31" w:rsidRPr="00924D31" w:rsidRDefault="00924D31" w:rsidP="00924D31">
            <w:pPr>
              <w:rPr>
                <w:b/>
                <w:sz w:val="20"/>
                <w:szCs w:val="20"/>
              </w:rPr>
            </w:pPr>
            <w:r w:rsidRPr="00924D31">
              <w:rPr>
                <w:b/>
                <w:sz w:val="20"/>
                <w:szCs w:val="20"/>
              </w:rPr>
              <w:t>Žiadne</w:t>
            </w:r>
          </w:p>
        </w:tc>
        <w:sdt>
          <w:sdtPr>
            <w:rPr>
              <w:b/>
              <w:sz w:val="20"/>
              <w:szCs w:val="20"/>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rsidR="00924D31" w:rsidRPr="00924D31" w:rsidRDefault="00924D31" w:rsidP="00924D31">
            <w:pPr>
              <w:ind w:left="54"/>
              <w:rPr>
                <w:b/>
                <w:sz w:val="20"/>
                <w:szCs w:val="20"/>
              </w:rPr>
            </w:pPr>
            <w:r w:rsidRPr="00924D31">
              <w:rPr>
                <w:b/>
                <w:sz w:val="20"/>
                <w:szCs w:val="20"/>
              </w:rPr>
              <w:t>Negatívne</w:t>
            </w:r>
          </w:p>
        </w:tc>
      </w:tr>
      <w:tr w:rsidR="00924D31" w:rsidRPr="00924D31" w:rsidTr="00A104FC">
        <w:tc>
          <w:tcPr>
            <w:tcW w:w="3812" w:type="dxa"/>
            <w:tcBorders>
              <w:top w:val="nil"/>
              <w:left w:val="single" w:sz="4" w:space="0" w:color="000000"/>
              <w:bottom w:val="nil"/>
              <w:right w:val="single" w:sz="4" w:space="0" w:color="000000"/>
            </w:tcBorders>
            <w:shd w:val="clear" w:color="auto" w:fill="E2E2E2"/>
          </w:tcPr>
          <w:p w:rsidR="00924D31" w:rsidRPr="00924D31" w:rsidRDefault="00924D31" w:rsidP="00924D31">
            <w:pPr>
              <w:rPr>
                <w:sz w:val="20"/>
                <w:szCs w:val="20"/>
              </w:rPr>
            </w:pPr>
            <w:r w:rsidRPr="00924D31">
              <w:rPr>
                <w:sz w:val="20"/>
                <w:szCs w:val="20"/>
              </w:rPr>
              <w:t xml:space="preserve">    z toho vplyvy na MSP</w:t>
            </w:r>
          </w:p>
          <w:p w:rsidR="00924D31" w:rsidRPr="00924D31" w:rsidRDefault="00924D31" w:rsidP="00924D31">
            <w:pPr>
              <w:rPr>
                <w:sz w:val="20"/>
                <w:szCs w:val="20"/>
              </w:rPr>
            </w:pPr>
          </w:p>
        </w:tc>
        <w:sdt>
          <w:sdtPr>
            <w:rPr>
              <w:sz w:val="20"/>
              <w:szCs w:val="20"/>
            </w:rPr>
            <w:id w:val="862408102"/>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000000"/>
                  <w:bottom w:val="dotted" w:sz="4" w:space="0" w:color="auto"/>
                  <w:right w:val="nil"/>
                </w:tcBorders>
                <w:vAlign w:val="center"/>
              </w:tcPr>
              <w:p w:rsidR="00924D31" w:rsidRPr="00924D31" w:rsidRDefault="00924D31" w:rsidP="00924D31">
                <w:pPr>
                  <w:jc w:val="center"/>
                  <w:rPr>
                    <w:sz w:val="20"/>
                    <w:szCs w:val="20"/>
                  </w:rPr>
                </w:pPr>
                <w:r w:rsidRPr="00924D31">
                  <w:rPr>
                    <w:rFonts w:ascii="Segoe UI Symbol" w:eastAsia="MS Gothic" w:hAnsi="Segoe UI Symbol" w:cs="Segoe UI Symbol"/>
                    <w:sz w:val="20"/>
                    <w:szCs w:val="20"/>
                  </w:rPr>
                  <w:t>☐</w:t>
                </w:r>
              </w:p>
            </w:tc>
          </w:sdtContent>
        </w:sdt>
        <w:tc>
          <w:tcPr>
            <w:tcW w:w="1312" w:type="dxa"/>
            <w:tcBorders>
              <w:top w:val="dotted" w:sz="4" w:space="0" w:color="auto"/>
              <w:left w:val="nil"/>
              <w:bottom w:val="dotted" w:sz="4" w:space="0" w:color="auto"/>
              <w:right w:val="nil"/>
            </w:tcBorders>
            <w:vAlign w:val="center"/>
          </w:tcPr>
          <w:p w:rsidR="00924D31" w:rsidRPr="00924D31" w:rsidRDefault="00924D31" w:rsidP="00924D31">
            <w:pPr>
              <w:ind w:right="-108"/>
              <w:rPr>
                <w:sz w:val="20"/>
                <w:szCs w:val="20"/>
              </w:rPr>
            </w:pPr>
            <w:r w:rsidRPr="00924D31">
              <w:rPr>
                <w:sz w:val="20"/>
                <w:szCs w:val="20"/>
              </w:rPr>
              <w:t>Pozitívne</w:t>
            </w:r>
          </w:p>
        </w:tc>
        <w:sdt>
          <w:sdtPr>
            <w:rPr>
              <w:sz w:val="20"/>
              <w:szCs w:val="20"/>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924D31" w:rsidRPr="00924D31" w:rsidRDefault="00924D31" w:rsidP="00924D31">
                <w:pPr>
                  <w:jc w:val="center"/>
                  <w:rPr>
                    <w:sz w:val="20"/>
                    <w:szCs w:val="20"/>
                  </w:rPr>
                </w:pPr>
                <w:r w:rsidRPr="00924D31">
                  <w:rPr>
                    <w:rFonts w:ascii="Segoe UI Symbol" w:eastAsia="MS Gothic"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rsidR="00924D31" w:rsidRPr="00924D31" w:rsidRDefault="00924D31" w:rsidP="00924D31">
            <w:pPr>
              <w:rPr>
                <w:sz w:val="20"/>
                <w:szCs w:val="20"/>
              </w:rPr>
            </w:pPr>
            <w:r w:rsidRPr="00924D31">
              <w:rPr>
                <w:sz w:val="20"/>
                <w:szCs w:val="20"/>
              </w:rPr>
              <w:t>Žiadne</w:t>
            </w:r>
          </w:p>
        </w:tc>
        <w:sdt>
          <w:sdtPr>
            <w:rPr>
              <w:sz w:val="20"/>
              <w:szCs w:val="20"/>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924D31" w:rsidRPr="00924D31" w:rsidRDefault="00924D31" w:rsidP="00924D31">
                <w:pPr>
                  <w:jc w:val="center"/>
                  <w:rPr>
                    <w:sz w:val="20"/>
                    <w:szCs w:val="20"/>
                  </w:rPr>
                </w:pPr>
                <w:r w:rsidRPr="00924D31">
                  <w:rPr>
                    <w:rFonts w:ascii="Segoe UI Symbol" w:eastAsia="MS Gothic"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924D31" w:rsidRPr="00924D31" w:rsidRDefault="00924D31" w:rsidP="00924D31">
            <w:pPr>
              <w:ind w:left="54"/>
              <w:rPr>
                <w:sz w:val="20"/>
                <w:szCs w:val="20"/>
              </w:rPr>
            </w:pPr>
            <w:r w:rsidRPr="00924D31">
              <w:rPr>
                <w:sz w:val="20"/>
                <w:szCs w:val="20"/>
              </w:rPr>
              <w:t>Negatívne</w:t>
            </w:r>
          </w:p>
        </w:tc>
      </w:tr>
      <w:tr w:rsidR="00924D31" w:rsidRPr="00924D31" w:rsidTr="00A104FC">
        <w:tc>
          <w:tcPr>
            <w:tcW w:w="3812" w:type="dxa"/>
            <w:tcBorders>
              <w:top w:val="nil"/>
              <w:left w:val="single" w:sz="4" w:space="0" w:color="auto"/>
              <w:bottom w:val="single" w:sz="4" w:space="0" w:color="auto"/>
              <w:right w:val="single" w:sz="4" w:space="0" w:color="auto"/>
            </w:tcBorders>
            <w:shd w:val="clear" w:color="auto" w:fill="E2E2E2"/>
          </w:tcPr>
          <w:p w:rsidR="00924D31" w:rsidRPr="00924D31" w:rsidRDefault="00924D31" w:rsidP="00924D31">
            <w:pPr>
              <w:rPr>
                <w:sz w:val="20"/>
                <w:szCs w:val="20"/>
              </w:rPr>
            </w:pPr>
            <w:r w:rsidRPr="00924D31">
              <w:rPr>
                <w:sz w:val="20"/>
                <w:szCs w:val="20"/>
              </w:rPr>
              <w:t xml:space="preserve">    Mechanizmus znižovania byrokracie    </w:t>
            </w:r>
          </w:p>
          <w:p w:rsidR="00924D31" w:rsidRPr="00924D31" w:rsidRDefault="00924D31" w:rsidP="00924D31">
            <w:pPr>
              <w:rPr>
                <w:b/>
                <w:sz w:val="20"/>
                <w:szCs w:val="20"/>
              </w:rPr>
            </w:pPr>
            <w:r w:rsidRPr="00924D31">
              <w:rPr>
                <w:sz w:val="20"/>
                <w:szCs w:val="20"/>
              </w:rPr>
              <w:t xml:space="preserve">    a nákladov sa uplatňuje:</w:t>
            </w:r>
          </w:p>
        </w:tc>
        <w:sdt>
          <w:sdtPr>
            <w:rPr>
              <w:b/>
              <w:sz w:val="20"/>
              <w:szCs w:val="20"/>
            </w:rPr>
            <w:id w:val="-817577505"/>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single" w:sz="4" w:space="0" w:color="auto"/>
                  <w:right w:val="nil"/>
                </w:tcBorders>
                <w:vAlign w:val="center"/>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596" w:type="dxa"/>
            <w:gridSpan w:val="2"/>
            <w:tcBorders>
              <w:top w:val="dotted" w:sz="4" w:space="0" w:color="auto"/>
              <w:left w:val="nil"/>
              <w:bottom w:val="single" w:sz="4" w:space="0" w:color="auto"/>
              <w:right w:val="nil"/>
            </w:tcBorders>
            <w:vAlign w:val="center"/>
          </w:tcPr>
          <w:p w:rsidR="00924D31" w:rsidRPr="00924D31" w:rsidRDefault="00924D31" w:rsidP="00924D31">
            <w:pPr>
              <w:ind w:right="-108"/>
              <w:rPr>
                <w:b/>
                <w:sz w:val="20"/>
                <w:szCs w:val="20"/>
              </w:rPr>
            </w:pPr>
            <w:r w:rsidRPr="00924D31">
              <w:rPr>
                <w:sz w:val="20"/>
                <w:szCs w:val="20"/>
              </w:rPr>
              <w:t>Áno</w:t>
            </w:r>
          </w:p>
        </w:tc>
        <w:tc>
          <w:tcPr>
            <w:tcW w:w="254" w:type="dxa"/>
            <w:tcBorders>
              <w:top w:val="dotted" w:sz="4" w:space="0" w:color="auto"/>
              <w:left w:val="nil"/>
              <w:bottom w:val="single" w:sz="4" w:space="0" w:color="auto"/>
              <w:right w:val="nil"/>
            </w:tcBorders>
            <w:vAlign w:val="center"/>
          </w:tcPr>
          <w:p w:rsidR="00924D31" w:rsidRPr="00924D31" w:rsidRDefault="00924D31" w:rsidP="00924D31">
            <w:pPr>
              <w:jc w:val="center"/>
              <w:rPr>
                <w:b/>
                <w:sz w:val="20"/>
                <w:szCs w:val="20"/>
              </w:rPr>
            </w:pPr>
          </w:p>
        </w:tc>
        <w:tc>
          <w:tcPr>
            <w:tcW w:w="1133" w:type="dxa"/>
            <w:tcBorders>
              <w:top w:val="dotted" w:sz="4" w:space="0" w:color="auto"/>
              <w:left w:val="nil"/>
              <w:bottom w:val="single" w:sz="4" w:space="0" w:color="auto"/>
              <w:right w:val="nil"/>
            </w:tcBorders>
            <w:vAlign w:val="center"/>
          </w:tcPr>
          <w:p w:rsidR="00924D31" w:rsidRPr="00924D31" w:rsidRDefault="00924D31" w:rsidP="00924D31">
            <w:pPr>
              <w:jc w:val="center"/>
              <w:rPr>
                <w:b/>
                <w:sz w:val="20"/>
                <w:szCs w:val="20"/>
              </w:rPr>
            </w:pPr>
          </w:p>
        </w:tc>
        <w:sdt>
          <w:sdtPr>
            <w:rPr>
              <w:b/>
              <w:sz w:val="20"/>
              <w:szCs w:val="20"/>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924D31" w:rsidRPr="00924D31" w:rsidRDefault="00924D31" w:rsidP="00924D31">
            <w:pPr>
              <w:ind w:left="54"/>
              <w:rPr>
                <w:b/>
                <w:sz w:val="20"/>
                <w:szCs w:val="20"/>
              </w:rPr>
            </w:pPr>
            <w:r w:rsidRPr="00924D31">
              <w:rPr>
                <w:sz w:val="20"/>
                <w:szCs w:val="20"/>
              </w:rPr>
              <w:t>Nie</w:t>
            </w:r>
          </w:p>
        </w:tc>
      </w:tr>
      <w:tr w:rsidR="00924D31" w:rsidRPr="00924D31" w:rsidTr="00A104FC">
        <w:tc>
          <w:tcPr>
            <w:tcW w:w="3812" w:type="dxa"/>
            <w:tcBorders>
              <w:top w:val="single" w:sz="4" w:space="0" w:color="000000"/>
              <w:left w:val="single" w:sz="4" w:space="0" w:color="auto"/>
              <w:bottom w:val="single" w:sz="4" w:space="0" w:color="auto"/>
              <w:right w:val="single" w:sz="4" w:space="0" w:color="auto"/>
            </w:tcBorders>
            <w:shd w:val="clear" w:color="auto" w:fill="E2E2E2"/>
          </w:tcPr>
          <w:p w:rsidR="00924D31" w:rsidRPr="00924D31" w:rsidRDefault="00924D31" w:rsidP="00924D31">
            <w:pPr>
              <w:rPr>
                <w:b/>
                <w:sz w:val="20"/>
                <w:szCs w:val="20"/>
              </w:rPr>
            </w:pPr>
            <w:r w:rsidRPr="00924D31">
              <w:rPr>
                <w:b/>
                <w:sz w:val="20"/>
                <w:szCs w:val="20"/>
              </w:rPr>
              <w:t>Sociálne vplyvy</w:t>
            </w:r>
          </w:p>
        </w:tc>
        <w:sdt>
          <w:sdtPr>
            <w:rPr>
              <w:b/>
              <w:sz w:val="20"/>
              <w:szCs w:val="20"/>
            </w:rPr>
            <w:id w:val="-195894584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tcPr>
          <w:p w:rsidR="00924D31" w:rsidRPr="00924D31" w:rsidRDefault="00924D31" w:rsidP="00924D31">
            <w:pPr>
              <w:ind w:right="-108"/>
              <w:rPr>
                <w:b/>
                <w:sz w:val="20"/>
                <w:szCs w:val="20"/>
              </w:rPr>
            </w:pPr>
            <w:r w:rsidRPr="00924D31">
              <w:rPr>
                <w:b/>
                <w:sz w:val="20"/>
                <w:szCs w:val="20"/>
              </w:rPr>
              <w:t>Pozitívne</w:t>
            </w:r>
          </w:p>
        </w:tc>
        <w:sdt>
          <w:sdtPr>
            <w:rPr>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924D31" w:rsidRPr="00924D31" w:rsidRDefault="00924D31" w:rsidP="00924D31">
            <w:pPr>
              <w:rPr>
                <w:b/>
                <w:sz w:val="20"/>
                <w:szCs w:val="20"/>
              </w:rPr>
            </w:pPr>
            <w:r w:rsidRPr="00924D31">
              <w:rPr>
                <w:b/>
                <w:sz w:val="20"/>
                <w:szCs w:val="20"/>
              </w:rPr>
              <w:t>Žiadne</w:t>
            </w:r>
          </w:p>
        </w:tc>
        <w:sdt>
          <w:sdtPr>
            <w:rPr>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924D31" w:rsidRPr="00924D31" w:rsidRDefault="00924D31" w:rsidP="00924D31">
            <w:pPr>
              <w:ind w:left="54"/>
              <w:rPr>
                <w:b/>
                <w:sz w:val="20"/>
                <w:szCs w:val="20"/>
              </w:rPr>
            </w:pPr>
            <w:r w:rsidRPr="00924D31">
              <w:rPr>
                <w:b/>
                <w:sz w:val="20"/>
                <w:szCs w:val="20"/>
              </w:rPr>
              <w:t>Negatívne</w:t>
            </w:r>
          </w:p>
        </w:tc>
      </w:tr>
      <w:tr w:rsidR="00924D31" w:rsidRPr="00924D31" w:rsidTr="00A104FC">
        <w:tc>
          <w:tcPr>
            <w:tcW w:w="3812" w:type="dxa"/>
            <w:tcBorders>
              <w:top w:val="single" w:sz="4" w:space="0" w:color="auto"/>
              <w:left w:val="single" w:sz="4" w:space="0" w:color="auto"/>
              <w:bottom w:val="single" w:sz="4" w:space="0" w:color="auto"/>
              <w:right w:val="single" w:sz="4" w:space="0" w:color="auto"/>
            </w:tcBorders>
            <w:shd w:val="clear" w:color="auto" w:fill="E2E2E2"/>
          </w:tcPr>
          <w:p w:rsidR="00924D31" w:rsidRPr="00924D31" w:rsidRDefault="00924D31" w:rsidP="00924D31">
            <w:pPr>
              <w:rPr>
                <w:b/>
                <w:sz w:val="20"/>
                <w:szCs w:val="20"/>
              </w:rPr>
            </w:pPr>
            <w:r w:rsidRPr="00924D31">
              <w:rPr>
                <w:b/>
                <w:sz w:val="20"/>
                <w:szCs w:val="20"/>
              </w:rPr>
              <w:t>Vplyvy na životné prostredie</w:t>
            </w:r>
          </w:p>
        </w:tc>
        <w:sdt>
          <w:sdtPr>
            <w:rPr>
              <w:b/>
              <w:sz w:val="20"/>
              <w:szCs w:val="20"/>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tcPr>
          <w:p w:rsidR="00924D31" w:rsidRPr="00924D31" w:rsidRDefault="00924D31" w:rsidP="00924D31">
            <w:pPr>
              <w:ind w:right="-108"/>
              <w:rPr>
                <w:b/>
                <w:sz w:val="20"/>
                <w:szCs w:val="20"/>
              </w:rPr>
            </w:pPr>
            <w:r w:rsidRPr="00924D31">
              <w:rPr>
                <w:b/>
                <w:sz w:val="20"/>
                <w:szCs w:val="20"/>
              </w:rPr>
              <w:t>Pozitívne</w:t>
            </w:r>
          </w:p>
        </w:tc>
        <w:sdt>
          <w:sdtPr>
            <w:rPr>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924D31" w:rsidRPr="00924D31" w:rsidRDefault="00924D31" w:rsidP="00924D31">
            <w:pPr>
              <w:rPr>
                <w:b/>
                <w:sz w:val="20"/>
                <w:szCs w:val="20"/>
              </w:rPr>
            </w:pPr>
            <w:r w:rsidRPr="00924D31">
              <w:rPr>
                <w:b/>
                <w:sz w:val="20"/>
                <w:szCs w:val="20"/>
              </w:rPr>
              <w:t>Žiadne</w:t>
            </w:r>
          </w:p>
        </w:tc>
        <w:sdt>
          <w:sdtPr>
            <w:rPr>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924D31" w:rsidRPr="00924D31" w:rsidRDefault="00924D31" w:rsidP="00924D31">
            <w:pPr>
              <w:ind w:left="54"/>
              <w:rPr>
                <w:b/>
                <w:sz w:val="20"/>
                <w:szCs w:val="20"/>
              </w:rPr>
            </w:pPr>
            <w:r w:rsidRPr="00924D31">
              <w:rPr>
                <w:b/>
                <w:sz w:val="20"/>
                <w:szCs w:val="20"/>
              </w:rPr>
              <w:t>Negatívne</w:t>
            </w:r>
          </w:p>
        </w:tc>
      </w:tr>
      <w:tr w:rsidR="00924D31" w:rsidRPr="00924D31" w:rsidTr="00A104FC">
        <w:tc>
          <w:tcPr>
            <w:tcW w:w="3812" w:type="dxa"/>
            <w:tcBorders>
              <w:top w:val="single" w:sz="4" w:space="0" w:color="auto"/>
              <w:left w:val="single" w:sz="4" w:space="0" w:color="auto"/>
              <w:bottom w:val="single" w:sz="4" w:space="0" w:color="auto"/>
              <w:right w:val="single" w:sz="4" w:space="0" w:color="auto"/>
            </w:tcBorders>
            <w:shd w:val="clear" w:color="auto" w:fill="E2E2E2"/>
          </w:tcPr>
          <w:p w:rsidR="00924D31" w:rsidRPr="00924D31" w:rsidRDefault="00924D31" w:rsidP="00924D31">
            <w:pPr>
              <w:rPr>
                <w:b/>
                <w:sz w:val="20"/>
                <w:szCs w:val="20"/>
              </w:rPr>
            </w:pPr>
            <w:r w:rsidRPr="00924D31">
              <w:rPr>
                <w:b/>
                <w:sz w:val="20"/>
                <w:szCs w:val="20"/>
              </w:rPr>
              <w:t>Vplyvy na informatizáciu spoločnosti</w:t>
            </w:r>
          </w:p>
        </w:tc>
        <w:sdt>
          <w:sdtPr>
            <w:rPr>
              <w:b/>
              <w:sz w:val="20"/>
              <w:szCs w:val="20"/>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tcPr>
          <w:p w:rsidR="00924D31" w:rsidRPr="00924D31" w:rsidRDefault="00924D31" w:rsidP="00924D31">
            <w:pPr>
              <w:ind w:right="-108"/>
              <w:rPr>
                <w:b/>
                <w:sz w:val="20"/>
                <w:szCs w:val="20"/>
              </w:rPr>
            </w:pPr>
            <w:r w:rsidRPr="00924D31">
              <w:rPr>
                <w:b/>
                <w:sz w:val="20"/>
                <w:szCs w:val="20"/>
              </w:rPr>
              <w:t>Pozitívne</w:t>
            </w:r>
          </w:p>
        </w:tc>
        <w:sdt>
          <w:sdtPr>
            <w:rPr>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rsidR="00924D31" w:rsidRPr="00924D31" w:rsidRDefault="00924D31" w:rsidP="00924D31">
            <w:pPr>
              <w:rPr>
                <w:b/>
                <w:sz w:val="20"/>
                <w:szCs w:val="20"/>
              </w:rPr>
            </w:pPr>
            <w:r w:rsidRPr="00924D31">
              <w:rPr>
                <w:b/>
                <w:sz w:val="20"/>
                <w:szCs w:val="20"/>
              </w:rPr>
              <w:t>Žiadne</w:t>
            </w:r>
          </w:p>
        </w:tc>
        <w:sdt>
          <w:sdtPr>
            <w:rPr>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rsidR="00924D31" w:rsidRPr="00924D31" w:rsidRDefault="00924D31" w:rsidP="00924D31">
            <w:pPr>
              <w:ind w:left="54"/>
              <w:rPr>
                <w:b/>
                <w:sz w:val="20"/>
                <w:szCs w:val="20"/>
              </w:rPr>
            </w:pPr>
            <w:r w:rsidRPr="00924D31">
              <w:rPr>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924D31" w:rsidRPr="00924D31" w:rsidTr="00A104FC">
        <w:tc>
          <w:tcPr>
            <w:tcW w:w="3812" w:type="dxa"/>
            <w:tcBorders>
              <w:top w:val="single" w:sz="4" w:space="0" w:color="auto"/>
              <w:left w:val="single" w:sz="4" w:space="0" w:color="auto"/>
              <w:bottom w:val="nil"/>
              <w:right w:val="single" w:sz="4" w:space="0" w:color="auto"/>
            </w:tcBorders>
            <w:shd w:val="clear" w:color="auto" w:fill="E2E2E2"/>
          </w:tcPr>
          <w:p w:rsidR="00924D31" w:rsidRPr="00924D31" w:rsidRDefault="00924D31" w:rsidP="00924D31">
            <w:pPr>
              <w:rPr>
                <w:b/>
                <w:sz w:val="20"/>
                <w:szCs w:val="20"/>
              </w:rPr>
            </w:pPr>
            <w:r w:rsidRPr="00924D31">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924D31" w:rsidRPr="00924D31" w:rsidRDefault="00924D31" w:rsidP="00924D31">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rsidR="00924D31" w:rsidRPr="00924D31" w:rsidRDefault="00924D31" w:rsidP="00924D31">
            <w:pPr>
              <w:ind w:right="-108"/>
              <w:rPr>
                <w:b/>
                <w:sz w:val="20"/>
                <w:szCs w:val="20"/>
              </w:rPr>
            </w:pPr>
          </w:p>
        </w:tc>
        <w:tc>
          <w:tcPr>
            <w:tcW w:w="569" w:type="dxa"/>
            <w:gridSpan w:val="2"/>
            <w:tcBorders>
              <w:top w:val="single" w:sz="4" w:space="0" w:color="auto"/>
              <w:left w:val="nil"/>
              <w:bottom w:val="nil"/>
              <w:right w:val="nil"/>
            </w:tcBorders>
            <w:shd w:val="clear" w:color="auto" w:fill="auto"/>
          </w:tcPr>
          <w:p w:rsidR="00924D31" w:rsidRPr="00924D31" w:rsidRDefault="00924D31" w:rsidP="00924D31">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rsidR="00924D31" w:rsidRPr="00924D31" w:rsidRDefault="00924D31" w:rsidP="00924D31">
            <w:pPr>
              <w:rPr>
                <w:b/>
                <w:sz w:val="20"/>
                <w:szCs w:val="20"/>
              </w:rPr>
            </w:pPr>
          </w:p>
        </w:tc>
        <w:tc>
          <w:tcPr>
            <w:tcW w:w="547" w:type="dxa"/>
            <w:tcBorders>
              <w:top w:val="single" w:sz="4" w:space="0" w:color="auto"/>
              <w:left w:val="nil"/>
              <w:bottom w:val="nil"/>
              <w:right w:val="nil"/>
            </w:tcBorders>
            <w:shd w:val="clear" w:color="auto" w:fill="auto"/>
          </w:tcPr>
          <w:p w:rsidR="00924D31" w:rsidRPr="00924D31" w:rsidRDefault="00924D31" w:rsidP="00924D31">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rsidR="00924D31" w:rsidRPr="00924D31" w:rsidRDefault="00924D31" w:rsidP="00924D31">
            <w:pPr>
              <w:ind w:left="54"/>
              <w:rPr>
                <w:b/>
                <w:sz w:val="20"/>
                <w:szCs w:val="20"/>
              </w:rPr>
            </w:pPr>
          </w:p>
        </w:tc>
      </w:tr>
      <w:tr w:rsidR="00924D31" w:rsidRPr="00924D31" w:rsidTr="00A104FC">
        <w:tc>
          <w:tcPr>
            <w:tcW w:w="3812" w:type="dxa"/>
            <w:tcBorders>
              <w:top w:val="nil"/>
              <w:left w:val="single" w:sz="4" w:space="0" w:color="auto"/>
              <w:bottom w:val="nil"/>
              <w:right w:val="single" w:sz="4" w:space="0" w:color="auto"/>
            </w:tcBorders>
            <w:shd w:val="clear" w:color="auto" w:fill="E2E2E2"/>
          </w:tcPr>
          <w:p w:rsidR="00924D31" w:rsidRPr="00924D31" w:rsidRDefault="00924D31" w:rsidP="00924D31">
            <w:pPr>
              <w:ind w:left="196" w:hanging="196"/>
              <w:rPr>
                <w:rFonts w:eastAsia="Calibri"/>
                <w:b/>
                <w:sz w:val="20"/>
                <w:szCs w:val="20"/>
              </w:rPr>
            </w:pPr>
            <w:r w:rsidRPr="00924D31">
              <w:rPr>
                <w:rFonts w:eastAsia="Calibri"/>
                <w:b/>
                <w:sz w:val="20"/>
                <w:szCs w:val="20"/>
              </w:rPr>
              <w:t xml:space="preserve">    vplyvy služieb verejnej správy na občana</w:t>
            </w:r>
          </w:p>
        </w:tc>
        <w:sdt>
          <w:sdtPr>
            <w:rPr>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312" w:type="dxa"/>
            <w:gridSpan w:val="2"/>
            <w:tcBorders>
              <w:top w:val="nil"/>
              <w:left w:val="nil"/>
              <w:bottom w:val="dotted" w:sz="4" w:space="0" w:color="auto"/>
              <w:right w:val="nil"/>
            </w:tcBorders>
            <w:shd w:val="clear" w:color="auto" w:fill="auto"/>
          </w:tcPr>
          <w:p w:rsidR="00924D31" w:rsidRPr="00924D31" w:rsidRDefault="00924D31" w:rsidP="00924D31">
            <w:pPr>
              <w:ind w:right="-108"/>
              <w:rPr>
                <w:b/>
                <w:sz w:val="20"/>
                <w:szCs w:val="20"/>
              </w:rPr>
            </w:pPr>
            <w:r w:rsidRPr="00924D31">
              <w:rPr>
                <w:b/>
                <w:sz w:val="20"/>
                <w:szCs w:val="20"/>
              </w:rPr>
              <w:t>Pozitívne</w:t>
            </w:r>
          </w:p>
        </w:tc>
        <w:sdt>
          <w:sdtPr>
            <w:rPr>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133" w:type="dxa"/>
            <w:tcBorders>
              <w:top w:val="nil"/>
              <w:left w:val="nil"/>
              <w:bottom w:val="dotted" w:sz="4" w:space="0" w:color="auto"/>
              <w:right w:val="nil"/>
            </w:tcBorders>
            <w:shd w:val="clear" w:color="auto" w:fill="auto"/>
          </w:tcPr>
          <w:p w:rsidR="00924D31" w:rsidRPr="00924D31" w:rsidRDefault="00924D31" w:rsidP="00924D31">
            <w:pPr>
              <w:rPr>
                <w:b/>
                <w:sz w:val="20"/>
                <w:szCs w:val="20"/>
              </w:rPr>
            </w:pPr>
            <w:r w:rsidRPr="00924D31">
              <w:rPr>
                <w:b/>
                <w:sz w:val="20"/>
                <w:szCs w:val="20"/>
              </w:rPr>
              <w:t>Žiadne</w:t>
            </w:r>
          </w:p>
        </w:tc>
        <w:sdt>
          <w:sdtPr>
            <w:rPr>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297" w:type="dxa"/>
            <w:tcBorders>
              <w:top w:val="nil"/>
              <w:left w:val="nil"/>
              <w:bottom w:val="dotted" w:sz="4" w:space="0" w:color="auto"/>
              <w:right w:val="single" w:sz="4" w:space="0" w:color="auto"/>
            </w:tcBorders>
            <w:shd w:val="clear" w:color="auto" w:fill="auto"/>
          </w:tcPr>
          <w:p w:rsidR="00924D31" w:rsidRPr="00924D31" w:rsidRDefault="00924D31" w:rsidP="00924D31">
            <w:pPr>
              <w:ind w:left="54"/>
              <w:rPr>
                <w:b/>
                <w:sz w:val="20"/>
                <w:szCs w:val="20"/>
              </w:rPr>
            </w:pPr>
            <w:r w:rsidRPr="00924D31">
              <w:rPr>
                <w:b/>
                <w:sz w:val="20"/>
                <w:szCs w:val="20"/>
              </w:rPr>
              <w:t>Negatívne</w:t>
            </w:r>
          </w:p>
        </w:tc>
      </w:tr>
      <w:tr w:rsidR="00924D31" w:rsidRPr="00924D31" w:rsidTr="00A104FC">
        <w:tc>
          <w:tcPr>
            <w:tcW w:w="3812" w:type="dxa"/>
            <w:tcBorders>
              <w:top w:val="nil"/>
              <w:left w:val="single" w:sz="4" w:space="0" w:color="auto"/>
              <w:bottom w:val="nil"/>
              <w:right w:val="single" w:sz="4" w:space="0" w:color="auto"/>
            </w:tcBorders>
            <w:shd w:val="clear" w:color="auto" w:fill="E2E2E2"/>
          </w:tcPr>
          <w:p w:rsidR="00924D31" w:rsidRPr="00924D31" w:rsidRDefault="00924D31" w:rsidP="00924D31">
            <w:pPr>
              <w:ind w:left="168" w:hanging="168"/>
              <w:rPr>
                <w:rFonts w:eastAsia="Calibri"/>
                <w:b/>
                <w:sz w:val="20"/>
                <w:szCs w:val="20"/>
              </w:rPr>
            </w:pPr>
            <w:r w:rsidRPr="00924D31">
              <w:rPr>
                <w:rFonts w:eastAsia="Calibri"/>
                <w:b/>
                <w:sz w:val="20"/>
                <w:szCs w:val="20"/>
              </w:rPr>
              <w:t xml:space="preserve">    vplyvy na procesy služieb vo verejnej správe</w:t>
            </w:r>
          </w:p>
        </w:tc>
        <w:sdt>
          <w:sdtPr>
            <w:rPr>
              <w:b/>
              <w:sz w:val="20"/>
              <w:szCs w:val="20"/>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924D31" w:rsidRPr="00924D31" w:rsidRDefault="00924D31" w:rsidP="00924D31">
            <w:pPr>
              <w:ind w:right="-108"/>
              <w:rPr>
                <w:b/>
                <w:sz w:val="20"/>
                <w:szCs w:val="20"/>
              </w:rPr>
            </w:pPr>
            <w:r w:rsidRPr="00924D31">
              <w:rPr>
                <w:b/>
                <w:sz w:val="20"/>
                <w:szCs w:val="20"/>
              </w:rPr>
              <w:t>Pozitívne</w:t>
            </w:r>
          </w:p>
        </w:tc>
        <w:sdt>
          <w:sdtPr>
            <w:rPr>
              <w:b/>
              <w:sz w:val="20"/>
              <w:szCs w:val="20"/>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rsidR="00924D31" w:rsidRPr="00924D31" w:rsidRDefault="00924D31" w:rsidP="00924D31">
            <w:pPr>
              <w:rPr>
                <w:b/>
                <w:sz w:val="20"/>
                <w:szCs w:val="20"/>
              </w:rPr>
            </w:pPr>
            <w:r w:rsidRPr="00924D31">
              <w:rPr>
                <w:b/>
                <w:sz w:val="20"/>
                <w:szCs w:val="20"/>
              </w:rPr>
              <w:t>Žiadne</w:t>
            </w:r>
          </w:p>
        </w:tc>
        <w:sdt>
          <w:sdtPr>
            <w:rPr>
              <w:b/>
              <w:sz w:val="20"/>
              <w:szCs w:val="20"/>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924D31" w:rsidRPr="00924D31" w:rsidRDefault="00924D31" w:rsidP="00924D31">
            <w:pPr>
              <w:ind w:left="54"/>
              <w:rPr>
                <w:b/>
                <w:sz w:val="20"/>
                <w:szCs w:val="20"/>
              </w:rPr>
            </w:pPr>
            <w:r w:rsidRPr="00924D31">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924D31" w:rsidRPr="00924D31" w:rsidTr="00A104FC">
        <w:tc>
          <w:tcPr>
            <w:tcW w:w="3812" w:type="dxa"/>
            <w:tcBorders>
              <w:top w:val="single" w:sz="4" w:space="0" w:color="000000"/>
              <w:left w:val="single" w:sz="4" w:space="0" w:color="auto"/>
              <w:bottom w:val="single" w:sz="4" w:space="0" w:color="auto"/>
              <w:right w:val="single" w:sz="4" w:space="0" w:color="auto"/>
            </w:tcBorders>
            <w:shd w:val="clear" w:color="auto" w:fill="E2E2E2"/>
          </w:tcPr>
          <w:p w:rsidR="00924D31" w:rsidRPr="00924D31" w:rsidRDefault="00924D31" w:rsidP="00924D31">
            <w:pPr>
              <w:rPr>
                <w:b/>
                <w:sz w:val="20"/>
                <w:szCs w:val="20"/>
              </w:rPr>
            </w:pPr>
            <w:r w:rsidRPr="00924D31">
              <w:rPr>
                <w:b/>
                <w:sz w:val="20"/>
                <w:szCs w:val="20"/>
              </w:rPr>
              <w:t>Vplyvy na manželstvo, rodičovstvo a rodinu</w:t>
            </w:r>
          </w:p>
        </w:tc>
        <w:sdt>
          <w:sdtPr>
            <w:rPr>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vAlign w:val="center"/>
          </w:tcPr>
          <w:p w:rsidR="00924D31" w:rsidRPr="00924D31" w:rsidRDefault="00924D31" w:rsidP="00924D31">
            <w:pPr>
              <w:ind w:right="-108"/>
              <w:rPr>
                <w:b/>
                <w:sz w:val="20"/>
                <w:szCs w:val="20"/>
              </w:rPr>
            </w:pPr>
            <w:r w:rsidRPr="00924D31">
              <w:rPr>
                <w:b/>
                <w:sz w:val="20"/>
                <w:szCs w:val="20"/>
              </w:rPr>
              <w:t>Pozitívne</w:t>
            </w:r>
          </w:p>
        </w:tc>
        <w:sdt>
          <w:sdtPr>
            <w:rPr>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vAlign w:val="center"/>
          </w:tcPr>
          <w:p w:rsidR="00924D31" w:rsidRPr="00924D31" w:rsidRDefault="00924D31" w:rsidP="00924D31">
            <w:pPr>
              <w:rPr>
                <w:b/>
                <w:sz w:val="20"/>
                <w:szCs w:val="20"/>
              </w:rPr>
            </w:pPr>
            <w:r w:rsidRPr="00924D31">
              <w:rPr>
                <w:b/>
                <w:sz w:val="20"/>
                <w:szCs w:val="20"/>
              </w:rPr>
              <w:t>Žiadne</w:t>
            </w:r>
          </w:p>
        </w:tc>
        <w:sdt>
          <w:sdtPr>
            <w:rPr>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924D31" w:rsidRPr="00924D31" w:rsidRDefault="00924D31" w:rsidP="00924D31">
                <w:pPr>
                  <w:jc w:val="center"/>
                  <w:rPr>
                    <w:b/>
                    <w:sz w:val="20"/>
                    <w:szCs w:val="20"/>
                  </w:rPr>
                </w:pPr>
                <w:r w:rsidRPr="00924D31">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924D31" w:rsidRPr="00924D31" w:rsidRDefault="00924D31" w:rsidP="00924D31">
            <w:pPr>
              <w:ind w:left="54"/>
              <w:rPr>
                <w:b/>
                <w:sz w:val="20"/>
                <w:szCs w:val="20"/>
              </w:rPr>
            </w:pPr>
            <w:r w:rsidRPr="00924D31">
              <w:rPr>
                <w:b/>
                <w:sz w:val="20"/>
                <w:szCs w:val="20"/>
              </w:rPr>
              <w:t>Negatívne</w:t>
            </w:r>
          </w:p>
        </w:tc>
      </w:tr>
    </w:tbl>
    <w:p w:rsidR="00924D31" w:rsidRPr="00924D31" w:rsidRDefault="00924D31" w:rsidP="00924D31">
      <w:pPr>
        <w:ind w:right="141"/>
        <w:rPr>
          <w:b/>
          <w:sz w:val="20"/>
          <w:szCs w:val="20"/>
        </w:rPr>
      </w:pPr>
    </w:p>
    <w:tbl>
      <w:tblPr>
        <w:tblStyle w:val="Mriekatabuky1"/>
        <w:tblW w:w="9176" w:type="dxa"/>
        <w:tblLayout w:type="fixed"/>
        <w:tblLook w:val="04A0" w:firstRow="1" w:lastRow="0" w:firstColumn="1" w:lastColumn="0" w:noHBand="0" w:noVBand="1"/>
      </w:tblPr>
      <w:tblGrid>
        <w:gridCol w:w="9176"/>
      </w:tblGrid>
      <w:tr w:rsidR="00924D31" w:rsidRPr="00924D31" w:rsidTr="00A104FC">
        <w:tc>
          <w:tcPr>
            <w:tcW w:w="9176" w:type="dxa"/>
            <w:tcBorders>
              <w:top w:val="single" w:sz="4" w:space="0" w:color="auto"/>
              <w:left w:val="single" w:sz="4" w:space="0" w:color="auto"/>
              <w:bottom w:val="nil"/>
              <w:right w:val="single" w:sz="4" w:space="0" w:color="auto"/>
            </w:tcBorders>
            <w:shd w:val="clear" w:color="auto" w:fill="E2E2E2"/>
          </w:tcPr>
          <w:p w:rsidR="00924D31" w:rsidRPr="00924D31" w:rsidRDefault="00924D31" w:rsidP="00924D31">
            <w:pPr>
              <w:numPr>
                <w:ilvl w:val="0"/>
                <w:numId w:val="1"/>
              </w:numPr>
              <w:ind w:left="426"/>
              <w:contextualSpacing/>
              <w:rPr>
                <w:rFonts w:eastAsia="Calibri"/>
                <w:b/>
              </w:rPr>
            </w:pPr>
            <w:r w:rsidRPr="00924D31">
              <w:rPr>
                <w:rFonts w:eastAsia="Calibri"/>
                <w:b/>
              </w:rPr>
              <w:lastRenderedPageBreak/>
              <w:t>Poznámky</w:t>
            </w:r>
          </w:p>
        </w:tc>
      </w:tr>
      <w:tr w:rsidR="00924D31" w:rsidRPr="00924D31" w:rsidTr="00A104FC">
        <w:trPr>
          <w:trHeight w:val="713"/>
        </w:trPr>
        <w:tc>
          <w:tcPr>
            <w:tcW w:w="9176" w:type="dxa"/>
            <w:tcBorders>
              <w:top w:val="nil"/>
              <w:left w:val="single" w:sz="4" w:space="0" w:color="auto"/>
              <w:bottom w:val="single" w:sz="4" w:space="0" w:color="FFFFFF"/>
              <w:right w:val="single" w:sz="4" w:space="0" w:color="auto"/>
            </w:tcBorders>
            <w:shd w:val="clear" w:color="auto" w:fill="auto"/>
          </w:tcPr>
          <w:p w:rsidR="00924D31" w:rsidRPr="00924D31" w:rsidRDefault="00924D31" w:rsidP="00924D31">
            <w:pPr>
              <w:contextualSpacing/>
              <w:jc w:val="both"/>
              <w:rPr>
                <w:rFonts w:eastAsia="Calibri"/>
                <w:b/>
              </w:rPr>
            </w:pPr>
            <w:r w:rsidRPr="00924D31">
              <w:rPr>
                <w:sz w:val="20"/>
                <w:szCs w:val="20"/>
              </w:rPr>
              <w:t>Predložený návrh zákona nemá vplyv na rozpočet verejnej správy, vplyv na podnikateľské prostredie, sociálny vplyv, vplyv na životné prostredie, vplyv na informatizáciu spoločnosti, vplyv na služby pre občana ani vplyv na manželstvo, rodičovstvo a rodinu. Prípadné výdavky, ktoré vyplynú zo zriadenia výboru Bezpečnostnej rady Slovenskej republiky pre hybridné hrozby, budú zabezpečené v rámci schválených limitov rozpočtovej kapitoly Ministerstva obrany Slovenskej republiky na príslušné rozpočtové roky bez dodatočných požiadaviek na rozpočet verejnej správy.</w:t>
            </w:r>
          </w:p>
        </w:tc>
      </w:tr>
      <w:tr w:rsidR="00924D31" w:rsidRPr="00924D31" w:rsidTr="00A104FC">
        <w:tc>
          <w:tcPr>
            <w:tcW w:w="9176" w:type="dxa"/>
            <w:tcBorders>
              <w:top w:val="single" w:sz="4" w:space="0" w:color="auto"/>
              <w:left w:val="single" w:sz="4" w:space="0" w:color="auto"/>
              <w:bottom w:val="single" w:sz="4" w:space="0" w:color="FFFFFF"/>
              <w:right w:val="single" w:sz="4" w:space="0" w:color="auto"/>
            </w:tcBorders>
            <w:shd w:val="clear" w:color="auto" w:fill="E2E2E2"/>
          </w:tcPr>
          <w:p w:rsidR="00924D31" w:rsidRPr="00924D31" w:rsidRDefault="00924D31" w:rsidP="00924D31">
            <w:pPr>
              <w:numPr>
                <w:ilvl w:val="0"/>
                <w:numId w:val="1"/>
              </w:numPr>
              <w:ind w:left="426"/>
              <w:contextualSpacing/>
              <w:rPr>
                <w:rFonts w:eastAsia="Calibri"/>
                <w:b/>
              </w:rPr>
            </w:pPr>
            <w:r w:rsidRPr="00924D31">
              <w:rPr>
                <w:rFonts w:eastAsia="Calibri"/>
                <w:b/>
              </w:rPr>
              <w:t>Kontakt na spracovateľa</w:t>
            </w:r>
          </w:p>
        </w:tc>
      </w:tr>
      <w:tr w:rsidR="00924D31" w:rsidRPr="00924D31" w:rsidTr="00A104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924D31" w:rsidRPr="00924D31" w:rsidRDefault="00924D31" w:rsidP="00924D31">
            <w:pPr>
              <w:rPr>
                <w:sz w:val="20"/>
                <w:szCs w:val="20"/>
              </w:rPr>
            </w:pPr>
            <w:r w:rsidRPr="00924D31">
              <w:rPr>
                <w:sz w:val="20"/>
                <w:szCs w:val="20"/>
              </w:rPr>
              <w:t xml:space="preserve">Mgr. Victor </w:t>
            </w:r>
            <w:proofErr w:type="spellStart"/>
            <w:r w:rsidRPr="00924D31">
              <w:rPr>
                <w:sz w:val="20"/>
                <w:szCs w:val="20"/>
              </w:rPr>
              <w:t>Breiner</w:t>
            </w:r>
            <w:proofErr w:type="spellEnd"/>
            <w:r w:rsidRPr="00924D31">
              <w:rPr>
                <w:sz w:val="20"/>
                <w:szCs w:val="20"/>
              </w:rPr>
              <w:t xml:space="preserve">, tel. č.: 0960 311 732, e-mail: </w:t>
            </w:r>
            <w:hyperlink r:id="rId7" w:history="1">
              <w:r w:rsidRPr="00924D31">
                <w:rPr>
                  <w:color w:val="0000FF"/>
                  <w:sz w:val="20"/>
                  <w:szCs w:val="20"/>
                  <w:u w:val="single"/>
                </w:rPr>
                <w:t>victor.breiner@mod.gov.sk</w:t>
              </w:r>
            </w:hyperlink>
            <w:r w:rsidRPr="00924D31">
              <w:rPr>
                <w:sz w:val="20"/>
                <w:szCs w:val="20"/>
              </w:rPr>
              <w:t xml:space="preserve"> </w:t>
            </w:r>
          </w:p>
          <w:p w:rsidR="00924D31" w:rsidRPr="00924D31" w:rsidRDefault="00924D31" w:rsidP="00924D31">
            <w:pPr>
              <w:rPr>
                <w:sz w:val="20"/>
                <w:szCs w:val="20"/>
              </w:rPr>
            </w:pPr>
            <w:r w:rsidRPr="00924D31">
              <w:rPr>
                <w:sz w:val="20"/>
                <w:szCs w:val="20"/>
              </w:rPr>
              <w:t xml:space="preserve">Ing. Peter </w:t>
            </w:r>
            <w:proofErr w:type="spellStart"/>
            <w:r w:rsidRPr="00924D31">
              <w:rPr>
                <w:sz w:val="20"/>
                <w:szCs w:val="20"/>
              </w:rPr>
              <w:t>Ihnatišin</w:t>
            </w:r>
            <w:proofErr w:type="spellEnd"/>
            <w:r w:rsidRPr="00924D31">
              <w:rPr>
                <w:sz w:val="20"/>
                <w:szCs w:val="20"/>
              </w:rPr>
              <w:t xml:space="preserve">,  tel. č.: 0960 311 759, e-mail: </w:t>
            </w:r>
            <w:hyperlink r:id="rId8" w:history="1">
              <w:r w:rsidRPr="00924D31">
                <w:rPr>
                  <w:color w:val="0000FF"/>
                  <w:sz w:val="20"/>
                  <w:szCs w:val="20"/>
                  <w:u w:val="single"/>
                </w:rPr>
                <w:t>peter.ihnatisin@mod.gov.sk</w:t>
              </w:r>
            </w:hyperlink>
            <w:r w:rsidRPr="00924D31">
              <w:rPr>
                <w:sz w:val="20"/>
                <w:szCs w:val="20"/>
              </w:rPr>
              <w:t xml:space="preserve"> </w:t>
            </w:r>
          </w:p>
        </w:tc>
      </w:tr>
      <w:tr w:rsidR="00924D31" w:rsidRPr="00924D31" w:rsidTr="00A104FC">
        <w:tc>
          <w:tcPr>
            <w:tcW w:w="9176" w:type="dxa"/>
            <w:tcBorders>
              <w:top w:val="single" w:sz="4" w:space="0" w:color="auto"/>
              <w:left w:val="single" w:sz="4" w:space="0" w:color="auto"/>
              <w:bottom w:val="single" w:sz="4" w:space="0" w:color="FFFFFF"/>
              <w:right w:val="single" w:sz="4" w:space="0" w:color="auto"/>
            </w:tcBorders>
            <w:shd w:val="clear" w:color="auto" w:fill="E2E2E2"/>
          </w:tcPr>
          <w:p w:rsidR="00924D31" w:rsidRPr="00924D31" w:rsidRDefault="00924D31" w:rsidP="00924D31">
            <w:pPr>
              <w:numPr>
                <w:ilvl w:val="0"/>
                <w:numId w:val="1"/>
              </w:numPr>
              <w:ind w:left="426"/>
              <w:contextualSpacing/>
              <w:rPr>
                <w:rFonts w:eastAsia="Calibri"/>
                <w:b/>
              </w:rPr>
            </w:pPr>
            <w:r w:rsidRPr="00924D31">
              <w:rPr>
                <w:rFonts w:eastAsia="Calibri"/>
                <w:b/>
              </w:rPr>
              <w:t>Zdroje</w:t>
            </w:r>
          </w:p>
        </w:tc>
      </w:tr>
      <w:tr w:rsidR="00924D31" w:rsidRPr="00924D31" w:rsidTr="00A104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924D31" w:rsidRPr="00924D31" w:rsidRDefault="00924D31" w:rsidP="00924D31">
            <w:pPr>
              <w:rPr>
                <w:i/>
                <w:sz w:val="20"/>
                <w:szCs w:val="20"/>
              </w:rPr>
            </w:pPr>
            <w:r w:rsidRPr="00924D31">
              <w:rPr>
                <w:rFonts w:ascii="Times" w:hAnsi="Times" w:cs="Times"/>
                <w:sz w:val="20"/>
                <w:szCs w:val="20"/>
              </w:rPr>
              <w:t>Pri spracovaní doložky vybraných vplyvov sa vychádzalo z podkladov k Akčnému plánu koordinácie boja proti hybridným hrozbám na roky 2022 – 2024.</w:t>
            </w:r>
          </w:p>
          <w:p w:rsidR="00924D31" w:rsidRPr="00924D31" w:rsidRDefault="00924D31" w:rsidP="00924D31">
            <w:pPr>
              <w:rPr>
                <w:b/>
                <w:sz w:val="20"/>
                <w:szCs w:val="20"/>
              </w:rPr>
            </w:pPr>
          </w:p>
        </w:tc>
      </w:tr>
      <w:tr w:rsidR="00924D31" w:rsidRPr="00924D31" w:rsidTr="00A104FC">
        <w:tc>
          <w:tcPr>
            <w:tcW w:w="9176" w:type="dxa"/>
            <w:tcBorders>
              <w:top w:val="single" w:sz="4" w:space="0" w:color="auto"/>
              <w:left w:val="single" w:sz="4" w:space="0" w:color="auto"/>
              <w:bottom w:val="single" w:sz="4" w:space="0" w:color="FFFFFF"/>
              <w:right w:val="single" w:sz="4" w:space="0" w:color="auto"/>
            </w:tcBorders>
            <w:shd w:val="clear" w:color="auto" w:fill="E2E2E2"/>
          </w:tcPr>
          <w:p w:rsidR="00924D31" w:rsidRPr="00924D31" w:rsidRDefault="00924D31" w:rsidP="00924D31">
            <w:pPr>
              <w:numPr>
                <w:ilvl w:val="0"/>
                <w:numId w:val="1"/>
              </w:numPr>
              <w:ind w:left="447" w:hanging="425"/>
              <w:contextualSpacing/>
              <w:rPr>
                <w:rFonts w:eastAsia="Calibri"/>
                <w:b/>
              </w:rPr>
            </w:pPr>
            <w:r w:rsidRPr="00924D31">
              <w:rPr>
                <w:rFonts w:eastAsia="Calibri"/>
                <w:b/>
              </w:rPr>
              <w:t>Stanovisko Komisie na posudzovanie vybraných vplyvov z PPK č. ..........</w:t>
            </w:r>
            <w:r w:rsidRPr="00924D31">
              <w:rPr>
                <w:rFonts w:ascii="Calibri" w:eastAsia="Calibri" w:hAnsi="Calibri"/>
              </w:rPr>
              <w:t xml:space="preserve"> </w:t>
            </w:r>
          </w:p>
          <w:p w:rsidR="00924D31" w:rsidRPr="00924D31" w:rsidRDefault="00924D31" w:rsidP="00924D31">
            <w:pPr>
              <w:ind w:left="502"/>
              <w:rPr>
                <w:b/>
                <w:sz w:val="20"/>
                <w:szCs w:val="20"/>
              </w:rPr>
            </w:pPr>
            <w:r w:rsidRPr="00924D31">
              <w:rPr>
                <w:rFonts w:eastAsia="Calibri"/>
              </w:rPr>
              <w:t>(v prípade, ak sa uskutočnilo v zmysle bodu 8.1 Jednotnej metodiky)</w:t>
            </w:r>
          </w:p>
        </w:tc>
      </w:tr>
      <w:tr w:rsidR="00924D31" w:rsidRPr="00924D31" w:rsidTr="00A104FC">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924D31" w:rsidRPr="00924D31" w:rsidRDefault="00924D31" w:rsidP="00924D31">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924D31" w:rsidRPr="00924D31" w:rsidTr="00A104FC">
              <w:trPr>
                <w:trHeight w:val="396"/>
              </w:trPr>
              <w:tc>
                <w:tcPr>
                  <w:tcW w:w="2552" w:type="dxa"/>
                </w:tcPr>
                <w:p w:rsidR="00924D31" w:rsidRPr="00924D31" w:rsidRDefault="0097020D" w:rsidP="00924D31">
                  <w:pPr>
                    <w:rPr>
                      <w:b/>
                      <w:sz w:val="20"/>
                      <w:szCs w:val="20"/>
                    </w:rPr>
                  </w:pPr>
                  <w:sdt>
                    <w:sdtPr>
                      <w:rPr>
                        <w:b/>
                        <w:sz w:val="20"/>
                        <w:szCs w:val="20"/>
                      </w:rPr>
                      <w:id w:val="-1874910888"/>
                      <w14:checkbox>
                        <w14:checked w14:val="0"/>
                        <w14:checkedState w14:val="2612" w14:font="MS Gothic"/>
                        <w14:uncheckedState w14:val="2610" w14:font="MS Gothic"/>
                      </w14:checkbox>
                    </w:sdtPr>
                    <w:sdtEndPr/>
                    <w:sdtContent>
                      <w:r w:rsidR="00924D31" w:rsidRPr="00924D31">
                        <w:rPr>
                          <w:rFonts w:ascii="Segoe UI Symbol" w:eastAsia="MS Gothic" w:hAnsi="Segoe UI Symbol" w:cs="Segoe UI Symbol"/>
                          <w:b/>
                          <w:sz w:val="20"/>
                          <w:szCs w:val="20"/>
                        </w:rPr>
                        <w:t>☐</w:t>
                      </w:r>
                    </w:sdtContent>
                  </w:sdt>
                  <w:r w:rsidR="00924D31" w:rsidRPr="00924D31">
                    <w:rPr>
                      <w:b/>
                      <w:sz w:val="20"/>
                      <w:szCs w:val="20"/>
                    </w:rPr>
                    <w:t xml:space="preserve">  Súhlasné </w:t>
                  </w:r>
                </w:p>
              </w:tc>
              <w:tc>
                <w:tcPr>
                  <w:tcW w:w="3827" w:type="dxa"/>
                </w:tcPr>
                <w:p w:rsidR="00924D31" w:rsidRPr="00924D31" w:rsidRDefault="0097020D" w:rsidP="00924D31">
                  <w:pPr>
                    <w:rPr>
                      <w:b/>
                      <w:sz w:val="20"/>
                      <w:szCs w:val="20"/>
                    </w:rPr>
                  </w:pPr>
                  <w:sdt>
                    <w:sdtPr>
                      <w:rPr>
                        <w:b/>
                        <w:sz w:val="20"/>
                        <w:szCs w:val="20"/>
                      </w:rPr>
                      <w:id w:val="1697888127"/>
                      <w14:checkbox>
                        <w14:checked w14:val="0"/>
                        <w14:checkedState w14:val="2612" w14:font="MS Gothic"/>
                        <w14:uncheckedState w14:val="2610" w14:font="MS Gothic"/>
                      </w14:checkbox>
                    </w:sdtPr>
                    <w:sdtEndPr/>
                    <w:sdtContent>
                      <w:r w:rsidR="00924D31" w:rsidRPr="00924D31">
                        <w:rPr>
                          <w:rFonts w:ascii="Segoe UI Symbol" w:eastAsia="MS Gothic" w:hAnsi="Segoe UI Symbol" w:cs="Segoe UI Symbol"/>
                          <w:b/>
                          <w:sz w:val="20"/>
                          <w:szCs w:val="20"/>
                        </w:rPr>
                        <w:t>☐</w:t>
                      </w:r>
                    </w:sdtContent>
                  </w:sdt>
                  <w:r w:rsidR="00924D31" w:rsidRPr="00924D31">
                    <w:rPr>
                      <w:b/>
                      <w:sz w:val="20"/>
                      <w:szCs w:val="20"/>
                    </w:rPr>
                    <w:t xml:space="preserve">  Súhlasné s návrhom na dopracovanie</w:t>
                  </w:r>
                </w:p>
              </w:tc>
              <w:tc>
                <w:tcPr>
                  <w:tcW w:w="2534" w:type="dxa"/>
                </w:tcPr>
                <w:p w:rsidR="00924D31" w:rsidRPr="00924D31" w:rsidRDefault="0097020D" w:rsidP="00924D31">
                  <w:pPr>
                    <w:ind w:right="459"/>
                    <w:rPr>
                      <w:b/>
                      <w:sz w:val="20"/>
                      <w:szCs w:val="20"/>
                    </w:rPr>
                  </w:pPr>
                  <w:sdt>
                    <w:sdtPr>
                      <w:rPr>
                        <w:b/>
                        <w:sz w:val="20"/>
                        <w:szCs w:val="20"/>
                      </w:rPr>
                      <w:id w:val="-647822913"/>
                      <w14:checkbox>
                        <w14:checked w14:val="0"/>
                        <w14:checkedState w14:val="2612" w14:font="MS Gothic"/>
                        <w14:uncheckedState w14:val="2610" w14:font="MS Gothic"/>
                      </w14:checkbox>
                    </w:sdtPr>
                    <w:sdtEndPr/>
                    <w:sdtContent>
                      <w:r w:rsidR="00924D31" w:rsidRPr="00924D31">
                        <w:rPr>
                          <w:rFonts w:ascii="Segoe UI Symbol" w:eastAsia="MS Gothic" w:hAnsi="Segoe UI Symbol" w:cs="Segoe UI Symbol"/>
                          <w:b/>
                          <w:sz w:val="20"/>
                          <w:szCs w:val="20"/>
                        </w:rPr>
                        <w:t>☐</w:t>
                      </w:r>
                    </w:sdtContent>
                  </w:sdt>
                  <w:r w:rsidR="00924D31" w:rsidRPr="00924D31">
                    <w:rPr>
                      <w:b/>
                      <w:sz w:val="20"/>
                      <w:szCs w:val="20"/>
                    </w:rPr>
                    <w:t xml:space="preserve">  Nesúhlasné</w:t>
                  </w:r>
                </w:p>
              </w:tc>
            </w:tr>
          </w:tbl>
          <w:p w:rsidR="00924D31" w:rsidRPr="00924D31" w:rsidRDefault="00924D31" w:rsidP="00924D31">
            <w:pPr>
              <w:jc w:val="both"/>
              <w:rPr>
                <w:b/>
                <w:sz w:val="20"/>
                <w:szCs w:val="20"/>
              </w:rPr>
            </w:pPr>
            <w:r w:rsidRPr="00924D31">
              <w:rPr>
                <w:b/>
                <w:sz w:val="20"/>
                <w:szCs w:val="20"/>
              </w:rPr>
              <w:t>Uveďte pripomienky zo stanoviska Komisie z časti II. spolu s Vaším vyhodnotením:</w:t>
            </w:r>
          </w:p>
          <w:p w:rsidR="00924D31" w:rsidRPr="00924D31" w:rsidRDefault="00924D31" w:rsidP="00924D31">
            <w:pPr>
              <w:rPr>
                <w:b/>
                <w:sz w:val="20"/>
                <w:szCs w:val="20"/>
              </w:rPr>
            </w:pPr>
          </w:p>
          <w:p w:rsidR="00924D31" w:rsidRPr="00924D31" w:rsidRDefault="00924D31" w:rsidP="00924D31">
            <w:pPr>
              <w:rPr>
                <w:b/>
                <w:sz w:val="20"/>
                <w:szCs w:val="20"/>
              </w:rPr>
            </w:pPr>
          </w:p>
        </w:tc>
      </w:tr>
      <w:tr w:rsidR="00924D31" w:rsidRPr="00924D31" w:rsidTr="00A104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924D31" w:rsidRPr="00924D31" w:rsidRDefault="00924D31" w:rsidP="00924D31">
            <w:pPr>
              <w:numPr>
                <w:ilvl w:val="0"/>
                <w:numId w:val="1"/>
              </w:numPr>
              <w:ind w:left="450" w:hanging="425"/>
              <w:contextualSpacing/>
              <w:jc w:val="both"/>
              <w:rPr>
                <w:rFonts w:eastAsia="Calibri"/>
                <w:b/>
              </w:rPr>
            </w:pPr>
            <w:r w:rsidRPr="00924D31">
              <w:rPr>
                <w:rFonts w:eastAsia="Calibri"/>
                <w:b/>
              </w:rPr>
              <w:t>Stanovisko Komisie na posudzovanie vybraných vplyvov zo záverečného posúdenia č. ..........</w:t>
            </w:r>
            <w:r w:rsidRPr="00924D31">
              <w:rPr>
                <w:rFonts w:eastAsia="Calibri"/>
              </w:rPr>
              <w:t xml:space="preserve"> (v prípade, ak sa uskutočnilo v zmysle bodu 9.1. Jednotnej metodiky) </w:t>
            </w:r>
          </w:p>
        </w:tc>
      </w:tr>
      <w:tr w:rsidR="00924D31" w:rsidRPr="00924D31" w:rsidTr="00A104FC">
        <w:tblPrEx>
          <w:tblBorders>
            <w:insideH w:val="single" w:sz="4" w:space="0" w:color="FFFFFF"/>
            <w:insideV w:val="single" w:sz="4" w:space="0" w:color="FFFFFF"/>
          </w:tblBorders>
        </w:tblPrEx>
        <w:tc>
          <w:tcPr>
            <w:tcW w:w="9176" w:type="dxa"/>
            <w:shd w:val="clear" w:color="auto" w:fill="FFFFFF"/>
          </w:tcPr>
          <w:p w:rsidR="00924D31" w:rsidRPr="00924D31" w:rsidRDefault="00924D31" w:rsidP="00924D31">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924D31" w:rsidRPr="00924D31" w:rsidTr="00A104FC">
              <w:trPr>
                <w:trHeight w:val="396"/>
              </w:trPr>
              <w:tc>
                <w:tcPr>
                  <w:tcW w:w="2552" w:type="dxa"/>
                </w:tcPr>
                <w:p w:rsidR="00924D31" w:rsidRPr="00924D31" w:rsidRDefault="0097020D" w:rsidP="00924D31">
                  <w:pPr>
                    <w:rPr>
                      <w:b/>
                      <w:sz w:val="20"/>
                      <w:szCs w:val="20"/>
                    </w:rPr>
                  </w:pPr>
                  <w:sdt>
                    <w:sdtPr>
                      <w:rPr>
                        <w:b/>
                        <w:sz w:val="20"/>
                        <w:szCs w:val="20"/>
                      </w:rPr>
                      <w:id w:val="888232876"/>
                      <w14:checkbox>
                        <w14:checked w14:val="0"/>
                        <w14:checkedState w14:val="2612" w14:font="MS Gothic"/>
                        <w14:uncheckedState w14:val="2610" w14:font="MS Gothic"/>
                      </w14:checkbox>
                    </w:sdtPr>
                    <w:sdtEndPr/>
                    <w:sdtContent>
                      <w:r w:rsidR="00924D31" w:rsidRPr="00924D31">
                        <w:rPr>
                          <w:rFonts w:ascii="Segoe UI Symbol" w:eastAsia="MS Gothic" w:hAnsi="Segoe UI Symbol" w:cs="Segoe UI Symbol"/>
                          <w:b/>
                          <w:sz w:val="20"/>
                          <w:szCs w:val="20"/>
                        </w:rPr>
                        <w:t>☐</w:t>
                      </w:r>
                    </w:sdtContent>
                  </w:sdt>
                  <w:r w:rsidR="00924D31" w:rsidRPr="00924D31">
                    <w:rPr>
                      <w:b/>
                      <w:sz w:val="20"/>
                      <w:szCs w:val="20"/>
                    </w:rPr>
                    <w:t xml:space="preserve">   Súhlasné </w:t>
                  </w:r>
                </w:p>
              </w:tc>
              <w:tc>
                <w:tcPr>
                  <w:tcW w:w="3827" w:type="dxa"/>
                </w:tcPr>
                <w:p w:rsidR="00924D31" w:rsidRPr="00924D31" w:rsidRDefault="0097020D" w:rsidP="00924D31">
                  <w:pPr>
                    <w:rPr>
                      <w:b/>
                      <w:sz w:val="20"/>
                      <w:szCs w:val="20"/>
                    </w:rPr>
                  </w:pPr>
                  <w:sdt>
                    <w:sdtPr>
                      <w:rPr>
                        <w:b/>
                        <w:sz w:val="20"/>
                        <w:szCs w:val="20"/>
                      </w:rPr>
                      <w:id w:val="953831761"/>
                      <w14:checkbox>
                        <w14:checked w14:val="0"/>
                        <w14:checkedState w14:val="2612" w14:font="MS Gothic"/>
                        <w14:uncheckedState w14:val="2610" w14:font="MS Gothic"/>
                      </w14:checkbox>
                    </w:sdtPr>
                    <w:sdtEndPr/>
                    <w:sdtContent>
                      <w:r w:rsidR="00924D31" w:rsidRPr="00924D31">
                        <w:rPr>
                          <w:rFonts w:ascii="Segoe UI Symbol" w:eastAsia="MS Gothic" w:hAnsi="Segoe UI Symbol" w:cs="Segoe UI Symbol"/>
                          <w:b/>
                          <w:sz w:val="20"/>
                          <w:szCs w:val="20"/>
                        </w:rPr>
                        <w:t>☐</w:t>
                      </w:r>
                    </w:sdtContent>
                  </w:sdt>
                  <w:r w:rsidR="00924D31" w:rsidRPr="00924D31">
                    <w:rPr>
                      <w:b/>
                      <w:sz w:val="20"/>
                      <w:szCs w:val="20"/>
                    </w:rPr>
                    <w:t xml:space="preserve">  Súhlasné s  návrhom na dopracovanie</w:t>
                  </w:r>
                </w:p>
              </w:tc>
              <w:tc>
                <w:tcPr>
                  <w:tcW w:w="2534" w:type="dxa"/>
                </w:tcPr>
                <w:p w:rsidR="00924D31" w:rsidRPr="00924D31" w:rsidRDefault="0097020D" w:rsidP="00924D31">
                  <w:pPr>
                    <w:ind w:right="459"/>
                    <w:rPr>
                      <w:b/>
                      <w:sz w:val="20"/>
                      <w:szCs w:val="20"/>
                    </w:rPr>
                  </w:pPr>
                  <w:sdt>
                    <w:sdtPr>
                      <w:rPr>
                        <w:b/>
                        <w:sz w:val="20"/>
                        <w:szCs w:val="20"/>
                      </w:rPr>
                      <w:id w:val="-361740452"/>
                      <w14:checkbox>
                        <w14:checked w14:val="0"/>
                        <w14:checkedState w14:val="2612" w14:font="MS Gothic"/>
                        <w14:uncheckedState w14:val="2610" w14:font="MS Gothic"/>
                      </w14:checkbox>
                    </w:sdtPr>
                    <w:sdtEndPr/>
                    <w:sdtContent>
                      <w:r w:rsidR="00924D31" w:rsidRPr="00924D31">
                        <w:rPr>
                          <w:rFonts w:ascii="Segoe UI Symbol" w:eastAsia="MS Gothic" w:hAnsi="Segoe UI Symbol" w:cs="Segoe UI Symbol"/>
                          <w:b/>
                          <w:sz w:val="20"/>
                          <w:szCs w:val="20"/>
                        </w:rPr>
                        <w:t>☐</w:t>
                      </w:r>
                    </w:sdtContent>
                  </w:sdt>
                  <w:r w:rsidR="00924D31" w:rsidRPr="00924D31">
                    <w:rPr>
                      <w:b/>
                      <w:sz w:val="20"/>
                      <w:szCs w:val="20"/>
                    </w:rPr>
                    <w:t xml:space="preserve">  Nesúhlasné</w:t>
                  </w:r>
                </w:p>
              </w:tc>
            </w:tr>
          </w:tbl>
          <w:p w:rsidR="00924D31" w:rsidRPr="00924D31" w:rsidRDefault="00924D31" w:rsidP="00924D31">
            <w:pPr>
              <w:jc w:val="both"/>
              <w:rPr>
                <w:b/>
                <w:sz w:val="20"/>
                <w:szCs w:val="20"/>
              </w:rPr>
            </w:pPr>
            <w:r w:rsidRPr="00924D31">
              <w:rPr>
                <w:b/>
                <w:sz w:val="20"/>
                <w:szCs w:val="20"/>
              </w:rPr>
              <w:t>Uveďte pripomienky zo stanoviska Komisie z časti II. spolu s Vaším vyhodnotením:</w:t>
            </w:r>
          </w:p>
          <w:p w:rsidR="00924D31" w:rsidRPr="00924D31" w:rsidRDefault="00924D31" w:rsidP="00924D31">
            <w:pPr>
              <w:rPr>
                <w:b/>
                <w:sz w:val="20"/>
                <w:szCs w:val="20"/>
              </w:rPr>
            </w:pPr>
          </w:p>
          <w:p w:rsidR="00924D31" w:rsidRPr="00924D31" w:rsidRDefault="00924D31" w:rsidP="00924D31">
            <w:pPr>
              <w:rPr>
                <w:b/>
                <w:sz w:val="20"/>
                <w:szCs w:val="20"/>
              </w:rPr>
            </w:pPr>
          </w:p>
        </w:tc>
      </w:tr>
    </w:tbl>
    <w:p w:rsidR="00924D31" w:rsidRDefault="00924D31" w:rsidP="00924D31">
      <w:pPr>
        <w:pStyle w:val="Normlnywebov"/>
        <w:spacing w:before="0" w:beforeAutospacing="0" w:after="0" w:afterAutospacing="0"/>
        <w:jc w:val="both"/>
      </w:pPr>
    </w:p>
    <w:p w:rsidR="00924D31" w:rsidRDefault="00924D31">
      <w:pPr>
        <w:spacing w:after="160" w:line="259" w:lineRule="auto"/>
      </w:pPr>
      <w:r>
        <w:br w:type="page"/>
      </w:r>
    </w:p>
    <w:p w:rsidR="00924D31" w:rsidRPr="00924D31" w:rsidRDefault="00924D31" w:rsidP="00924D31">
      <w:pPr>
        <w:jc w:val="center"/>
        <w:rPr>
          <w:sz w:val="27"/>
          <w:szCs w:val="27"/>
        </w:rPr>
      </w:pPr>
      <w:r w:rsidRPr="00924D31">
        <w:rPr>
          <w:b/>
          <w:bCs/>
        </w:rPr>
        <w:lastRenderedPageBreak/>
        <w:t>DOLOŽKA ZLUČITEĽNOSTI</w:t>
      </w:r>
    </w:p>
    <w:p w:rsidR="00924D31" w:rsidRPr="00924D31" w:rsidRDefault="00924D31" w:rsidP="00924D31">
      <w:pPr>
        <w:ind w:left="426"/>
        <w:jc w:val="center"/>
        <w:rPr>
          <w:sz w:val="27"/>
          <w:szCs w:val="27"/>
        </w:rPr>
      </w:pPr>
      <w:r w:rsidRPr="00924D31">
        <w:rPr>
          <w:b/>
          <w:bCs/>
        </w:rPr>
        <w:t>návrhu právneho predpisu s právom Európskej únie</w:t>
      </w:r>
    </w:p>
    <w:p w:rsidR="00924D31" w:rsidRPr="00924D31" w:rsidRDefault="00924D31" w:rsidP="00924D31">
      <w:pPr>
        <w:jc w:val="center"/>
        <w:rPr>
          <w:sz w:val="27"/>
          <w:szCs w:val="27"/>
        </w:rPr>
      </w:pPr>
      <w:r w:rsidRPr="00924D31">
        <w:t> </w:t>
      </w:r>
    </w:p>
    <w:p w:rsidR="00924D31" w:rsidRPr="00924D31" w:rsidRDefault="00924D31" w:rsidP="00924D31">
      <w:r w:rsidRPr="00924D31">
        <w:t>1. </w:t>
      </w:r>
      <w:r w:rsidRPr="00924D31">
        <w:rPr>
          <w:b/>
          <w:bCs/>
        </w:rPr>
        <w:t>Navrhovateľ právneho predpisu</w:t>
      </w:r>
      <w:r w:rsidRPr="00924D31">
        <w:t xml:space="preserve">: </w:t>
      </w:r>
      <w:r w:rsidR="008E099A">
        <w:t>V</w:t>
      </w:r>
      <w:bookmarkStart w:id="0" w:name="_GoBack"/>
      <w:bookmarkEnd w:id="0"/>
      <w:r w:rsidR="00714C77">
        <w:t>láda</w:t>
      </w:r>
      <w:r w:rsidRPr="00924D31">
        <w:t xml:space="preserve"> Slovenskej republiky</w:t>
      </w:r>
    </w:p>
    <w:p w:rsidR="00924D31" w:rsidRPr="00924D31" w:rsidRDefault="00924D31" w:rsidP="00924D31">
      <w:pPr>
        <w:rPr>
          <w:sz w:val="27"/>
          <w:szCs w:val="27"/>
        </w:rPr>
      </w:pPr>
    </w:p>
    <w:p w:rsidR="00924D31" w:rsidRPr="00924D31" w:rsidRDefault="00924D31" w:rsidP="00924D31">
      <w:pPr>
        <w:ind w:left="993" w:hanging="993"/>
        <w:jc w:val="both"/>
      </w:pPr>
      <w:r w:rsidRPr="00924D31">
        <w:t>2. </w:t>
      </w:r>
      <w:r w:rsidRPr="00924D31">
        <w:rPr>
          <w:b/>
          <w:bCs/>
        </w:rPr>
        <w:t>Názov právneho predpisu</w:t>
      </w:r>
      <w:r w:rsidRPr="00924D31">
        <w:t>: Návrh zákona, ktorým sa mení a dopĺňa zákon č. 110/2004  Z. z. o fungovaní Bezpečnostnej rady Slovenskej republiky v čase mieru v znení neskorších predpisov</w:t>
      </w:r>
    </w:p>
    <w:p w:rsidR="00924D31" w:rsidRPr="00924D31" w:rsidRDefault="00924D31" w:rsidP="00924D31">
      <w:pPr>
        <w:ind w:left="709" w:hanging="709"/>
        <w:jc w:val="both"/>
        <w:rPr>
          <w:sz w:val="27"/>
          <w:szCs w:val="27"/>
        </w:rPr>
      </w:pPr>
      <w:r w:rsidRPr="00924D31">
        <w:t> </w:t>
      </w:r>
    </w:p>
    <w:p w:rsidR="00924D31" w:rsidRPr="00924D31" w:rsidRDefault="00924D31" w:rsidP="00924D31">
      <w:pPr>
        <w:rPr>
          <w:sz w:val="27"/>
          <w:szCs w:val="27"/>
        </w:rPr>
      </w:pPr>
      <w:r w:rsidRPr="00924D31">
        <w:t>3. </w:t>
      </w:r>
      <w:r w:rsidRPr="00924D31">
        <w:rPr>
          <w:b/>
          <w:bCs/>
        </w:rPr>
        <w:t>Predmet návrhu právneho predpisu nie je upravený v práve Európskej únie</w:t>
      </w:r>
      <w:r w:rsidRPr="00924D31">
        <w:t>:</w:t>
      </w:r>
    </w:p>
    <w:p w:rsidR="00924D31" w:rsidRPr="00924D31" w:rsidRDefault="00924D31" w:rsidP="00924D31">
      <w:pPr>
        <w:ind w:left="567" w:firstLine="426"/>
        <w:jc w:val="both"/>
        <w:rPr>
          <w:sz w:val="27"/>
          <w:szCs w:val="27"/>
        </w:rPr>
      </w:pPr>
      <w:r w:rsidRPr="00924D31">
        <w:t>a) v primárnom práve,</w:t>
      </w:r>
    </w:p>
    <w:p w:rsidR="00924D31" w:rsidRPr="00924D31" w:rsidRDefault="00924D31" w:rsidP="00924D31">
      <w:pPr>
        <w:ind w:left="1276" w:hanging="283"/>
        <w:jc w:val="both"/>
        <w:rPr>
          <w:sz w:val="27"/>
          <w:szCs w:val="27"/>
        </w:rPr>
      </w:pPr>
      <w:r w:rsidRPr="00924D31">
        <w:t>b) v sekundárnom práve,</w:t>
      </w:r>
    </w:p>
    <w:p w:rsidR="00924D31" w:rsidRPr="00924D31" w:rsidRDefault="00924D31" w:rsidP="00924D31">
      <w:pPr>
        <w:ind w:left="1276" w:hanging="283"/>
        <w:jc w:val="both"/>
      </w:pPr>
      <w:r w:rsidRPr="00924D31">
        <w:t xml:space="preserve">c) v judikatúre Súdneho dvora Európskej únie. </w:t>
      </w:r>
    </w:p>
    <w:p w:rsidR="00924D31" w:rsidRPr="00924D31" w:rsidRDefault="00924D31" w:rsidP="00924D31">
      <w:pPr>
        <w:ind w:left="1276" w:hanging="283"/>
        <w:jc w:val="both"/>
      </w:pPr>
    </w:p>
    <w:p w:rsidR="00924D31" w:rsidRPr="00924D31" w:rsidRDefault="00924D31" w:rsidP="00924D31">
      <w:pPr>
        <w:jc w:val="both"/>
        <w:rPr>
          <w:b/>
        </w:rPr>
      </w:pPr>
      <w:r w:rsidRPr="00924D31">
        <w:rPr>
          <w:b/>
        </w:rPr>
        <w:t>Vzhľadom na vnútroštátny charakter návrhu právneho predpisu body 4 a 5 sa nevypĺňajú.</w:t>
      </w:r>
    </w:p>
    <w:p w:rsidR="00924D31" w:rsidRDefault="00924D31">
      <w:pPr>
        <w:spacing w:after="160" w:line="259" w:lineRule="auto"/>
      </w:pPr>
      <w:r>
        <w:br w:type="page"/>
      </w:r>
    </w:p>
    <w:p w:rsidR="00924D31" w:rsidRPr="00924D31" w:rsidRDefault="00924D31" w:rsidP="00924D31">
      <w:pPr>
        <w:jc w:val="center"/>
        <w:rPr>
          <w:b/>
        </w:rPr>
      </w:pPr>
      <w:r w:rsidRPr="00924D31">
        <w:rPr>
          <w:b/>
        </w:rPr>
        <w:lastRenderedPageBreak/>
        <w:t>Dôvodová správa</w:t>
      </w:r>
    </w:p>
    <w:p w:rsidR="00924D31" w:rsidRPr="00924D31" w:rsidRDefault="00924D31" w:rsidP="00924D31">
      <w:pPr>
        <w:rPr>
          <w:b/>
        </w:rPr>
      </w:pPr>
    </w:p>
    <w:p w:rsidR="00924D31" w:rsidRPr="00924D31" w:rsidRDefault="00924D31" w:rsidP="00924D31">
      <w:pPr>
        <w:rPr>
          <w:b/>
        </w:rPr>
      </w:pPr>
      <w:r w:rsidRPr="00924D31">
        <w:rPr>
          <w:b/>
        </w:rPr>
        <w:t>Osobitná časť</w:t>
      </w:r>
    </w:p>
    <w:p w:rsidR="00924D31" w:rsidRPr="00924D31" w:rsidRDefault="00924D31" w:rsidP="00924D31">
      <w:pPr>
        <w:jc w:val="both"/>
        <w:rPr>
          <w:b/>
        </w:rPr>
      </w:pPr>
    </w:p>
    <w:p w:rsidR="00924D31" w:rsidRPr="00924D31" w:rsidRDefault="00924D31" w:rsidP="00924D31">
      <w:pPr>
        <w:jc w:val="both"/>
        <w:rPr>
          <w:b/>
        </w:rPr>
      </w:pPr>
    </w:p>
    <w:p w:rsidR="00924D31" w:rsidRPr="00924D31" w:rsidRDefault="00924D31" w:rsidP="00924D31">
      <w:pPr>
        <w:autoSpaceDE w:val="0"/>
        <w:jc w:val="both"/>
        <w:rPr>
          <w:b/>
          <w:bCs/>
        </w:rPr>
      </w:pPr>
      <w:r w:rsidRPr="00924D31">
        <w:rPr>
          <w:b/>
          <w:bCs/>
        </w:rPr>
        <w:t>Čl. I  </w:t>
      </w:r>
    </w:p>
    <w:p w:rsidR="00924D31" w:rsidRPr="00924D31" w:rsidRDefault="00924D31" w:rsidP="00924D31">
      <w:pPr>
        <w:jc w:val="both"/>
        <w:rPr>
          <w:b/>
        </w:rPr>
      </w:pPr>
    </w:p>
    <w:p w:rsidR="00924D31" w:rsidRPr="00924D31" w:rsidRDefault="00924D31" w:rsidP="00924D31">
      <w:pPr>
        <w:jc w:val="both"/>
        <w:rPr>
          <w:b/>
        </w:rPr>
      </w:pPr>
    </w:p>
    <w:p w:rsidR="00924D31" w:rsidRPr="00924D31" w:rsidRDefault="00924D31" w:rsidP="00924D31">
      <w:pPr>
        <w:jc w:val="both"/>
        <w:rPr>
          <w:b/>
        </w:rPr>
      </w:pPr>
      <w:r w:rsidRPr="00924D31">
        <w:rPr>
          <w:b/>
        </w:rPr>
        <w:t>K bodu 1</w:t>
      </w:r>
    </w:p>
    <w:p w:rsidR="00924D31" w:rsidRPr="00924D31" w:rsidRDefault="00924D31" w:rsidP="00924D31">
      <w:pPr>
        <w:jc w:val="both"/>
        <w:rPr>
          <w:b/>
        </w:rPr>
      </w:pPr>
    </w:p>
    <w:p w:rsidR="00924D31" w:rsidRPr="00924D31" w:rsidRDefault="00924D31" w:rsidP="00924D31">
      <w:pPr>
        <w:ind w:firstLine="426"/>
        <w:jc w:val="both"/>
      </w:pPr>
      <w:r w:rsidRPr="00924D31">
        <w:t>Doplnenie zástupcu Úradu vlády Slovenskej republiky medzi členov výboru Bezpečnostnej rady Slovenskej republiky pre obranné plánovanie sa navrhuje vzhľadom na skutočnosť, že vláda Slovenskej republiky podľa § 6 písm. b) zákona č. 319/2002 Z. z. o obrane Slovenskej republiky v znení neskorších predpisov riadi proces plánovania obrany štátu a schvaľuje smernicu o plánovaní obrany štátu, pričom po odbornej, organizačnej a technickej stránke činnosť vlády Slovenskej republiky v tejto oblasti zabezpečuje Úrad vlády Slovenskej republiky.</w:t>
      </w:r>
    </w:p>
    <w:p w:rsidR="00924D31" w:rsidRPr="00924D31" w:rsidRDefault="00924D31" w:rsidP="00924D31">
      <w:pPr>
        <w:ind w:firstLine="426"/>
        <w:jc w:val="both"/>
        <w:rPr>
          <w:b/>
        </w:rPr>
      </w:pPr>
    </w:p>
    <w:p w:rsidR="00924D31" w:rsidRPr="00924D31" w:rsidRDefault="00924D31" w:rsidP="00924D31">
      <w:pPr>
        <w:jc w:val="both"/>
        <w:rPr>
          <w:b/>
        </w:rPr>
      </w:pPr>
      <w:r w:rsidRPr="00924D31">
        <w:rPr>
          <w:b/>
        </w:rPr>
        <w:t>K bodu 2</w:t>
      </w:r>
    </w:p>
    <w:p w:rsidR="00924D31" w:rsidRPr="00924D31" w:rsidRDefault="00924D31" w:rsidP="00924D31">
      <w:pPr>
        <w:jc w:val="both"/>
      </w:pPr>
    </w:p>
    <w:p w:rsidR="00924D31" w:rsidRPr="00924D31" w:rsidRDefault="00924D31" w:rsidP="00924D31">
      <w:pPr>
        <w:ind w:firstLine="426"/>
        <w:jc w:val="both"/>
      </w:pPr>
      <w:r w:rsidRPr="00924D31">
        <w:t>Zmena periodicity zasielania správy o výsledkoch vyhodnotenia bezpečnostnej situácie podľa § 10b ods. 1 písm. a) Kancelárii Bezpečnostnej rady Slovenskej republiky sa navrhuje z podnetu Národného bezpečnostného úradu a reflektuje na poznatky z doterajšieho fungovania výboru Bezpečnostnej rady Slovenskej republiky pre kybernetickú bezpečnosť. Cieľom navrhovanej zmeny je racionalizovať a zefektívniť fungovanie výboru Bezpečnostnej rady Slovenskej republiky pre kybernetickú bezpečnosť s poukazom na skutočnosť, že z hľadiska doteraz identifikovaných rizík ohrozenia v oblasti kybernetickej bezpečnosti a z toho vyplývajúcej potreby informovať Bezpečnostnú radu Slovenskej republiky o týchto skutočnostiach je zasielanie predmetných správ jedenkrát ročne postačujúce, pričom takáto zmena nebude mať vplyv na bezpečnosť Slovenskej republiky v kybernetickom priestore.</w:t>
      </w:r>
    </w:p>
    <w:p w:rsidR="00924D31" w:rsidRPr="00924D31" w:rsidRDefault="00924D31" w:rsidP="00924D31">
      <w:pPr>
        <w:ind w:firstLine="426"/>
        <w:jc w:val="both"/>
      </w:pPr>
    </w:p>
    <w:p w:rsidR="00924D31" w:rsidRPr="00924D31" w:rsidRDefault="00924D31" w:rsidP="00924D31">
      <w:pPr>
        <w:jc w:val="both"/>
        <w:rPr>
          <w:b/>
        </w:rPr>
      </w:pPr>
      <w:r w:rsidRPr="00924D31">
        <w:rPr>
          <w:b/>
        </w:rPr>
        <w:t>K bodu 3</w:t>
      </w:r>
    </w:p>
    <w:p w:rsidR="00924D31" w:rsidRPr="00924D31" w:rsidRDefault="00924D31" w:rsidP="00924D31">
      <w:pPr>
        <w:ind w:firstLine="708"/>
        <w:jc w:val="both"/>
      </w:pPr>
    </w:p>
    <w:p w:rsidR="00924D31" w:rsidRPr="00924D31" w:rsidRDefault="00924D31" w:rsidP="00924D31">
      <w:pPr>
        <w:autoSpaceDE w:val="0"/>
        <w:ind w:firstLine="426"/>
        <w:jc w:val="both"/>
      </w:pPr>
      <w:r w:rsidRPr="00924D31">
        <w:t xml:space="preserve">V zákone č. 110/2004 Z. z. o fungovaní Bezpečnostnej rady Slovenskej republiky v čase mieru v znení neskorších predpisov sa navrhuje doplniť úpravu pôsobnosti a spôsobu kreovania  nového výboru Bezpečnostnej rady Slovenskej republiky, a to výboru pre hybridné hrozby. </w:t>
      </w:r>
    </w:p>
    <w:p w:rsidR="00924D31" w:rsidRPr="00924D31" w:rsidRDefault="00924D31" w:rsidP="00924D31">
      <w:pPr>
        <w:ind w:firstLine="426"/>
        <w:jc w:val="both"/>
      </w:pPr>
      <w:r w:rsidRPr="00924D31">
        <w:t>Navrhovaná právna úprava definuje rozsah pôsobnosti stáleho výboru Bezpečnostnej rady Slovenskej republiky v oblasti hybridných hrozieb s tým, že vykonávaním činností v oblasti koordinácie medzirezortnej a medzinárodnej spolupráce v oblasti hybridných hrozieb nový výbor Bezpečnostnej rady Slovenskej republiky nebude zasahovať do vymedzenia úloh a pôsobnosti Situačného centra Slovenskej republiky, Národného bezpečnostného analytického centra a výboru Bezpečnostnej rady Slovenskej republiky pre koordináciu spravodajských služieb. Navrhuje sa upraviť spôsob vymenovania a odvolávania členov Výboru Bezpečnostnej rady Slovenskej republiky pre hybridné hrozby s tým, že zastúpenie vo výbore majú mať príslušné ústredné štátne orgány a spravodajské služby. Vymenovanie a odvolanie nominovaného člena výboru predsedom Bezpečnostnej rady Slovenskej republiky sa navrhuje podmieniť predchádzajúcim schválením Bezpečnostnou radou Slovenskej republiky a navrhuje sa ustanoviť spôsob kreovania predsedu a podpredsedu výboru.</w:t>
      </w:r>
    </w:p>
    <w:p w:rsidR="00924D31" w:rsidRPr="00924D31" w:rsidRDefault="00924D31" w:rsidP="00924D31">
      <w:pPr>
        <w:autoSpaceDE w:val="0"/>
        <w:jc w:val="both"/>
      </w:pPr>
    </w:p>
    <w:p w:rsidR="00924D31" w:rsidRPr="00924D31" w:rsidRDefault="00924D31" w:rsidP="00924D31">
      <w:pPr>
        <w:autoSpaceDE w:val="0"/>
        <w:ind w:firstLine="709"/>
        <w:jc w:val="both"/>
      </w:pPr>
    </w:p>
    <w:p w:rsidR="00924D31" w:rsidRPr="00924D31" w:rsidRDefault="00924D31" w:rsidP="00924D31">
      <w:pPr>
        <w:autoSpaceDE w:val="0"/>
        <w:jc w:val="both"/>
        <w:rPr>
          <w:b/>
          <w:bCs/>
        </w:rPr>
      </w:pPr>
      <w:r w:rsidRPr="00924D31">
        <w:rPr>
          <w:b/>
          <w:bCs/>
        </w:rPr>
        <w:lastRenderedPageBreak/>
        <w:t>Čl. II</w:t>
      </w:r>
    </w:p>
    <w:p w:rsidR="00924D31" w:rsidRPr="00924D31" w:rsidRDefault="00924D31" w:rsidP="00924D31">
      <w:pPr>
        <w:autoSpaceDE w:val="0"/>
        <w:jc w:val="both"/>
        <w:rPr>
          <w:b/>
          <w:bCs/>
        </w:rPr>
      </w:pPr>
    </w:p>
    <w:p w:rsidR="00924D31" w:rsidRPr="00924D31" w:rsidRDefault="00924D31" w:rsidP="00924D31">
      <w:pPr>
        <w:autoSpaceDE w:val="0"/>
        <w:ind w:firstLine="426"/>
        <w:jc w:val="both"/>
        <w:rPr>
          <w:rFonts w:eastAsia="Lucida Sans Unicode"/>
        </w:rPr>
      </w:pPr>
      <w:r w:rsidRPr="00924D31">
        <w:t xml:space="preserve">Navrhuje sa dátum účinnosti zákona vzhľadom na dĺžku legislatívneho procesu a zabezpečenie primeranej </w:t>
      </w:r>
      <w:proofErr w:type="spellStart"/>
      <w:r w:rsidRPr="00924D31">
        <w:t>legisvakancie</w:t>
      </w:r>
      <w:proofErr w:type="spellEnd"/>
      <w:r w:rsidRPr="00924D31">
        <w:t xml:space="preserve"> od 1. mája 2023.</w:t>
      </w:r>
    </w:p>
    <w:p w:rsidR="004E2B02" w:rsidRDefault="004E2B02" w:rsidP="00924D31">
      <w:pPr>
        <w:pStyle w:val="Normlnywebov"/>
        <w:spacing w:before="0" w:beforeAutospacing="0" w:after="0" w:afterAutospacing="0"/>
        <w:jc w:val="both"/>
      </w:pPr>
    </w:p>
    <w:p w:rsidR="00924D31" w:rsidRPr="00924D31" w:rsidRDefault="00924D31" w:rsidP="00924D31">
      <w:pPr>
        <w:rPr>
          <w:rFonts w:eastAsia="Calibri"/>
          <w:szCs w:val="22"/>
          <w:lang w:eastAsia="en-US"/>
        </w:rPr>
      </w:pPr>
      <w:r w:rsidRPr="00924D31">
        <w:rPr>
          <w:rFonts w:eastAsia="Calibri"/>
          <w:szCs w:val="22"/>
          <w:lang w:eastAsia="en-US"/>
        </w:rPr>
        <w:t xml:space="preserve">V Bratislave  </w:t>
      </w:r>
      <w:r>
        <w:rPr>
          <w:rFonts w:eastAsia="Calibri"/>
          <w:szCs w:val="22"/>
          <w:lang w:eastAsia="en-US"/>
        </w:rPr>
        <w:t>11. januára 2023</w:t>
      </w:r>
    </w:p>
    <w:p w:rsidR="00924D31" w:rsidRPr="00924D31" w:rsidRDefault="00924D31" w:rsidP="00924D31">
      <w:pPr>
        <w:jc w:val="center"/>
        <w:rPr>
          <w:rFonts w:eastAsia="Calibri"/>
          <w:b/>
          <w:szCs w:val="22"/>
          <w:lang w:eastAsia="en-US"/>
        </w:rPr>
      </w:pPr>
    </w:p>
    <w:p w:rsidR="00924D31" w:rsidRPr="00924D31" w:rsidRDefault="00924D31" w:rsidP="00924D31">
      <w:pPr>
        <w:jc w:val="center"/>
        <w:rPr>
          <w:rFonts w:eastAsia="Calibri"/>
          <w:b/>
          <w:szCs w:val="22"/>
          <w:lang w:eastAsia="en-US"/>
        </w:rPr>
      </w:pPr>
    </w:p>
    <w:p w:rsidR="00924D31" w:rsidRPr="00924D31" w:rsidRDefault="00924D31" w:rsidP="00924D31">
      <w:pPr>
        <w:jc w:val="center"/>
        <w:rPr>
          <w:rFonts w:eastAsia="Calibri"/>
          <w:b/>
          <w:szCs w:val="22"/>
          <w:lang w:eastAsia="en-US"/>
        </w:rPr>
      </w:pPr>
    </w:p>
    <w:p w:rsidR="00924D31" w:rsidRPr="00924D31" w:rsidRDefault="00924D31" w:rsidP="00924D31">
      <w:pPr>
        <w:jc w:val="center"/>
        <w:rPr>
          <w:rFonts w:eastAsia="Calibri"/>
          <w:b/>
          <w:szCs w:val="22"/>
          <w:lang w:eastAsia="en-US"/>
        </w:rPr>
      </w:pPr>
      <w:r w:rsidRPr="00924D31">
        <w:rPr>
          <w:rFonts w:eastAsia="Calibri"/>
          <w:b/>
          <w:szCs w:val="22"/>
          <w:lang w:eastAsia="en-US"/>
        </w:rPr>
        <w:t xml:space="preserve">Eduard </w:t>
      </w:r>
      <w:proofErr w:type="spellStart"/>
      <w:r w:rsidRPr="00924D31">
        <w:rPr>
          <w:rFonts w:eastAsia="Calibri"/>
          <w:b/>
          <w:szCs w:val="22"/>
          <w:lang w:eastAsia="en-US"/>
        </w:rPr>
        <w:t>Heger</w:t>
      </w:r>
      <w:proofErr w:type="spellEnd"/>
      <w:r w:rsidRPr="00924D31">
        <w:rPr>
          <w:rFonts w:eastAsia="Calibri"/>
          <w:b/>
          <w:szCs w:val="22"/>
          <w:lang w:eastAsia="en-US"/>
        </w:rPr>
        <w:t>, v. r.</w:t>
      </w:r>
    </w:p>
    <w:p w:rsidR="00924D31" w:rsidRPr="00924D31" w:rsidRDefault="00924D31" w:rsidP="00924D31">
      <w:pPr>
        <w:jc w:val="center"/>
        <w:rPr>
          <w:rFonts w:eastAsia="Calibri"/>
          <w:szCs w:val="22"/>
          <w:lang w:eastAsia="en-US"/>
        </w:rPr>
      </w:pPr>
      <w:r w:rsidRPr="00924D31">
        <w:rPr>
          <w:rFonts w:eastAsia="Calibri"/>
          <w:szCs w:val="22"/>
          <w:lang w:eastAsia="en-US"/>
        </w:rPr>
        <w:t>predseda vlády Slovenskej republiky</w:t>
      </w:r>
    </w:p>
    <w:p w:rsidR="00924D31" w:rsidRPr="00924D31" w:rsidRDefault="00924D31" w:rsidP="00924D31">
      <w:pPr>
        <w:jc w:val="center"/>
        <w:rPr>
          <w:rFonts w:eastAsia="Calibri"/>
          <w:szCs w:val="22"/>
          <w:lang w:eastAsia="en-US"/>
        </w:rPr>
      </w:pPr>
    </w:p>
    <w:p w:rsidR="00924D31" w:rsidRPr="00924D31" w:rsidRDefault="00924D31" w:rsidP="00924D31">
      <w:pPr>
        <w:jc w:val="center"/>
        <w:rPr>
          <w:rFonts w:eastAsia="Calibri"/>
          <w:szCs w:val="22"/>
          <w:lang w:eastAsia="en-US"/>
        </w:rPr>
      </w:pPr>
    </w:p>
    <w:p w:rsidR="00924D31" w:rsidRPr="00924D31" w:rsidRDefault="00924D31" w:rsidP="00924D31">
      <w:pPr>
        <w:jc w:val="center"/>
        <w:rPr>
          <w:rFonts w:eastAsia="Calibri"/>
          <w:szCs w:val="22"/>
          <w:lang w:eastAsia="en-US"/>
        </w:rPr>
      </w:pPr>
    </w:p>
    <w:p w:rsidR="00924D31" w:rsidRPr="00924D31" w:rsidRDefault="00924D31" w:rsidP="00924D31">
      <w:pPr>
        <w:jc w:val="center"/>
        <w:rPr>
          <w:rFonts w:eastAsia="Calibri"/>
          <w:szCs w:val="22"/>
          <w:lang w:eastAsia="en-US"/>
        </w:rPr>
      </w:pPr>
    </w:p>
    <w:p w:rsidR="00924D31" w:rsidRPr="00924D31" w:rsidRDefault="00924D31" w:rsidP="00924D31">
      <w:pPr>
        <w:jc w:val="center"/>
        <w:rPr>
          <w:rFonts w:eastAsia="Calibri"/>
          <w:b/>
          <w:szCs w:val="22"/>
          <w:lang w:eastAsia="en-US"/>
        </w:rPr>
      </w:pPr>
      <w:r w:rsidRPr="00924D31">
        <w:rPr>
          <w:rFonts w:eastAsia="Calibri"/>
          <w:b/>
          <w:szCs w:val="22"/>
          <w:lang w:eastAsia="en-US"/>
        </w:rPr>
        <w:t xml:space="preserve">Jaroslav </w:t>
      </w:r>
      <w:proofErr w:type="spellStart"/>
      <w:r w:rsidRPr="00924D31">
        <w:rPr>
          <w:rFonts w:eastAsia="Calibri"/>
          <w:b/>
          <w:szCs w:val="22"/>
          <w:lang w:eastAsia="en-US"/>
        </w:rPr>
        <w:t>Naď</w:t>
      </w:r>
      <w:proofErr w:type="spellEnd"/>
      <w:r w:rsidRPr="00924D31">
        <w:rPr>
          <w:rFonts w:eastAsia="Calibri"/>
          <w:b/>
          <w:szCs w:val="22"/>
          <w:lang w:eastAsia="en-US"/>
        </w:rPr>
        <w:t>, v. r.</w:t>
      </w:r>
    </w:p>
    <w:p w:rsidR="00924D31" w:rsidRPr="00924D31" w:rsidRDefault="00924D31" w:rsidP="00924D31">
      <w:pPr>
        <w:jc w:val="center"/>
        <w:rPr>
          <w:rFonts w:eastAsia="Calibri"/>
          <w:szCs w:val="22"/>
          <w:lang w:eastAsia="en-US"/>
        </w:rPr>
      </w:pPr>
      <w:r w:rsidRPr="00924D31">
        <w:rPr>
          <w:rFonts w:eastAsia="Calibri"/>
          <w:szCs w:val="22"/>
          <w:lang w:eastAsia="en-US"/>
        </w:rPr>
        <w:t>minister obrany Slovenskej republiky</w:t>
      </w:r>
    </w:p>
    <w:p w:rsidR="00924D31" w:rsidRDefault="00924D31" w:rsidP="00924D31">
      <w:pPr>
        <w:pStyle w:val="Normlnywebov"/>
        <w:spacing w:before="0" w:beforeAutospacing="0" w:after="0" w:afterAutospacing="0"/>
        <w:jc w:val="both"/>
      </w:pPr>
    </w:p>
    <w:sectPr w:rsidR="00924D31" w:rsidSect="004B6EF1">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20D" w:rsidRDefault="0097020D" w:rsidP="002526E0">
      <w:r>
        <w:separator/>
      </w:r>
    </w:p>
  </w:endnote>
  <w:endnote w:type="continuationSeparator" w:id="0">
    <w:p w:rsidR="0097020D" w:rsidRDefault="0097020D" w:rsidP="0025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455492"/>
      <w:docPartObj>
        <w:docPartGallery w:val="Page Numbers (Bottom of Page)"/>
        <w:docPartUnique/>
      </w:docPartObj>
    </w:sdtPr>
    <w:sdtEndPr/>
    <w:sdtContent>
      <w:p w:rsidR="008D4CD5" w:rsidRDefault="008D4CD5">
        <w:pPr>
          <w:pStyle w:val="Pta"/>
          <w:jc w:val="center"/>
        </w:pPr>
        <w:r>
          <w:fldChar w:fldCharType="begin"/>
        </w:r>
        <w:r>
          <w:instrText>PAGE   \* MERGEFORMAT</w:instrText>
        </w:r>
        <w:r>
          <w:fldChar w:fldCharType="separate"/>
        </w:r>
        <w:r w:rsidR="008E099A">
          <w:rPr>
            <w:noProof/>
          </w:rPr>
          <w:t>6</w:t>
        </w:r>
        <w:r>
          <w:fldChar w:fldCharType="end"/>
        </w:r>
      </w:p>
    </w:sdtContent>
  </w:sdt>
  <w:p w:rsidR="002526E0" w:rsidRDefault="002526E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CD5" w:rsidRDefault="008D4CD5">
    <w:pPr>
      <w:pStyle w:val="Pta"/>
      <w:jc w:val="center"/>
    </w:pPr>
  </w:p>
  <w:p w:rsidR="008D4CD5" w:rsidRDefault="008D4C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20D" w:rsidRDefault="0097020D" w:rsidP="002526E0">
      <w:r>
        <w:separator/>
      </w:r>
    </w:p>
  </w:footnote>
  <w:footnote w:type="continuationSeparator" w:id="0">
    <w:p w:rsidR="0097020D" w:rsidRDefault="0097020D" w:rsidP="00252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42"/>
    <w:rsid w:val="00002CA6"/>
    <w:rsid w:val="00012662"/>
    <w:rsid w:val="00045B22"/>
    <w:rsid w:val="00062BE9"/>
    <w:rsid w:val="0008151A"/>
    <w:rsid w:val="00084297"/>
    <w:rsid w:val="000B1328"/>
    <w:rsid w:val="000E6E0D"/>
    <w:rsid w:val="000F5296"/>
    <w:rsid w:val="0010018D"/>
    <w:rsid w:val="00114769"/>
    <w:rsid w:val="0013025A"/>
    <w:rsid w:val="00137DAE"/>
    <w:rsid w:val="00141056"/>
    <w:rsid w:val="00183134"/>
    <w:rsid w:val="0018533B"/>
    <w:rsid w:val="001945E0"/>
    <w:rsid w:val="001A1FBA"/>
    <w:rsid w:val="001C6DA4"/>
    <w:rsid w:val="001D23D3"/>
    <w:rsid w:val="001D7E39"/>
    <w:rsid w:val="001E5CBC"/>
    <w:rsid w:val="00202F0F"/>
    <w:rsid w:val="00210B40"/>
    <w:rsid w:val="0023355D"/>
    <w:rsid w:val="002420E8"/>
    <w:rsid w:val="002526E0"/>
    <w:rsid w:val="0026006E"/>
    <w:rsid w:val="002973AB"/>
    <w:rsid w:val="002A4E74"/>
    <w:rsid w:val="002D707C"/>
    <w:rsid w:val="002E1215"/>
    <w:rsid w:val="002F31CA"/>
    <w:rsid w:val="00333A5A"/>
    <w:rsid w:val="00355C0A"/>
    <w:rsid w:val="003719BE"/>
    <w:rsid w:val="0039584B"/>
    <w:rsid w:val="003B2DCC"/>
    <w:rsid w:val="003C09BD"/>
    <w:rsid w:val="003D0E64"/>
    <w:rsid w:val="003E24C3"/>
    <w:rsid w:val="003F1B26"/>
    <w:rsid w:val="003F5B17"/>
    <w:rsid w:val="004231D6"/>
    <w:rsid w:val="00424A14"/>
    <w:rsid w:val="0048253C"/>
    <w:rsid w:val="00485079"/>
    <w:rsid w:val="004A007C"/>
    <w:rsid w:val="004B6EF1"/>
    <w:rsid w:val="004C38DD"/>
    <w:rsid w:val="004E2B02"/>
    <w:rsid w:val="00533A7E"/>
    <w:rsid w:val="005378FA"/>
    <w:rsid w:val="005C38E1"/>
    <w:rsid w:val="005D57AD"/>
    <w:rsid w:val="00602087"/>
    <w:rsid w:val="00647AAF"/>
    <w:rsid w:val="00680D15"/>
    <w:rsid w:val="00694DD5"/>
    <w:rsid w:val="006C7802"/>
    <w:rsid w:val="006D2E38"/>
    <w:rsid w:val="006F5237"/>
    <w:rsid w:val="007048B5"/>
    <w:rsid w:val="00714C77"/>
    <w:rsid w:val="00715848"/>
    <w:rsid w:val="00745142"/>
    <w:rsid w:val="00747C9A"/>
    <w:rsid w:val="00771BD4"/>
    <w:rsid w:val="00786D60"/>
    <w:rsid w:val="00797FFC"/>
    <w:rsid w:val="007B1595"/>
    <w:rsid w:val="007C607C"/>
    <w:rsid w:val="007F1A52"/>
    <w:rsid w:val="00811D5B"/>
    <w:rsid w:val="00832D02"/>
    <w:rsid w:val="00833B99"/>
    <w:rsid w:val="00842D06"/>
    <w:rsid w:val="00877038"/>
    <w:rsid w:val="0088798F"/>
    <w:rsid w:val="00897771"/>
    <w:rsid w:val="008B0A4E"/>
    <w:rsid w:val="008D4CD5"/>
    <w:rsid w:val="008E099A"/>
    <w:rsid w:val="009042BF"/>
    <w:rsid w:val="00917701"/>
    <w:rsid w:val="009238D8"/>
    <w:rsid w:val="00924165"/>
    <w:rsid w:val="00924D31"/>
    <w:rsid w:val="00954186"/>
    <w:rsid w:val="00962BF4"/>
    <w:rsid w:val="0097020D"/>
    <w:rsid w:val="00986B5B"/>
    <w:rsid w:val="00996E71"/>
    <w:rsid w:val="009A23FC"/>
    <w:rsid w:val="009B7E33"/>
    <w:rsid w:val="009C3EC1"/>
    <w:rsid w:val="009D3280"/>
    <w:rsid w:val="009D38A9"/>
    <w:rsid w:val="009E590F"/>
    <w:rsid w:val="00A27359"/>
    <w:rsid w:val="00A408AE"/>
    <w:rsid w:val="00A53574"/>
    <w:rsid w:val="00A64CAC"/>
    <w:rsid w:val="00A65068"/>
    <w:rsid w:val="00A678F9"/>
    <w:rsid w:val="00A74563"/>
    <w:rsid w:val="00A976F3"/>
    <w:rsid w:val="00AD7691"/>
    <w:rsid w:val="00AD7BCD"/>
    <w:rsid w:val="00AE6787"/>
    <w:rsid w:val="00B00087"/>
    <w:rsid w:val="00B03697"/>
    <w:rsid w:val="00B81963"/>
    <w:rsid w:val="00B906F1"/>
    <w:rsid w:val="00BD4DC4"/>
    <w:rsid w:val="00C02B30"/>
    <w:rsid w:val="00C05AFE"/>
    <w:rsid w:val="00C376B2"/>
    <w:rsid w:val="00C46B39"/>
    <w:rsid w:val="00C76359"/>
    <w:rsid w:val="00C910BF"/>
    <w:rsid w:val="00CA5A12"/>
    <w:rsid w:val="00D162AC"/>
    <w:rsid w:val="00D25B5B"/>
    <w:rsid w:val="00D32140"/>
    <w:rsid w:val="00D34F58"/>
    <w:rsid w:val="00D472BA"/>
    <w:rsid w:val="00D64FDA"/>
    <w:rsid w:val="00D7040B"/>
    <w:rsid w:val="00D851F0"/>
    <w:rsid w:val="00D94EF2"/>
    <w:rsid w:val="00D95134"/>
    <w:rsid w:val="00DA386C"/>
    <w:rsid w:val="00DA565C"/>
    <w:rsid w:val="00DC6A4F"/>
    <w:rsid w:val="00DD3AA6"/>
    <w:rsid w:val="00DE1839"/>
    <w:rsid w:val="00DE32A9"/>
    <w:rsid w:val="00DF4414"/>
    <w:rsid w:val="00E40A07"/>
    <w:rsid w:val="00E43E30"/>
    <w:rsid w:val="00E54911"/>
    <w:rsid w:val="00E802F6"/>
    <w:rsid w:val="00EC2745"/>
    <w:rsid w:val="00EF3CC8"/>
    <w:rsid w:val="00F11A8F"/>
    <w:rsid w:val="00F15540"/>
    <w:rsid w:val="00F315D1"/>
    <w:rsid w:val="00F3498A"/>
    <w:rsid w:val="00F82096"/>
    <w:rsid w:val="00F82564"/>
    <w:rsid w:val="00F8503D"/>
    <w:rsid w:val="00F86543"/>
    <w:rsid w:val="00F8662E"/>
    <w:rsid w:val="00F921B4"/>
    <w:rsid w:val="00FA7293"/>
    <w:rsid w:val="00FC1985"/>
    <w:rsid w:val="00FE264A"/>
    <w:rsid w:val="00FE76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543C"/>
  <w15:chartTrackingRefBased/>
  <w15:docId w15:val="{F015098D-308C-4755-8AAE-CEAAAB17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45142"/>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aliases w:val="webb"/>
    <w:basedOn w:val="Normlny"/>
    <w:uiPriority w:val="99"/>
    <w:qFormat/>
    <w:rsid w:val="00745142"/>
    <w:pPr>
      <w:spacing w:before="100" w:beforeAutospacing="1" w:after="100" w:afterAutospacing="1"/>
    </w:pPr>
  </w:style>
  <w:style w:type="paragraph" w:styleId="Hlavika">
    <w:name w:val="header"/>
    <w:basedOn w:val="Normlny"/>
    <w:link w:val="HlavikaChar"/>
    <w:uiPriority w:val="99"/>
    <w:unhideWhenUsed/>
    <w:rsid w:val="002526E0"/>
    <w:pPr>
      <w:tabs>
        <w:tab w:val="center" w:pos="4536"/>
        <w:tab w:val="right" w:pos="9072"/>
      </w:tabs>
    </w:pPr>
  </w:style>
  <w:style w:type="character" w:customStyle="1" w:styleId="HlavikaChar">
    <w:name w:val="Hlavička Char"/>
    <w:basedOn w:val="Predvolenpsmoodseku"/>
    <w:link w:val="Hlavika"/>
    <w:uiPriority w:val="99"/>
    <w:rsid w:val="002526E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2526E0"/>
    <w:pPr>
      <w:tabs>
        <w:tab w:val="center" w:pos="4536"/>
        <w:tab w:val="right" w:pos="9072"/>
      </w:tabs>
    </w:pPr>
  </w:style>
  <w:style w:type="character" w:customStyle="1" w:styleId="PtaChar">
    <w:name w:val="Päta Char"/>
    <w:basedOn w:val="Predvolenpsmoodseku"/>
    <w:link w:val="Pta"/>
    <w:uiPriority w:val="99"/>
    <w:rsid w:val="002526E0"/>
    <w:rPr>
      <w:rFonts w:ascii="Times New Roman" w:eastAsia="Times New Roman" w:hAnsi="Times New Roman" w:cs="Times New Roman"/>
      <w:sz w:val="24"/>
      <w:szCs w:val="24"/>
      <w:lang w:eastAsia="sk-SK"/>
    </w:rPr>
  </w:style>
  <w:style w:type="table" w:customStyle="1" w:styleId="Mriekatabuky1">
    <w:name w:val="Mriežka tabuľky1"/>
    <w:basedOn w:val="Normlnatabuka"/>
    <w:next w:val="Mriekatabuky"/>
    <w:uiPriority w:val="59"/>
    <w:rsid w:val="00924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924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ihnatisin@mod.gov.sk" TargetMode="External"/><Relationship Id="rId3" Type="http://schemas.openxmlformats.org/officeDocument/2006/relationships/settings" Target="settings.xml"/><Relationship Id="rId7" Type="http://schemas.openxmlformats.org/officeDocument/2006/relationships/hyperlink" Target="mailto:victor.breiner@mod.go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2445</Words>
  <Characters>13941</Characters>
  <Application>Microsoft Office Word</Application>
  <DocSecurity>0</DocSecurity>
  <Lines>116</Lines>
  <Paragraphs>32</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TOMECKOVA Alexandra</dc:creator>
  <cp:keywords/>
  <dc:description/>
  <cp:lastModifiedBy>SOMBATI Jan</cp:lastModifiedBy>
  <cp:revision>28</cp:revision>
  <dcterms:created xsi:type="dcterms:W3CDTF">2022-09-29T07:47:00Z</dcterms:created>
  <dcterms:modified xsi:type="dcterms:W3CDTF">2023-01-11T10:51:00Z</dcterms:modified>
</cp:coreProperties>
</file>