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1675AF5B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</w:t>
            </w:r>
            <w:r w:rsidR="00B4029B" w:rsidRPr="00B4029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A7ADC" w:rsidRPr="00BA7ADC">
              <w:rPr>
                <w:rFonts w:ascii="Times" w:hAnsi="Times" w:cs="Times"/>
                <w:sz w:val="20"/>
                <w:szCs w:val="20"/>
              </w:rPr>
              <w:t xml:space="preserve">zákona, </w:t>
            </w:r>
            <w:r w:rsidR="00C24AFA" w:rsidRPr="00C24AFA">
              <w:rPr>
                <w:rFonts w:ascii="Times" w:hAnsi="Times" w:cs="Times"/>
                <w:sz w:val="20"/>
                <w:szCs w:val="20"/>
              </w:rPr>
              <w:t>ktorým sa mení zákon č. 219/2014 Z. z. o sociálnej práci a o podmienkach na výkon niektorých odborných činností v oblasti sociálnych vecí a rodiny a o zmene a doplnení niektorých zákonov v znení neskorších predpisov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11D06709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52215C">
              <w:rPr>
                <w:rFonts w:ascii="Times" w:hAnsi="Times" w:cs="Times"/>
                <w:sz w:val="20"/>
                <w:szCs w:val="20"/>
              </w:rPr>
              <w:t>kyňa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215C">
              <w:rPr>
                <w:rFonts w:ascii="Times" w:hAnsi="Times" w:cs="Times"/>
                <w:sz w:val="20"/>
                <w:szCs w:val="20"/>
              </w:rPr>
              <w:t>Jana ŽITŇANSKÁ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125E6575" w:rsidR="00366E68" w:rsidRPr="00CB0F40" w:rsidRDefault="00BA530E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Súčasné </w:t>
            </w:r>
            <w:r w:rsidR="00C24AFA">
              <w:rPr>
                <w:rFonts w:ascii="Times" w:hAnsi="Times" w:cs="Times"/>
                <w:sz w:val="20"/>
                <w:szCs w:val="20"/>
              </w:rPr>
              <w:t xml:space="preserve">účinné znenie zákona č. 219/2014 Z. z. stanovuje prechodné obdobie, </w:t>
            </w:r>
            <w:r w:rsidR="00C24AFA" w:rsidRPr="00C24AFA">
              <w:rPr>
                <w:rFonts w:ascii="Times" w:hAnsi="Times" w:cs="Times"/>
                <w:sz w:val="20"/>
                <w:szCs w:val="20"/>
              </w:rPr>
              <w:t>počas ktorého sociálny pracovník, ktorý vykonáva sociálnu prácu v špecializovanom odbore sociálnej práce ustanovenom nariadením nemusí spĺňať podmienku osobitného kvalifikačného predpokladu na výkon špecializovanej odbornej činnosti do 31. decembra 202</w:t>
            </w:r>
            <w:r w:rsidR="00C24AFA">
              <w:rPr>
                <w:rFonts w:ascii="Times" w:hAnsi="Times" w:cs="Times"/>
                <w:sz w:val="20"/>
                <w:szCs w:val="20"/>
              </w:rPr>
              <w:t xml:space="preserve">3. Takéto obdobie je pre potreby praxe nedostatočné, keďže </w:t>
            </w:r>
            <w:r w:rsidR="00C24AFA" w:rsidRPr="00C24AFA">
              <w:rPr>
                <w:rFonts w:ascii="Times" w:hAnsi="Times" w:cs="Times"/>
                <w:sz w:val="20"/>
                <w:szCs w:val="20"/>
              </w:rPr>
              <w:t xml:space="preserve">mnohí sociálni pracovníci nebudú mať dostatok času na absolvovanie špecializovaného vzdelávania. Ponechanie prechodného obdobia iba do konca roka 2023 by tak spôsobilo odliv sociálnych pracovníkov, ktorých je v praxi už teraz nedostatok.  </w:t>
            </w:r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445EB10C" w:rsidR="00E86F00" w:rsidRDefault="00CB39F0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BA530E">
              <w:rPr>
                <w:rFonts w:ascii="Times" w:hAnsi="Times" w:cs="Times"/>
                <w:sz w:val="20"/>
                <w:szCs w:val="20"/>
              </w:rPr>
              <w:t xml:space="preserve">zákona č. </w:t>
            </w:r>
            <w:r w:rsidR="00C24AFA">
              <w:rPr>
                <w:rFonts w:ascii="Times" w:hAnsi="Times" w:cs="Times"/>
                <w:sz w:val="20"/>
                <w:szCs w:val="20"/>
              </w:rPr>
              <w:t>219/2014 Z. z. je tak predĺženie prechodného obdobia do 31.decembra 2024.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1D354121" w:rsidR="005644DD" w:rsidRDefault="00C24AFA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Sociálni</w:t>
            </w:r>
            <w:r w:rsidRPr="00C24AFA">
              <w:rPr>
                <w:rFonts w:ascii="Times" w:hAnsi="Times" w:cs="Times"/>
                <w:sz w:val="20"/>
                <w:szCs w:val="20"/>
              </w:rPr>
              <w:t xml:space="preserve"> pracovní</w:t>
            </w:r>
            <w:r>
              <w:rPr>
                <w:rFonts w:ascii="Times" w:hAnsi="Times" w:cs="Times"/>
                <w:sz w:val="20"/>
                <w:szCs w:val="20"/>
              </w:rPr>
              <w:t>ci</w:t>
            </w:r>
            <w:r w:rsidRPr="00C24AFA">
              <w:rPr>
                <w:rFonts w:ascii="Times" w:hAnsi="Times" w:cs="Times"/>
                <w:sz w:val="20"/>
                <w:szCs w:val="20"/>
              </w:rPr>
              <w:t>, ktor</w:t>
            </w:r>
            <w:r>
              <w:rPr>
                <w:rFonts w:ascii="Times" w:hAnsi="Times" w:cs="Times"/>
                <w:sz w:val="20"/>
                <w:szCs w:val="20"/>
              </w:rPr>
              <w:t>í</w:t>
            </w:r>
            <w:r w:rsidRPr="00C24AFA">
              <w:rPr>
                <w:rFonts w:ascii="Times" w:hAnsi="Times" w:cs="Times"/>
                <w:sz w:val="20"/>
                <w:szCs w:val="20"/>
              </w:rPr>
              <w:t xml:space="preserve"> vykonáva</w:t>
            </w:r>
            <w:r>
              <w:rPr>
                <w:rFonts w:ascii="Times" w:hAnsi="Times" w:cs="Times"/>
                <w:sz w:val="20"/>
                <w:szCs w:val="20"/>
              </w:rPr>
              <w:t>jú</w:t>
            </w:r>
            <w:r w:rsidRPr="00C24AFA">
              <w:rPr>
                <w:rFonts w:ascii="Times" w:hAnsi="Times" w:cs="Times"/>
                <w:sz w:val="20"/>
                <w:szCs w:val="20"/>
              </w:rPr>
              <w:t xml:space="preserve"> sociálnu prácu v špecializovanom odbore sociálnej práce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77723D1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82E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E5F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310428B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82E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E5F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62BE38DA" w:rsidR="00366E68" w:rsidRPr="00235E06" w:rsidRDefault="00882E5F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66E68"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="00366E68"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1B92F3AA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 </w:t>
            </w:r>
            <w:r w:rsidR="00882E5F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B4029B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3697DC70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882E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E5F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3BF9AFA1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882E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E5F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6D47F911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882E5F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1E7B64D9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82E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82E5F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1A96C17B" w:rsidR="00366E68" w:rsidRDefault="00BC2B49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jana.zitnanska</w:t>
            </w:r>
            <w:r w:rsidR="00FB0F06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32E72BBF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54CFE39C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465404A9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6C471EC6" w14:textId="77777777" w:rsidR="00C24AFA" w:rsidRDefault="00C24AFA" w:rsidP="002363CC">
      <w:pPr>
        <w:jc w:val="center"/>
        <w:rPr>
          <w:b/>
          <w:caps/>
          <w:spacing w:val="30"/>
          <w:sz w:val="25"/>
          <w:szCs w:val="25"/>
        </w:rPr>
      </w:pPr>
    </w:p>
    <w:p w14:paraId="315CCA9F" w14:textId="77777777" w:rsidR="00C24AFA" w:rsidRDefault="00C24AFA" w:rsidP="002363CC">
      <w:pPr>
        <w:jc w:val="center"/>
        <w:rPr>
          <w:b/>
          <w:caps/>
          <w:spacing w:val="30"/>
          <w:sz w:val="25"/>
          <w:szCs w:val="25"/>
        </w:rPr>
      </w:pPr>
    </w:p>
    <w:p w14:paraId="5FB4748D" w14:textId="77777777" w:rsidR="00C24AFA" w:rsidRDefault="00C24AFA" w:rsidP="002363CC">
      <w:pPr>
        <w:jc w:val="center"/>
        <w:rPr>
          <w:b/>
          <w:caps/>
          <w:spacing w:val="30"/>
          <w:sz w:val="25"/>
          <w:szCs w:val="25"/>
        </w:rPr>
      </w:pPr>
    </w:p>
    <w:p w14:paraId="6D162DCF" w14:textId="77777777" w:rsidR="00C24AFA" w:rsidRDefault="00C24AFA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D75839" w14:textId="28E82668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6FD4355F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BC2B49">
              <w:rPr>
                <w:sz w:val="25"/>
                <w:szCs w:val="25"/>
              </w:rPr>
              <w:t>kyňa</w:t>
            </w:r>
            <w:r w:rsidRPr="00693B46">
              <w:rPr>
                <w:sz w:val="25"/>
                <w:szCs w:val="25"/>
              </w:rPr>
              <w:t xml:space="preserve"> Národnej rady Slovenskej republiky</w:t>
            </w:r>
            <w:r w:rsidR="00FB0F06">
              <w:rPr>
                <w:sz w:val="25"/>
                <w:szCs w:val="25"/>
              </w:rPr>
              <w:t xml:space="preserve"> </w:t>
            </w:r>
            <w:r w:rsidR="00BC2B49">
              <w:rPr>
                <w:sz w:val="25"/>
                <w:szCs w:val="25"/>
              </w:rPr>
              <w:t>Jana ŽITŇANSK</w:t>
            </w:r>
            <w:r w:rsidR="00D42C39">
              <w:rPr>
                <w:sz w:val="25"/>
                <w:szCs w:val="25"/>
              </w:rPr>
              <w:t>Á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23160EFF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C24AFA" w:rsidRPr="00C24AFA">
              <w:rPr>
                <w:sz w:val="25"/>
                <w:szCs w:val="25"/>
              </w:rPr>
              <w:t>Návrh zákona, ktorým sa mení zákon č. 219/2014 Z. z. o sociálnej práci a o podmienkach na výkon niektorých odborných činností v oblasti sociálnych vecí a rodiny a o zmene a doplnení niektorých zákonov v znení neskorších predpisov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Záväzky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Slovenskej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republiky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vo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vzťahu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k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únii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: </w:t>
            </w:r>
            <w:bookmarkStart w:id="0" w:name="_GoBack"/>
            <w:bookmarkEnd w:id="0"/>
          </w:p>
          <w:p w14:paraId="0B71B8FE" w14:textId="77777777" w:rsidR="00D42C39" w:rsidRDefault="00D42C39" w:rsidP="00D42C39">
            <w:pPr>
              <w:rPr>
                <w:rFonts w:eastAsia="Times New Roman"/>
                <w:color w:val="000000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bezpredmetné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24D2A737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</w:p>
          <w:p w14:paraId="4065B2A3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5.Stupeň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návrhu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právneho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predpisu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s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právom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únie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BE"/>
    <w:rsid w:val="00035961"/>
    <w:rsid w:val="000550D7"/>
    <w:rsid w:val="000F1622"/>
    <w:rsid w:val="00154480"/>
    <w:rsid w:val="00194F85"/>
    <w:rsid w:val="002363CC"/>
    <w:rsid w:val="002A21CA"/>
    <w:rsid w:val="00366E68"/>
    <w:rsid w:val="004C29B2"/>
    <w:rsid w:val="004D56A3"/>
    <w:rsid w:val="004F1D6F"/>
    <w:rsid w:val="0052215C"/>
    <w:rsid w:val="0052758C"/>
    <w:rsid w:val="005644DD"/>
    <w:rsid w:val="005814AB"/>
    <w:rsid w:val="005B393F"/>
    <w:rsid w:val="00642C04"/>
    <w:rsid w:val="00643E95"/>
    <w:rsid w:val="00693B46"/>
    <w:rsid w:val="006A1DBE"/>
    <w:rsid w:val="006A7FB4"/>
    <w:rsid w:val="00727239"/>
    <w:rsid w:val="00741060"/>
    <w:rsid w:val="00834C2F"/>
    <w:rsid w:val="00882E5F"/>
    <w:rsid w:val="00882EDF"/>
    <w:rsid w:val="008909A2"/>
    <w:rsid w:val="008B358E"/>
    <w:rsid w:val="008B3B9B"/>
    <w:rsid w:val="008F7E39"/>
    <w:rsid w:val="00984CFC"/>
    <w:rsid w:val="00985AB6"/>
    <w:rsid w:val="00A217D2"/>
    <w:rsid w:val="00B13544"/>
    <w:rsid w:val="00B157D0"/>
    <w:rsid w:val="00B4029B"/>
    <w:rsid w:val="00B85923"/>
    <w:rsid w:val="00BA530E"/>
    <w:rsid w:val="00BA7ADC"/>
    <w:rsid w:val="00BB695D"/>
    <w:rsid w:val="00BC2B49"/>
    <w:rsid w:val="00C10F55"/>
    <w:rsid w:val="00C24AFA"/>
    <w:rsid w:val="00C3011C"/>
    <w:rsid w:val="00C45DE2"/>
    <w:rsid w:val="00C75541"/>
    <w:rsid w:val="00CB0F40"/>
    <w:rsid w:val="00CB39F0"/>
    <w:rsid w:val="00CF2810"/>
    <w:rsid w:val="00D12E03"/>
    <w:rsid w:val="00D14B84"/>
    <w:rsid w:val="00D42C39"/>
    <w:rsid w:val="00DA7182"/>
    <w:rsid w:val="00E349A9"/>
    <w:rsid w:val="00E35AE9"/>
    <w:rsid w:val="00E503F6"/>
    <w:rsid w:val="00E86F00"/>
    <w:rsid w:val="00EA21C2"/>
    <w:rsid w:val="00EB59B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Monika</cp:lastModifiedBy>
  <cp:revision>14</cp:revision>
  <cp:lastPrinted>2021-09-30T21:19:00Z</cp:lastPrinted>
  <dcterms:created xsi:type="dcterms:W3CDTF">2021-09-30T21:10:00Z</dcterms:created>
  <dcterms:modified xsi:type="dcterms:W3CDTF">2023-01-10T22:37:00Z</dcterms:modified>
</cp:coreProperties>
</file>