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D4A4" w14:textId="15CDAF1C" w:rsidR="003A7820" w:rsidRPr="004F39E6" w:rsidRDefault="006F209A" w:rsidP="004F39E6">
      <w:pPr>
        <w:jc w:val="center"/>
        <w:rPr>
          <w:rFonts w:eastAsia="Times New Roman" w:cs="Times New Roman"/>
          <w:b/>
          <w:color w:val="000000"/>
          <w:sz w:val="32"/>
          <w:szCs w:val="32"/>
          <w:lang w:eastAsia="sk-SK"/>
        </w:rPr>
      </w:pPr>
      <w:r w:rsidRPr="004F39E6">
        <w:rPr>
          <w:rFonts w:eastAsia="Times New Roman" w:cs="Times New Roman"/>
          <w:b/>
          <w:color w:val="000000"/>
          <w:sz w:val="32"/>
          <w:szCs w:val="32"/>
          <w:lang w:eastAsia="sk-SK"/>
        </w:rPr>
        <w:t>Informácia o postupe použitom Radou pre rozpočtovú zodpovednosť pri výpočte limitu verejných výdavkov na roky 2023 až 2025</w:t>
      </w:r>
    </w:p>
    <w:p w14:paraId="4645964A" w14:textId="77777777" w:rsidR="000833C6" w:rsidRDefault="000833C6" w:rsidP="006F209A">
      <w:pPr>
        <w:jc w:val="both"/>
        <w:rPr>
          <w:rFonts w:eastAsia="Times New Roman" w:cs="Times New Roman"/>
          <w:b/>
          <w:color w:val="000000"/>
          <w:lang w:eastAsia="sk-SK"/>
        </w:rPr>
      </w:pPr>
    </w:p>
    <w:p w14:paraId="02BA68F5" w14:textId="00063A51" w:rsidR="000833C6" w:rsidRDefault="000833C6" w:rsidP="000833C6">
      <w:pPr>
        <w:jc w:val="both"/>
        <w:rPr>
          <w:sz w:val="22"/>
          <w:szCs w:val="22"/>
        </w:rPr>
      </w:pPr>
      <w:r>
        <w:rPr>
          <w:sz w:val="22"/>
          <w:szCs w:val="22"/>
        </w:rPr>
        <w:t>Limity verejných výdavkov sú predkladané Národnej rad</w:t>
      </w:r>
      <w:r w:rsidR="00F56BD2">
        <w:rPr>
          <w:sz w:val="22"/>
          <w:szCs w:val="22"/>
        </w:rPr>
        <w:t>e</w:t>
      </w:r>
      <w:r>
        <w:rPr>
          <w:sz w:val="22"/>
          <w:szCs w:val="22"/>
        </w:rPr>
        <w:t xml:space="preserve"> Slovenskej republiky po prvýkrát</w:t>
      </w:r>
      <w:r>
        <w:rPr>
          <w:rStyle w:val="FootnoteReference"/>
          <w:sz w:val="22"/>
          <w:szCs w:val="22"/>
        </w:rPr>
        <w:footnoteReference w:id="2"/>
      </w:r>
      <w:r>
        <w:rPr>
          <w:sz w:val="22"/>
          <w:szCs w:val="22"/>
        </w:rPr>
        <w:t xml:space="preserve">, pričom ide o naplnenie požiadaviek ukotvených v ústavnom poriadku Slovenskej republiky schválením Ústavného zákona č. 493/2011 Z.z. o rozpočtovej zodpovednosti v decembri 2011. Limity predstavujú </w:t>
      </w:r>
      <w:r w:rsidRPr="0042369A">
        <w:rPr>
          <w:sz w:val="22"/>
          <w:szCs w:val="22"/>
        </w:rPr>
        <w:t>hlavný rozpočtový nástroj na zabezpečenie dlhodobej udržateľnosti</w:t>
      </w:r>
      <w:r>
        <w:rPr>
          <w:sz w:val="22"/>
          <w:szCs w:val="22"/>
        </w:rPr>
        <w:t xml:space="preserve"> a sú nevyhnutným operatívnym nástrojom riadenia rozpočtu, ktorý tak dopĺňa existujúce ústavné pravidlá na limit na dlh.</w:t>
      </w:r>
    </w:p>
    <w:p w14:paraId="44592DD6" w14:textId="77777777" w:rsidR="000833C6" w:rsidRDefault="000833C6" w:rsidP="000833C6">
      <w:pPr>
        <w:jc w:val="both"/>
        <w:rPr>
          <w:sz w:val="22"/>
          <w:szCs w:val="22"/>
        </w:rPr>
      </w:pPr>
    </w:p>
    <w:p w14:paraId="23662CE5" w14:textId="2071D391" w:rsidR="007305EB" w:rsidRDefault="000833C6" w:rsidP="000833C6">
      <w:pPr>
        <w:jc w:val="both"/>
        <w:rPr>
          <w:sz w:val="22"/>
          <w:szCs w:val="22"/>
          <w:highlight w:val="yellow"/>
        </w:rPr>
      </w:pPr>
      <w:r>
        <w:rPr>
          <w:sz w:val="22"/>
          <w:szCs w:val="22"/>
        </w:rPr>
        <w:t xml:space="preserve">Pri výpočte limitov verejných výdavkov postupovala Rada pre rozpočtovú zodpovednosť podľa požiadaviek </w:t>
      </w:r>
      <w:r w:rsidRPr="00E45E44">
        <w:rPr>
          <w:sz w:val="22"/>
          <w:szCs w:val="22"/>
        </w:rPr>
        <w:t>zákona č. 523/2004 Z. z. o rozpočtových pravidlách verejnej správy a o zmene a doplnení niektorých zákonov v znení neskorších predpisov</w:t>
      </w:r>
      <w:r>
        <w:rPr>
          <w:rStyle w:val="FootnoteReference"/>
          <w:sz w:val="22"/>
          <w:szCs w:val="22"/>
        </w:rPr>
        <w:footnoteReference w:id="3"/>
      </w:r>
      <w:r w:rsidR="003D17BC">
        <w:rPr>
          <w:sz w:val="22"/>
          <w:szCs w:val="22"/>
        </w:rPr>
        <w:t xml:space="preserve"> </w:t>
      </w:r>
      <w:r w:rsidR="007305EB">
        <w:rPr>
          <w:sz w:val="22"/>
          <w:szCs w:val="22"/>
        </w:rPr>
        <w:t>na základe</w:t>
      </w:r>
      <w:r w:rsidR="003D17BC">
        <w:rPr>
          <w:sz w:val="22"/>
          <w:szCs w:val="22"/>
        </w:rPr>
        <w:t xml:space="preserve"> metodiky dohodnutej s MF SR dňa </w:t>
      </w:r>
      <w:r w:rsidR="00B955EB" w:rsidRPr="00A30150">
        <w:rPr>
          <w:sz w:val="22"/>
          <w:szCs w:val="22"/>
        </w:rPr>
        <w:t>2</w:t>
      </w:r>
      <w:r w:rsidR="004D2186">
        <w:rPr>
          <w:sz w:val="22"/>
          <w:szCs w:val="22"/>
        </w:rPr>
        <w:t>2</w:t>
      </w:r>
      <w:r w:rsidR="003D17BC" w:rsidRPr="00A30150">
        <w:rPr>
          <w:sz w:val="22"/>
          <w:szCs w:val="22"/>
        </w:rPr>
        <w:t>.</w:t>
      </w:r>
      <w:r w:rsidR="002D5732" w:rsidRPr="00A30150">
        <w:rPr>
          <w:sz w:val="22"/>
          <w:szCs w:val="22"/>
        </w:rPr>
        <w:t> </w:t>
      </w:r>
      <w:r w:rsidR="003D17BC" w:rsidRPr="00A30150">
        <w:rPr>
          <w:sz w:val="22"/>
          <w:szCs w:val="22"/>
        </w:rPr>
        <w:t>decembra</w:t>
      </w:r>
      <w:r w:rsidR="003D17BC">
        <w:rPr>
          <w:sz w:val="22"/>
          <w:szCs w:val="22"/>
        </w:rPr>
        <w:t xml:space="preserve"> 2022</w:t>
      </w:r>
      <w:r w:rsidR="003D17BC">
        <w:rPr>
          <w:rStyle w:val="FootnoteReference"/>
          <w:sz w:val="22"/>
          <w:szCs w:val="22"/>
        </w:rPr>
        <w:footnoteReference w:id="4"/>
      </w:r>
      <w:r>
        <w:rPr>
          <w:sz w:val="22"/>
          <w:szCs w:val="22"/>
        </w:rPr>
        <w:t xml:space="preserve">. </w:t>
      </w:r>
      <w:r w:rsidR="003C5A91">
        <w:rPr>
          <w:sz w:val="22"/>
          <w:szCs w:val="22"/>
        </w:rPr>
        <w:t>Ú</w:t>
      </w:r>
      <w:r w:rsidRPr="007305EB">
        <w:rPr>
          <w:sz w:val="22"/>
          <w:szCs w:val="22"/>
        </w:rPr>
        <w:t>čelom vypočítaných limitov je nastaviť záväzné limity výdavkov jednotlivo pre každý z rokov 2023 až 2025</w:t>
      </w:r>
      <w:r w:rsidR="00E11289">
        <w:rPr>
          <w:sz w:val="22"/>
          <w:szCs w:val="22"/>
        </w:rPr>
        <w:t>.</w:t>
      </w:r>
      <w:r w:rsidRPr="007305EB">
        <w:rPr>
          <w:sz w:val="22"/>
          <w:szCs w:val="22"/>
        </w:rPr>
        <w:t xml:space="preserve"> </w:t>
      </w:r>
    </w:p>
    <w:p w14:paraId="29FF973B" w14:textId="77777777" w:rsidR="007305EB" w:rsidRDefault="007305EB" w:rsidP="000833C6">
      <w:pPr>
        <w:jc w:val="both"/>
        <w:rPr>
          <w:sz w:val="22"/>
          <w:szCs w:val="22"/>
          <w:highlight w:val="yellow"/>
        </w:rPr>
      </w:pPr>
    </w:p>
    <w:p w14:paraId="3A955678" w14:textId="29430AE7" w:rsidR="005D4168" w:rsidRDefault="000833C6" w:rsidP="005D4168">
      <w:pPr>
        <w:jc w:val="both"/>
        <w:rPr>
          <w:sz w:val="22"/>
          <w:szCs w:val="22"/>
        </w:rPr>
      </w:pPr>
      <w:r>
        <w:rPr>
          <w:sz w:val="22"/>
          <w:szCs w:val="22"/>
        </w:rPr>
        <w:t xml:space="preserve">Východiskom výpočtu limitov je základný scenár vývoja </w:t>
      </w:r>
      <w:r w:rsidR="005D4168">
        <w:rPr>
          <w:sz w:val="22"/>
          <w:szCs w:val="22"/>
        </w:rPr>
        <w:t xml:space="preserve">príjmov a výdavkov verejnej správy </w:t>
      </w:r>
      <w:r>
        <w:rPr>
          <w:sz w:val="22"/>
          <w:szCs w:val="22"/>
        </w:rPr>
        <w:t xml:space="preserve"> </w:t>
      </w:r>
      <w:r w:rsidR="0028429D">
        <w:rPr>
          <w:sz w:val="22"/>
          <w:szCs w:val="22"/>
        </w:rPr>
        <w:t xml:space="preserve">zostavený na obdobie 50 rokov </w:t>
      </w:r>
      <w:r>
        <w:rPr>
          <w:sz w:val="22"/>
          <w:szCs w:val="22"/>
        </w:rPr>
        <w:t>vychádzajúci z odhadovaného salda verejnej správy v roku 2022</w:t>
      </w:r>
      <w:r w:rsidR="0028429D">
        <w:rPr>
          <w:sz w:val="22"/>
          <w:szCs w:val="22"/>
        </w:rPr>
        <w:t xml:space="preserve"> a platnej legislatívy k</w:t>
      </w:r>
      <w:r w:rsidR="005D4168">
        <w:rPr>
          <w:sz w:val="22"/>
          <w:szCs w:val="22"/>
        </w:rPr>
        <w:t> stanovenému dátumu</w:t>
      </w:r>
      <w:r>
        <w:rPr>
          <w:sz w:val="22"/>
          <w:szCs w:val="22"/>
        </w:rPr>
        <w:t xml:space="preserve">. </w:t>
      </w:r>
      <w:r w:rsidR="005D4168">
        <w:rPr>
          <w:sz w:val="22"/>
          <w:szCs w:val="22"/>
        </w:rPr>
        <w:t>Základný scenár slúži na to, aby sa stanovila plánovaná hodnota štrukturálneho salda</w:t>
      </w:r>
      <w:r w:rsidR="005D4168">
        <w:rPr>
          <w:rStyle w:val="FootnoteReference"/>
          <w:sz w:val="22"/>
          <w:szCs w:val="22"/>
        </w:rPr>
        <w:footnoteReference w:id="5"/>
      </w:r>
      <w:r w:rsidR="005D4168">
        <w:rPr>
          <w:sz w:val="22"/>
          <w:szCs w:val="22"/>
        </w:rPr>
        <w:t>, z ktorej vychádza výpočet limitu na jednotlivé roky. Hodnota ukazovateľa dlhodobej udržateľnosti potom určuje aktuálnu rizikovosť verejných financií a na základe nej sa stanoví požadované</w:t>
      </w:r>
      <w:r w:rsidR="005D4168">
        <w:rPr>
          <w:rStyle w:val="FootnoteReference"/>
          <w:sz w:val="22"/>
          <w:szCs w:val="22"/>
        </w:rPr>
        <w:footnoteReference w:id="6"/>
      </w:r>
      <w:r w:rsidR="005D4168">
        <w:rPr>
          <w:sz w:val="22"/>
          <w:szCs w:val="22"/>
        </w:rPr>
        <w:t xml:space="preserve"> zlepšenie štrukturálneho salda v nasledujúcich rokoch. Tým sa zabezpečí prepojenie limitu verejných výdavkov s dlhodobou udržateľnosťou verejných financií.</w:t>
      </w:r>
    </w:p>
    <w:p w14:paraId="08D2D5AD" w14:textId="7FE3E38E" w:rsidR="000833C6" w:rsidRDefault="000833C6" w:rsidP="000833C6">
      <w:pPr>
        <w:rPr>
          <w:sz w:val="22"/>
          <w:szCs w:val="22"/>
        </w:rPr>
      </w:pPr>
    </w:p>
    <w:p w14:paraId="649DA9BB" w14:textId="7AF1DAA9" w:rsidR="00761464" w:rsidRPr="00114DEE" w:rsidRDefault="00D22E18" w:rsidP="000833C6">
      <w:pPr>
        <w:rPr>
          <w:b/>
          <w:sz w:val="22"/>
          <w:szCs w:val="22"/>
        </w:rPr>
      </w:pPr>
      <w:r>
        <w:rPr>
          <w:b/>
          <w:bCs/>
          <w:sz w:val="22"/>
          <w:szCs w:val="22"/>
        </w:rPr>
        <w:t>Predpoklady</w:t>
      </w:r>
      <w:r w:rsidR="00166D8B">
        <w:rPr>
          <w:b/>
          <w:bCs/>
          <w:sz w:val="22"/>
          <w:szCs w:val="22"/>
        </w:rPr>
        <w:t xml:space="preserve"> zostavenia z</w:t>
      </w:r>
      <w:r w:rsidR="00761464" w:rsidRPr="00114DEE">
        <w:rPr>
          <w:b/>
          <w:sz w:val="22"/>
          <w:szCs w:val="22"/>
        </w:rPr>
        <w:t>ákladn</w:t>
      </w:r>
      <w:r w:rsidR="00166D8B">
        <w:rPr>
          <w:b/>
          <w:bCs/>
          <w:sz w:val="22"/>
          <w:szCs w:val="22"/>
        </w:rPr>
        <w:t>ého</w:t>
      </w:r>
      <w:r w:rsidR="00761464" w:rsidRPr="00114DEE">
        <w:rPr>
          <w:b/>
          <w:sz w:val="22"/>
          <w:szCs w:val="22"/>
        </w:rPr>
        <w:t xml:space="preserve"> scenár</w:t>
      </w:r>
      <w:r w:rsidR="00166D8B">
        <w:rPr>
          <w:b/>
          <w:bCs/>
          <w:sz w:val="22"/>
          <w:szCs w:val="22"/>
        </w:rPr>
        <w:t>a vývoja verejných financií</w:t>
      </w:r>
    </w:p>
    <w:p w14:paraId="49A4A906" w14:textId="77777777" w:rsidR="009A4823" w:rsidRDefault="009A4823" w:rsidP="00114DEE">
      <w:pPr>
        <w:jc w:val="both"/>
        <w:rPr>
          <w:sz w:val="22"/>
          <w:szCs w:val="22"/>
        </w:rPr>
      </w:pPr>
    </w:p>
    <w:p w14:paraId="4CF52192" w14:textId="23CE5740" w:rsidR="009A4823" w:rsidRDefault="009A4823" w:rsidP="00114DEE">
      <w:pPr>
        <w:jc w:val="both"/>
        <w:rPr>
          <w:sz w:val="22"/>
          <w:szCs w:val="22"/>
          <w:highlight w:val="yellow"/>
        </w:rPr>
      </w:pPr>
      <w:r w:rsidRPr="00D42329">
        <w:rPr>
          <w:sz w:val="22"/>
          <w:szCs w:val="22"/>
        </w:rPr>
        <w:t>Základný scenár</w:t>
      </w:r>
      <w:r w:rsidR="005D4168">
        <w:rPr>
          <w:sz w:val="22"/>
          <w:szCs w:val="22"/>
        </w:rPr>
        <w:t xml:space="preserve"> vývoja verejných financií</w:t>
      </w:r>
      <w:r w:rsidRPr="00D42329">
        <w:rPr>
          <w:sz w:val="22"/>
          <w:szCs w:val="22"/>
        </w:rPr>
        <w:t xml:space="preserve"> RRZ zverejnila</w:t>
      </w:r>
      <w:r w:rsidR="00166D8B">
        <w:rPr>
          <w:rStyle w:val="FootnoteReference"/>
          <w:sz w:val="22"/>
          <w:szCs w:val="22"/>
        </w:rPr>
        <w:footnoteReference w:id="7"/>
      </w:r>
      <w:r w:rsidRPr="00D42329">
        <w:rPr>
          <w:sz w:val="22"/>
          <w:szCs w:val="22"/>
        </w:rPr>
        <w:t xml:space="preserve"> dňa 30. apríla 2022, pričom bol založený na makroekonomickej prognóze Výboru pre makroekonomické prognózy z</w:t>
      </w:r>
      <w:r w:rsidR="005D4168">
        <w:rPr>
          <w:sz w:val="22"/>
          <w:szCs w:val="22"/>
        </w:rPr>
        <w:t> </w:t>
      </w:r>
      <w:r w:rsidRPr="00D42329">
        <w:rPr>
          <w:sz w:val="22"/>
          <w:szCs w:val="22"/>
        </w:rPr>
        <w:t>marca 2022. Vzhľadom na to, že od marca došlo k</w:t>
      </w:r>
      <w:r w:rsidR="005D4168">
        <w:rPr>
          <w:sz w:val="22"/>
          <w:szCs w:val="22"/>
        </w:rPr>
        <w:t> </w:t>
      </w:r>
      <w:r w:rsidRPr="00D42329">
        <w:rPr>
          <w:sz w:val="22"/>
          <w:szCs w:val="22"/>
        </w:rPr>
        <w:t>výraznej zmene makroekonomického výhľadu</w:t>
      </w:r>
      <w:r w:rsidR="0041705F">
        <w:rPr>
          <w:sz w:val="22"/>
          <w:szCs w:val="22"/>
        </w:rPr>
        <w:t>,</w:t>
      </w:r>
      <w:r w:rsidRPr="00D42329">
        <w:rPr>
          <w:sz w:val="22"/>
          <w:szCs w:val="22"/>
        </w:rPr>
        <w:t xml:space="preserve"> RRZ s</w:t>
      </w:r>
      <w:r w:rsidR="005D4168">
        <w:rPr>
          <w:sz w:val="22"/>
          <w:szCs w:val="22"/>
        </w:rPr>
        <w:t> </w:t>
      </w:r>
      <w:r w:rsidRPr="00D42329">
        <w:rPr>
          <w:sz w:val="22"/>
          <w:szCs w:val="22"/>
        </w:rPr>
        <w:t>cieľom čo najvernejšie zohľadniť tento vývoj z</w:t>
      </w:r>
      <w:r w:rsidR="005D4168">
        <w:rPr>
          <w:sz w:val="22"/>
          <w:szCs w:val="22"/>
        </w:rPr>
        <w:t> </w:t>
      </w:r>
      <w:r w:rsidRPr="00D42329">
        <w:rPr>
          <w:sz w:val="22"/>
          <w:szCs w:val="22"/>
        </w:rPr>
        <w:t>vlastnej iniciatívy zaktualizovala základný scenár. Aktualizovaný základný scenár je založený na najaktuálnejšej makroekonomickej prognóze Výboru pre makroekonomické prognózy</w:t>
      </w:r>
      <w:r w:rsidR="00166D8B">
        <w:rPr>
          <w:sz w:val="22"/>
          <w:szCs w:val="22"/>
        </w:rPr>
        <w:t xml:space="preserve"> zo septembra</w:t>
      </w:r>
      <w:r w:rsidR="005D4168">
        <w:rPr>
          <w:sz w:val="22"/>
          <w:szCs w:val="22"/>
        </w:rPr>
        <w:t xml:space="preserve"> 2022</w:t>
      </w:r>
      <w:r w:rsidRPr="00D42329">
        <w:rPr>
          <w:sz w:val="22"/>
          <w:szCs w:val="22"/>
        </w:rPr>
        <w:t xml:space="preserve"> a zohľadňuje stav legislatívy</w:t>
      </w:r>
      <w:r w:rsidR="00994CC0">
        <w:rPr>
          <w:sz w:val="22"/>
          <w:szCs w:val="22"/>
        </w:rPr>
        <w:t>,</w:t>
      </w:r>
      <w:r w:rsidR="00166D8B">
        <w:rPr>
          <w:sz w:val="22"/>
          <w:szCs w:val="22"/>
        </w:rPr>
        <w:t xml:space="preserve"> rozhodnutia </w:t>
      </w:r>
      <w:r w:rsidR="00166D8B" w:rsidRPr="00994CC0">
        <w:rPr>
          <w:sz w:val="22"/>
          <w:szCs w:val="22"/>
        </w:rPr>
        <w:t>vlády</w:t>
      </w:r>
      <w:r w:rsidR="00994CC0">
        <w:rPr>
          <w:sz w:val="22"/>
          <w:szCs w:val="22"/>
        </w:rPr>
        <w:t xml:space="preserve"> a rozhodnutia Ústavného súdu SR</w:t>
      </w:r>
      <w:r w:rsidRPr="00994CC0">
        <w:rPr>
          <w:sz w:val="22"/>
          <w:szCs w:val="22"/>
        </w:rPr>
        <w:t xml:space="preserve"> k </w:t>
      </w:r>
      <w:r w:rsidR="00994CC0" w:rsidRPr="00114DEE">
        <w:rPr>
          <w:sz w:val="22"/>
          <w:szCs w:val="22"/>
        </w:rPr>
        <w:t>13</w:t>
      </w:r>
      <w:r w:rsidRPr="00114DEE">
        <w:rPr>
          <w:sz w:val="22"/>
          <w:szCs w:val="22"/>
        </w:rPr>
        <w:t xml:space="preserve">. </w:t>
      </w:r>
      <w:r w:rsidR="00166D8B" w:rsidRPr="00114DEE">
        <w:rPr>
          <w:sz w:val="22"/>
          <w:szCs w:val="22"/>
        </w:rPr>
        <w:t>decembru</w:t>
      </w:r>
      <w:r w:rsidRPr="00114DEE">
        <w:rPr>
          <w:sz w:val="22"/>
          <w:szCs w:val="22"/>
        </w:rPr>
        <w:t xml:space="preserve"> 2022.</w:t>
      </w:r>
    </w:p>
    <w:p w14:paraId="7315C86F" w14:textId="77777777" w:rsidR="009A4823" w:rsidRDefault="009A4823" w:rsidP="00114DEE">
      <w:pPr>
        <w:jc w:val="both"/>
        <w:rPr>
          <w:sz w:val="22"/>
          <w:szCs w:val="22"/>
        </w:rPr>
      </w:pPr>
    </w:p>
    <w:p w14:paraId="25B747D5" w14:textId="01304067" w:rsidR="009A4823" w:rsidRDefault="009A4823" w:rsidP="00114DEE">
      <w:pPr>
        <w:jc w:val="both"/>
      </w:pPr>
      <w:r>
        <w:rPr>
          <w:sz w:val="22"/>
          <w:szCs w:val="22"/>
        </w:rPr>
        <w:t xml:space="preserve">Základný scenár vychádza z odhadovaného vývoja verejných financií v roku 2022. Dôležitosť realistického východiskového odhadu salda podčiarkuje to, že jeho úroveň ovplyvňuje aj vývoj štrukturálneho salda v strednodobom horizonte. Vzhľadom na to, že ide o prvý výpočet limitov a limity </w:t>
      </w:r>
      <w:r>
        <w:rPr>
          <w:sz w:val="22"/>
          <w:szCs w:val="22"/>
        </w:rPr>
        <w:lastRenderedPageBreak/>
        <w:t xml:space="preserve">sa vypočítavajú neštandardne uprostred volebného obdobia, </w:t>
      </w:r>
      <w:r w:rsidRPr="00EA3C80">
        <w:rPr>
          <w:sz w:val="22"/>
          <w:szCs w:val="22"/>
        </w:rPr>
        <w:t>po dohode s MF SR</w:t>
      </w:r>
      <w:r>
        <w:rPr>
          <w:sz w:val="22"/>
          <w:szCs w:val="22"/>
        </w:rPr>
        <w:t xml:space="preserve"> bol zvolený jedinečný prístup</w:t>
      </w:r>
      <w:r>
        <w:rPr>
          <w:rStyle w:val="FootnoteReference"/>
          <w:sz w:val="22"/>
          <w:szCs w:val="22"/>
        </w:rPr>
        <w:footnoteReference w:id="8"/>
      </w:r>
      <w:r>
        <w:rPr>
          <w:sz w:val="22"/>
          <w:szCs w:val="22"/>
        </w:rPr>
        <w:t xml:space="preserve"> k odhadu salda v roku 2022. </w:t>
      </w:r>
      <w:r w:rsidR="005D4168" w:rsidRPr="005D4168">
        <w:rPr>
          <w:sz w:val="22"/>
          <w:szCs w:val="22"/>
        </w:rPr>
        <w:t xml:space="preserve">Odhad </w:t>
      </w:r>
      <w:r w:rsidR="00935B2B">
        <w:rPr>
          <w:sz w:val="22"/>
          <w:szCs w:val="22"/>
        </w:rPr>
        <w:t>z</w:t>
      </w:r>
      <w:r w:rsidR="005D4168" w:rsidRPr="005D4168">
        <w:rPr>
          <w:sz w:val="22"/>
          <w:szCs w:val="22"/>
        </w:rPr>
        <w:t>ohľadň</w:t>
      </w:r>
      <w:r w:rsidR="00935B2B">
        <w:rPr>
          <w:sz w:val="22"/>
          <w:szCs w:val="22"/>
        </w:rPr>
        <w:t>uje</w:t>
      </w:r>
      <w:r w:rsidR="005D4168" w:rsidRPr="005D4168">
        <w:rPr>
          <w:sz w:val="22"/>
          <w:szCs w:val="22"/>
        </w:rPr>
        <w:t xml:space="preserve"> legislatívny rámec daný schváleným zákonom o štátnom rozpočte na rok 2022, z neho vychádzajúci aktuálny odhad čerpania výdavkov zo strany MF SR, ako aj údaje o priebežnom čerpaní výdavkov v štátnom rozpočte a príslušných subjektov verejnej správy financovaných zo štátneho rozpočtu. </w:t>
      </w:r>
      <w:r w:rsidR="00935B2B">
        <w:rPr>
          <w:sz w:val="22"/>
          <w:szCs w:val="22"/>
        </w:rPr>
        <w:t xml:space="preserve">V prípade ostatných subjektov verejnej správy základný scenár vychádza z vývoja v roku 2021 po zahrnutí aktuálnych informácií o vývoji ich rozpočtov a predpokladov RRZ. </w:t>
      </w:r>
      <w:r w:rsidR="005D4168">
        <w:rPr>
          <w:sz w:val="22"/>
          <w:szCs w:val="22"/>
        </w:rPr>
        <w:t>V</w:t>
      </w:r>
      <w:r w:rsidR="005D4168" w:rsidRPr="005D4168">
        <w:rPr>
          <w:sz w:val="22"/>
          <w:szCs w:val="22"/>
        </w:rPr>
        <w:t xml:space="preserve"> odhade sa zohľadn</w:t>
      </w:r>
      <w:r w:rsidR="005D4168">
        <w:rPr>
          <w:sz w:val="22"/>
          <w:szCs w:val="22"/>
        </w:rPr>
        <w:t>ilo</w:t>
      </w:r>
      <w:r w:rsidR="005D4168" w:rsidRPr="005D4168">
        <w:rPr>
          <w:sz w:val="22"/>
          <w:szCs w:val="22"/>
        </w:rPr>
        <w:t xml:space="preserve"> plnenie príjmov a výdavkov za prvých osem mesiacov roku 2022 (v prípade samospráv ide o údaje za dva kvartály a v prípade štátneho rozpočtu aj predbežné údaje za september 2022). </w:t>
      </w:r>
      <w:bookmarkStart w:id="0" w:name="_Hlk101966697"/>
    </w:p>
    <w:bookmarkEnd w:id="0"/>
    <w:p w14:paraId="034B7373" w14:textId="77777777" w:rsidR="009A4823" w:rsidRDefault="009A4823" w:rsidP="00114DEE">
      <w:pPr>
        <w:jc w:val="both"/>
        <w:rPr>
          <w:sz w:val="22"/>
          <w:szCs w:val="22"/>
        </w:rPr>
      </w:pPr>
    </w:p>
    <w:p w14:paraId="0098B7AE" w14:textId="735F504B" w:rsidR="009A4823" w:rsidRDefault="009A4823" w:rsidP="00114DEE">
      <w:pPr>
        <w:jc w:val="both"/>
        <w:rPr>
          <w:sz w:val="22"/>
          <w:szCs w:val="22"/>
        </w:rPr>
      </w:pPr>
      <w:r>
        <w:rPr>
          <w:sz w:val="22"/>
          <w:szCs w:val="22"/>
        </w:rPr>
        <w:t xml:space="preserve">V ďalších rokoch strednodobého horizontu (roky 2023 až 2025) odhad reflektuje platnú metodiku zostavenia základného scenára pre pravidelné správy o dlhodobej udržateľnosti so špecifickými </w:t>
      </w:r>
      <w:r w:rsidRPr="006434D0">
        <w:rPr>
          <w:sz w:val="22"/>
          <w:szCs w:val="22"/>
        </w:rPr>
        <w:t>úpravami (odlišnosti od tohto postupu sú popísané v</w:t>
      </w:r>
      <w:r w:rsidR="00734322">
        <w:rPr>
          <w:sz w:val="22"/>
          <w:szCs w:val="22"/>
        </w:rPr>
        <w:t> </w:t>
      </w:r>
      <w:r w:rsidR="00734322" w:rsidRPr="00734322">
        <w:rPr>
          <w:color w:val="13B8EF"/>
          <w:sz w:val="22"/>
          <w:szCs w:val="22"/>
        </w:rPr>
        <w:t>Box 1</w:t>
      </w:r>
      <w:r w:rsidRPr="002236C0">
        <w:rPr>
          <w:sz w:val="22"/>
          <w:szCs w:val="22"/>
        </w:rPr>
        <w:t>)</w:t>
      </w:r>
      <w:r w:rsidRPr="00BE1836">
        <w:rPr>
          <w:sz w:val="22"/>
          <w:szCs w:val="22"/>
        </w:rPr>
        <w:t xml:space="preserve"> použitím</w:t>
      </w:r>
      <w:r>
        <w:rPr>
          <w:sz w:val="22"/>
          <w:szCs w:val="22"/>
        </w:rPr>
        <w:t xml:space="preserve"> najaktuálnejších oficiálnych makroekonomických a daňových prognóz, t.j. prognóz Výboru pre makroekonomické prognózy a Výboru pre daňové prognózy z</w:t>
      </w:r>
      <w:r w:rsidR="005D4168">
        <w:rPr>
          <w:sz w:val="22"/>
          <w:szCs w:val="22"/>
        </w:rPr>
        <w:t>o septembra</w:t>
      </w:r>
      <w:r>
        <w:rPr>
          <w:sz w:val="22"/>
          <w:szCs w:val="22"/>
        </w:rPr>
        <w:t xml:space="preserve"> 2022.</w:t>
      </w:r>
    </w:p>
    <w:p w14:paraId="7B0295D3" w14:textId="77777777" w:rsidR="009A4823" w:rsidRDefault="009A4823" w:rsidP="00114DEE">
      <w:pPr>
        <w:jc w:val="both"/>
        <w:rPr>
          <w:sz w:val="22"/>
          <w:szCs w:val="22"/>
          <w:shd w:val="clear" w:color="auto" w:fill="FFFF00"/>
        </w:rPr>
      </w:pPr>
    </w:p>
    <w:tbl>
      <w:tblPr>
        <w:tblW w:w="9072" w:type="dxa"/>
        <w:jc w:val="center"/>
        <w:tblLayout w:type="fixed"/>
        <w:tblCellMar>
          <w:left w:w="10" w:type="dxa"/>
          <w:right w:w="10" w:type="dxa"/>
        </w:tblCellMar>
        <w:tblLook w:val="0000" w:firstRow="0" w:lastRow="0" w:firstColumn="0" w:lastColumn="0" w:noHBand="0" w:noVBand="0"/>
      </w:tblPr>
      <w:tblGrid>
        <w:gridCol w:w="9072"/>
      </w:tblGrid>
      <w:tr w:rsidR="009A4823" w14:paraId="41D68E19" w14:textId="77777777" w:rsidTr="009F6E88">
        <w:trPr>
          <w:trHeight w:val="677"/>
          <w:jc w:val="center"/>
        </w:trPr>
        <w:tc>
          <w:tcPr>
            <w:tcW w:w="9072" w:type="dxa"/>
            <w:tcBorders>
              <w:top w:val="single" w:sz="12" w:space="0" w:color="12B5EA"/>
              <w:left w:val="single" w:sz="12" w:space="0" w:color="12B5EA"/>
              <w:bottom w:val="single" w:sz="12" w:space="0" w:color="12B5EA"/>
              <w:right w:val="single" w:sz="12" w:space="0" w:color="12B5EA"/>
            </w:tcBorders>
            <w:shd w:val="clear" w:color="auto" w:fill="AAE4F8"/>
            <w:tcMar>
              <w:top w:w="0" w:type="dxa"/>
              <w:left w:w="108" w:type="dxa"/>
              <w:bottom w:w="0" w:type="dxa"/>
              <w:right w:w="108" w:type="dxa"/>
            </w:tcMar>
          </w:tcPr>
          <w:p w14:paraId="2D3AC58D" w14:textId="5D4C6061" w:rsidR="009A4823" w:rsidRPr="00811700" w:rsidRDefault="009A4823" w:rsidP="009F6E88">
            <w:pPr>
              <w:pStyle w:val="box"/>
              <w:spacing w:before="120"/>
              <w:rPr>
                <w:lang w:val="sk-SK"/>
              </w:rPr>
            </w:pPr>
            <w:bookmarkStart w:id="1" w:name="_Ref102140821"/>
            <w:bookmarkStart w:id="2" w:name="_Toc102145971"/>
            <w:r w:rsidRPr="002641DF">
              <w:rPr>
                <w:sz w:val="20"/>
                <w:szCs w:val="20"/>
                <w:lang w:val="sk-SK"/>
              </w:rPr>
              <w:t xml:space="preserve">Box </w:t>
            </w:r>
            <w:r w:rsidR="0028429D">
              <w:rPr>
                <w:sz w:val="20"/>
                <w:szCs w:val="20"/>
                <w:lang w:val="sk-SK"/>
              </w:rPr>
              <w:t>1</w:t>
            </w:r>
            <w:bookmarkEnd w:id="1"/>
            <w:r>
              <w:rPr>
                <w:sz w:val="20"/>
                <w:szCs w:val="20"/>
                <w:lang w:val="sk-SK"/>
              </w:rPr>
              <w:t>: Odlišnosti v metodike základ. scenára na účely výpočtu limitu verejných výdavkov</w:t>
            </w:r>
            <w:bookmarkEnd w:id="2"/>
          </w:p>
          <w:p w14:paraId="42B97C7A" w14:textId="77777777" w:rsidR="009A4823" w:rsidRDefault="009A4823" w:rsidP="009F6E88">
            <w:pPr>
              <w:rPr>
                <w:sz w:val="4"/>
                <w:shd w:val="clear" w:color="auto" w:fill="FFFF00"/>
              </w:rPr>
            </w:pPr>
          </w:p>
          <w:p w14:paraId="60E92E62" w14:textId="7E259BDB" w:rsidR="009A4823" w:rsidRDefault="009A4823" w:rsidP="00114DEE">
            <w:pPr>
              <w:jc w:val="both"/>
              <w:rPr>
                <w:sz w:val="20"/>
                <w:szCs w:val="22"/>
                <w:highlight w:val="yellow"/>
              </w:rPr>
            </w:pPr>
            <w:r w:rsidRPr="00F6509E">
              <w:rPr>
                <w:sz w:val="20"/>
                <w:szCs w:val="22"/>
              </w:rPr>
              <w:t>Podrobný popis postupu zostavenia základného scenára je uvedený v diskusnej štúdii RRZ č. 2/2015 s</w:t>
            </w:r>
            <w:r>
              <w:rPr>
                <w:sz w:val="20"/>
                <w:szCs w:val="22"/>
              </w:rPr>
              <w:t> </w:t>
            </w:r>
            <w:r w:rsidRPr="00F6509E">
              <w:rPr>
                <w:sz w:val="20"/>
                <w:szCs w:val="22"/>
              </w:rPr>
              <w:t xml:space="preserve">názvom Zostavenie základného scenára vývoja verejných financií. Ďalšie zmeny </w:t>
            </w:r>
            <w:r>
              <w:rPr>
                <w:sz w:val="20"/>
                <w:szCs w:val="22"/>
              </w:rPr>
              <w:t>(</w:t>
            </w:r>
            <w:r w:rsidRPr="00F6509E">
              <w:rPr>
                <w:sz w:val="20"/>
                <w:szCs w:val="22"/>
              </w:rPr>
              <w:t>súvisiace na</w:t>
            </w:r>
            <w:r>
              <w:rPr>
                <w:sz w:val="20"/>
                <w:szCs w:val="22"/>
              </w:rPr>
              <w:t>príklad</w:t>
            </w:r>
            <w:r w:rsidRPr="00F6509E">
              <w:rPr>
                <w:sz w:val="20"/>
                <w:szCs w:val="22"/>
              </w:rPr>
              <w:t xml:space="preserve"> s</w:t>
            </w:r>
            <w:r>
              <w:rPr>
                <w:sz w:val="20"/>
                <w:szCs w:val="22"/>
              </w:rPr>
              <w:t> </w:t>
            </w:r>
            <w:r w:rsidRPr="00F6509E">
              <w:rPr>
                <w:sz w:val="20"/>
                <w:szCs w:val="22"/>
              </w:rPr>
              <w:t>prechodom na metodiku ESA2010</w:t>
            </w:r>
            <w:r>
              <w:rPr>
                <w:sz w:val="20"/>
                <w:szCs w:val="22"/>
              </w:rPr>
              <w:t>)</w:t>
            </w:r>
            <w:r w:rsidRPr="00F6509E">
              <w:rPr>
                <w:sz w:val="20"/>
                <w:szCs w:val="22"/>
              </w:rPr>
              <w:t xml:space="preserve"> boli popísané v</w:t>
            </w:r>
            <w:r>
              <w:rPr>
                <w:sz w:val="20"/>
                <w:szCs w:val="22"/>
              </w:rPr>
              <w:t> jednotlivých správach</w:t>
            </w:r>
            <w:r w:rsidRPr="00F6509E">
              <w:rPr>
                <w:sz w:val="20"/>
                <w:szCs w:val="22"/>
              </w:rPr>
              <w:t xml:space="preserve"> o dlhodobej udržateľnosti verejných financií.</w:t>
            </w:r>
            <w:r>
              <w:rPr>
                <w:sz w:val="20"/>
                <w:szCs w:val="22"/>
              </w:rPr>
              <w:t xml:space="preserve"> </w:t>
            </w:r>
          </w:p>
          <w:p w14:paraId="6CA54C2D" w14:textId="77777777" w:rsidR="009A4823" w:rsidRPr="00A522D6" w:rsidRDefault="009A4823" w:rsidP="009F6E88">
            <w:pPr>
              <w:rPr>
                <w:sz w:val="20"/>
                <w:szCs w:val="22"/>
              </w:rPr>
            </w:pPr>
          </w:p>
          <w:p w14:paraId="1C684DBD" w14:textId="77777777" w:rsidR="009A4823" w:rsidRPr="00A522D6" w:rsidRDefault="009A4823" w:rsidP="00114DEE">
            <w:pPr>
              <w:jc w:val="both"/>
              <w:rPr>
                <w:sz w:val="20"/>
                <w:szCs w:val="22"/>
              </w:rPr>
            </w:pPr>
            <w:r w:rsidRPr="00A522D6">
              <w:rPr>
                <w:sz w:val="20"/>
                <w:szCs w:val="22"/>
              </w:rPr>
              <w:t>Zostavenie základného scenára vychádzajúceho z odhadovaného salda v roku 2022 sa od štandardného postupu jeho zostavenia líši v nasledovných bodoch:</w:t>
            </w:r>
          </w:p>
          <w:p w14:paraId="687B1B02" w14:textId="0AE097EE" w:rsidR="009A4823" w:rsidRPr="009E14F6" w:rsidRDefault="009A4823" w:rsidP="009A4823">
            <w:pPr>
              <w:pStyle w:val="ListParagraph"/>
              <w:widowControl/>
              <w:numPr>
                <w:ilvl w:val="0"/>
                <w:numId w:val="19"/>
              </w:numPr>
              <w:suppressAutoHyphens w:val="0"/>
              <w:jc w:val="both"/>
              <w:rPr>
                <w:sz w:val="20"/>
                <w:szCs w:val="22"/>
              </w:rPr>
            </w:pPr>
            <w:r w:rsidRPr="009E14F6">
              <w:rPr>
                <w:sz w:val="20"/>
                <w:szCs w:val="22"/>
              </w:rPr>
              <w:t xml:space="preserve">Východiskovým bodom odhadu nie sú skutočné údaje zverejnené Štatistickým úradom SR, ale príjmy a výdavky verejnej správy </w:t>
            </w:r>
            <w:r w:rsidRPr="00BE1836">
              <w:rPr>
                <w:sz w:val="20"/>
                <w:szCs w:val="22"/>
              </w:rPr>
              <w:t>odhad</w:t>
            </w:r>
            <w:r w:rsidRPr="00E5249F">
              <w:rPr>
                <w:sz w:val="20"/>
                <w:szCs w:val="22"/>
              </w:rPr>
              <w:t>ované</w:t>
            </w:r>
            <w:r w:rsidRPr="006A5D0A">
              <w:rPr>
                <w:sz w:val="20"/>
                <w:szCs w:val="22"/>
              </w:rPr>
              <w:t xml:space="preserve"> RRZ</w:t>
            </w:r>
            <w:r w:rsidRPr="009E14F6">
              <w:rPr>
                <w:sz w:val="20"/>
                <w:szCs w:val="22"/>
              </w:rPr>
              <w:t xml:space="preserve"> použitím vstupných údajov z rôznych zdrojov (MF SR, Výbor pre daňové prognózy, RRZ). Odhad zahŕňa aj dodatočné vplyvy a opatrenia</w:t>
            </w:r>
            <w:r>
              <w:rPr>
                <w:sz w:val="20"/>
                <w:szCs w:val="22"/>
              </w:rPr>
              <w:t xml:space="preserve"> zahrnuté v štátnom rozpočte na rok 2022</w:t>
            </w:r>
            <w:r w:rsidRPr="009E14F6">
              <w:rPr>
                <w:sz w:val="20"/>
                <w:szCs w:val="22"/>
              </w:rPr>
              <w:t xml:space="preserve"> nad rámec stanovených pravidiel indexácie jednotlivých položiek podľa makroekonomických a demografických ukazovateľov</w:t>
            </w:r>
            <w:r>
              <w:rPr>
                <w:sz w:val="20"/>
                <w:szCs w:val="22"/>
              </w:rPr>
              <w:t xml:space="preserve">, ako aj schválené legislatívne zmeny a iné </w:t>
            </w:r>
            <w:r w:rsidRPr="00994CC0">
              <w:rPr>
                <w:sz w:val="20"/>
                <w:szCs w:val="22"/>
              </w:rPr>
              <w:t xml:space="preserve">opatrenia </w:t>
            </w:r>
            <w:r w:rsidRPr="00114DEE">
              <w:rPr>
                <w:sz w:val="20"/>
                <w:szCs w:val="22"/>
              </w:rPr>
              <w:t>k</w:t>
            </w:r>
            <w:r w:rsidR="00994CC0" w:rsidRPr="00114DEE">
              <w:rPr>
                <w:sz w:val="20"/>
                <w:szCs w:val="22"/>
              </w:rPr>
              <w:t> 13</w:t>
            </w:r>
            <w:r w:rsidRPr="00114DEE">
              <w:rPr>
                <w:sz w:val="20"/>
                <w:szCs w:val="22"/>
              </w:rPr>
              <w:t xml:space="preserve">. </w:t>
            </w:r>
            <w:r w:rsidR="0028429D" w:rsidRPr="00114DEE">
              <w:rPr>
                <w:sz w:val="20"/>
                <w:szCs w:val="22"/>
              </w:rPr>
              <w:t>decembru</w:t>
            </w:r>
            <w:r w:rsidRPr="00114DEE">
              <w:rPr>
                <w:sz w:val="20"/>
                <w:szCs w:val="22"/>
              </w:rPr>
              <w:t xml:space="preserve"> 2022</w:t>
            </w:r>
            <w:r w:rsidR="00994CC0" w:rsidRPr="00994CC0">
              <w:rPr>
                <w:sz w:val="20"/>
                <w:szCs w:val="22"/>
              </w:rPr>
              <w:t>, vrátane</w:t>
            </w:r>
            <w:r w:rsidR="00994CC0">
              <w:rPr>
                <w:sz w:val="20"/>
                <w:szCs w:val="22"/>
              </w:rPr>
              <w:t xml:space="preserve"> rozhodnutia Ústavného súdu SR o zrušení tzv. krúžkovného</w:t>
            </w:r>
            <w:r w:rsidRPr="009E14F6">
              <w:rPr>
                <w:sz w:val="20"/>
                <w:szCs w:val="22"/>
              </w:rPr>
              <w:t xml:space="preserve">. </w:t>
            </w:r>
          </w:p>
          <w:p w14:paraId="55C80347" w14:textId="1CEC18E4" w:rsidR="009A4823" w:rsidRPr="009E14F6" w:rsidRDefault="009A4823" w:rsidP="009A4823">
            <w:pPr>
              <w:pStyle w:val="ListParagraph"/>
              <w:widowControl/>
              <w:numPr>
                <w:ilvl w:val="0"/>
                <w:numId w:val="19"/>
              </w:numPr>
              <w:suppressAutoHyphens w:val="0"/>
              <w:jc w:val="both"/>
              <w:rPr>
                <w:sz w:val="20"/>
                <w:szCs w:val="22"/>
              </w:rPr>
            </w:pPr>
            <w:r w:rsidRPr="009E14F6">
              <w:rPr>
                <w:sz w:val="20"/>
                <w:szCs w:val="22"/>
              </w:rPr>
              <w:t>Odhady vývoja položiek príjmov a výdavkov verejnej správy sú v strednodobom horizonte indexované o makroekonomické ukazovatele prevzaté z Výboru pre makroekonomické prognózy</w:t>
            </w:r>
            <w:r w:rsidR="00D459B9">
              <w:rPr>
                <w:sz w:val="20"/>
                <w:szCs w:val="22"/>
              </w:rPr>
              <w:t xml:space="preserve"> (VpMP)</w:t>
            </w:r>
            <w:r w:rsidRPr="009E14F6">
              <w:rPr>
                <w:sz w:val="20"/>
                <w:szCs w:val="22"/>
              </w:rPr>
              <w:t xml:space="preserve"> z</w:t>
            </w:r>
            <w:r w:rsidR="001A7710">
              <w:rPr>
                <w:sz w:val="20"/>
                <w:szCs w:val="22"/>
              </w:rPr>
              <w:t>o septembra</w:t>
            </w:r>
            <w:r w:rsidRPr="009E14F6">
              <w:rPr>
                <w:sz w:val="20"/>
                <w:szCs w:val="22"/>
              </w:rPr>
              <w:t xml:space="preserve"> 2022 (RRZ štandardne používa vlastný odhad makroekonomického vývoja). Táto prognóza obsahuje </w:t>
            </w:r>
            <w:r w:rsidR="001A7710" w:rsidRPr="001A7710">
              <w:rPr>
                <w:sz w:val="20"/>
                <w:szCs w:val="22"/>
              </w:rPr>
              <w:t xml:space="preserve">aj </w:t>
            </w:r>
            <w:r w:rsidRPr="00114DEE">
              <w:rPr>
                <w:sz w:val="20"/>
                <w:szCs w:val="22"/>
              </w:rPr>
              <w:t>odhady vplyvu vojny</w:t>
            </w:r>
            <w:r w:rsidRPr="009E14F6">
              <w:rPr>
                <w:sz w:val="20"/>
                <w:szCs w:val="22"/>
              </w:rPr>
              <w:t xml:space="preserve"> na Ukrajine</w:t>
            </w:r>
            <w:r w:rsidR="001A7710">
              <w:rPr>
                <w:sz w:val="20"/>
                <w:szCs w:val="22"/>
              </w:rPr>
              <w:t xml:space="preserve"> a energetickej krízy</w:t>
            </w:r>
            <w:r w:rsidRPr="009E14F6">
              <w:rPr>
                <w:sz w:val="20"/>
                <w:szCs w:val="22"/>
              </w:rPr>
              <w:t xml:space="preserve"> na slovenskú ekonomiku, pričom bola </w:t>
            </w:r>
            <w:r>
              <w:rPr>
                <w:sz w:val="20"/>
                <w:szCs w:val="22"/>
              </w:rPr>
              <w:t>v</w:t>
            </w:r>
            <w:r w:rsidR="001A7710">
              <w:rPr>
                <w:sz w:val="20"/>
                <w:szCs w:val="22"/>
              </w:rPr>
              <w:t>äčšinou</w:t>
            </w:r>
            <w:r>
              <w:rPr>
                <w:sz w:val="20"/>
                <w:szCs w:val="22"/>
              </w:rPr>
              <w:t xml:space="preserve"> člen</w:t>
            </w:r>
            <w:r w:rsidR="001A7710">
              <w:rPr>
                <w:sz w:val="20"/>
                <w:szCs w:val="22"/>
              </w:rPr>
              <w:t>ov</w:t>
            </w:r>
            <w:r>
              <w:rPr>
                <w:sz w:val="20"/>
                <w:szCs w:val="22"/>
              </w:rPr>
              <w:t xml:space="preserve"> výboru </w:t>
            </w:r>
            <w:r w:rsidRPr="009E14F6">
              <w:rPr>
                <w:sz w:val="20"/>
                <w:szCs w:val="22"/>
              </w:rPr>
              <w:t>označená za realistickú</w:t>
            </w:r>
            <w:r w:rsidR="00D459B9">
              <w:rPr>
                <w:sz w:val="20"/>
                <w:szCs w:val="22"/>
              </w:rPr>
              <w:t>.</w:t>
            </w:r>
            <w:r w:rsidR="001A7710">
              <w:rPr>
                <w:sz w:val="20"/>
                <w:szCs w:val="22"/>
              </w:rPr>
              <w:t xml:space="preserve"> Národná banka Slovenska ju označila za optimistickú</w:t>
            </w:r>
            <w:r w:rsidRPr="009E14F6">
              <w:rPr>
                <w:sz w:val="20"/>
                <w:szCs w:val="22"/>
              </w:rPr>
              <w:t xml:space="preserve">. </w:t>
            </w:r>
          </w:p>
          <w:p w14:paraId="753295AE" w14:textId="364D7777" w:rsidR="009A4823" w:rsidRPr="009E14F6" w:rsidRDefault="009A4823" w:rsidP="009A4823">
            <w:pPr>
              <w:pStyle w:val="ListParagraph"/>
              <w:widowControl/>
              <w:numPr>
                <w:ilvl w:val="0"/>
                <w:numId w:val="19"/>
              </w:numPr>
              <w:suppressAutoHyphens w:val="0"/>
              <w:jc w:val="both"/>
              <w:rPr>
                <w:sz w:val="20"/>
                <w:szCs w:val="22"/>
              </w:rPr>
            </w:pPr>
            <w:r w:rsidRPr="009E14F6">
              <w:rPr>
                <w:sz w:val="20"/>
                <w:szCs w:val="22"/>
              </w:rPr>
              <w:t>Položky príjmov a výdavkov verejnej správy, ktoré prognózuje Výbor pre daňové prognózy, boli prevzaté z</w:t>
            </w:r>
            <w:r w:rsidR="001A7710">
              <w:rPr>
                <w:sz w:val="20"/>
                <w:szCs w:val="22"/>
              </w:rPr>
              <w:t>o septembrovej</w:t>
            </w:r>
            <w:r w:rsidRPr="009E14F6">
              <w:rPr>
                <w:sz w:val="20"/>
                <w:szCs w:val="22"/>
              </w:rPr>
              <w:t xml:space="preserve"> prognózy výboru</w:t>
            </w:r>
            <w:r w:rsidR="001A7710">
              <w:rPr>
                <w:sz w:val="20"/>
                <w:szCs w:val="22"/>
              </w:rPr>
              <w:t>, pričom boli doplnené o</w:t>
            </w:r>
            <w:r w:rsidR="00A47535">
              <w:rPr>
                <w:sz w:val="20"/>
                <w:szCs w:val="22"/>
              </w:rPr>
              <w:t> vplyvy schválených legislatívnych zmien na základe údajov od MF SR</w:t>
            </w:r>
            <w:r w:rsidRPr="009E14F6">
              <w:rPr>
                <w:sz w:val="20"/>
                <w:szCs w:val="22"/>
              </w:rPr>
              <w:t xml:space="preserve"> (RRZ štandardne používa vlastné odhady týchto položiek). </w:t>
            </w:r>
            <w:r w:rsidR="00A47535">
              <w:rPr>
                <w:sz w:val="20"/>
                <w:szCs w:val="22"/>
              </w:rPr>
              <w:t>Výbor prognózuje</w:t>
            </w:r>
            <w:r w:rsidRPr="009E14F6">
              <w:rPr>
                <w:sz w:val="20"/>
                <w:szCs w:val="22"/>
              </w:rPr>
              <w:t> väčšin</w:t>
            </w:r>
            <w:r w:rsidR="00A47535">
              <w:rPr>
                <w:sz w:val="20"/>
                <w:szCs w:val="22"/>
              </w:rPr>
              <w:t>u</w:t>
            </w:r>
            <w:r w:rsidRPr="009E14F6">
              <w:rPr>
                <w:sz w:val="20"/>
                <w:szCs w:val="22"/>
              </w:rPr>
              <w:t xml:space="preserve"> daňových a odvodových príjmov, vybran</w:t>
            </w:r>
            <w:r w:rsidR="00A47535">
              <w:rPr>
                <w:sz w:val="20"/>
                <w:szCs w:val="22"/>
              </w:rPr>
              <w:t>é</w:t>
            </w:r>
            <w:r w:rsidRPr="009E14F6">
              <w:rPr>
                <w:sz w:val="20"/>
                <w:szCs w:val="22"/>
              </w:rPr>
              <w:t xml:space="preserve"> nedaňov</w:t>
            </w:r>
            <w:r w:rsidR="00A47535">
              <w:rPr>
                <w:sz w:val="20"/>
                <w:szCs w:val="22"/>
              </w:rPr>
              <w:t>é</w:t>
            </w:r>
            <w:r w:rsidRPr="009E14F6">
              <w:rPr>
                <w:sz w:val="20"/>
                <w:szCs w:val="22"/>
              </w:rPr>
              <w:t xml:space="preserve"> príjm</w:t>
            </w:r>
            <w:r w:rsidR="00A47535">
              <w:rPr>
                <w:sz w:val="20"/>
                <w:szCs w:val="22"/>
              </w:rPr>
              <w:t>y</w:t>
            </w:r>
            <w:r w:rsidRPr="009E14F6">
              <w:rPr>
                <w:sz w:val="20"/>
                <w:szCs w:val="22"/>
              </w:rPr>
              <w:t xml:space="preserve"> a vybran</w:t>
            </w:r>
            <w:r w:rsidR="00A47535">
              <w:rPr>
                <w:sz w:val="20"/>
                <w:szCs w:val="22"/>
              </w:rPr>
              <w:t>é</w:t>
            </w:r>
            <w:r w:rsidRPr="009E14F6">
              <w:rPr>
                <w:sz w:val="20"/>
                <w:szCs w:val="22"/>
              </w:rPr>
              <w:t xml:space="preserve"> položk</w:t>
            </w:r>
            <w:r w:rsidR="00A47535">
              <w:rPr>
                <w:sz w:val="20"/>
                <w:szCs w:val="22"/>
              </w:rPr>
              <w:t>y</w:t>
            </w:r>
            <w:r w:rsidRPr="009E14F6">
              <w:rPr>
                <w:sz w:val="20"/>
                <w:szCs w:val="22"/>
              </w:rPr>
              <w:t xml:space="preserve"> výdavkov. Prognóza výboru bola všetkými členmi označená za realistickú pri danej makroekonomickej prognóze VpMP.</w:t>
            </w:r>
          </w:p>
          <w:p w14:paraId="30A51AB7" w14:textId="30DE1DF1" w:rsidR="009A4823" w:rsidRPr="009E14F6" w:rsidRDefault="009A4823" w:rsidP="009A4823">
            <w:pPr>
              <w:pStyle w:val="ListParagraph"/>
              <w:widowControl/>
              <w:numPr>
                <w:ilvl w:val="0"/>
                <w:numId w:val="19"/>
              </w:numPr>
              <w:suppressAutoHyphens w:val="0"/>
              <w:jc w:val="both"/>
              <w:rPr>
                <w:sz w:val="20"/>
                <w:szCs w:val="22"/>
              </w:rPr>
            </w:pPr>
            <w:r w:rsidRPr="009E14F6">
              <w:rPr>
                <w:sz w:val="20"/>
                <w:szCs w:val="22"/>
              </w:rPr>
              <w:t>Cyklická zložka príjmov a výdavkov bola odhadnutá vychádzajúc z priemernej hodnoty produkčnej medzery odhadnutej VpMP</w:t>
            </w:r>
            <w:r>
              <w:rPr>
                <w:sz w:val="20"/>
                <w:szCs w:val="22"/>
              </w:rPr>
              <w:t>,</w:t>
            </w:r>
            <w:r w:rsidRPr="009E14F6">
              <w:rPr>
                <w:sz w:val="20"/>
                <w:szCs w:val="22"/>
              </w:rPr>
              <w:t xml:space="preserve"> RRZ</w:t>
            </w:r>
            <w:r>
              <w:rPr>
                <w:sz w:val="20"/>
                <w:szCs w:val="22"/>
              </w:rPr>
              <w:t xml:space="preserve"> a NBS v </w:t>
            </w:r>
            <w:r w:rsidR="00A47535">
              <w:rPr>
                <w:sz w:val="20"/>
                <w:szCs w:val="22"/>
              </w:rPr>
              <w:t>septembri</w:t>
            </w:r>
            <w:r>
              <w:rPr>
                <w:sz w:val="20"/>
                <w:szCs w:val="22"/>
              </w:rPr>
              <w:t xml:space="preserve"> 2022 </w:t>
            </w:r>
            <w:r w:rsidRPr="009E14F6">
              <w:rPr>
                <w:sz w:val="20"/>
                <w:szCs w:val="22"/>
              </w:rPr>
              <w:t>(RRZ štandardne používa priemernú hodnotu viacerých inštitúcií a prístupov).</w:t>
            </w:r>
          </w:p>
          <w:p w14:paraId="48FEA48A" w14:textId="2883B16E" w:rsidR="009A4823" w:rsidRPr="009E14F6" w:rsidRDefault="009A4823" w:rsidP="009A4823">
            <w:pPr>
              <w:pStyle w:val="ListParagraph"/>
              <w:widowControl/>
              <w:numPr>
                <w:ilvl w:val="0"/>
                <w:numId w:val="19"/>
              </w:numPr>
              <w:suppressAutoHyphens w:val="0"/>
              <w:jc w:val="both"/>
              <w:rPr>
                <w:sz w:val="20"/>
                <w:szCs w:val="22"/>
              </w:rPr>
            </w:pPr>
            <w:r w:rsidRPr="009E14F6">
              <w:rPr>
                <w:sz w:val="20"/>
                <w:szCs w:val="22"/>
              </w:rPr>
              <w:t>Jednorazové vplyvy vychádzajú z odhadu RRZ a zahŕňajú opatrenia vlády a iné vplyvy (odhadované vplyvy na výdavky zdravotných poisťovní</w:t>
            </w:r>
            <w:r w:rsidR="009D254B">
              <w:rPr>
                <w:sz w:val="20"/>
                <w:szCs w:val="22"/>
              </w:rPr>
              <w:t xml:space="preserve"> a nemocníc</w:t>
            </w:r>
            <w:r w:rsidRPr="009E14F6">
              <w:rPr>
                <w:sz w:val="20"/>
                <w:szCs w:val="22"/>
              </w:rPr>
              <w:t>) spojené s pandémiou, opatrenia vlády súvisiace s vojnou na Ukrajine</w:t>
            </w:r>
            <w:r>
              <w:rPr>
                <w:sz w:val="20"/>
                <w:szCs w:val="22"/>
              </w:rPr>
              <w:t>,</w:t>
            </w:r>
            <w:r w:rsidR="009D254B">
              <w:rPr>
                <w:sz w:val="20"/>
                <w:szCs w:val="22"/>
              </w:rPr>
              <w:t xml:space="preserve"> opatrenia vlády súvisiace s energeti</w:t>
            </w:r>
            <w:r w:rsidR="00D459B9">
              <w:rPr>
                <w:sz w:val="20"/>
                <w:szCs w:val="22"/>
              </w:rPr>
              <w:t>c</w:t>
            </w:r>
            <w:r w:rsidR="009D254B">
              <w:rPr>
                <w:sz w:val="20"/>
                <w:szCs w:val="22"/>
              </w:rPr>
              <w:t>kou krízou,</w:t>
            </w:r>
            <w:r>
              <w:rPr>
                <w:sz w:val="20"/>
                <w:szCs w:val="22"/>
              </w:rPr>
              <w:t xml:space="preserve"> </w:t>
            </w:r>
            <w:r w:rsidRPr="00021CE0">
              <w:rPr>
                <w:sz w:val="20"/>
                <w:szCs w:val="22"/>
              </w:rPr>
              <w:t>jednorazov</w:t>
            </w:r>
            <w:r>
              <w:rPr>
                <w:sz w:val="20"/>
                <w:szCs w:val="22"/>
              </w:rPr>
              <w:t>ú</w:t>
            </w:r>
            <w:r w:rsidRPr="00021CE0">
              <w:rPr>
                <w:sz w:val="20"/>
                <w:szCs w:val="22"/>
              </w:rPr>
              <w:t xml:space="preserve"> pomoc pre vybrané skupiny obyvateľstva</w:t>
            </w:r>
            <w:r w:rsidRPr="009E14F6">
              <w:rPr>
                <w:sz w:val="20"/>
                <w:szCs w:val="22"/>
              </w:rPr>
              <w:t xml:space="preserve"> a zahrnutie </w:t>
            </w:r>
            <w:r w:rsidRPr="00811700">
              <w:rPr>
                <w:sz w:val="20"/>
                <w:szCs w:val="22"/>
              </w:rPr>
              <w:t>alikvotnej</w:t>
            </w:r>
            <w:r w:rsidRPr="009E14F6">
              <w:rPr>
                <w:sz w:val="20"/>
                <w:szCs w:val="22"/>
              </w:rPr>
              <w:t xml:space="preserve"> časti DPH za PPP projekty do výdavkov, keďže príjem z DPH pri odovzdaní jednotlivých úsekov diaľnic a rýchlostných ciest jednorazovo navýšil príjmy verejnej správy v rok</w:t>
            </w:r>
            <w:r w:rsidR="009D254B">
              <w:rPr>
                <w:sz w:val="20"/>
                <w:szCs w:val="22"/>
              </w:rPr>
              <w:t>u</w:t>
            </w:r>
            <w:r w:rsidRPr="009E14F6">
              <w:rPr>
                <w:sz w:val="20"/>
                <w:szCs w:val="22"/>
              </w:rPr>
              <w:t xml:space="preserve"> 2011.</w:t>
            </w:r>
            <w:r w:rsidR="009D254B">
              <w:rPr>
                <w:sz w:val="20"/>
                <w:szCs w:val="22"/>
              </w:rPr>
              <w:t xml:space="preserve"> V prípade rokov 2023 až 2025 RRZ zahrnula vplyvy jednorazových opatrení z podkladov MF SR.</w:t>
            </w:r>
            <w:r w:rsidRPr="009E14F6">
              <w:rPr>
                <w:sz w:val="20"/>
                <w:szCs w:val="22"/>
              </w:rPr>
              <w:t xml:space="preserve"> Prístup k identifikácii týchto jednorazových vplyvov je rovnaký ako v prípade štandardne zostavovaného základného scenára. </w:t>
            </w:r>
          </w:p>
          <w:p w14:paraId="6BFB159A" w14:textId="654FAD79" w:rsidR="009A4823" w:rsidRDefault="009A4823" w:rsidP="009A4823">
            <w:pPr>
              <w:pStyle w:val="ListParagraph"/>
              <w:widowControl/>
              <w:numPr>
                <w:ilvl w:val="0"/>
                <w:numId w:val="19"/>
              </w:numPr>
              <w:suppressAutoHyphens w:val="0"/>
              <w:jc w:val="both"/>
              <w:rPr>
                <w:sz w:val="20"/>
                <w:szCs w:val="22"/>
              </w:rPr>
            </w:pPr>
            <w:r w:rsidRPr="009E14F6">
              <w:rPr>
                <w:sz w:val="20"/>
                <w:szCs w:val="22"/>
              </w:rPr>
              <w:lastRenderedPageBreak/>
              <w:t xml:space="preserve">Rozdielny prístup sa používa pri investičných výdavkoch. Základný scenár použitý na účely výpočtu limitu verejných výdavkov vychádza z odhadovanej výšky investícií </w:t>
            </w:r>
            <w:r w:rsidR="00461441">
              <w:rPr>
                <w:sz w:val="20"/>
                <w:szCs w:val="22"/>
              </w:rPr>
              <w:t xml:space="preserve">v </w:t>
            </w:r>
            <w:r w:rsidRPr="009E14F6">
              <w:rPr>
                <w:sz w:val="20"/>
                <w:szCs w:val="22"/>
              </w:rPr>
              <w:t>rok</w:t>
            </w:r>
            <w:r w:rsidR="00461441">
              <w:rPr>
                <w:sz w:val="20"/>
                <w:szCs w:val="22"/>
              </w:rPr>
              <w:t>u</w:t>
            </w:r>
            <w:r w:rsidRPr="009E14F6">
              <w:rPr>
                <w:sz w:val="20"/>
                <w:szCs w:val="22"/>
              </w:rPr>
              <w:t xml:space="preserve"> 2022, ktor</w:t>
            </w:r>
            <w:r w:rsidR="00461441">
              <w:rPr>
                <w:sz w:val="20"/>
                <w:szCs w:val="22"/>
              </w:rPr>
              <w:t>á</w:t>
            </w:r>
            <w:r w:rsidRPr="009E14F6">
              <w:rPr>
                <w:sz w:val="20"/>
                <w:szCs w:val="22"/>
              </w:rPr>
              <w:t xml:space="preserve"> je vyšš</w:t>
            </w:r>
            <w:r w:rsidR="00461441">
              <w:rPr>
                <w:sz w:val="20"/>
                <w:szCs w:val="22"/>
              </w:rPr>
              <w:t>ia</w:t>
            </w:r>
            <w:r w:rsidRPr="009E14F6">
              <w:rPr>
                <w:sz w:val="20"/>
                <w:szCs w:val="22"/>
              </w:rPr>
              <w:t xml:space="preserve"> ako pri NPC scenári vychádzajúco</w:t>
            </w:r>
            <w:r w:rsidR="009D254B">
              <w:rPr>
                <w:sz w:val="20"/>
                <w:szCs w:val="22"/>
              </w:rPr>
              <w:t>m</w:t>
            </w:r>
            <w:r w:rsidRPr="009E14F6">
              <w:rPr>
                <w:sz w:val="20"/>
                <w:szCs w:val="22"/>
              </w:rPr>
              <w:t xml:space="preserve"> zo skutočnosti roku 2021.</w:t>
            </w:r>
            <w:r>
              <w:rPr>
                <w:sz w:val="20"/>
                <w:szCs w:val="22"/>
              </w:rPr>
              <w:t xml:space="preserve"> </w:t>
            </w:r>
            <w:r w:rsidRPr="009E14F6">
              <w:rPr>
                <w:sz w:val="20"/>
                <w:szCs w:val="22"/>
              </w:rPr>
              <w:t>V ďalších rokoch sa táto suma indexuje o predpokladané tempo rastu HDP bez ďalších úprav</w:t>
            </w:r>
            <w:r w:rsidR="00461441">
              <w:rPr>
                <w:rStyle w:val="FootnoteReference"/>
                <w:sz w:val="20"/>
                <w:szCs w:val="22"/>
              </w:rPr>
              <w:footnoteReference w:id="9"/>
            </w:r>
            <w:r w:rsidRPr="009E14F6">
              <w:rPr>
                <w:sz w:val="20"/>
                <w:szCs w:val="22"/>
              </w:rPr>
              <w:t xml:space="preserve">. </w:t>
            </w:r>
          </w:p>
          <w:p w14:paraId="4E849FB7" w14:textId="61FA2FC6" w:rsidR="00733E08" w:rsidRPr="009E14F6" w:rsidRDefault="00733E08" w:rsidP="009A4823">
            <w:pPr>
              <w:pStyle w:val="ListParagraph"/>
              <w:widowControl/>
              <w:numPr>
                <w:ilvl w:val="0"/>
                <w:numId w:val="19"/>
              </w:numPr>
              <w:suppressAutoHyphens w:val="0"/>
              <w:jc w:val="both"/>
              <w:rPr>
                <w:sz w:val="20"/>
                <w:szCs w:val="22"/>
              </w:rPr>
            </w:pPr>
            <w:r>
              <w:rPr>
                <w:sz w:val="20"/>
                <w:szCs w:val="22"/>
              </w:rPr>
              <w:t>Nad rámec štandardných indexačných pravidiel sa do základného scenára zahrnul záväzok vlády zvýšiť výdavky na obranu na 2 % HDP ročne počnúc rokom 2022 a tiež odhad vplyvu zvýšených cien energií na výdavky subjektov verejnej správy (na základe odhadovaného vývoja v roku 2022 a predpokladaného nárastu v roku 2023 zahrnutého v návrhu rozpočtu).</w:t>
            </w:r>
          </w:p>
          <w:p w14:paraId="1A789C20" w14:textId="7023603E" w:rsidR="009A4823" w:rsidRPr="009E14F6" w:rsidRDefault="009A4823" w:rsidP="009A4823">
            <w:pPr>
              <w:pStyle w:val="ListParagraph"/>
              <w:widowControl/>
              <w:numPr>
                <w:ilvl w:val="0"/>
                <w:numId w:val="19"/>
              </w:numPr>
              <w:suppressAutoHyphens w:val="0"/>
              <w:jc w:val="both"/>
              <w:rPr>
                <w:sz w:val="20"/>
                <w:szCs w:val="22"/>
              </w:rPr>
            </w:pPr>
            <w:r w:rsidRPr="009E14F6">
              <w:rPr>
                <w:sz w:val="20"/>
                <w:szCs w:val="22"/>
              </w:rPr>
              <w:t xml:space="preserve">Úrokové náklady dlhu sú v strednodobom horizonte detailnejšie odhadované na základe emisného plánu ARDAL a zrealizovaných emisií dlhu do konca </w:t>
            </w:r>
            <w:r w:rsidR="009D254B">
              <w:rPr>
                <w:sz w:val="20"/>
                <w:szCs w:val="22"/>
              </w:rPr>
              <w:t>októbra</w:t>
            </w:r>
            <w:r w:rsidRPr="009E14F6">
              <w:rPr>
                <w:sz w:val="20"/>
                <w:szCs w:val="22"/>
              </w:rPr>
              <w:t xml:space="preserve"> 2022. Z horizontom roku 2025 sa používa zjednodušený prístup, ktorý predpokladá priemernú 10-ročnú splatnosť dlhu (keďže sú k dispozíci</w:t>
            </w:r>
            <w:r>
              <w:rPr>
                <w:sz w:val="20"/>
                <w:szCs w:val="22"/>
              </w:rPr>
              <w:t>i</w:t>
            </w:r>
            <w:r w:rsidRPr="009E14F6">
              <w:rPr>
                <w:sz w:val="20"/>
                <w:szCs w:val="22"/>
              </w:rPr>
              <w:t xml:space="preserve"> iba predpoklady o výnosoch 10-ročných štátnych dlhopisov), pričom každý rok je splatná jedna desatina celkovej výšky dlhu. Pri štandardnom postupe zostavenia základného scenára sa tento zjednodušený postup používa na celom 50-ročnom horizonte.</w:t>
            </w:r>
          </w:p>
          <w:p w14:paraId="200A2FC0" w14:textId="77777777" w:rsidR="009A4823" w:rsidRDefault="009A4823" w:rsidP="009F6E88">
            <w:pPr>
              <w:rPr>
                <w:shd w:val="clear" w:color="auto" w:fill="FFFF00"/>
              </w:rPr>
            </w:pPr>
          </w:p>
        </w:tc>
      </w:tr>
    </w:tbl>
    <w:p w14:paraId="5F163B82" w14:textId="77777777" w:rsidR="009A4823" w:rsidRDefault="009A4823" w:rsidP="009A4823">
      <w:pPr>
        <w:rPr>
          <w:sz w:val="22"/>
          <w:szCs w:val="22"/>
        </w:rPr>
      </w:pPr>
    </w:p>
    <w:p w14:paraId="449857EF" w14:textId="77777777" w:rsidR="00761464" w:rsidRPr="00114DEE" w:rsidRDefault="00761464" w:rsidP="00114DEE">
      <w:pPr>
        <w:rPr>
          <w:b/>
          <w:sz w:val="22"/>
          <w:szCs w:val="22"/>
        </w:rPr>
      </w:pPr>
      <w:bookmarkStart w:id="3" w:name="_Toc102145925"/>
      <w:r w:rsidRPr="00114DEE">
        <w:rPr>
          <w:b/>
          <w:sz w:val="22"/>
          <w:szCs w:val="22"/>
        </w:rPr>
        <w:t>Odhadované saldo verejnej správy v roku 2022</w:t>
      </w:r>
      <w:bookmarkEnd w:id="3"/>
    </w:p>
    <w:p w14:paraId="237235EE" w14:textId="77777777" w:rsidR="00761464" w:rsidRDefault="00761464" w:rsidP="00761464">
      <w:pPr>
        <w:rPr>
          <w:sz w:val="22"/>
          <w:szCs w:val="22"/>
        </w:rPr>
      </w:pPr>
    </w:p>
    <w:p w14:paraId="04D97389" w14:textId="4C9AB507" w:rsidR="009A4823" w:rsidRDefault="009A4823" w:rsidP="00114DEE">
      <w:pPr>
        <w:jc w:val="both"/>
        <w:rPr>
          <w:sz w:val="22"/>
          <w:szCs w:val="22"/>
        </w:rPr>
      </w:pPr>
      <w:r>
        <w:rPr>
          <w:sz w:val="22"/>
          <w:szCs w:val="22"/>
        </w:rPr>
        <w:t>Východiskom pre odhad salda v roku 2022 je základný scenár zostavený z</w:t>
      </w:r>
      <w:r w:rsidR="005159E6">
        <w:rPr>
          <w:sz w:val="22"/>
          <w:szCs w:val="22"/>
        </w:rPr>
        <w:t> údajov za verejné financie v</w:t>
      </w:r>
      <w:r>
        <w:rPr>
          <w:sz w:val="22"/>
          <w:szCs w:val="22"/>
        </w:rPr>
        <w:t xml:space="preserve"> roku 2021. Údaje zverejnené Štatistickým úradom SR za rok 2021 </w:t>
      </w:r>
      <w:r w:rsidR="00625EE5">
        <w:rPr>
          <w:sz w:val="22"/>
          <w:szCs w:val="22"/>
        </w:rPr>
        <w:t xml:space="preserve">v októbri 2022 </w:t>
      </w:r>
      <w:r>
        <w:rPr>
          <w:sz w:val="22"/>
          <w:szCs w:val="22"/>
        </w:rPr>
        <w:t>sa indexovali o príslušné makroekonomické a demografické ukazovatele. Následne sa tento scenár upravil o vplyv aktualizovaných makroekonomických a daňových prognóz. Do odhadu salda na rok 2022 RRZ potom</w:t>
      </w:r>
      <w:r w:rsidR="00022F1F">
        <w:rPr>
          <w:sz w:val="22"/>
          <w:szCs w:val="22"/>
        </w:rPr>
        <w:t xml:space="preserve"> v zmysle platnej metodiky</w:t>
      </w:r>
      <w:r>
        <w:rPr>
          <w:sz w:val="22"/>
          <w:szCs w:val="22"/>
        </w:rPr>
        <w:t xml:space="preserve"> zapracovala opatrenia zahrnuté </w:t>
      </w:r>
      <w:r w:rsidR="00625EE5">
        <w:rPr>
          <w:sz w:val="22"/>
          <w:szCs w:val="22"/>
        </w:rPr>
        <w:t>v odhade MF SR (zverejnenom v Návrhu rozpočtu verejnej správy na roky 2023 až 2025)</w:t>
      </w:r>
      <w:r>
        <w:rPr>
          <w:sz w:val="22"/>
          <w:szCs w:val="22"/>
        </w:rPr>
        <w:t xml:space="preserve"> ako aj nové opatrenia schválené v priebehu roka 2022</w:t>
      </w:r>
      <w:r w:rsidR="00625EE5">
        <w:rPr>
          <w:sz w:val="22"/>
          <w:szCs w:val="22"/>
        </w:rPr>
        <w:t>, pričom údaje RRZ čerpala najmä z doložiek vplyvov a od MF SR</w:t>
      </w:r>
      <w:r>
        <w:rPr>
          <w:sz w:val="22"/>
          <w:szCs w:val="22"/>
        </w:rPr>
        <w:t xml:space="preserve">. Napokon boli v odhade zohľadnené aktuálne informácie o vývoji čerpania príjmov a výdavkov subjektov verejnej správy. </w:t>
      </w:r>
      <w:r w:rsidR="00734322" w:rsidRPr="00734322">
        <w:rPr>
          <w:color w:val="13B8EF"/>
          <w:sz w:val="22"/>
          <w:szCs w:val="22"/>
        </w:rPr>
        <w:t>Tab 1</w:t>
      </w:r>
      <w:r w:rsidR="00734322">
        <w:rPr>
          <w:sz w:val="22"/>
          <w:szCs w:val="22"/>
        </w:rPr>
        <w:t xml:space="preserve"> sumarizuje </w:t>
      </w:r>
      <w:r>
        <w:rPr>
          <w:sz w:val="22"/>
          <w:szCs w:val="22"/>
        </w:rPr>
        <w:t>hlavné faktory zmien voči odhadu vychádzajúcemu z predpokladu nezmenených politík.</w:t>
      </w:r>
    </w:p>
    <w:p w14:paraId="2531FE20" w14:textId="77777777" w:rsidR="009A4823" w:rsidRPr="00517749" w:rsidRDefault="009A4823" w:rsidP="009A4823">
      <w:pPr>
        <w:rPr>
          <w:sz w:val="22"/>
          <w:szCs w:val="22"/>
        </w:rPr>
      </w:pPr>
    </w:p>
    <w:tbl>
      <w:tblPr>
        <w:tblW w:w="9072" w:type="dxa"/>
        <w:tblLook w:val="04A0" w:firstRow="1" w:lastRow="0" w:firstColumn="1" w:lastColumn="0" w:noHBand="0" w:noVBand="1"/>
      </w:tblPr>
      <w:tblGrid>
        <w:gridCol w:w="6946"/>
        <w:gridCol w:w="955"/>
        <w:gridCol w:w="1171"/>
      </w:tblGrid>
      <w:tr w:rsidR="009A4823" w:rsidRPr="00B34723" w14:paraId="2CA1135B" w14:textId="77777777" w:rsidTr="00E43923">
        <w:trPr>
          <w:trHeight w:val="288"/>
        </w:trPr>
        <w:tc>
          <w:tcPr>
            <w:tcW w:w="9072" w:type="dxa"/>
            <w:gridSpan w:val="3"/>
            <w:tcBorders>
              <w:top w:val="nil"/>
              <w:left w:val="nil"/>
              <w:bottom w:val="nil"/>
              <w:right w:val="nil"/>
            </w:tcBorders>
            <w:shd w:val="clear" w:color="auto" w:fill="auto"/>
            <w:noWrap/>
            <w:vAlign w:val="center"/>
            <w:hideMark/>
          </w:tcPr>
          <w:p w14:paraId="09EEE3AD" w14:textId="513D9EA6" w:rsidR="009A4823" w:rsidRPr="00114DEE" w:rsidRDefault="009A4823" w:rsidP="00D22E18">
            <w:pPr>
              <w:pStyle w:val="tab"/>
              <w:rPr>
                <w:rFonts w:ascii="Times New Roman" w:hAnsi="Times New Roman"/>
                <w:i/>
                <w:sz w:val="22"/>
              </w:rPr>
            </w:pPr>
            <w:bookmarkStart w:id="4" w:name="_Ref102140935"/>
            <w:bookmarkStart w:id="5" w:name="_Toc102145947"/>
            <w:r w:rsidRPr="001539BF">
              <w:rPr>
                <w:rFonts w:ascii="Times New Roman" w:hAnsi="Times New Roman"/>
              </w:rPr>
              <w:t>Tab</w:t>
            </w:r>
            <w:bookmarkEnd w:id="4"/>
            <w:r w:rsidR="001539BF">
              <w:rPr>
                <w:rFonts w:ascii="Times New Roman" w:hAnsi="Times New Roman"/>
              </w:rPr>
              <w:t xml:space="preserve"> 1</w:t>
            </w:r>
            <w:r w:rsidRPr="001539BF">
              <w:rPr>
                <w:rFonts w:ascii="Times New Roman" w:hAnsi="Times New Roman"/>
                <w:lang w:eastAsia="en-US"/>
              </w:rPr>
              <w:t xml:space="preserve">: </w:t>
            </w:r>
            <w:r w:rsidR="00D22E18" w:rsidRPr="001539BF">
              <w:rPr>
                <w:rFonts w:ascii="Times New Roman" w:hAnsi="Times New Roman"/>
                <w:lang w:eastAsia="en-US"/>
              </w:rPr>
              <w:t>Vplyvy</w:t>
            </w:r>
            <w:r w:rsidRPr="00114DEE">
              <w:rPr>
                <w:rFonts w:ascii="Times New Roman" w:hAnsi="Times New Roman"/>
                <w:lang w:eastAsia="en-US"/>
              </w:rPr>
              <w:t xml:space="preserve"> zahrnuté v odhadovanom salde na rok 2022</w:t>
            </w:r>
            <w:bookmarkEnd w:id="5"/>
          </w:p>
        </w:tc>
      </w:tr>
      <w:tr w:rsidR="00176C3F" w:rsidRPr="00B34723" w14:paraId="6BE086BF" w14:textId="77777777" w:rsidTr="00E43923">
        <w:trPr>
          <w:trHeight w:val="288"/>
        </w:trPr>
        <w:tc>
          <w:tcPr>
            <w:tcW w:w="6946" w:type="dxa"/>
            <w:tcBorders>
              <w:top w:val="nil"/>
              <w:left w:val="nil"/>
              <w:bottom w:val="nil"/>
              <w:right w:val="nil"/>
            </w:tcBorders>
            <w:shd w:val="clear" w:color="000000" w:fill="13B5EA"/>
            <w:noWrap/>
            <w:vAlign w:val="center"/>
            <w:hideMark/>
          </w:tcPr>
          <w:p w14:paraId="3A7043AE" w14:textId="77777777" w:rsidR="00176C3F" w:rsidRPr="00B34723" w:rsidRDefault="00176C3F" w:rsidP="009F6E88">
            <w:pPr>
              <w:jc w:val="center"/>
              <w:rPr>
                <w:rFonts w:cs="Times New Roman"/>
                <w:b/>
                <w:bCs/>
                <w:color w:val="FFFFFF"/>
                <w:sz w:val="18"/>
                <w:szCs w:val="18"/>
                <w:lang w:eastAsia="en-US"/>
              </w:rPr>
            </w:pPr>
            <w:r w:rsidRPr="00B34723">
              <w:rPr>
                <w:rFonts w:cs="Times New Roman"/>
                <w:b/>
                <w:bCs/>
                <w:color w:val="FFFFFF"/>
                <w:sz w:val="18"/>
                <w:szCs w:val="18"/>
                <w:lang w:eastAsia="en-US"/>
              </w:rPr>
              <w:t> </w:t>
            </w:r>
          </w:p>
        </w:tc>
        <w:tc>
          <w:tcPr>
            <w:tcW w:w="955" w:type="dxa"/>
            <w:tcBorders>
              <w:top w:val="nil"/>
              <w:left w:val="nil"/>
              <w:bottom w:val="nil"/>
              <w:right w:val="nil"/>
            </w:tcBorders>
            <w:shd w:val="clear" w:color="000000" w:fill="13B5EA"/>
            <w:noWrap/>
            <w:vAlign w:val="center"/>
            <w:hideMark/>
          </w:tcPr>
          <w:p w14:paraId="7FE137D5" w14:textId="77777777" w:rsidR="00176C3F" w:rsidRPr="00B34723" w:rsidRDefault="00176C3F" w:rsidP="00837834">
            <w:pPr>
              <w:jc w:val="right"/>
              <w:rPr>
                <w:rFonts w:cs="Times New Roman"/>
                <w:b/>
                <w:bCs/>
                <w:color w:val="FFFFFF"/>
                <w:sz w:val="18"/>
                <w:szCs w:val="18"/>
                <w:lang w:eastAsia="en-US"/>
              </w:rPr>
            </w:pPr>
            <w:r w:rsidRPr="00B34723">
              <w:rPr>
                <w:rFonts w:cs="Times New Roman"/>
                <w:b/>
                <w:bCs/>
                <w:color w:val="FFFFFF"/>
                <w:sz w:val="18"/>
                <w:szCs w:val="18"/>
                <w:lang w:eastAsia="en-US"/>
              </w:rPr>
              <w:t>mil. eur</w:t>
            </w:r>
          </w:p>
        </w:tc>
        <w:tc>
          <w:tcPr>
            <w:tcW w:w="1171" w:type="dxa"/>
            <w:tcBorders>
              <w:top w:val="nil"/>
              <w:left w:val="nil"/>
              <w:bottom w:val="nil"/>
              <w:right w:val="nil"/>
            </w:tcBorders>
            <w:shd w:val="clear" w:color="000000" w:fill="13B5EA"/>
            <w:noWrap/>
            <w:vAlign w:val="center"/>
            <w:hideMark/>
          </w:tcPr>
          <w:p w14:paraId="5CCE27FA" w14:textId="589B1BF6" w:rsidR="00176C3F" w:rsidRPr="004C1A15" w:rsidRDefault="00176C3F" w:rsidP="00D22E18">
            <w:pPr>
              <w:jc w:val="center"/>
              <w:rPr>
                <w:rFonts w:cs="Times New Roman"/>
                <w:b/>
                <w:color w:val="FF0000"/>
                <w:sz w:val="18"/>
                <w:szCs w:val="18"/>
                <w:lang w:eastAsia="en-US"/>
              </w:rPr>
            </w:pPr>
            <w:r w:rsidRPr="00B34723">
              <w:rPr>
                <w:rFonts w:cs="Times New Roman"/>
                <w:b/>
                <w:bCs/>
                <w:color w:val="FFFFFF"/>
                <w:sz w:val="18"/>
                <w:szCs w:val="18"/>
                <w:lang w:eastAsia="en-US"/>
              </w:rPr>
              <w:t>% HDP</w:t>
            </w:r>
          </w:p>
        </w:tc>
      </w:tr>
      <w:tr w:rsidR="00176C3F" w:rsidRPr="00B34723" w14:paraId="6E93DB05" w14:textId="77777777" w:rsidTr="00E43923">
        <w:trPr>
          <w:trHeight w:val="288"/>
        </w:trPr>
        <w:tc>
          <w:tcPr>
            <w:tcW w:w="6946" w:type="dxa"/>
            <w:tcBorders>
              <w:top w:val="nil"/>
              <w:left w:val="nil"/>
              <w:bottom w:val="nil"/>
              <w:right w:val="nil"/>
            </w:tcBorders>
            <w:shd w:val="clear" w:color="auto" w:fill="auto"/>
            <w:noWrap/>
            <w:vAlign w:val="center"/>
            <w:hideMark/>
          </w:tcPr>
          <w:p w14:paraId="1F9E40EE" w14:textId="62574ADD" w:rsidR="00176C3F" w:rsidRPr="00B34723" w:rsidRDefault="00176C3F" w:rsidP="00625EE5">
            <w:pPr>
              <w:rPr>
                <w:rFonts w:cs="Times New Roman"/>
                <w:b/>
                <w:bCs/>
                <w:color w:val="000000"/>
                <w:sz w:val="18"/>
                <w:szCs w:val="18"/>
                <w:lang w:eastAsia="en-US"/>
              </w:rPr>
            </w:pPr>
            <w:r w:rsidRPr="00114DEE">
              <w:rPr>
                <w:rFonts w:cs="Times New Roman"/>
                <w:b/>
                <w:color w:val="000000"/>
                <w:sz w:val="18"/>
                <w:szCs w:val="18"/>
              </w:rPr>
              <w:t>1. Saldo VS v roku 2022 v základnom scenári 2021</w:t>
            </w:r>
          </w:p>
        </w:tc>
        <w:tc>
          <w:tcPr>
            <w:tcW w:w="955" w:type="dxa"/>
            <w:tcBorders>
              <w:top w:val="nil"/>
              <w:left w:val="nil"/>
              <w:bottom w:val="nil"/>
              <w:right w:val="nil"/>
            </w:tcBorders>
            <w:shd w:val="clear" w:color="auto" w:fill="auto"/>
            <w:noWrap/>
            <w:vAlign w:val="center"/>
            <w:hideMark/>
          </w:tcPr>
          <w:p w14:paraId="152DA189" w14:textId="2E88AF3A" w:rsidR="00176C3F" w:rsidRPr="00B34723" w:rsidRDefault="00176C3F" w:rsidP="00D22E18">
            <w:pPr>
              <w:jc w:val="right"/>
              <w:rPr>
                <w:rFonts w:cs="Times New Roman"/>
                <w:b/>
                <w:bCs/>
                <w:color w:val="000000"/>
                <w:sz w:val="18"/>
                <w:szCs w:val="18"/>
                <w:lang w:eastAsia="en-US"/>
              </w:rPr>
            </w:pPr>
            <w:r w:rsidRPr="00114DEE">
              <w:rPr>
                <w:rFonts w:cs="Times New Roman"/>
                <w:b/>
                <w:color w:val="000000"/>
                <w:sz w:val="18"/>
                <w:szCs w:val="18"/>
              </w:rPr>
              <w:t>-2 515</w:t>
            </w:r>
          </w:p>
        </w:tc>
        <w:tc>
          <w:tcPr>
            <w:tcW w:w="1171" w:type="dxa"/>
            <w:tcBorders>
              <w:top w:val="nil"/>
              <w:left w:val="nil"/>
              <w:bottom w:val="nil"/>
              <w:right w:val="nil"/>
            </w:tcBorders>
            <w:shd w:val="clear" w:color="auto" w:fill="auto"/>
            <w:noWrap/>
            <w:vAlign w:val="center"/>
            <w:hideMark/>
          </w:tcPr>
          <w:p w14:paraId="57839910" w14:textId="2782A8BD" w:rsidR="00176C3F" w:rsidRPr="004C1A15" w:rsidRDefault="00176C3F" w:rsidP="00FB508F">
            <w:pPr>
              <w:jc w:val="center"/>
              <w:rPr>
                <w:rFonts w:cs="Times New Roman"/>
                <w:b/>
                <w:color w:val="FF0000"/>
                <w:sz w:val="18"/>
                <w:szCs w:val="18"/>
                <w:lang w:eastAsia="en-US"/>
              </w:rPr>
            </w:pPr>
            <w:r w:rsidRPr="00114DEE">
              <w:rPr>
                <w:rFonts w:cs="Times New Roman"/>
                <w:b/>
                <w:color w:val="000000"/>
                <w:sz w:val="18"/>
                <w:szCs w:val="18"/>
              </w:rPr>
              <w:t>-2,8</w:t>
            </w:r>
          </w:p>
        </w:tc>
      </w:tr>
      <w:tr w:rsidR="00176C3F" w:rsidRPr="00B34723" w14:paraId="4A24FEDC" w14:textId="77777777" w:rsidTr="00E43923">
        <w:trPr>
          <w:trHeight w:val="288"/>
        </w:trPr>
        <w:tc>
          <w:tcPr>
            <w:tcW w:w="6946" w:type="dxa"/>
            <w:tcBorders>
              <w:top w:val="nil"/>
              <w:left w:val="nil"/>
              <w:bottom w:val="nil"/>
              <w:right w:val="nil"/>
            </w:tcBorders>
            <w:shd w:val="clear" w:color="auto" w:fill="auto"/>
            <w:noWrap/>
            <w:vAlign w:val="center"/>
            <w:hideMark/>
          </w:tcPr>
          <w:p w14:paraId="39463159" w14:textId="2A99356E" w:rsidR="00176C3F" w:rsidRPr="00B34723" w:rsidRDefault="00176C3F" w:rsidP="00994CC0">
            <w:pPr>
              <w:rPr>
                <w:rFonts w:cs="Times New Roman"/>
                <w:color w:val="000000"/>
                <w:sz w:val="18"/>
                <w:szCs w:val="18"/>
                <w:lang w:eastAsia="en-US"/>
              </w:rPr>
            </w:pPr>
            <w:r w:rsidRPr="00114DEE">
              <w:rPr>
                <w:rFonts w:cs="Times New Roman"/>
                <w:color w:val="000000"/>
                <w:sz w:val="18"/>
                <w:szCs w:val="18"/>
              </w:rPr>
              <w:t>Vplyv aktualizácie makroekonomických a daňových prognóz</w:t>
            </w:r>
          </w:p>
        </w:tc>
        <w:tc>
          <w:tcPr>
            <w:tcW w:w="955" w:type="dxa"/>
            <w:tcBorders>
              <w:top w:val="nil"/>
              <w:left w:val="nil"/>
              <w:bottom w:val="nil"/>
              <w:right w:val="nil"/>
            </w:tcBorders>
            <w:shd w:val="clear" w:color="auto" w:fill="auto"/>
            <w:noWrap/>
            <w:vAlign w:val="center"/>
            <w:hideMark/>
          </w:tcPr>
          <w:p w14:paraId="54DFF7C6" w14:textId="4EC47D47" w:rsidR="00176C3F" w:rsidRPr="00B34723" w:rsidRDefault="00176C3F" w:rsidP="00994CC0">
            <w:pPr>
              <w:jc w:val="right"/>
              <w:rPr>
                <w:rFonts w:cs="Times New Roman"/>
                <w:color w:val="000000"/>
                <w:sz w:val="18"/>
                <w:szCs w:val="18"/>
                <w:lang w:eastAsia="en-US"/>
              </w:rPr>
            </w:pPr>
            <w:r w:rsidRPr="00114DEE">
              <w:rPr>
                <w:rFonts w:cs="Times New Roman"/>
                <w:color w:val="000000"/>
                <w:sz w:val="18"/>
                <w:szCs w:val="18"/>
              </w:rPr>
              <w:t>79</w:t>
            </w:r>
          </w:p>
        </w:tc>
        <w:tc>
          <w:tcPr>
            <w:tcW w:w="1171" w:type="dxa"/>
            <w:tcBorders>
              <w:top w:val="nil"/>
              <w:left w:val="nil"/>
              <w:bottom w:val="nil"/>
              <w:right w:val="nil"/>
            </w:tcBorders>
            <w:shd w:val="clear" w:color="auto" w:fill="auto"/>
            <w:noWrap/>
            <w:vAlign w:val="center"/>
            <w:hideMark/>
          </w:tcPr>
          <w:p w14:paraId="13A2084C" w14:textId="6E0740C3"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0,1</w:t>
            </w:r>
          </w:p>
        </w:tc>
      </w:tr>
      <w:tr w:rsidR="00176C3F" w:rsidRPr="00B34723" w14:paraId="4AB17BA7" w14:textId="77777777" w:rsidTr="00E43923">
        <w:trPr>
          <w:trHeight w:val="288"/>
        </w:trPr>
        <w:tc>
          <w:tcPr>
            <w:tcW w:w="6946" w:type="dxa"/>
            <w:tcBorders>
              <w:top w:val="nil"/>
              <w:left w:val="nil"/>
              <w:bottom w:val="nil"/>
              <w:right w:val="nil"/>
            </w:tcBorders>
            <w:shd w:val="clear" w:color="auto" w:fill="auto"/>
            <w:noWrap/>
            <w:vAlign w:val="center"/>
            <w:hideMark/>
          </w:tcPr>
          <w:p w14:paraId="0852210E" w14:textId="7DEECB37" w:rsidR="00176C3F" w:rsidRPr="00B34723" w:rsidRDefault="00176C3F" w:rsidP="00994CC0">
            <w:pPr>
              <w:rPr>
                <w:rFonts w:cs="Times New Roman"/>
                <w:b/>
                <w:bCs/>
                <w:color w:val="000000"/>
                <w:sz w:val="18"/>
                <w:szCs w:val="18"/>
                <w:lang w:eastAsia="en-US"/>
              </w:rPr>
            </w:pPr>
            <w:r w:rsidRPr="00114DEE">
              <w:rPr>
                <w:rFonts w:cs="Times New Roman"/>
                <w:b/>
                <w:color w:val="000000"/>
                <w:sz w:val="18"/>
                <w:szCs w:val="18"/>
              </w:rPr>
              <w:t xml:space="preserve">2. Saldo VS v roku 2022 v základnom scenári 2021 </w:t>
            </w:r>
            <w:r>
              <w:rPr>
                <w:rFonts w:cs="Times New Roman"/>
                <w:b/>
                <w:bCs/>
                <w:color w:val="000000"/>
                <w:sz w:val="18"/>
                <w:szCs w:val="18"/>
              </w:rPr>
              <w:t>–</w:t>
            </w:r>
            <w:r w:rsidRPr="00114DEE">
              <w:rPr>
                <w:rFonts w:cs="Times New Roman"/>
                <w:b/>
                <w:color w:val="000000"/>
                <w:sz w:val="18"/>
                <w:szCs w:val="18"/>
              </w:rPr>
              <w:t xml:space="preserve"> aktualizované</w:t>
            </w:r>
            <w:r>
              <w:rPr>
                <w:rFonts w:cs="Times New Roman"/>
                <w:b/>
                <w:bCs/>
                <w:color w:val="000000"/>
                <w:sz w:val="18"/>
                <w:szCs w:val="18"/>
              </w:rPr>
              <w:t xml:space="preserve"> o predpoklady výborov</w:t>
            </w:r>
          </w:p>
        </w:tc>
        <w:tc>
          <w:tcPr>
            <w:tcW w:w="955" w:type="dxa"/>
            <w:tcBorders>
              <w:top w:val="nil"/>
              <w:left w:val="nil"/>
              <w:bottom w:val="nil"/>
              <w:right w:val="nil"/>
            </w:tcBorders>
            <w:shd w:val="clear" w:color="auto" w:fill="auto"/>
            <w:noWrap/>
            <w:vAlign w:val="center"/>
            <w:hideMark/>
          </w:tcPr>
          <w:p w14:paraId="51CAD579" w14:textId="341CA2A0" w:rsidR="00176C3F" w:rsidRPr="00B34723" w:rsidRDefault="00176C3F" w:rsidP="00994CC0">
            <w:pPr>
              <w:jc w:val="right"/>
              <w:rPr>
                <w:rFonts w:cs="Times New Roman"/>
                <w:b/>
                <w:bCs/>
                <w:color w:val="000000"/>
                <w:sz w:val="18"/>
                <w:szCs w:val="18"/>
                <w:lang w:eastAsia="en-US"/>
              </w:rPr>
            </w:pPr>
            <w:r w:rsidRPr="00114DEE">
              <w:rPr>
                <w:rFonts w:cs="Times New Roman"/>
                <w:b/>
                <w:color w:val="000000"/>
                <w:sz w:val="18"/>
                <w:szCs w:val="18"/>
              </w:rPr>
              <w:t>-2 436</w:t>
            </w:r>
          </w:p>
        </w:tc>
        <w:tc>
          <w:tcPr>
            <w:tcW w:w="1171" w:type="dxa"/>
            <w:tcBorders>
              <w:top w:val="nil"/>
              <w:left w:val="nil"/>
              <w:bottom w:val="nil"/>
              <w:right w:val="nil"/>
            </w:tcBorders>
            <w:shd w:val="clear" w:color="auto" w:fill="auto"/>
            <w:noWrap/>
            <w:vAlign w:val="center"/>
            <w:hideMark/>
          </w:tcPr>
          <w:p w14:paraId="7507E38D" w14:textId="5D676E34" w:rsidR="00176C3F" w:rsidRPr="004C1A15" w:rsidRDefault="00176C3F" w:rsidP="00FB508F">
            <w:pPr>
              <w:jc w:val="center"/>
              <w:rPr>
                <w:rFonts w:cs="Times New Roman"/>
                <w:b/>
                <w:color w:val="FF0000"/>
                <w:sz w:val="18"/>
                <w:szCs w:val="18"/>
                <w:lang w:eastAsia="en-US"/>
              </w:rPr>
            </w:pPr>
            <w:r w:rsidRPr="00114DEE">
              <w:rPr>
                <w:rFonts w:cs="Times New Roman"/>
                <w:b/>
                <w:color w:val="000000"/>
                <w:sz w:val="18"/>
                <w:szCs w:val="18"/>
              </w:rPr>
              <w:t>-2,2</w:t>
            </w:r>
          </w:p>
        </w:tc>
      </w:tr>
      <w:tr w:rsidR="00176C3F" w:rsidRPr="00B34723" w14:paraId="24089936" w14:textId="77777777" w:rsidTr="00E43923">
        <w:trPr>
          <w:trHeight w:val="288"/>
        </w:trPr>
        <w:tc>
          <w:tcPr>
            <w:tcW w:w="6946" w:type="dxa"/>
            <w:tcBorders>
              <w:top w:val="nil"/>
              <w:left w:val="nil"/>
              <w:bottom w:val="nil"/>
              <w:right w:val="nil"/>
            </w:tcBorders>
            <w:shd w:val="clear" w:color="auto" w:fill="auto"/>
            <w:noWrap/>
            <w:vAlign w:val="center"/>
            <w:hideMark/>
          </w:tcPr>
          <w:p w14:paraId="15E19102" w14:textId="7B431391"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Dotácia zelenej a hnedej energie</w:t>
            </w:r>
          </w:p>
        </w:tc>
        <w:tc>
          <w:tcPr>
            <w:tcW w:w="955" w:type="dxa"/>
            <w:tcBorders>
              <w:top w:val="nil"/>
              <w:left w:val="nil"/>
              <w:bottom w:val="nil"/>
              <w:right w:val="nil"/>
            </w:tcBorders>
            <w:shd w:val="clear" w:color="auto" w:fill="auto"/>
            <w:noWrap/>
            <w:vAlign w:val="center"/>
            <w:hideMark/>
          </w:tcPr>
          <w:p w14:paraId="0984BD51" w14:textId="16025E8B"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-24</w:t>
            </w:r>
          </w:p>
        </w:tc>
        <w:tc>
          <w:tcPr>
            <w:tcW w:w="1171" w:type="dxa"/>
            <w:tcBorders>
              <w:top w:val="nil"/>
              <w:left w:val="nil"/>
              <w:bottom w:val="nil"/>
              <w:right w:val="nil"/>
            </w:tcBorders>
            <w:shd w:val="clear" w:color="auto" w:fill="auto"/>
            <w:noWrap/>
            <w:vAlign w:val="center"/>
            <w:hideMark/>
          </w:tcPr>
          <w:p w14:paraId="1DCEDD32" w14:textId="5DE6198B"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0,0</w:t>
            </w:r>
          </w:p>
        </w:tc>
      </w:tr>
      <w:tr w:rsidR="00176C3F" w:rsidRPr="00B34723" w14:paraId="43FEFA8D" w14:textId="77777777" w:rsidTr="00E43923">
        <w:trPr>
          <w:trHeight w:val="288"/>
        </w:trPr>
        <w:tc>
          <w:tcPr>
            <w:tcW w:w="6946" w:type="dxa"/>
            <w:tcBorders>
              <w:top w:val="nil"/>
              <w:left w:val="nil"/>
              <w:bottom w:val="nil"/>
              <w:right w:val="nil"/>
            </w:tcBorders>
            <w:shd w:val="clear" w:color="auto" w:fill="auto"/>
            <w:noWrap/>
            <w:vAlign w:val="center"/>
            <w:hideMark/>
          </w:tcPr>
          <w:p w14:paraId="78EA827B" w14:textId="72295098"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Odvod do rozpočtu EÚ</w:t>
            </w:r>
          </w:p>
        </w:tc>
        <w:tc>
          <w:tcPr>
            <w:tcW w:w="955" w:type="dxa"/>
            <w:tcBorders>
              <w:top w:val="nil"/>
              <w:left w:val="nil"/>
              <w:bottom w:val="nil"/>
              <w:right w:val="nil"/>
            </w:tcBorders>
            <w:shd w:val="clear" w:color="auto" w:fill="auto"/>
            <w:noWrap/>
            <w:vAlign w:val="center"/>
            <w:hideMark/>
          </w:tcPr>
          <w:p w14:paraId="579CAF07" w14:textId="1956F9B6"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36</w:t>
            </w:r>
          </w:p>
        </w:tc>
        <w:tc>
          <w:tcPr>
            <w:tcW w:w="1171" w:type="dxa"/>
            <w:tcBorders>
              <w:top w:val="nil"/>
              <w:left w:val="nil"/>
              <w:bottom w:val="nil"/>
              <w:right w:val="nil"/>
            </w:tcBorders>
            <w:shd w:val="clear" w:color="auto" w:fill="auto"/>
            <w:noWrap/>
            <w:vAlign w:val="center"/>
            <w:hideMark/>
          </w:tcPr>
          <w:p w14:paraId="0B728903" w14:textId="32C63FA1"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0,0</w:t>
            </w:r>
          </w:p>
        </w:tc>
      </w:tr>
      <w:tr w:rsidR="00176C3F" w:rsidRPr="00B34723" w14:paraId="02CCCB89" w14:textId="77777777" w:rsidTr="00E43923">
        <w:trPr>
          <w:trHeight w:val="288"/>
        </w:trPr>
        <w:tc>
          <w:tcPr>
            <w:tcW w:w="6946" w:type="dxa"/>
            <w:tcBorders>
              <w:top w:val="nil"/>
              <w:left w:val="nil"/>
              <w:bottom w:val="nil"/>
              <w:right w:val="nil"/>
            </w:tcBorders>
            <w:shd w:val="clear" w:color="auto" w:fill="auto"/>
            <w:noWrap/>
            <w:vAlign w:val="center"/>
          </w:tcPr>
          <w:p w14:paraId="27DED17C" w14:textId="13EFA8F6"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Korekcie k čerpaniu EÚ fondov</w:t>
            </w:r>
          </w:p>
        </w:tc>
        <w:tc>
          <w:tcPr>
            <w:tcW w:w="955" w:type="dxa"/>
            <w:tcBorders>
              <w:top w:val="nil"/>
              <w:left w:val="nil"/>
              <w:bottom w:val="nil"/>
              <w:right w:val="nil"/>
            </w:tcBorders>
            <w:shd w:val="clear" w:color="auto" w:fill="auto"/>
            <w:noWrap/>
            <w:vAlign w:val="center"/>
          </w:tcPr>
          <w:p w14:paraId="2A1748DB" w14:textId="471D387E"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24</w:t>
            </w:r>
          </w:p>
        </w:tc>
        <w:tc>
          <w:tcPr>
            <w:tcW w:w="1171" w:type="dxa"/>
            <w:tcBorders>
              <w:top w:val="nil"/>
              <w:left w:val="nil"/>
              <w:bottom w:val="nil"/>
              <w:right w:val="nil"/>
            </w:tcBorders>
            <w:shd w:val="clear" w:color="auto" w:fill="auto"/>
            <w:noWrap/>
            <w:vAlign w:val="center"/>
          </w:tcPr>
          <w:p w14:paraId="348238E0" w14:textId="5BAB806F"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0,0</w:t>
            </w:r>
          </w:p>
        </w:tc>
      </w:tr>
      <w:tr w:rsidR="00176C3F" w:rsidRPr="00B34723" w14:paraId="0FA930C9" w14:textId="77777777" w:rsidTr="00E43923">
        <w:trPr>
          <w:trHeight w:val="288"/>
        </w:trPr>
        <w:tc>
          <w:tcPr>
            <w:tcW w:w="6946" w:type="dxa"/>
            <w:tcBorders>
              <w:top w:val="nil"/>
              <w:left w:val="nil"/>
              <w:bottom w:val="nil"/>
              <w:right w:val="nil"/>
            </w:tcBorders>
            <w:shd w:val="clear" w:color="auto" w:fill="auto"/>
            <w:noWrap/>
            <w:vAlign w:val="center"/>
            <w:hideMark/>
          </w:tcPr>
          <w:p w14:paraId="05A8F84D" w14:textId="18F1FAF9"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Kapitálové výdavky ŠR - rezort obrany (záväzok 2% HDP)</w:t>
            </w:r>
          </w:p>
        </w:tc>
        <w:tc>
          <w:tcPr>
            <w:tcW w:w="955" w:type="dxa"/>
            <w:tcBorders>
              <w:top w:val="nil"/>
              <w:left w:val="nil"/>
              <w:bottom w:val="nil"/>
              <w:right w:val="nil"/>
            </w:tcBorders>
            <w:shd w:val="clear" w:color="auto" w:fill="auto"/>
            <w:noWrap/>
            <w:vAlign w:val="center"/>
            <w:hideMark/>
          </w:tcPr>
          <w:p w14:paraId="3E4A57EC" w14:textId="2E0BD914"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-524</w:t>
            </w:r>
          </w:p>
        </w:tc>
        <w:tc>
          <w:tcPr>
            <w:tcW w:w="1171" w:type="dxa"/>
            <w:tcBorders>
              <w:top w:val="nil"/>
              <w:left w:val="nil"/>
              <w:bottom w:val="nil"/>
              <w:right w:val="nil"/>
            </w:tcBorders>
            <w:shd w:val="clear" w:color="auto" w:fill="auto"/>
            <w:noWrap/>
            <w:vAlign w:val="center"/>
            <w:hideMark/>
          </w:tcPr>
          <w:p w14:paraId="599A4DD8" w14:textId="54A92F5A"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-0,5</w:t>
            </w:r>
          </w:p>
        </w:tc>
      </w:tr>
      <w:tr w:rsidR="00176C3F" w:rsidRPr="00B34723" w14:paraId="351ACACC" w14:textId="77777777" w:rsidTr="00E43923">
        <w:trPr>
          <w:trHeight w:val="288"/>
        </w:trPr>
        <w:tc>
          <w:tcPr>
            <w:tcW w:w="6946" w:type="dxa"/>
            <w:tcBorders>
              <w:top w:val="nil"/>
              <w:left w:val="nil"/>
              <w:bottom w:val="nil"/>
              <w:right w:val="nil"/>
            </w:tcBorders>
            <w:shd w:val="clear" w:color="auto" w:fill="auto"/>
            <w:noWrap/>
            <w:vAlign w:val="center"/>
            <w:hideMark/>
          </w:tcPr>
          <w:p w14:paraId="68C15646" w14:textId="4A90AE4F"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Dotácie pre riešenie následkov sucha</w:t>
            </w:r>
            <w:r w:rsidRPr="00114DEE">
              <w:rPr>
                <w:rFonts w:cs="Times New Roman"/>
                <w:color w:val="13B5EA"/>
                <w:sz w:val="18"/>
                <w:szCs w:val="18"/>
              </w:rPr>
              <w:t>**</w:t>
            </w:r>
          </w:p>
        </w:tc>
        <w:tc>
          <w:tcPr>
            <w:tcW w:w="955" w:type="dxa"/>
            <w:tcBorders>
              <w:top w:val="nil"/>
              <w:left w:val="nil"/>
              <w:bottom w:val="nil"/>
              <w:right w:val="nil"/>
            </w:tcBorders>
            <w:shd w:val="clear" w:color="auto" w:fill="auto"/>
            <w:noWrap/>
            <w:vAlign w:val="center"/>
            <w:hideMark/>
          </w:tcPr>
          <w:p w14:paraId="5C17B1AA" w14:textId="4CD4BBF5"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-50</w:t>
            </w:r>
          </w:p>
        </w:tc>
        <w:tc>
          <w:tcPr>
            <w:tcW w:w="1171" w:type="dxa"/>
            <w:tcBorders>
              <w:top w:val="nil"/>
              <w:left w:val="nil"/>
              <w:bottom w:val="nil"/>
              <w:right w:val="nil"/>
            </w:tcBorders>
            <w:shd w:val="clear" w:color="auto" w:fill="auto"/>
            <w:noWrap/>
            <w:vAlign w:val="center"/>
            <w:hideMark/>
          </w:tcPr>
          <w:p w14:paraId="0746759D" w14:textId="29590343"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0,0</w:t>
            </w:r>
          </w:p>
        </w:tc>
      </w:tr>
      <w:tr w:rsidR="00176C3F" w:rsidRPr="00B34723" w14:paraId="10571233" w14:textId="77777777" w:rsidTr="00E43923">
        <w:trPr>
          <w:trHeight w:val="288"/>
        </w:trPr>
        <w:tc>
          <w:tcPr>
            <w:tcW w:w="6946" w:type="dxa"/>
            <w:tcBorders>
              <w:top w:val="nil"/>
              <w:left w:val="nil"/>
              <w:bottom w:val="nil"/>
              <w:right w:val="nil"/>
            </w:tcBorders>
            <w:shd w:val="clear" w:color="auto" w:fill="auto"/>
            <w:noWrap/>
            <w:vAlign w:val="center"/>
            <w:hideMark/>
          </w:tcPr>
          <w:p w14:paraId="5FE2C7E1" w14:textId="0D9C583B"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Priemyselný park „Strategické územie Valaliky"</w:t>
            </w:r>
          </w:p>
        </w:tc>
        <w:tc>
          <w:tcPr>
            <w:tcW w:w="955" w:type="dxa"/>
            <w:tcBorders>
              <w:top w:val="nil"/>
              <w:left w:val="nil"/>
              <w:bottom w:val="nil"/>
              <w:right w:val="nil"/>
            </w:tcBorders>
            <w:shd w:val="clear" w:color="auto" w:fill="auto"/>
            <w:noWrap/>
            <w:vAlign w:val="center"/>
            <w:hideMark/>
          </w:tcPr>
          <w:p w14:paraId="1A1ADF6D" w14:textId="77EAB227"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-153</w:t>
            </w:r>
          </w:p>
        </w:tc>
        <w:tc>
          <w:tcPr>
            <w:tcW w:w="1171" w:type="dxa"/>
            <w:tcBorders>
              <w:top w:val="nil"/>
              <w:left w:val="nil"/>
              <w:bottom w:val="nil"/>
              <w:right w:val="nil"/>
            </w:tcBorders>
            <w:shd w:val="clear" w:color="auto" w:fill="auto"/>
            <w:noWrap/>
            <w:vAlign w:val="center"/>
            <w:hideMark/>
          </w:tcPr>
          <w:p w14:paraId="7EA4B8EB" w14:textId="51E57B1B"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-0,1</w:t>
            </w:r>
          </w:p>
        </w:tc>
      </w:tr>
      <w:tr w:rsidR="00176C3F" w:rsidRPr="00B34723" w14:paraId="26191358" w14:textId="77777777" w:rsidTr="00E43923">
        <w:trPr>
          <w:trHeight w:val="288"/>
        </w:trPr>
        <w:tc>
          <w:tcPr>
            <w:tcW w:w="6946" w:type="dxa"/>
            <w:tcBorders>
              <w:top w:val="nil"/>
              <w:left w:val="nil"/>
              <w:bottom w:val="nil"/>
              <w:right w:val="nil"/>
            </w:tcBorders>
            <w:shd w:val="clear" w:color="auto" w:fill="auto"/>
            <w:noWrap/>
            <w:vAlign w:val="center"/>
            <w:hideMark/>
          </w:tcPr>
          <w:p w14:paraId="7761E7B2" w14:textId="4B5BBFE6"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Nové opatrenia v oblasti rodinnej politiky</w:t>
            </w:r>
          </w:p>
        </w:tc>
        <w:tc>
          <w:tcPr>
            <w:tcW w:w="955" w:type="dxa"/>
            <w:tcBorders>
              <w:top w:val="nil"/>
              <w:left w:val="nil"/>
              <w:bottom w:val="nil"/>
              <w:right w:val="nil"/>
            </w:tcBorders>
            <w:shd w:val="clear" w:color="auto" w:fill="auto"/>
            <w:noWrap/>
            <w:vAlign w:val="center"/>
            <w:hideMark/>
          </w:tcPr>
          <w:p w14:paraId="02028836" w14:textId="69A07563"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-149</w:t>
            </w:r>
          </w:p>
        </w:tc>
        <w:tc>
          <w:tcPr>
            <w:tcW w:w="1171" w:type="dxa"/>
            <w:tcBorders>
              <w:top w:val="nil"/>
              <w:left w:val="nil"/>
              <w:bottom w:val="nil"/>
              <w:right w:val="nil"/>
            </w:tcBorders>
            <w:shd w:val="clear" w:color="auto" w:fill="auto"/>
            <w:noWrap/>
            <w:vAlign w:val="center"/>
            <w:hideMark/>
          </w:tcPr>
          <w:p w14:paraId="7127FCC5" w14:textId="7D1326D3"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-0,1</w:t>
            </w:r>
          </w:p>
        </w:tc>
      </w:tr>
      <w:tr w:rsidR="00176C3F" w:rsidRPr="00B34723" w14:paraId="14E7916C" w14:textId="77777777" w:rsidTr="00E43923">
        <w:trPr>
          <w:trHeight w:val="288"/>
        </w:trPr>
        <w:tc>
          <w:tcPr>
            <w:tcW w:w="6946" w:type="dxa"/>
            <w:tcBorders>
              <w:top w:val="nil"/>
              <w:left w:val="nil"/>
              <w:bottom w:val="nil"/>
              <w:right w:val="nil"/>
            </w:tcBorders>
            <w:shd w:val="clear" w:color="auto" w:fill="auto"/>
            <w:noWrap/>
            <w:vAlign w:val="center"/>
            <w:hideMark/>
          </w:tcPr>
          <w:p w14:paraId="2B07E186" w14:textId="6524154B"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Ostatné nové opatrenia</w:t>
            </w:r>
          </w:p>
        </w:tc>
        <w:tc>
          <w:tcPr>
            <w:tcW w:w="955" w:type="dxa"/>
            <w:tcBorders>
              <w:top w:val="nil"/>
              <w:left w:val="nil"/>
              <w:bottom w:val="nil"/>
              <w:right w:val="nil"/>
            </w:tcBorders>
            <w:shd w:val="clear" w:color="auto" w:fill="auto"/>
            <w:noWrap/>
            <w:vAlign w:val="center"/>
            <w:hideMark/>
          </w:tcPr>
          <w:p w14:paraId="6863A140" w14:textId="3F633D68"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-52</w:t>
            </w:r>
          </w:p>
        </w:tc>
        <w:tc>
          <w:tcPr>
            <w:tcW w:w="1171" w:type="dxa"/>
            <w:tcBorders>
              <w:top w:val="nil"/>
              <w:left w:val="nil"/>
              <w:bottom w:val="nil"/>
              <w:right w:val="nil"/>
            </w:tcBorders>
            <w:shd w:val="clear" w:color="auto" w:fill="auto"/>
            <w:noWrap/>
            <w:vAlign w:val="center"/>
            <w:hideMark/>
          </w:tcPr>
          <w:p w14:paraId="6F43BE47" w14:textId="53D285D4"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0,0</w:t>
            </w:r>
          </w:p>
        </w:tc>
      </w:tr>
      <w:tr w:rsidR="00176C3F" w:rsidRPr="00B34723" w14:paraId="6698B822" w14:textId="77777777" w:rsidTr="00E43923">
        <w:trPr>
          <w:trHeight w:val="288"/>
        </w:trPr>
        <w:tc>
          <w:tcPr>
            <w:tcW w:w="6946" w:type="dxa"/>
            <w:tcBorders>
              <w:top w:val="nil"/>
              <w:left w:val="nil"/>
              <w:bottom w:val="nil"/>
              <w:right w:val="nil"/>
            </w:tcBorders>
            <w:shd w:val="clear" w:color="auto" w:fill="auto"/>
            <w:noWrap/>
            <w:vAlign w:val="center"/>
            <w:hideMark/>
          </w:tcPr>
          <w:p w14:paraId="12C297CE" w14:textId="208F358F"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Dodatočné výdavky subjektov VS na energie</w:t>
            </w:r>
            <w:r w:rsidRPr="00114DEE">
              <w:rPr>
                <w:rFonts w:cs="Times New Roman"/>
                <w:color w:val="13B5EA"/>
                <w:sz w:val="18"/>
                <w:szCs w:val="18"/>
              </w:rPr>
              <w:t>*</w:t>
            </w:r>
          </w:p>
        </w:tc>
        <w:tc>
          <w:tcPr>
            <w:tcW w:w="955" w:type="dxa"/>
            <w:tcBorders>
              <w:top w:val="nil"/>
              <w:left w:val="nil"/>
              <w:bottom w:val="nil"/>
              <w:right w:val="nil"/>
            </w:tcBorders>
            <w:shd w:val="clear" w:color="auto" w:fill="auto"/>
            <w:noWrap/>
            <w:vAlign w:val="center"/>
            <w:hideMark/>
          </w:tcPr>
          <w:p w14:paraId="4E467CD2" w14:textId="5D7C1B73"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-124</w:t>
            </w:r>
          </w:p>
        </w:tc>
        <w:tc>
          <w:tcPr>
            <w:tcW w:w="1171" w:type="dxa"/>
            <w:tcBorders>
              <w:top w:val="nil"/>
              <w:left w:val="nil"/>
              <w:bottom w:val="nil"/>
              <w:right w:val="nil"/>
            </w:tcBorders>
            <w:shd w:val="clear" w:color="auto" w:fill="auto"/>
            <w:noWrap/>
            <w:vAlign w:val="center"/>
            <w:hideMark/>
          </w:tcPr>
          <w:p w14:paraId="1374100F" w14:textId="099D9DCB"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-0,1</w:t>
            </w:r>
          </w:p>
        </w:tc>
      </w:tr>
      <w:tr w:rsidR="00176C3F" w:rsidRPr="00B34723" w14:paraId="3049CEEE" w14:textId="77777777" w:rsidTr="00E43923">
        <w:trPr>
          <w:trHeight w:val="288"/>
        </w:trPr>
        <w:tc>
          <w:tcPr>
            <w:tcW w:w="6946" w:type="dxa"/>
            <w:tcBorders>
              <w:top w:val="nil"/>
              <w:left w:val="nil"/>
              <w:bottom w:val="nil"/>
              <w:right w:val="nil"/>
            </w:tcBorders>
            <w:shd w:val="clear" w:color="auto" w:fill="auto"/>
            <w:noWrap/>
            <w:vAlign w:val="center"/>
            <w:hideMark/>
          </w:tcPr>
          <w:p w14:paraId="0BDCEDE6" w14:textId="5FF4DF3F"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Výdavky ŠR na mzdy a poistné</w:t>
            </w:r>
          </w:p>
        </w:tc>
        <w:tc>
          <w:tcPr>
            <w:tcW w:w="955" w:type="dxa"/>
            <w:tcBorders>
              <w:top w:val="nil"/>
              <w:left w:val="nil"/>
              <w:bottom w:val="nil"/>
              <w:right w:val="nil"/>
            </w:tcBorders>
            <w:shd w:val="clear" w:color="auto" w:fill="auto"/>
            <w:noWrap/>
            <w:vAlign w:val="center"/>
            <w:hideMark/>
          </w:tcPr>
          <w:p w14:paraId="359F3DD0" w14:textId="428285F9"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109</w:t>
            </w:r>
          </w:p>
        </w:tc>
        <w:tc>
          <w:tcPr>
            <w:tcW w:w="1171" w:type="dxa"/>
            <w:tcBorders>
              <w:top w:val="nil"/>
              <w:left w:val="nil"/>
              <w:bottom w:val="nil"/>
              <w:right w:val="nil"/>
            </w:tcBorders>
            <w:shd w:val="clear" w:color="auto" w:fill="auto"/>
            <w:noWrap/>
            <w:vAlign w:val="center"/>
            <w:hideMark/>
          </w:tcPr>
          <w:p w14:paraId="2E3E8A3B" w14:textId="79066542"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0,1</w:t>
            </w:r>
          </w:p>
        </w:tc>
      </w:tr>
      <w:tr w:rsidR="00176C3F" w:rsidRPr="00B34723" w14:paraId="4144CC3C" w14:textId="77777777" w:rsidTr="00E43923">
        <w:trPr>
          <w:trHeight w:val="288"/>
        </w:trPr>
        <w:tc>
          <w:tcPr>
            <w:tcW w:w="6946" w:type="dxa"/>
            <w:tcBorders>
              <w:top w:val="nil"/>
              <w:left w:val="nil"/>
              <w:bottom w:val="nil"/>
              <w:right w:val="nil"/>
            </w:tcBorders>
            <w:shd w:val="clear" w:color="auto" w:fill="auto"/>
            <w:noWrap/>
            <w:vAlign w:val="center"/>
            <w:hideMark/>
          </w:tcPr>
          <w:p w14:paraId="1A943D9B" w14:textId="44041DFF"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Výdavky súkromných ZP</w:t>
            </w:r>
          </w:p>
        </w:tc>
        <w:tc>
          <w:tcPr>
            <w:tcW w:w="955" w:type="dxa"/>
            <w:tcBorders>
              <w:top w:val="nil"/>
              <w:left w:val="nil"/>
              <w:bottom w:val="nil"/>
              <w:right w:val="nil"/>
            </w:tcBorders>
            <w:shd w:val="clear" w:color="auto" w:fill="auto"/>
            <w:noWrap/>
            <w:vAlign w:val="center"/>
            <w:hideMark/>
          </w:tcPr>
          <w:p w14:paraId="440C1F2D" w14:textId="259B6464"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-15</w:t>
            </w:r>
          </w:p>
        </w:tc>
        <w:tc>
          <w:tcPr>
            <w:tcW w:w="1171" w:type="dxa"/>
            <w:tcBorders>
              <w:top w:val="nil"/>
              <w:left w:val="nil"/>
              <w:bottom w:val="nil"/>
              <w:right w:val="nil"/>
            </w:tcBorders>
            <w:shd w:val="clear" w:color="auto" w:fill="auto"/>
            <w:noWrap/>
            <w:vAlign w:val="center"/>
            <w:hideMark/>
          </w:tcPr>
          <w:p w14:paraId="5BEA2971" w14:textId="3EF7A2E0"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0,0</w:t>
            </w:r>
          </w:p>
        </w:tc>
      </w:tr>
      <w:tr w:rsidR="00176C3F" w:rsidRPr="00B34723" w14:paraId="58671A23" w14:textId="77777777" w:rsidTr="00E43923">
        <w:trPr>
          <w:trHeight w:val="288"/>
        </w:trPr>
        <w:tc>
          <w:tcPr>
            <w:tcW w:w="6946" w:type="dxa"/>
            <w:tcBorders>
              <w:top w:val="nil"/>
              <w:left w:val="nil"/>
              <w:bottom w:val="nil"/>
              <w:right w:val="nil"/>
            </w:tcBorders>
            <w:shd w:val="clear" w:color="auto" w:fill="auto"/>
            <w:noWrap/>
            <w:vAlign w:val="center"/>
            <w:hideMark/>
          </w:tcPr>
          <w:p w14:paraId="075C0120" w14:textId="6B9317F1"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Kapitálové výdavky ŠR - mimo rezortu obrany</w:t>
            </w:r>
          </w:p>
        </w:tc>
        <w:tc>
          <w:tcPr>
            <w:tcW w:w="955" w:type="dxa"/>
            <w:tcBorders>
              <w:top w:val="nil"/>
              <w:left w:val="nil"/>
              <w:bottom w:val="nil"/>
              <w:right w:val="nil"/>
            </w:tcBorders>
            <w:shd w:val="clear" w:color="auto" w:fill="auto"/>
            <w:noWrap/>
            <w:vAlign w:val="center"/>
            <w:hideMark/>
          </w:tcPr>
          <w:p w14:paraId="6FA3EE9B" w14:textId="7C65C5B0"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9</w:t>
            </w:r>
          </w:p>
        </w:tc>
        <w:tc>
          <w:tcPr>
            <w:tcW w:w="1171" w:type="dxa"/>
            <w:tcBorders>
              <w:top w:val="nil"/>
              <w:left w:val="nil"/>
              <w:bottom w:val="nil"/>
              <w:right w:val="nil"/>
            </w:tcBorders>
            <w:shd w:val="clear" w:color="auto" w:fill="auto"/>
            <w:noWrap/>
            <w:vAlign w:val="center"/>
            <w:hideMark/>
          </w:tcPr>
          <w:p w14:paraId="1651BA5C" w14:textId="5002FDF2"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0,0</w:t>
            </w:r>
          </w:p>
        </w:tc>
      </w:tr>
      <w:tr w:rsidR="00176C3F" w:rsidRPr="00B34723" w14:paraId="55F4DBE6" w14:textId="77777777" w:rsidTr="00E43923">
        <w:trPr>
          <w:trHeight w:val="288"/>
        </w:trPr>
        <w:tc>
          <w:tcPr>
            <w:tcW w:w="6946" w:type="dxa"/>
            <w:tcBorders>
              <w:top w:val="nil"/>
              <w:left w:val="nil"/>
              <w:bottom w:val="nil"/>
              <w:right w:val="nil"/>
            </w:tcBorders>
            <w:shd w:val="clear" w:color="auto" w:fill="auto"/>
            <w:noWrap/>
            <w:vAlign w:val="center"/>
          </w:tcPr>
          <w:p w14:paraId="06628BD5" w14:textId="3876433F"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Kapitálový transfer pre JLR</w:t>
            </w:r>
            <w:r w:rsidRPr="00114DEE">
              <w:rPr>
                <w:rFonts w:cs="Times New Roman"/>
                <w:color w:val="13B5EA"/>
                <w:sz w:val="18"/>
                <w:szCs w:val="18"/>
              </w:rPr>
              <w:t>**</w:t>
            </w:r>
          </w:p>
        </w:tc>
        <w:tc>
          <w:tcPr>
            <w:tcW w:w="955" w:type="dxa"/>
            <w:tcBorders>
              <w:top w:val="nil"/>
              <w:left w:val="nil"/>
              <w:bottom w:val="nil"/>
              <w:right w:val="nil"/>
            </w:tcBorders>
            <w:shd w:val="clear" w:color="auto" w:fill="auto"/>
            <w:noWrap/>
            <w:vAlign w:val="center"/>
          </w:tcPr>
          <w:p w14:paraId="0D9B1910" w14:textId="608CA564"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-30</w:t>
            </w:r>
          </w:p>
        </w:tc>
        <w:tc>
          <w:tcPr>
            <w:tcW w:w="1171" w:type="dxa"/>
            <w:tcBorders>
              <w:top w:val="nil"/>
              <w:left w:val="nil"/>
              <w:bottom w:val="nil"/>
              <w:right w:val="nil"/>
            </w:tcBorders>
            <w:shd w:val="clear" w:color="auto" w:fill="auto"/>
            <w:noWrap/>
            <w:vAlign w:val="center"/>
          </w:tcPr>
          <w:p w14:paraId="057433D3" w14:textId="48E3BBE7"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0,0</w:t>
            </w:r>
          </w:p>
        </w:tc>
      </w:tr>
      <w:tr w:rsidR="00176C3F" w:rsidRPr="00B34723" w14:paraId="2CB2E018" w14:textId="77777777" w:rsidTr="00E43923">
        <w:trPr>
          <w:trHeight w:val="288"/>
        </w:trPr>
        <w:tc>
          <w:tcPr>
            <w:tcW w:w="6946" w:type="dxa"/>
            <w:tcBorders>
              <w:top w:val="nil"/>
              <w:left w:val="nil"/>
              <w:bottom w:val="nil"/>
              <w:right w:val="nil"/>
            </w:tcBorders>
            <w:shd w:val="clear" w:color="auto" w:fill="auto"/>
            <w:noWrap/>
            <w:vAlign w:val="center"/>
          </w:tcPr>
          <w:p w14:paraId="2DA4F3E0" w14:textId="34C5EE6E"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Tržby samospráv</w:t>
            </w:r>
          </w:p>
        </w:tc>
        <w:tc>
          <w:tcPr>
            <w:tcW w:w="955" w:type="dxa"/>
            <w:tcBorders>
              <w:top w:val="nil"/>
              <w:left w:val="nil"/>
              <w:bottom w:val="nil"/>
              <w:right w:val="nil"/>
            </w:tcBorders>
            <w:shd w:val="clear" w:color="auto" w:fill="auto"/>
            <w:noWrap/>
            <w:vAlign w:val="center"/>
          </w:tcPr>
          <w:p w14:paraId="2C2CB2BD" w14:textId="6F47C365"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58</w:t>
            </w:r>
          </w:p>
        </w:tc>
        <w:tc>
          <w:tcPr>
            <w:tcW w:w="1171" w:type="dxa"/>
            <w:tcBorders>
              <w:top w:val="nil"/>
              <w:left w:val="nil"/>
              <w:bottom w:val="nil"/>
              <w:right w:val="nil"/>
            </w:tcBorders>
            <w:shd w:val="clear" w:color="auto" w:fill="auto"/>
            <w:noWrap/>
            <w:vAlign w:val="center"/>
          </w:tcPr>
          <w:p w14:paraId="1274FA4C" w14:textId="4336DA0F"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0,1</w:t>
            </w:r>
          </w:p>
        </w:tc>
      </w:tr>
      <w:tr w:rsidR="00176C3F" w:rsidRPr="00B34723" w14:paraId="352E899A" w14:textId="77777777" w:rsidTr="00E43923">
        <w:trPr>
          <w:trHeight w:val="288"/>
        </w:trPr>
        <w:tc>
          <w:tcPr>
            <w:tcW w:w="6946" w:type="dxa"/>
            <w:tcBorders>
              <w:top w:val="nil"/>
              <w:left w:val="nil"/>
              <w:bottom w:val="nil"/>
              <w:right w:val="nil"/>
            </w:tcBorders>
            <w:shd w:val="clear" w:color="auto" w:fill="auto"/>
            <w:noWrap/>
            <w:vAlign w:val="center"/>
          </w:tcPr>
          <w:p w14:paraId="654BD22E" w14:textId="2FFD8B81" w:rsidR="00176C3F" w:rsidRPr="00B34723" w:rsidRDefault="00176C3F" w:rsidP="00625EE5">
            <w:pPr>
              <w:rPr>
                <w:rFonts w:cs="Times New Roman"/>
                <w:color w:val="000000"/>
                <w:sz w:val="18"/>
                <w:szCs w:val="18"/>
                <w:lang w:eastAsia="en-US"/>
              </w:rPr>
            </w:pPr>
            <w:r w:rsidRPr="00114DEE">
              <w:rPr>
                <w:rFonts w:cs="Times New Roman"/>
                <w:color w:val="000000"/>
                <w:sz w:val="18"/>
                <w:szCs w:val="18"/>
              </w:rPr>
              <w:lastRenderedPageBreak/>
              <w:t>Výdavky obcí na mzdy a poistné</w:t>
            </w:r>
          </w:p>
        </w:tc>
        <w:tc>
          <w:tcPr>
            <w:tcW w:w="955" w:type="dxa"/>
            <w:tcBorders>
              <w:top w:val="nil"/>
              <w:left w:val="nil"/>
              <w:bottom w:val="nil"/>
              <w:right w:val="nil"/>
            </w:tcBorders>
            <w:shd w:val="clear" w:color="auto" w:fill="auto"/>
            <w:noWrap/>
            <w:vAlign w:val="center"/>
          </w:tcPr>
          <w:p w14:paraId="28CB2A45" w14:textId="4BBA4DF7"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4</w:t>
            </w:r>
          </w:p>
        </w:tc>
        <w:tc>
          <w:tcPr>
            <w:tcW w:w="1171" w:type="dxa"/>
            <w:tcBorders>
              <w:top w:val="nil"/>
              <w:left w:val="nil"/>
              <w:bottom w:val="nil"/>
              <w:right w:val="nil"/>
            </w:tcBorders>
            <w:shd w:val="clear" w:color="auto" w:fill="auto"/>
            <w:noWrap/>
            <w:vAlign w:val="center"/>
          </w:tcPr>
          <w:p w14:paraId="3C877F61" w14:textId="15AFE974"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0,0</w:t>
            </w:r>
          </w:p>
        </w:tc>
      </w:tr>
      <w:tr w:rsidR="00176C3F" w:rsidRPr="00B34723" w14:paraId="44430E1F" w14:textId="77777777" w:rsidTr="00E43923">
        <w:trPr>
          <w:trHeight w:val="288"/>
        </w:trPr>
        <w:tc>
          <w:tcPr>
            <w:tcW w:w="6946" w:type="dxa"/>
            <w:tcBorders>
              <w:top w:val="nil"/>
              <w:left w:val="nil"/>
              <w:bottom w:val="nil"/>
              <w:right w:val="nil"/>
            </w:tcBorders>
            <w:shd w:val="clear" w:color="auto" w:fill="auto"/>
            <w:noWrap/>
            <w:vAlign w:val="center"/>
            <w:hideMark/>
          </w:tcPr>
          <w:p w14:paraId="556198DC" w14:textId="6692DFE9"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Výdavky obcí na medzispotrebu</w:t>
            </w:r>
          </w:p>
        </w:tc>
        <w:tc>
          <w:tcPr>
            <w:tcW w:w="955" w:type="dxa"/>
            <w:tcBorders>
              <w:top w:val="nil"/>
              <w:left w:val="nil"/>
              <w:bottom w:val="nil"/>
              <w:right w:val="nil"/>
            </w:tcBorders>
            <w:shd w:val="clear" w:color="auto" w:fill="auto"/>
            <w:noWrap/>
            <w:vAlign w:val="center"/>
            <w:hideMark/>
          </w:tcPr>
          <w:p w14:paraId="1C320771" w14:textId="6E966E69"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-39</w:t>
            </w:r>
          </w:p>
        </w:tc>
        <w:tc>
          <w:tcPr>
            <w:tcW w:w="1171" w:type="dxa"/>
            <w:tcBorders>
              <w:top w:val="nil"/>
              <w:left w:val="nil"/>
              <w:bottom w:val="nil"/>
              <w:right w:val="nil"/>
            </w:tcBorders>
            <w:shd w:val="clear" w:color="auto" w:fill="auto"/>
            <w:noWrap/>
            <w:vAlign w:val="center"/>
            <w:hideMark/>
          </w:tcPr>
          <w:p w14:paraId="27495B5F" w14:textId="3C31880B"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0,0</w:t>
            </w:r>
          </w:p>
        </w:tc>
      </w:tr>
      <w:tr w:rsidR="00176C3F" w:rsidRPr="00B34723" w14:paraId="704A9C53" w14:textId="77777777" w:rsidTr="00E43923">
        <w:trPr>
          <w:trHeight w:val="288"/>
        </w:trPr>
        <w:tc>
          <w:tcPr>
            <w:tcW w:w="6946" w:type="dxa"/>
            <w:tcBorders>
              <w:top w:val="nil"/>
              <w:left w:val="nil"/>
              <w:bottom w:val="nil"/>
              <w:right w:val="nil"/>
            </w:tcBorders>
            <w:shd w:val="clear" w:color="auto" w:fill="auto"/>
            <w:noWrap/>
            <w:vAlign w:val="center"/>
            <w:hideMark/>
          </w:tcPr>
          <w:p w14:paraId="5B81A775" w14:textId="7AFFC544" w:rsidR="00176C3F" w:rsidRPr="00B34723" w:rsidRDefault="00176C3F" w:rsidP="00625EE5">
            <w:pPr>
              <w:rPr>
                <w:rFonts w:cs="Times New Roman"/>
                <w:color w:val="000000"/>
                <w:sz w:val="18"/>
                <w:szCs w:val="18"/>
                <w:lang w:eastAsia="en-US"/>
              </w:rPr>
            </w:pPr>
            <w:r w:rsidRPr="00114DEE">
              <w:rPr>
                <w:rFonts w:cs="Times New Roman"/>
                <w:color w:val="000000"/>
                <w:sz w:val="18"/>
                <w:szCs w:val="18"/>
              </w:rPr>
              <w:t>Investície obcí a VÚC</w:t>
            </w:r>
            <w:r w:rsidRPr="00114DEE">
              <w:rPr>
                <w:rFonts w:cs="Times New Roman"/>
                <w:color w:val="13B5EA"/>
                <w:sz w:val="18"/>
                <w:szCs w:val="18"/>
              </w:rPr>
              <w:t>**</w:t>
            </w:r>
          </w:p>
        </w:tc>
        <w:tc>
          <w:tcPr>
            <w:tcW w:w="955" w:type="dxa"/>
            <w:tcBorders>
              <w:top w:val="nil"/>
              <w:left w:val="nil"/>
              <w:bottom w:val="nil"/>
              <w:right w:val="nil"/>
            </w:tcBorders>
            <w:shd w:val="clear" w:color="auto" w:fill="auto"/>
            <w:noWrap/>
            <w:vAlign w:val="center"/>
            <w:hideMark/>
          </w:tcPr>
          <w:p w14:paraId="1802186F" w14:textId="447AA46A" w:rsidR="00176C3F" w:rsidRPr="00B34723" w:rsidRDefault="00176C3F" w:rsidP="00D22E18">
            <w:pPr>
              <w:jc w:val="right"/>
              <w:rPr>
                <w:rFonts w:cs="Times New Roman"/>
                <w:color w:val="000000"/>
                <w:sz w:val="18"/>
                <w:szCs w:val="18"/>
                <w:lang w:eastAsia="en-US"/>
              </w:rPr>
            </w:pPr>
            <w:r w:rsidRPr="00114DEE">
              <w:rPr>
                <w:rFonts w:cs="Times New Roman"/>
                <w:color w:val="000000"/>
                <w:sz w:val="18"/>
                <w:szCs w:val="18"/>
              </w:rPr>
              <w:t>-198</w:t>
            </w:r>
          </w:p>
        </w:tc>
        <w:tc>
          <w:tcPr>
            <w:tcW w:w="1171" w:type="dxa"/>
            <w:tcBorders>
              <w:top w:val="nil"/>
              <w:left w:val="nil"/>
              <w:bottom w:val="nil"/>
              <w:right w:val="nil"/>
            </w:tcBorders>
            <w:shd w:val="clear" w:color="auto" w:fill="auto"/>
            <w:noWrap/>
            <w:vAlign w:val="center"/>
            <w:hideMark/>
          </w:tcPr>
          <w:p w14:paraId="20A836CA" w14:textId="420D293E" w:rsidR="00176C3F" w:rsidRPr="004C1A15" w:rsidRDefault="00176C3F" w:rsidP="00FB508F">
            <w:pPr>
              <w:jc w:val="center"/>
              <w:rPr>
                <w:rFonts w:cs="Times New Roman"/>
                <w:color w:val="FF0000"/>
                <w:sz w:val="18"/>
                <w:szCs w:val="18"/>
                <w:lang w:eastAsia="en-US"/>
              </w:rPr>
            </w:pPr>
            <w:r w:rsidRPr="00114DEE">
              <w:rPr>
                <w:rFonts w:cs="Times New Roman"/>
                <w:color w:val="000000"/>
                <w:sz w:val="18"/>
                <w:szCs w:val="18"/>
              </w:rPr>
              <w:t>-0,2</w:t>
            </w:r>
          </w:p>
        </w:tc>
      </w:tr>
      <w:tr w:rsidR="00176C3F" w:rsidRPr="00B34723" w14:paraId="1576FCF1" w14:textId="77777777" w:rsidTr="00E43923">
        <w:trPr>
          <w:trHeight w:val="288"/>
        </w:trPr>
        <w:tc>
          <w:tcPr>
            <w:tcW w:w="6946" w:type="dxa"/>
            <w:tcBorders>
              <w:top w:val="nil"/>
              <w:left w:val="nil"/>
              <w:bottom w:val="nil"/>
              <w:right w:val="nil"/>
            </w:tcBorders>
            <w:shd w:val="clear" w:color="auto" w:fill="auto"/>
            <w:noWrap/>
            <w:vAlign w:val="center"/>
          </w:tcPr>
          <w:p w14:paraId="795C1E26" w14:textId="67C05CB0" w:rsidR="00176C3F" w:rsidRPr="00B34723" w:rsidRDefault="00176C3F" w:rsidP="00625EE5">
            <w:pPr>
              <w:rPr>
                <w:rFonts w:cs="Times New Roman"/>
                <w:color w:val="000000"/>
                <w:sz w:val="18"/>
                <w:szCs w:val="18"/>
              </w:rPr>
            </w:pPr>
            <w:r w:rsidRPr="00114DEE">
              <w:rPr>
                <w:rFonts w:cs="Times New Roman"/>
                <w:color w:val="000000"/>
                <w:sz w:val="18"/>
                <w:szCs w:val="18"/>
              </w:rPr>
              <w:t>Výdavky ostatných subjektov na mzdy a poistné</w:t>
            </w:r>
          </w:p>
        </w:tc>
        <w:tc>
          <w:tcPr>
            <w:tcW w:w="955" w:type="dxa"/>
            <w:tcBorders>
              <w:top w:val="nil"/>
              <w:left w:val="nil"/>
              <w:bottom w:val="nil"/>
              <w:right w:val="nil"/>
            </w:tcBorders>
            <w:shd w:val="clear" w:color="auto" w:fill="auto"/>
            <w:noWrap/>
            <w:vAlign w:val="center"/>
          </w:tcPr>
          <w:p w14:paraId="5DFD9DB3" w14:textId="6ABD3EFA" w:rsidR="00176C3F" w:rsidRPr="00B34723" w:rsidRDefault="00176C3F" w:rsidP="00D22E18">
            <w:pPr>
              <w:jc w:val="right"/>
              <w:rPr>
                <w:rFonts w:cs="Times New Roman"/>
                <w:color w:val="000000"/>
                <w:sz w:val="18"/>
                <w:szCs w:val="18"/>
              </w:rPr>
            </w:pPr>
            <w:r w:rsidRPr="00114DEE">
              <w:rPr>
                <w:rFonts w:cs="Times New Roman"/>
                <w:color w:val="000000"/>
                <w:sz w:val="18"/>
                <w:szCs w:val="18"/>
              </w:rPr>
              <w:t>138</w:t>
            </w:r>
          </w:p>
        </w:tc>
        <w:tc>
          <w:tcPr>
            <w:tcW w:w="1171" w:type="dxa"/>
            <w:tcBorders>
              <w:top w:val="nil"/>
              <w:left w:val="nil"/>
              <w:bottom w:val="nil"/>
              <w:right w:val="nil"/>
            </w:tcBorders>
            <w:shd w:val="clear" w:color="auto" w:fill="auto"/>
            <w:noWrap/>
            <w:vAlign w:val="center"/>
          </w:tcPr>
          <w:p w14:paraId="0B92B002" w14:textId="543F164F" w:rsidR="00176C3F" w:rsidRPr="004C1A15" w:rsidRDefault="00176C3F" w:rsidP="00FB508F">
            <w:pPr>
              <w:jc w:val="center"/>
              <w:rPr>
                <w:rFonts w:cs="Times New Roman"/>
                <w:color w:val="FF0000"/>
                <w:sz w:val="18"/>
                <w:szCs w:val="18"/>
              </w:rPr>
            </w:pPr>
            <w:r w:rsidRPr="00114DEE">
              <w:rPr>
                <w:rFonts w:cs="Times New Roman"/>
                <w:color w:val="000000"/>
                <w:sz w:val="18"/>
                <w:szCs w:val="18"/>
              </w:rPr>
              <w:t>0,1</w:t>
            </w:r>
          </w:p>
        </w:tc>
      </w:tr>
      <w:tr w:rsidR="00FB508F" w:rsidRPr="00B34723" w14:paraId="6B663C95" w14:textId="77777777" w:rsidTr="00E43923">
        <w:trPr>
          <w:trHeight w:val="288"/>
        </w:trPr>
        <w:tc>
          <w:tcPr>
            <w:tcW w:w="6946" w:type="dxa"/>
            <w:tcBorders>
              <w:top w:val="nil"/>
              <w:left w:val="nil"/>
              <w:bottom w:val="nil"/>
              <w:right w:val="nil"/>
            </w:tcBorders>
            <w:shd w:val="clear" w:color="auto" w:fill="auto"/>
            <w:noWrap/>
            <w:vAlign w:val="center"/>
          </w:tcPr>
          <w:p w14:paraId="0EF30278" w14:textId="417C56B8" w:rsidR="00FB508F" w:rsidRPr="00B34723" w:rsidRDefault="00FB508F" w:rsidP="00625EE5">
            <w:pPr>
              <w:rPr>
                <w:rFonts w:cs="Times New Roman"/>
                <w:color w:val="000000"/>
                <w:sz w:val="18"/>
                <w:szCs w:val="18"/>
              </w:rPr>
            </w:pPr>
            <w:r w:rsidRPr="00114DEE">
              <w:rPr>
                <w:rFonts w:cs="Times New Roman"/>
                <w:color w:val="000000"/>
                <w:sz w:val="18"/>
                <w:szCs w:val="18"/>
              </w:rPr>
              <w:t>Kapitálové výdavky ostatných subjektov (NDS, ŽSR, ŽSSK)</w:t>
            </w:r>
          </w:p>
        </w:tc>
        <w:tc>
          <w:tcPr>
            <w:tcW w:w="955" w:type="dxa"/>
            <w:tcBorders>
              <w:top w:val="nil"/>
              <w:left w:val="nil"/>
              <w:bottom w:val="nil"/>
              <w:right w:val="nil"/>
            </w:tcBorders>
            <w:shd w:val="clear" w:color="auto" w:fill="auto"/>
            <w:noWrap/>
            <w:vAlign w:val="center"/>
          </w:tcPr>
          <w:p w14:paraId="1BB26480" w14:textId="5A17A510" w:rsidR="00FB508F" w:rsidRPr="00B34723" w:rsidRDefault="00FB508F" w:rsidP="00D22E18">
            <w:pPr>
              <w:jc w:val="right"/>
              <w:rPr>
                <w:rFonts w:cs="Times New Roman"/>
                <w:color w:val="000000"/>
                <w:sz w:val="18"/>
                <w:szCs w:val="18"/>
              </w:rPr>
            </w:pPr>
            <w:r w:rsidRPr="00114DEE">
              <w:rPr>
                <w:rFonts w:cs="Times New Roman"/>
                <w:color w:val="000000"/>
                <w:sz w:val="18"/>
                <w:szCs w:val="18"/>
              </w:rPr>
              <w:t>100</w:t>
            </w:r>
          </w:p>
        </w:tc>
        <w:tc>
          <w:tcPr>
            <w:tcW w:w="1171" w:type="dxa"/>
            <w:tcBorders>
              <w:top w:val="nil"/>
              <w:left w:val="nil"/>
              <w:bottom w:val="nil"/>
              <w:right w:val="nil"/>
            </w:tcBorders>
            <w:shd w:val="clear" w:color="auto" w:fill="auto"/>
            <w:noWrap/>
            <w:vAlign w:val="center"/>
          </w:tcPr>
          <w:p w14:paraId="44221AAD" w14:textId="02C16152" w:rsidR="00FB508F" w:rsidRPr="004C1A15" w:rsidRDefault="00FB508F" w:rsidP="00FB508F">
            <w:pPr>
              <w:jc w:val="center"/>
              <w:rPr>
                <w:rFonts w:cs="Times New Roman"/>
                <w:color w:val="FF0000"/>
                <w:sz w:val="18"/>
                <w:szCs w:val="18"/>
              </w:rPr>
            </w:pPr>
            <w:r w:rsidRPr="00114DEE">
              <w:rPr>
                <w:rFonts w:cs="Times New Roman"/>
                <w:color w:val="000000"/>
                <w:sz w:val="18"/>
                <w:szCs w:val="18"/>
              </w:rPr>
              <w:t>0,1</w:t>
            </w:r>
          </w:p>
        </w:tc>
      </w:tr>
      <w:tr w:rsidR="00FB508F" w:rsidRPr="00B34723" w14:paraId="1C6B7457" w14:textId="77777777" w:rsidTr="00E43923">
        <w:trPr>
          <w:trHeight w:val="288"/>
        </w:trPr>
        <w:tc>
          <w:tcPr>
            <w:tcW w:w="6946" w:type="dxa"/>
            <w:tcBorders>
              <w:top w:val="nil"/>
              <w:left w:val="nil"/>
              <w:bottom w:val="nil"/>
              <w:right w:val="nil"/>
            </w:tcBorders>
            <w:shd w:val="clear" w:color="auto" w:fill="auto"/>
            <w:noWrap/>
            <w:vAlign w:val="center"/>
          </w:tcPr>
          <w:p w14:paraId="74B986B6" w14:textId="00DDC9D1" w:rsidR="00FB508F" w:rsidRPr="00B34723" w:rsidRDefault="00FB508F" w:rsidP="00625EE5">
            <w:pPr>
              <w:rPr>
                <w:rFonts w:cs="Times New Roman"/>
                <w:color w:val="000000"/>
                <w:sz w:val="18"/>
                <w:szCs w:val="18"/>
              </w:rPr>
            </w:pPr>
            <w:r w:rsidRPr="00114DEE">
              <w:rPr>
                <w:rFonts w:cs="Times New Roman"/>
                <w:color w:val="000000"/>
                <w:sz w:val="18"/>
                <w:szCs w:val="18"/>
              </w:rPr>
              <w:t>Ostatné príjmy a výdavky</w:t>
            </w:r>
          </w:p>
        </w:tc>
        <w:tc>
          <w:tcPr>
            <w:tcW w:w="955" w:type="dxa"/>
            <w:tcBorders>
              <w:top w:val="nil"/>
              <w:left w:val="nil"/>
              <w:bottom w:val="nil"/>
              <w:right w:val="nil"/>
            </w:tcBorders>
            <w:shd w:val="clear" w:color="auto" w:fill="auto"/>
            <w:noWrap/>
            <w:vAlign w:val="center"/>
          </w:tcPr>
          <w:p w14:paraId="0C71E842" w14:textId="5793F7E5" w:rsidR="00FB508F" w:rsidRPr="00B34723" w:rsidRDefault="00FB508F" w:rsidP="00D22E18">
            <w:pPr>
              <w:jc w:val="right"/>
              <w:rPr>
                <w:rFonts w:cs="Times New Roman"/>
                <w:color w:val="000000"/>
                <w:sz w:val="18"/>
                <w:szCs w:val="18"/>
              </w:rPr>
            </w:pPr>
            <w:r w:rsidRPr="00114DEE">
              <w:rPr>
                <w:rFonts w:cs="Times New Roman"/>
                <w:color w:val="000000"/>
                <w:sz w:val="18"/>
                <w:szCs w:val="18"/>
              </w:rPr>
              <w:t>89</w:t>
            </w:r>
          </w:p>
        </w:tc>
        <w:tc>
          <w:tcPr>
            <w:tcW w:w="1171" w:type="dxa"/>
            <w:tcBorders>
              <w:top w:val="nil"/>
              <w:left w:val="nil"/>
              <w:bottom w:val="nil"/>
              <w:right w:val="nil"/>
            </w:tcBorders>
            <w:shd w:val="clear" w:color="auto" w:fill="auto"/>
            <w:noWrap/>
            <w:vAlign w:val="center"/>
          </w:tcPr>
          <w:p w14:paraId="4599129A" w14:textId="3404B769" w:rsidR="00FB508F" w:rsidRPr="004C1A15" w:rsidRDefault="00FB508F" w:rsidP="00FB508F">
            <w:pPr>
              <w:jc w:val="center"/>
              <w:rPr>
                <w:rFonts w:cs="Times New Roman"/>
                <w:color w:val="FF0000"/>
                <w:sz w:val="18"/>
                <w:szCs w:val="18"/>
              </w:rPr>
            </w:pPr>
            <w:r w:rsidRPr="00114DEE">
              <w:rPr>
                <w:rFonts w:cs="Times New Roman"/>
                <w:color w:val="000000"/>
                <w:sz w:val="18"/>
                <w:szCs w:val="18"/>
              </w:rPr>
              <w:t>0,1</w:t>
            </w:r>
          </w:p>
        </w:tc>
      </w:tr>
      <w:tr w:rsidR="00FB508F" w:rsidRPr="00B34723" w14:paraId="70248A4E" w14:textId="77777777" w:rsidTr="00E43923">
        <w:trPr>
          <w:trHeight w:val="288"/>
        </w:trPr>
        <w:tc>
          <w:tcPr>
            <w:tcW w:w="6946" w:type="dxa"/>
            <w:tcBorders>
              <w:top w:val="nil"/>
              <w:left w:val="nil"/>
              <w:bottom w:val="nil"/>
              <w:right w:val="nil"/>
            </w:tcBorders>
            <w:shd w:val="clear" w:color="auto" w:fill="auto"/>
            <w:noWrap/>
            <w:vAlign w:val="center"/>
          </w:tcPr>
          <w:p w14:paraId="04107769" w14:textId="0E50CAD7" w:rsidR="00FB508F" w:rsidRPr="00B34723" w:rsidRDefault="00FB508F" w:rsidP="00625EE5">
            <w:pPr>
              <w:rPr>
                <w:rFonts w:cs="Times New Roman"/>
                <w:color w:val="000000"/>
                <w:sz w:val="18"/>
                <w:szCs w:val="18"/>
              </w:rPr>
            </w:pPr>
            <w:r w:rsidRPr="00114DEE">
              <w:rPr>
                <w:rFonts w:cs="Times New Roman"/>
                <w:color w:val="000000"/>
                <w:sz w:val="18"/>
                <w:szCs w:val="18"/>
              </w:rPr>
              <w:t>Jednorazové vplyvy:</w:t>
            </w:r>
          </w:p>
        </w:tc>
        <w:tc>
          <w:tcPr>
            <w:tcW w:w="955" w:type="dxa"/>
            <w:tcBorders>
              <w:top w:val="nil"/>
              <w:left w:val="nil"/>
              <w:bottom w:val="nil"/>
              <w:right w:val="nil"/>
            </w:tcBorders>
            <w:shd w:val="clear" w:color="auto" w:fill="auto"/>
            <w:noWrap/>
            <w:vAlign w:val="center"/>
          </w:tcPr>
          <w:p w14:paraId="06C1A54E" w14:textId="4C826123" w:rsidR="00FB508F" w:rsidRPr="00B34723" w:rsidRDefault="00FB508F" w:rsidP="00D22E18">
            <w:pPr>
              <w:jc w:val="right"/>
              <w:rPr>
                <w:rFonts w:cs="Times New Roman"/>
                <w:color w:val="000000"/>
                <w:sz w:val="18"/>
                <w:szCs w:val="18"/>
              </w:rPr>
            </w:pPr>
            <w:r w:rsidRPr="00114DEE">
              <w:rPr>
                <w:rFonts w:cs="Times New Roman"/>
                <w:color w:val="000000"/>
                <w:sz w:val="18"/>
                <w:szCs w:val="18"/>
              </w:rPr>
              <w:t>-1 228</w:t>
            </w:r>
          </w:p>
        </w:tc>
        <w:tc>
          <w:tcPr>
            <w:tcW w:w="1171" w:type="dxa"/>
            <w:tcBorders>
              <w:top w:val="nil"/>
              <w:left w:val="nil"/>
              <w:bottom w:val="nil"/>
              <w:right w:val="nil"/>
            </w:tcBorders>
            <w:shd w:val="clear" w:color="auto" w:fill="auto"/>
            <w:noWrap/>
            <w:vAlign w:val="center"/>
          </w:tcPr>
          <w:p w14:paraId="70F48879" w14:textId="3A0E2FDA" w:rsidR="00FB508F" w:rsidRPr="004C1A15" w:rsidRDefault="00FB508F" w:rsidP="00FB508F">
            <w:pPr>
              <w:jc w:val="center"/>
              <w:rPr>
                <w:rFonts w:cs="Times New Roman"/>
                <w:color w:val="FF0000"/>
                <w:sz w:val="18"/>
                <w:szCs w:val="18"/>
              </w:rPr>
            </w:pPr>
            <w:r w:rsidRPr="00114DEE">
              <w:rPr>
                <w:rFonts w:cs="Times New Roman"/>
                <w:color w:val="000000"/>
                <w:sz w:val="18"/>
                <w:szCs w:val="18"/>
              </w:rPr>
              <w:t>-1,1</w:t>
            </w:r>
          </w:p>
        </w:tc>
      </w:tr>
      <w:tr w:rsidR="00FB508F" w:rsidRPr="00B34723" w14:paraId="2024B2FC" w14:textId="77777777" w:rsidTr="00E43923">
        <w:trPr>
          <w:trHeight w:val="288"/>
        </w:trPr>
        <w:tc>
          <w:tcPr>
            <w:tcW w:w="6946" w:type="dxa"/>
            <w:tcBorders>
              <w:top w:val="nil"/>
              <w:left w:val="nil"/>
              <w:bottom w:val="nil"/>
              <w:right w:val="nil"/>
            </w:tcBorders>
            <w:shd w:val="clear" w:color="auto" w:fill="auto"/>
            <w:noWrap/>
            <w:vAlign w:val="center"/>
          </w:tcPr>
          <w:p w14:paraId="10D27695" w14:textId="1CF87DC5" w:rsidR="00FB508F" w:rsidRPr="00B34723" w:rsidRDefault="00FB508F" w:rsidP="00625EE5">
            <w:pPr>
              <w:rPr>
                <w:rFonts w:cs="Times New Roman"/>
                <w:color w:val="000000"/>
                <w:sz w:val="18"/>
                <w:szCs w:val="18"/>
              </w:rPr>
            </w:pPr>
            <w:r w:rsidRPr="00114DEE">
              <w:rPr>
                <w:rFonts w:cs="Times New Roman"/>
                <w:color w:val="000000"/>
                <w:sz w:val="18"/>
                <w:szCs w:val="18"/>
              </w:rPr>
              <w:t xml:space="preserve">     - pandemické opatrenia</w:t>
            </w:r>
          </w:p>
        </w:tc>
        <w:tc>
          <w:tcPr>
            <w:tcW w:w="955" w:type="dxa"/>
            <w:tcBorders>
              <w:top w:val="nil"/>
              <w:left w:val="nil"/>
              <w:bottom w:val="nil"/>
              <w:right w:val="nil"/>
            </w:tcBorders>
            <w:shd w:val="clear" w:color="auto" w:fill="auto"/>
            <w:noWrap/>
            <w:vAlign w:val="center"/>
          </w:tcPr>
          <w:p w14:paraId="751BDB1D" w14:textId="57F6905D" w:rsidR="00FB508F" w:rsidRPr="00B34723" w:rsidRDefault="00FB508F" w:rsidP="00D22E18">
            <w:pPr>
              <w:jc w:val="right"/>
              <w:rPr>
                <w:rFonts w:cs="Times New Roman"/>
                <w:color w:val="000000"/>
                <w:sz w:val="18"/>
                <w:szCs w:val="18"/>
              </w:rPr>
            </w:pPr>
            <w:r w:rsidRPr="00114DEE">
              <w:rPr>
                <w:rFonts w:cs="Times New Roman"/>
                <w:color w:val="000000"/>
                <w:sz w:val="18"/>
                <w:szCs w:val="18"/>
              </w:rPr>
              <w:t>-283</w:t>
            </w:r>
          </w:p>
        </w:tc>
        <w:tc>
          <w:tcPr>
            <w:tcW w:w="1171" w:type="dxa"/>
            <w:tcBorders>
              <w:top w:val="nil"/>
              <w:left w:val="nil"/>
              <w:bottom w:val="nil"/>
              <w:right w:val="nil"/>
            </w:tcBorders>
            <w:shd w:val="clear" w:color="auto" w:fill="auto"/>
            <w:noWrap/>
            <w:vAlign w:val="center"/>
          </w:tcPr>
          <w:p w14:paraId="68625A07" w14:textId="34E25C3A" w:rsidR="00FB508F" w:rsidRPr="004C1A15" w:rsidRDefault="00FB508F" w:rsidP="00FB508F">
            <w:pPr>
              <w:jc w:val="center"/>
              <w:rPr>
                <w:rFonts w:cs="Times New Roman"/>
                <w:color w:val="FF0000"/>
                <w:sz w:val="18"/>
                <w:szCs w:val="18"/>
              </w:rPr>
            </w:pPr>
            <w:r w:rsidRPr="00114DEE">
              <w:rPr>
                <w:rFonts w:cs="Times New Roman"/>
                <w:color w:val="000000"/>
                <w:sz w:val="18"/>
                <w:szCs w:val="18"/>
              </w:rPr>
              <w:t>-0,3</w:t>
            </w:r>
          </w:p>
        </w:tc>
      </w:tr>
      <w:tr w:rsidR="00FB508F" w:rsidRPr="00B34723" w14:paraId="598FC784" w14:textId="77777777" w:rsidTr="00E43923">
        <w:trPr>
          <w:trHeight w:val="288"/>
        </w:trPr>
        <w:tc>
          <w:tcPr>
            <w:tcW w:w="6946" w:type="dxa"/>
            <w:tcBorders>
              <w:top w:val="nil"/>
              <w:left w:val="nil"/>
              <w:bottom w:val="nil"/>
              <w:right w:val="nil"/>
            </w:tcBorders>
            <w:shd w:val="clear" w:color="auto" w:fill="auto"/>
            <w:noWrap/>
            <w:vAlign w:val="center"/>
          </w:tcPr>
          <w:p w14:paraId="3AF32B5D" w14:textId="64F57FA6" w:rsidR="00FB508F" w:rsidRPr="00B34723" w:rsidRDefault="00FB508F" w:rsidP="00625EE5">
            <w:pPr>
              <w:rPr>
                <w:rFonts w:cs="Times New Roman"/>
                <w:color w:val="000000"/>
                <w:sz w:val="18"/>
                <w:szCs w:val="18"/>
              </w:rPr>
            </w:pPr>
            <w:r w:rsidRPr="00114DEE">
              <w:rPr>
                <w:rFonts w:cs="Times New Roman"/>
                <w:color w:val="000000"/>
                <w:sz w:val="18"/>
                <w:szCs w:val="18"/>
              </w:rPr>
              <w:t xml:space="preserve">     - pomoc spojená s vojnou na Ukrajine</w:t>
            </w:r>
          </w:p>
        </w:tc>
        <w:tc>
          <w:tcPr>
            <w:tcW w:w="955" w:type="dxa"/>
            <w:tcBorders>
              <w:top w:val="nil"/>
              <w:left w:val="nil"/>
              <w:bottom w:val="nil"/>
              <w:right w:val="nil"/>
            </w:tcBorders>
            <w:shd w:val="clear" w:color="auto" w:fill="auto"/>
            <w:noWrap/>
            <w:vAlign w:val="center"/>
          </w:tcPr>
          <w:p w14:paraId="1DD36302" w14:textId="2814ADAD" w:rsidR="00FB508F" w:rsidRPr="00B34723" w:rsidRDefault="00FB508F" w:rsidP="00D22E18">
            <w:pPr>
              <w:jc w:val="right"/>
              <w:rPr>
                <w:rFonts w:cs="Times New Roman"/>
                <w:color w:val="000000"/>
                <w:sz w:val="18"/>
                <w:szCs w:val="18"/>
              </w:rPr>
            </w:pPr>
            <w:r w:rsidRPr="00114DEE">
              <w:rPr>
                <w:rFonts w:cs="Times New Roman"/>
                <w:color w:val="000000"/>
                <w:sz w:val="18"/>
                <w:szCs w:val="18"/>
              </w:rPr>
              <w:t>-253</w:t>
            </w:r>
          </w:p>
        </w:tc>
        <w:tc>
          <w:tcPr>
            <w:tcW w:w="1171" w:type="dxa"/>
            <w:tcBorders>
              <w:top w:val="nil"/>
              <w:left w:val="nil"/>
              <w:bottom w:val="nil"/>
              <w:right w:val="nil"/>
            </w:tcBorders>
            <w:shd w:val="clear" w:color="auto" w:fill="auto"/>
            <w:noWrap/>
            <w:vAlign w:val="center"/>
          </w:tcPr>
          <w:p w14:paraId="35CECCB3" w14:textId="457AB1CC" w:rsidR="00FB508F" w:rsidRPr="004C1A15" w:rsidRDefault="00FB508F" w:rsidP="00FB508F">
            <w:pPr>
              <w:jc w:val="center"/>
              <w:rPr>
                <w:rFonts w:cs="Times New Roman"/>
                <w:color w:val="FF0000"/>
                <w:sz w:val="18"/>
                <w:szCs w:val="18"/>
              </w:rPr>
            </w:pPr>
            <w:r w:rsidRPr="00114DEE">
              <w:rPr>
                <w:rFonts w:cs="Times New Roman"/>
                <w:color w:val="000000"/>
                <w:sz w:val="18"/>
                <w:szCs w:val="18"/>
              </w:rPr>
              <w:t>-0,2</w:t>
            </w:r>
          </w:p>
        </w:tc>
      </w:tr>
      <w:tr w:rsidR="00FB508F" w:rsidRPr="00B34723" w14:paraId="1AF5A81B" w14:textId="77777777" w:rsidTr="00E43923">
        <w:trPr>
          <w:trHeight w:val="288"/>
        </w:trPr>
        <w:tc>
          <w:tcPr>
            <w:tcW w:w="6946" w:type="dxa"/>
            <w:tcBorders>
              <w:top w:val="nil"/>
              <w:left w:val="nil"/>
              <w:bottom w:val="nil"/>
              <w:right w:val="nil"/>
            </w:tcBorders>
            <w:shd w:val="clear" w:color="auto" w:fill="auto"/>
            <w:noWrap/>
            <w:vAlign w:val="center"/>
            <w:hideMark/>
          </w:tcPr>
          <w:p w14:paraId="7BE600A5" w14:textId="22BB08CC" w:rsidR="00FB508F" w:rsidRPr="00B34723" w:rsidRDefault="00FB508F" w:rsidP="00625EE5">
            <w:pPr>
              <w:ind w:firstLineChars="100" w:firstLine="180"/>
              <w:rPr>
                <w:rFonts w:cs="Times New Roman"/>
                <w:color w:val="000000"/>
                <w:sz w:val="18"/>
                <w:szCs w:val="18"/>
                <w:lang w:eastAsia="en-US"/>
              </w:rPr>
            </w:pPr>
            <w:r w:rsidRPr="00114DEE">
              <w:rPr>
                <w:rFonts w:cs="Times New Roman"/>
                <w:color w:val="000000"/>
                <w:sz w:val="18"/>
                <w:szCs w:val="18"/>
              </w:rPr>
              <w:t xml:space="preserve"> - 14. dôchodky</w:t>
            </w:r>
          </w:p>
        </w:tc>
        <w:tc>
          <w:tcPr>
            <w:tcW w:w="955" w:type="dxa"/>
            <w:tcBorders>
              <w:top w:val="nil"/>
              <w:left w:val="nil"/>
              <w:bottom w:val="nil"/>
              <w:right w:val="nil"/>
            </w:tcBorders>
            <w:shd w:val="clear" w:color="auto" w:fill="auto"/>
            <w:noWrap/>
            <w:vAlign w:val="center"/>
            <w:hideMark/>
          </w:tcPr>
          <w:p w14:paraId="41B3B726" w14:textId="38D4B9EA" w:rsidR="00FB508F" w:rsidRPr="00B34723" w:rsidRDefault="00FB508F" w:rsidP="00D22E18">
            <w:pPr>
              <w:jc w:val="right"/>
              <w:rPr>
                <w:rFonts w:cs="Times New Roman"/>
                <w:color w:val="000000"/>
                <w:sz w:val="18"/>
                <w:szCs w:val="18"/>
                <w:lang w:eastAsia="en-US"/>
              </w:rPr>
            </w:pPr>
            <w:r w:rsidRPr="00114DEE">
              <w:rPr>
                <w:rFonts w:cs="Times New Roman"/>
                <w:color w:val="000000"/>
                <w:sz w:val="18"/>
                <w:szCs w:val="18"/>
              </w:rPr>
              <w:t>-208</w:t>
            </w:r>
          </w:p>
        </w:tc>
        <w:tc>
          <w:tcPr>
            <w:tcW w:w="1171" w:type="dxa"/>
            <w:tcBorders>
              <w:top w:val="nil"/>
              <w:left w:val="nil"/>
              <w:bottom w:val="nil"/>
              <w:right w:val="nil"/>
            </w:tcBorders>
            <w:shd w:val="clear" w:color="auto" w:fill="auto"/>
            <w:noWrap/>
            <w:vAlign w:val="center"/>
            <w:hideMark/>
          </w:tcPr>
          <w:p w14:paraId="7BFC592A" w14:textId="6615CC01" w:rsidR="00FB508F" w:rsidRPr="004C1A15" w:rsidRDefault="00FB508F" w:rsidP="00FB508F">
            <w:pPr>
              <w:jc w:val="center"/>
              <w:rPr>
                <w:rFonts w:cs="Times New Roman"/>
                <w:color w:val="FF0000"/>
                <w:sz w:val="18"/>
                <w:szCs w:val="18"/>
                <w:lang w:eastAsia="en-US"/>
              </w:rPr>
            </w:pPr>
            <w:r w:rsidRPr="00114DEE">
              <w:rPr>
                <w:rFonts w:cs="Times New Roman"/>
                <w:color w:val="000000"/>
                <w:sz w:val="18"/>
                <w:szCs w:val="18"/>
              </w:rPr>
              <w:t>-0,2</w:t>
            </w:r>
          </w:p>
        </w:tc>
      </w:tr>
      <w:tr w:rsidR="00FB508F" w:rsidRPr="00B34723" w14:paraId="1A2BAA13" w14:textId="77777777" w:rsidTr="00E43923">
        <w:trPr>
          <w:trHeight w:val="288"/>
        </w:trPr>
        <w:tc>
          <w:tcPr>
            <w:tcW w:w="6946" w:type="dxa"/>
            <w:tcBorders>
              <w:top w:val="nil"/>
              <w:left w:val="nil"/>
              <w:bottom w:val="nil"/>
              <w:right w:val="nil"/>
            </w:tcBorders>
            <w:shd w:val="clear" w:color="auto" w:fill="auto"/>
            <w:noWrap/>
            <w:vAlign w:val="center"/>
          </w:tcPr>
          <w:p w14:paraId="5D3ED36C" w14:textId="79103BEC" w:rsidR="00FB508F" w:rsidRPr="00B34723" w:rsidRDefault="00FB508F" w:rsidP="00625EE5">
            <w:pPr>
              <w:ind w:firstLineChars="100" w:firstLine="180"/>
              <w:rPr>
                <w:rFonts w:cs="Times New Roman"/>
                <w:color w:val="000000"/>
                <w:sz w:val="18"/>
                <w:szCs w:val="18"/>
                <w:lang w:eastAsia="en-US"/>
              </w:rPr>
            </w:pPr>
            <w:r w:rsidRPr="00114DEE">
              <w:rPr>
                <w:rFonts w:cs="Times New Roman"/>
                <w:color w:val="000000"/>
                <w:sz w:val="18"/>
                <w:szCs w:val="18"/>
              </w:rPr>
              <w:t xml:space="preserve"> - kompenzácie cien energií</w:t>
            </w:r>
          </w:p>
        </w:tc>
        <w:tc>
          <w:tcPr>
            <w:tcW w:w="955" w:type="dxa"/>
            <w:tcBorders>
              <w:top w:val="nil"/>
              <w:left w:val="nil"/>
              <w:bottom w:val="nil"/>
              <w:right w:val="nil"/>
            </w:tcBorders>
            <w:shd w:val="clear" w:color="auto" w:fill="auto"/>
            <w:noWrap/>
            <w:vAlign w:val="center"/>
          </w:tcPr>
          <w:p w14:paraId="4E41B83D" w14:textId="3992D147" w:rsidR="00FB508F" w:rsidRPr="00B34723" w:rsidRDefault="00FB508F" w:rsidP="00D22E18">
            <w:pPr>
              <w:jc w:val="right"/>
              <w:rPr>
                <w:rFonts w:cs="Times New Roman"/>
                <w:color w:val="000000"/>
                <w:sz w:val="18"/>
                <w:szCs w:val="18"/>
                <w:lang w:eastAsia="en-US"/>
              </w:rPr>
            </w:pPr>
            <w:r w:rsidRPr="00114DEE">
              <w:rPr>
                <w:rFonts w:cs="Times New Roman"/>
                <w:color w:val="000000"/>
                <w:sz w:val="18"/>
                <w:szCs w:val="18"/>
              </w:rPr>
              <w:t>-337</w:t>
            </w:r>
          </w:p>
        </w:tc>
        <w:tc>
          <w:tcPr>
            <w:tcW w:w="1171" w:type="dxa"/>
            <w:tcBorders>
              <w:top w:val="nil"/>
              <w:left w:val="nil"/>
              <w:bottom w:val="nil"/>
              <w:right w:val="nil"/>
            </w:tcBorders>
            <w:shd w:val="clear" w:color="auto" w:fill="auto"/>
            <w:noWrap/>
            <w:vAlign w:val="center"/>
          </w:tcPr>
          <w:p w14:paraId="778DE8DF" w14:textId="6F08CED2" w:rsidR="00FB508F" w:rsidRPr="004C1A15" w:rsidRDefault="00FB508F" w:rsidP="00FB508F">
            <w:pPr>
              <w:jc w:val="center"/>
              <w:rPr>
                <w:rFonts w:cs="Times New Roman"/>
                <w:color w:val="FF0000"/>
                <w:sz w:val="18"/>
                <w:szCs w:val="18"/>
                <w:lang w:eastAsia="en-US"/>
              </w:rPr>
            </w:pPr>
            <w:r w:rsidRPr="00114DEE">
              <w:rPr>
                <w:rFonts w:cs="Times New Roman"/>
                <w:color w:val="000000"/>
                <w:sz w:val="18"/>
                <w:szCs w:val="18"/>
              </w:rPr>
              <w:t>-0,3</w:t>
            </w:r>
          </w:p>
        </w:tc>
      </w:tr>
      <w:tr w:rsidR="00FB508F" w:rsidRPr="00B34723" w14:paraId="7BB437B4" w14:textId="77777777" w:rsidTr="00E43923">
        <w:trPr>
          <w:trHeight w:val="288"/>
        </w:trPr>
        <w:tc>
          <w:tcPr>
            <w:tcW w:w="6946" w:type="dxa"/>
            <w:tcBorders>
              <w:top w:val="nil"/>
              <w:left w:val="nil"/>
              <w:bottom w:val="nil"/>
              <w:right w:val="nil"/>
            </w:tcBorders>
            <w:shd w:val="clear" w:color="auto" w:fill="auto"/>
            <w:noWrap/>
            <w:vAlign w:val="center"/>
            <w:hideMark/>
          </w:tcPr>
          <w:p w14:paraId="18286682" w14:textId="04F5063B" w:rsidR="00FB508F" w:rsidRPr="00B34723" w:rsidRDefault="00FB508F" w:rsidP="00625EE5">
            <w:pPr>
              <w:ind w:firstLineChars="100" w:firstLine="180"/>
              <w:rPr>
                <w:rFonts w:cs="Times New Roman"/>
                <w:color w:val="000000"/>
                <w:sz w:val="18"/>
                <w:szCs w:val="18"/>
                <w:lang w:eastAsia="en-US"/>
              </w:rPr>
            </w:pPr>
            <w:r w:rsidRPr="00114DEE">
              <w:rPr>
                <w:rFonts w:cs="Times New Roman"/>
                <w:color w:val="000000"/>
                <w:sz w:val="18"/>
                <w:szCs w:val="18"/>
              </w:rPr>
              <w:t xml:space="preserve"> - jednorazová pomoc pre vybrané skupiny obyvateľstva a iné</w:t>
            </w:r>
          </w:p>
        </w:tc>
        <w:tc>
          <w:tcPr>
            <w:tcW w:w="955" w:type="dxa"/>
            <w:tcBorders>
              <w:top w:val="nil"/>
              <w:left w:val="nil"/>
              <w:bottom w:val="nil"/>
              <w:right w:val="nil"/>
            </w:tcBorders>
            <w:shd w:val="clear" w:color="auto" w:fill="auto"/>
            <w:noWrap/>
            <w:vAlign w:val="center"/>
            <w:hideMark/>
          </w:tcPr>
          <w:p w14:paraId="60F14744" w14:textId="695713EA" w:rsidR="00FB508F" w:rsidRPr="00B34723" w:rsidRDefault="00FB508F" w:rsidP="00D22E18">
            <w:pPr>
              <w:jc w:val="right"/>
              <w:rPr>
                <w:rFonts w:cs="Times New Roman"/>
                <w:color w:val="000000"/>
                <w:sz w:val="18"/>
                <w:szCs w:val="18"/>
                <w:lang w:eastAsia="en-US"/>
              </w:rPr>
            </w:pPr>
            <w:r w:rsidRPr="00114DEE">
              <w:rPr>
                <w:rFonts w:cs="Times New Roman"/>
                <w:color w:val="000000"/>
                <w:sz w:val="18"/>
                <w:szCs w:val="18"/>
              </w:rPr>
              <w:t>-147</w:t>
            </w:r>
          </w:p>
        </w:tc>
        <w:tc>
          <w:tcPr>
            <w:tcW w:w="1171" w:type="dxa"/>
            <w:tcBorders>
              <w:top w:val="nil"/>
              <w:left w:val="nil"/>
              <w:bottom w:val="nil"/>
              <w:right w:val="nil"/>
            </w:tcBorders>
            <w:shd w:val="clear" w:color="auto" w:fill="auto"/>
            <w:noWrap/>
            <w:vAlign w:val="center"/>
            <w:hideMark/>
          </w:tcPr>
          <w:p w14:paraId="18226CCA" w14:textId="23B26184" w:rsidR="00FB508F" w:rsidRPr="004C1A15" w:rsidRDefault="00FB508F" w:rsidP="00FB508F">
            <w:pPr>
              <w:jc w:val="center"/>
              <w:rPr>
                <w:rFonts w:cs="Times New Roman"/>
                <w:color w:val="FF0000"/>
                <w:sz w:val="18"/>
                <w:szCs w:val="18"/>
                <w:lang w:eastAsia="en-US"/>
              </w:rPr>
            </w:pPr>
            <w:r w:rsidRPr="00114DEE">
              <w:rPr>
                <w:rFonts w:cs="Times New Roman"/>
                <w:color w:val="000000"/>
                <w:sz w:val="18"/>
                <w:szCs w:val="18"/>
              </w:rPr>
              <w:t>-0,1</w:t>
            </w:r>
          </w:p>
        </w:tc>
      </w:tr>
      <w:tr w:rsidR="00FB508F" w:rsidRPr="00B34723" w14:paraId="42B8631F" w14:textId="77777777" w:rsidTr="00E43923">
        <w:trPr>
          <w:trHeight w:val="288"/>
        </w:trPr>
        <w:tc>
          <w:tcPr>
            <w:tcW w:w="6946" w:type="dxa"/>
            <w:tcBorders>
              <w:top w:val="nil"/>
              <w:left w:val="nil"/>
              <w:bottom w:val="nil"/>
              <w:right w:val="nil"/>
            </w:tcBorders>
            <w:shd w:val="clear" w:color="auto" w:fill="auto"/>
            <w:noWrap/>
            <w:vAlign w:val="center"/>
            <w:hideMark/>
          </w:tcPr>
          <w:p w14:paraId="4BC9E8AE" w14:textId="34BD5C0E" w:rsidR="00FB508F" w:rsidRPr="00B34723" w:rsidRDefault="00FB508F" w:rsidP="00625EE5">
            <w:pPr>
              <w:rPr>
                <w:rFonts w:cs="Times New Roman"/>
                <w:color w:val="000000"/>
                <w:sz w:val="18"/>
                <w:szCs w:val="18"/>
                <w:lang w:eastAsia="en-US"/>
              </w:rPr>
            </w:pPr>
            <w:r w:rsidRPr="00114DEE">
              <w:rPr>
                <w:rFonts w:cs="Times New Roman"/>
                <w:color w:val="000000"/>
                <w:sz w:val="18"/>
                <w:szCs w:val="18"/>
              </w:rPr>
              <w:t>Zmena úrokových nákladov dlhu</w:t>
            </w:r>
          </w:p>
        </w:tc>
        <w:tc>
          <w:tcPr>
            <w:tcW w:w="955" w:type="dxa"/>
            <w:tcBorders>
              <w:top w:val="nil"/>
              <w:left w:val="nil"/>
              <w:bottom w:val="nil"/>
              <w:right w:val="nil"/>
            </w:tcBorders>
            <w:shd w:val="clear" w:color="auto" w:fill="auto"/>
            <w:noWrap/>
            <w:vAlign w:val="center"/>
            <w:hideMark/>
          </w:tcPr>
          <w:p w14:paraId="1BF03175" w14:textId="02263022" w:rsidR="00FB508F" w:rsidRPr="00B34723" w:rsidRDefault="00FB508F" w:rsidP="00D22E18">
            <w:pPr>
              <w:jc w:val="right"/>
              <w:rPr>
                <w:rFonts w:cs="Times New Roman"/>
                <w:color w:val="000000"/>
                <w:sz w:val="18"/>
                <w:szCs w:val="18"/>
                <w:lang w:eastAsia="en-US"/>
              </w:rPr>
            </w:pPr>
            <w:r w:rsidRPr="00114DEE">
              <w:rPr>
                <w:rFonts w:cs="Times New Roman"/>
                <w:color w:val="000000"/>
                <w:sz w:val="18"/>
                <w:szCs w:val="18"/>
              </w:rPr>
              <w:t>-35</w:t>
            </w:r>
          </w:p>
        </w:tc>
        <w:tc>
          <w:tcPr>
            <w:tcW w:w="1171" w:type="dxa"/>
            <w:tcBorders>
              <w:top w:val="nil"/>
              <w:left w:val="nil"/>
              <w:bottom w:val="nil"/>
              <w:right w:val="nil"/>
            </w:tcBorders>
            <w:shd w:val="clear" w:color="auto" w:fill="auto"/>
            <w:noWrap/>
            <w:vAlign w:val="center"/>
            <w:hideMark/>
          </w:tcPr>
          <w:p w14:paraId="4517F254" w14:textId="62A69A2C" w:rsidR="00FB508F" w:rsidRPr="004C1A15" w:rsidRDefault="00FB508F" w:rsidP="00FB508F">
            <w:pPr>
              <w:jc w:val="center"/>
              <w:rPr>
                <w:rFonts w:cs="Times New Roman"/>
                <w:color w:val="FF0000"/>
                <w:sz w:val="18"/>
                <w:szCs w:val="18"/>
                <w:lang w:eastAsia="en-US"/>
              </w:rPr>
            </w:pPr>
            <w:r w:rsidRPr="00114DEE">
              <w:rPr>
                <w:rFonts w:cs="Times New Roman"/>
                <w:color w:val="000000"/>
                <w:sz w:val="18"/>
                <w:szCs w:val="18"/>
              </w:rPr>
              <w:t>0,0</w:t>
            </w:r>
          </w:p>
        </w:tc>
      </w:tr>
      <w:tr w:rsidR="00FB508F" w:rsidRPr="00B34723" w14:paraId="1FF9034E" w14:textId="77777777" w:rsidTr="00E43923">
        <w:trPr>
          <w:trHeight w:val="288"/>
        </w:trPr>
        <w:tc>
          <w:tcPr>
            <w:tcW w:w="6946" w:type="dxa"/>
            <w:tcBorders>
              <w:top w:val="nil"/>
              <w:left w:val="nil"/>
              <w:bottom w:val="single" w:sz="4" w:space="0" w:color="13B5EA"/>
              <w:right w:val="nil"/>
            </w:tcBorders>
            <w:shd w:val="clear" w:color="auto" w:fill="auto"/>
            <w:noWrap/>
            <w:vAlign w:val="center"/>
            <w:hideMark/>
          </w:tcPr>
          <w:p w14:paraId="36BF779A" w14:textId="1AFB5E51" w:rsidR="00FB508F" w:rsidRPr="00B34723" w:rsidRDefault="00EB6A48" w:rsidP="00625EE5">
            <w:pPr>
              <w:rPr>
                <w:rFonts w:cs="Times New Roman"/>
                <w:b/>
                <w:bCs/>
                <w:color w:val="000000"/>
                <w:sz w:val="18"/>
                <w:szCs w:val="18"/>
                <w:lang w:eastAsia="en-US"/>
              </w:rPr>
            </w:pPr>
            <w:r w:rsidRPr="001C2F1A">
              <w:rPr>
                <w:rFonts w:cs="Times New Roman"/>
                <w:b/>
                <w:bCs/>
                <w:color w:val="000000"/>
                <w:sz w:val="18"/>
                <w:szCs w:val="18"/>
              </w:rPr>
              <w:t> </w:t>
            </w:r>
            <w:r w:rsidR="00FB508F" w:rsidRPr="00114DEE">
              <w:rPr>
                <w:rFonts w:cs="Times New Roman"/>
                <w:b/>
                <w:color w:val="000000"/>
                <w:sz w:val="18"/>
                <w:szCs w:val="18"/>
              </w:rPr>
              <w:t>3. Saldo VS v roku 2022 v základnom scenári 2022</w:t>
            </w:r>
          </w:p>
        </w:tc>
        <w:tc>
          <w:tcPr>
            <w:tcW w:w="955" w:type="dxa"/>
            <w:tcBorders>
              <w:top w:val="nil"/>
              <w:left w:val="nil"/>
              <w:bottom w:val="single" w:sz="4" w:space="0" w:color="13B5EA"/>
              <w:right w:val="nil"/>
            </w:tcBorders>
            <w:shd w:val="clear" w:color="auto" w:fill="auto"/>
            <w:noWrap/>
            <w:vAlign w:val="center"/>
            <w:hideMark/>
          </w:tcPr>
          <w:p w14:paraId="6A5C1287" w14:textId="50FB96E1" w:rsidR="00FB508F" w:rsidRPr="00B34723" w:rsidRDefault="00FB508F" w:rsidP="00114DEE">
            <w:pPr>
              <w:widowControl/>
              <w:suppressAutoHyphens w:val="0"/>
              <w:jc w:val="right"/>
              <w:rPr>
                <w:rFonts w:cs="Times New Roman"/>
                <w:b/>
                <w:bCs/>
                <w:color w:val="000000"/>
                <w:sz w:val="18"/>
                <w:szCs w:val="18"/>
                <w:lang w:eastAsia="en-US"/>
              </w:rPr>
            </w:pPr>
            <w:r w:rsidRPr="00114DEE">
              <w:rPr>
                <w:rFonts w:cs="Times New Roman"/>
                <w:b/>
                <w:color w:val="000000"/>
                <w:sz w:val="18"/>
                <w:szCs w:val="18"/>
              </w:rPr>
              <w:t>-4 488</w:t>
            </w:r>
          </w:p>
        </w:tc>
        <w:tc>
          <w:tcPr>
            <w:tcW w:w="1171" w:type="dxa"/>
            <w:tcBorders>
              <w:top w:val="nil"/>
              <w:left w:val="nil"/>
              <w:bottom w:val="single" w:sz="4" w:space="0" w:color="13B5EA"/>
              <w:right w:val="nil"/>
            </w:tcBorders>
            <w:shd w:val="clear" w:color="auto" w:fill="auto"/>
            <w:noWrap/>
            <w:vAlign w:val="center"/>
            <w:hideMark/>
          </w:tcPr>
          <w:p w14:paraId="4D931E2A" w14:textId="5DE0C10B" w:rsidR="00FB508F" w:rsidRPr="004C1A15" w:rsidRDefault="00FB508F" w:rsidP="00FB508F">
            <w:pPr>
              <w:jc w:val="center"/>
              <w:rPr>
                <w:rFonts w:cs="Times New Roman"/>
                <w:b/>
                <w:color w:val="FF0000"/>
                <w:sz w:val="18"/>
                <w:szCs w:val="18"/>
                <w:lang w:eastAsia="en-US"/>
              </w:rPr>
            </w:pPr>
            <w:r w:rsidRPr="00114DEE">
              <w:rPr>
                <w:rFonts w:cs="Times New Roman"/>
                <w:b/>
                <w:color w:val="000000"/>
                <w:sz w:val="18"/>
                <w:szCs w:val="18"/>
              </w:rPr>
              <w:t>-4,1</w:t>
            </w:r>
          </w:p>
        </w:tc>
      </w:tr>
      <w:tr w:rsidR="00FB508F" w:rsidRPr="00B34723" w14:paraId="0465EEBD" w14:textId="77777777" w:rsidTr="00E43923">
        <w:trPr>
          <w:trHeight w:val="288"/>
        </w:trPr>
        <w:tc>
          <w:tcPr>
            <w:tcW w:w="6946" w:type="dxa"/>
            <w:tcBorders>
              <w:top w:val="nil"/>
              <w:left w:val="nil"/>
              <w:bottom w:val="nil"/>
              <w:right w:val="nil"/>
            </w:tcBorders>
            <w:shd w:val="clear" w:color="auto" w:fill="auto"/>
            <w:noWrap/>
            <w:vAlign w:val="center"/>
            <w:hideMark/>
          </w:tcPr>
          <w:p w14:paraId="2F009D35" w14:textId="2D2C408F" w:rsidR="00FB508F" w:rsidRPr="00B34723" w:rsidRDefault="002D54A9" w:rsidP="009F6E88">
            <w:pPr>
              <w:rPr>
                <w:rFonts w:cs="Times New Roman"/>
                <w:i/>
                <w:iCs/>
                <w:color w:val="13B5EA"/>
                <w:sz w:val="16"/>
                <w:szCs w:val="16"/>
                <w:lang w:eastAsia="en-US"/>
              </w:rPr>
            </w:pPr>
            <w:r>
              <w:rPr>
                <w:rFonts w:cs="Times New Roman"/>
                <w:i/>
                <w:iCs/>
                <w:color w:val="13B5EA"/>
                <w:sz w:val="16"/>
                <w:szCs w:val="16"/>
                <w:lang w:eastAsia="en-US"/>
              </w:rPr>
              <w:t xml:space="preserve">Pozn.: </w:t>
            </w:r>
            <w:r w:rsidR="00FB508F" w:rsidRPr="00B34723">
              <w:rPr>
                <w:rFonts w:cs="Times New Roman"/>
                <w:i/>
                <w:iCs/>
                <w:color w:val="13B5EA"/>
                <w:sz w:val="16"/>
                <w:szCs w:val="16"/>
                <w:lang w:eastAsia="en-US"/>
              </w:rPr>
              <w:t>ŠR - štátny rozpočet</w:t>
            </w:r>
          </w:p>
        </w:tc>
        <w:tc>
          <w:tcPr>
            <w:tcW w:w="2126" w:type="dxa"/>
            <w:gridSpan w:val="2"/>
            <w:tcBorders>
              <w:top w:val="nil"/>
              <w:left w:val="nil"/>
              <w:bottom w:val="nil"/>
              <w:right w:val="nil"/>
            </w:tcBorders>
            <w:shd w:val="clear" w:color="auto" w:fill="auto"/>
            <w:noWrap/>
            <w:vAlign w:val="center"/>
            <w:hideMark/>
          </w:tcPr>
          <w:p w14:paraId="01506601" w14:textId="77777777" w:rsidR="00FB508F" w:rsidRPr="00B34723" w:rsidRDefault="00FB508F" w:rsidP="00FB508F">
            <w:pPr>
              <w:keepNext/>
              <w:jc w:val="right"/>
              <w:rPr>
                <w:rFonts w:cs="Times New Roman"/>
                <w:i/>
                <w:iCs/>
                <w:color w:val="13B5EA"/>
                <w:sz w:val="16"/>
                <w:szCs w:val="16"/>
                <w:lang w:eastAsia="en-US"/>
              </w:rPr>
            </w:pPr>
            <w:r w:rsidRPr="00B34723">
              <w:rPr>
                <w:rFonts w:cs="Times New Roman"/>
                <w:i/>
                <w:iCs/>
                <w:color w:val="13B5EA"/>
                <w:sz w:val="16"/>
                <w:szCs w:val="16"/>
                <w:lang w:eastAsia="en-US"/>
              </w:rPr>
              <w:t xml:space="preserve">Zdroj: MF SR, RRZ </w:t>
            </w:r>
          </w:p>
        </w:tc>
      </w:tr>
      <w:tr w:rsidR="009A4823" w:rsidRPr="00B34723" w14:paraId="53B8691F" w14:textId="77777777" w:rsidTr="00E43923">
        <w:trPr>
          <w:trHeight w:val="288"/>
        </w:trPr>
        <w:tc>
          <w:tcPr>
            <w:tcW w:w="9072" w:type="dxa"/>
            <w:gridSpan w:val="3"/>
            <w:tcBorders>
              <w:top w:val="nil"/>
              <w:left w:val="nil"/>
              <w:bottom w:val="nil"/>
              <w:right w:val="nil"/>
            </w:tcBorders>
            <w:shd w:val="clear" w:color="auto" w:fill="auto"/>
            <w:noWrap/>
            <w:vAlign w:val="center"/>
          </w:tcPr>
          <w:p w14:paraId="558468E1" w14:textId="122354F5" w:rsidR="009A4823" w:rsidRPr="00B34723" w:rsidRDefault="00625EE5" w:rsidP="009F6E88">
            <w:pPr>
              <w:keepNext/>
              <w:rPr>
                <w:rFonts w:cs="Times New Roman"/>
                <w:i/>
                <w:iCs/>
                <w:color w:val="13B5EA"/>
                <w:sz w:val="16"/>
                <w:szCs w:val="16"/>
                <w:lang w:eastAsia="en-US"/>
              </w:rPr>
            </w:pPr>
            <w:r w:rsidRPr="00B34723">
              <w:rPr>
                <w:rFonts w:cs="Times New Roman"/>
                <w:i/>
                <w:iCs/>
                <w:color w:val="13B5EA"/>
                <w:sz w:val="16"/>
                <w:szCs w:val="16"/>
                <w:lang w:eastAsia="en-US"/>
              </w:rPr>
              <w:t>* V roku 2023 základný scenár predpokladá dodatočný nárast výdavkov o 205 mil. eur v súlade s predpokladmi návrhu rozpočtu.</w:t>
            </w:r>
          </w:p>
        </w:tc>
      </w:tr>
      <w:tr w:rsidR="009A4823" w:rsidRPr="00B34723" w14:paraId="405079BB" w14:textId="77777777" w:rsidTr="00E43923">
        <w:trPr>
          <w:trHeight w:val="288"/>
        </w:trPr>
        <w:tc>
          <w:tcPr>
            <w:tcW w:w="9072" w:type="dxa"/>
            <w:gridSpan w:val="3"/>
            <w:tcBorders>
              <w:top w:val="nil"/>
              <w:left w:val="nil"/>
              <w:bottom w:val="nil"/>
              <w:right w:val="nil"/>
            </w:tcBorders>
            <w:shd w:val="clear" w:color="auto" w:fill="auto"/>
            <w:noWrap/>
            <w:vAlign w:val="center"/>
          </w:tcPr>
          <w:p w14:paraId="64A59BA2" w14:textId="75DF11CD" w:rsidR="009A4823" w:rsidRPr="00B34723" w:rsidRDefault="00625EE5" w:rsidP="009F6E88">
            <w:pPr>
              <w:keepNext/>
              <w:rPr>
                <w:rFonts w:cs="Times New Roman"/>
                <w:i/>
                <w:iCs/>
                <w:color w:val="13B5EA"/>
                <w:sz w:val="16"/>
                <w:szCs w:val="16"/>
                <w:lang w:eastAsia="en-US"/>
              </w:rPr>
            </w:pPr>
            <w:r w:rsidRPr="00B34723">
              <w:rPr>
                <w:rFonts w:cs="Times New Roman"/>
                <w:i/>
                <w:iCs/>
                <w:color w:val="13B5EA"/>
                <w:sz w:val="16"/>
                <w:szCs w:val="16"/>
                <w:lang w:eastAsia="en-US"/>
              </w:rPr>
              <w:t>** Ide o faktory, ktorých vplyvy sa prejavujú iba v roku 2022. V prípade samospráv ide o efekt konania volieb v roku 2022 (zvýšená investičná aktivita), po roku 2022 sa predpokladá pokles investícií o 198 mil. eur.</w:t>
            </w:r>
          </w:p>
        </w:tc>
      </w:tr>
    </w:tbl>
    <w:p w14:paraId="5FB3463A" w14:textId="77777777" w:rsidR="00761464" w:rsidRDefault="00761464" w:rsidP="000833C6">
      <w:pPr>
        <w:rPr>
          <w:sz w:val="22"/>
          <w:szCs w:val="22"/>
        </w:rPr>
      </w:pPr>
    </w:p>
    <w:p w14:paraId="4F9CB244" w14:textId="77777777" w:rsidR="00761464" w:rsidRPr="00114DEE" w:rsidRDefault="00761464" w:rsidP="00114DEE">
      <w:pPr>
        <w:rPr>
          <w:b/>
          <w:sz w:val="22"/>
          <w:szCs w:val="22"/>
        </w:rPr>
      </w:pPr>
      <w:bookmarkStart w:id="6" w:name="_Toc102145926"/>
      <w:r w:rsidRPr="00114DEE">
        <w:rPr>
          <w:b/>
          <w:sz w:val="22"/>
          <w:szCs w:val="22"/>
        </w:rPr>
        <w:t>Základný scenár z roku 2022 a ukazovateľ dlhodobej udržateľnosti</w:t>
      </w:r>
      <w:bookmarkEnd w:id="6"/>
    </w:p>
    <w:p w14:paraId="2F57432F" w14:textId="77777777" w:rsidR="00761464" w:rsidRPr="00DF3DB4" w:rsidRDefault="00761464" w:rsidP="000833C6">
      <w:pPr>
        <w:rPr>
          <w:sz w:val="22"/>
          <w:szCs w:val="22"/>
        </w:rPr>
      </w:pPr>
    </w:p>
    <w:p w14:paraId="42BF37CB" w14:textId="095CD0FF" w:rsidR="009A4823" w:rsidRDefault="009A4823" w:rsidP="00114DEE">
      <w:pPr>
        <w:jc w:val="both"/>
        <w:rPr>
          <w:sz w:val="22"/>
          <w:szCs w:val="22"/>
        </w:rPr>
      </w:pPr>
      <w:r>
        <w:rPr>
          <w:sz w:val="22"/>
          <w:szCs w:val="22"/>
        </w:rPr>
        <w:t>Základný scenár vychádzajúci z odhadovaného salda v roku 2022 predpokladá štrukturáln</w:t>
      </w:r>
      <w:r w:rsidR="006758EC">
        <w:rPr>
          <w:sz w:val="22"/>
          <w:szCs w:val="22"/>
        </w:rPr>
        <w:t>y</w:t>
      </w:r>
      <w:r>
        <w:rPr>
          <w:sz w:val="22"/>
          <w:szCs w:val="22"/>
        </w:rPr>
        <w:t xml:space="preserve"> </w:t>
      </w:r>
      <w:r w:rsidRPr="00FB4223">
        <w:rPr>
          <w:sz w:val="22"/>
          <w:szCs w:val="22"/>
        </w:rPr>
        <w:t xml:space="preserve">deficit </w:t>
      </w:r>
      <w:r w:rsidR="006758EC">
        <w:rPr>
          <w:sz w:val="22"/>
          <w:szCs w:val="22"/>
        </w:rPr>
        <w:t>vo výške 2,6</w:t>
      </w:r>
      <w:r w:rsidRPr="00FB4223">
        <w:rPr>
          <w:sz w:val="22"/>
          <w:szCs w:val="22"/>
        </w:rPr>
        <w:t xml:space="preserve"> % HDP v roku 2022</w:t>
      </w:r>
      <w:r w:rsidRPr="002D349A">
        <w:rPr>
          <w:sz w:val="22"/>
          <w:szCs w:val="22"/>
        </w:rPr>
        <w:t xml:space="preserve"> (</w:t>
      </w:r>
      <w:r w:rsidR="00820152">
        <w:rPr>
          <w:color w:val="00B0F0"/>
          <w:sz w:val="22"/>
          <w:szCs w:val="22"/>
        </w:rPr>
        <w:t>Tab 2</w:t>
      </w:r>
      <w:r w:rsidRPr="002D349A">
        <w:rPr>
          <w:sz w:val="22"/>
          <w:szCs w:val="22"/>
        </w:rPr>
        <w:t>).</w:t>
      </w:r>
      <w:r>
        <w:rPr>
          <w:sz w:val="22"/>
          <w:szCs w:val="22"/>
        </w:rPr>
        <w:t xml:space="preserve"> </w:t>
      </w:r>
      <w:r w:rsidR="006758EC">
        <w:rPr>
          <w:b/>
          <w:bCs/>
          <w:sz w:val="22"/>
          <w:szCs w:val="22"/>
        </w:rPr>
        <w:t xml:space="preserve">V ďalších rokoch Rada v základnom scenári </w:t>
      </w:r>
      <w:r w:rsidR="006758EC" w:rsidRPr="0033120A">
        <w:rPr>
          <w:sz w:val="22"/>
          <w:szCs w:val="22"/>
        </w:rPr>
        <w:t>(t</w:t>
      </w:r>
      <w:r w:rsidR="006758EC">
        <w:rPr>
          <w:sz w:val="22"/>
          <w:szCs w:val="22"/>
        </w:rPr>
        <w:t>.</w:t>
      </w:r>
      <w:r w:rsidR="006758EC" w:rsidRPr="0033120A">
        <w:rPr>
          <w:sz w:val="22"/>
          <w:szCs w:val="22"/>
        </w:rPr>
        <w:t>j</w:t>
      </w:r>
      <w:r w:rsidR="006758EC">
        <w:rPr>
          <w:sz w:val="22"/>
          <w:szCs w:val="22"/>
        </w:rPr>
        <w:t>.</w:t>
      </w:r>
      <w:r w:rsidR="006758EC" w:rsidRPr="0033120A">
        <w:rPr>
          <w:sz w:val="22"/>
          <w:szCs w:val="22"/>
        </w:rPr>
        <w:t xml:space="preserve"> bez dodatočných opatrení, tzv. NPC scenár)</w:t>
      </w:r>
      <w:r w:rsidR="006758EC">
        <w:rPr>
          <w:b/>
          <w:bCs/>
          <w:sz w:val="22"/>
          <w:szCs w:val="22"/>
        </w:rPr>
        <w:t xml:space="preserve"> predpokladá automatické zhoršovanie štrukturálneho deficitu </w:t>
      </w:r>
      <w:r w:rsidR="006758EC" w:rsidRPr="00994CC0">
        <w:rPr>
          <w:b/>
          <w:bCs/>
          <w:sz w:val="22"/>
          <w:szCs w:val="22"/>
        </w:rPr>
        <w:t xml:space="preserve">na </w:t>
      </w:r>
      <w:r w:rsidR="006758EC" w:rsidRPr="009D48E4">
        <w:rPr>
          <w:b/>
          <w:bCs/>
          <w:sz w:val="22"/>
          <w:szCs w:val="22"/>
        </w:rPr>
        <w:t>3,4</w:t>
      </w:r>
      <w:r w:rsidR="006758EC" w:rsidRPr="00994CC0">
        <w:rPr>
          <w:b/>
          <w:bCs/>
          <w:sz w:val="22"/>
          <w:szCs w:val="22"/>
        </w:rPr>
        <w:t xml:space="preserve"> % HDP v 2023 a </w:t>
      </w:r>
      <w:r w:rsidR="006758EC" w:rsidRPr="009D48E4">
        <w:rPr>
          <w:b/>
          <w:bCs/>
          <w:sz w:val="22"/>
          <w:szCs w:val="22"/>
        </w:rPr>
        <w:t>4,0</w:t>
      </w:r>
      <w:r w:rsidR="006758EC" w:rsidRPr="00994CC0">
        <w:rPr>
          <w:b/>
          <w:bCs/>
          <w:sz w:val="22"/>
          <w:szCs w:val="22"/>
        </w:rPr>
        <w:t> % HDP v roku 2024 a mierne zlep</w:t>
      </w:r>
      <w:r w:rsidR="002D07E6">
        <w:rPr>
          <w:b/>
          <w:bCs/>
          <w:sz w:val="22"/>
          <w:szCs w:val="22"/>
        </w:rPr>
        <w:t>š</w:t>
      </w:r>
      <w:r w:rsidR="006758EC" w:rsidRPr="00994CC0">
        <w:rPr>
          <w:b/>
          <w:bCs/>
          <w:sz w:val="22"/>
          <w:szCs w:val="22"/>
        </w:rPr>
        <w:t xml:space="preserve">enie na </w:t>
      </w:r>
      <w:r w:rsidR="006758EC" w:rsidRPr="009D48E4">
        <w:rPr>
          <w:b/>
          <w:bCs/>
          <w:sz w:val="22"/>
          <w:szCs w:val="22"/>
        </w:rPr>
        <w:t>3,9</w:t>
      </w:r>
      <w:r w:rsidR="002D54A9">
        <w:rPr>
          <w:b/>
          <w:bCs/>
          <w:sz w:val="22"/>
          <w:szCs w:val="22"/>
        </w:rPr>
        <w:t> </w:t>
      </w:r>
      <w:r w:rsidR="006758EC" w:rsidRPr="00994CC0">
        <w:rPr>
          <w:b/>
          <w:bCs/>
          <w:sz w:val="22"/>
          <w:szCs w:val="22"/>
        </w:rPr>
        <w:t>% HDP v roku 2025.</w:t>
      </w:r>
      <w:r w:rsidR="006758EC">
        <w:rPr>
          <w:b/>
          <w:bCs/>
          <w:sz w:val="22"/>
          <w:szCs w:val="22"/>
        </w:rPr>
        <w:t xml:space="preserve"> </w:t>
      </w:r>
      <w:r>
        <w:rPr>
          <w:sz w:val="22"/>
          <w:szCs w:val="22"/>
        </w:rPr>
        <w:t>Tento scenár</w:t>
      </w:r>
      <w:r>
        <w:rPr>
          <w:rStyle w:val="FootnoteReference"/>
          <w:sz w:val="22"/>
          <w:szCs w:val="22"/>
        </w:rPr>
        <w:footnoteReference w:id="10"/>
      </w:r>
      <w:r>
        <w:rPr>
          <w:sz w:val="22"/>
          <w:szCs w:val="22"/>
        </w:rPr>
        <w:t xml:space="preserve"> sa v zmysle platnej legislatívy použije pri výpočte limitu verejných výdavkov na roky 2023 až 2025. </w:t>
      </w:r>
    </w:p>
    <w:p w14:paraId="334FA2F7" w14:textId="77777777" w:rsidR="000833C6" w:rsidRDefault="000833C6" w:rsidP="000833C6">
      <w:pPr>
        <w:jc w:val="both"/>
        <w:rPr>
          <w:sz w:val="22"/>
          <w:szCs w:val="22"/>
        </w:rPr>
      </w:pPr>
    </w:p>
    <w:p w14:paraId="42BEDCA7" w14:textId="1D3B19F0" w:rsidR="000833C6" w:rsidRDefault="000833C6" w:rsidP="000833C6">
      <w:pPr>
        <w:jc w:val="both"/>
        <w:rPr>
          <w:sz w:val="22"/>
          <w:szCs w:val="22"/>
        </w:rPr>
      </w:pPr>
      <w:r>
        <w:rPr>
          <w:sz w:val="22"/>
          <w:szCs w:val="22"/>
        </w:rPr>
        <w:t xml:space="preserve">Pri takomto scenári dosahuje ukazovateľ dlhodobej udržateľnosti hodnotu </w:t>
      </w:r>
      <w:r w:rsidRPr="00114DEE">
        <w:rPr>
          <w:sz w:val="22"/>
          <w:szCs w:val="22"/>
        </w:rPr>
        <w:t>5,</w:t>
      </w:r>
      <w:r w:rsidR="00994CC0" w:rsidRPr="00114DEE">
        <w:rPr>
          <w:sz w:val="22"/>
          <w:szCs w:val="22"/>
        </w:rPr>
        <w:t>5</w:t>
      </w:r>
      <w:r w:rsidRPr="00994CC0">
        <w:rPr>
          <w:sz w:val="22"/>
          <w:szCs w:val="22"/>
        </w:rPr>
        <w:t> %</w:t>
      </w:r>
      <w:r>
        <w:rPr>
          <w:sz w:val="22"/>
          <w:szCs w:val="22"/>
        </w:rPr>
        <w:t xml:space="preserve"> HDP, čo predstavuje </w:t>
      </w:r>
      <w:r>
        <w:rPr>
          <w:b/>
          <w:bCs/>
          <w:sz w:val="22"/>
          <w:szCs w:val="22"/>
        </w:rPr>
        <w:t>vysoké riziká</w:t>
      </w:r>
      <w:r>
        <w:rPr>
          <w:rStyle w:val="FootnoteReference"/>
          <w:b/>
          <w:bCs/>
          <w:sz w:val="22"/>
          <w:szCs w:val="22"/>
        </w:rPr>
        <w:footnoteReference w:id="11"/>
      </w:r>
      <w:r>
        <w:rPr>
          <w:b/>
          <w:bCs/>
          <w:sz w:val="22"/>
          <w:szCs w:val="22"/>
        </w:rPr>
        <w:t xml:space="preserve"> spojené s dlhodobou udržateľnosťou verejných financií</w:t>
      </w:r>
      <w:r>
        <w:rPr>
          <w:sz w:val="22"/>
          <w:szCs w:val="22"/>
        </w:rPr>
        <w:t>.</w:t>
      </w:r>
    </w:p>
    <w:p w14:paraId="302D6734" w14:textId="77777777" w:rsidR="000833C6" w:rsidRPr="00114DEE" w:rsidRDefault="000833C6" w:rsidP="000833C6">
      <w:pPr>
        <w:rPr>
          <w:sz w:val="20"/>
          <w:szCs w:val="20"/>
        </w:rPr>
      </w:pPr>
    </w:p>
    <w:tbl>
      <w:tblPr>
        <w:tblW w:w="9072" w:type="dxa"/>
        <w:tblLayout w:type="fixed"/>
        <w:tblLook w:val="04A0" w:firstRow="1" w:lastRow="0" w:firstColumn="1" w:lastColumn="0" w:noHBand="0" w:noVBand="1"/>
      </w:tblPr>
      <w:tblGrid>
        <w:gridCol w:w="4319"/>
        <w:gridCol w:w="1188"/>
        <w:gridCol w:w="1188"/>
        <w:gridCol w:w="1188"/>
        <w:gridCol w:w="1189"/>
      </w:tblGrid>
      <w:tr w:rsidR="00994CC0" w:rsidRPr="00B34723" w14:paraId="6FA8E283" w14:textId="77777777" w:rsidTr="00114DEE">
        <w:trPr>
          <w:trHeight w:val="300"/>
        </w:trPr>
        <w:tc>
          <w:tcPr>
            <w:tcW w:w="8636" w:type="dxa"/>
            <w:gridSpan w:val="5"/>
            <w:tcBorders>
              <w:top w:val="nil"/>
              <w:left w:val="nil"/>
              <w:bottom w:val="nil"/>
              <w:right w:val="nil"/>
            </w:tcBorders>
            <w:shd w:val="clear" w:color="auto" w:fill="auto"/>
            <w:noWrap/>
            <w:vAlign w:val="center"/>
            <w:hideMark/>
          </w:tcPr>
          <w:p w14:paraId="1DD0D5DB" w14:textId="3A479228" w:rsidR="00994CC0" w:rsidRPr="00114DEE" w:rsidRDefault="002D54A9" w:rsidP="00994CC0">
            <w:pPr>
              <w:widowControl/>
              <w:suppressAutoHyphens w:val="0"/>
              <w:rPr>
                <w:rFonts w:eastAsia="Times New Roman" w:cs="Times New Roman"/>
                <w:b/>
                <w:color w:val="13B5EA"/>
                <w:kern w:val="0"/>
                <w:sz w:val="20"/>
                <w:szCs w:val="20"/>
                <w:lang w:eastAsia="en-US" w:bidi="ar-SA"/>
              </w:rPr>
            </w:pPr>
            <w:r w:rsidRPr="001539BF">
              <w:rPr>
                <w:rFonts w:cs="Times New Roman"/>
                <w:b/>
                <w:bCs/>
                <w:color w:val="13B5EA"/>
                <w:sz w:val="20"/>
                <w:szCs w:val="20"/>
              </w:rPr>
              <w:t xml:space="preserve">Tab </w:t>
            </w:r>
            <w:r w:rsidR="001539BF" w:rsidRPr="001539BF">
              <w:rPr>
                <w:rStyle w:val="tabChar"/>
                <w:rFonts w:ascii="Times New Roman" w:hAnsi="Times New Roman"/>
                <w:b w:val="0"/>
              </w:rPr>
              <w:t>2</w:t>
            </w:r>
            <w:r w:rsidR="00994CC0" w:rsidRPr="001539BF">
              <w:rPr>
                <w:rFonts w:eastAsia="Times New Roman" w:cs="Times New Roman"/>
                <w:b/>
                <w:bCs/>
                <w:color w:val="13B5EA"/>
                <w:kern w:val="0"/>
                <w:sz w:val="20"/>
                <w:szCs w:val="20"/>
                <w:lang w:eastAsia="en-US" w:bidi="ar-SA"/>
              </w:rPr>
              <w:t>:</w:t>
            </w:r>
            <w:r w:rsidR="00994CC0" w:rsidRPr="001539BF">
              <w:rPr>
                <w:rFonts w:eastAsia="Times New Roman" w:cs="Times New Roman"/>
                <w:b/>
                <w:color w:val="13B5EA"/>
                <w:kern w:val="0"/>
                <w:sz w:val="20"/>
                <w:szCs w:val="20"/>
                <w:lang w:eastAsia="en-US" w:bidi="ar-SA"/>
              </w:rPr>
              <w:t xml:space="preserve"> Základný</w:t>
            </w:r>
            <w:r w:rsidR="00994CC0" w:rsidRPr="00114DEE">
              <w:rPr>
                <w:rFonts w:eastAsia="Times New Roman" w:cs="Times New Roman"/>
                <w:b/>
                <w:color w:val="13B5EA"/>
                <w:kern w:val="0"/>
                <w:sz w:val="20"/>
                <w:szCs w:val="20"/>
                <w:lang w:eastAsia="en-US" w:bidi="ar-SA"/>
              </w:rPr>
              <w:t xml:space="preserve"> scenár z východiskového roka 2022 (mil. eur)</w:t>
            </w:r>
          </w:p>
        </w:tc>
      </w:tr>
      <w:tr w:rsidR="00994CC0" w:rsidRPr="00B34723" w14:paraId="4EB9AB32" w14:textId="77777777" w:rsidTr="00114DEE">
        <w:trPr>
          <w:trHeight w:val="300"/>
        </w:trPr>
        <w:tc>
          <w:tcPr>
            <w:tcW w:w="4111" w:type="dxa"/>
            <w:tcBorders>
              <w:top w:val="nil"/>
              <w:left w:val="nil"/>
              <w:bottom w:val="nil"/>
              <w:right w:val="nil"/>
            </w:tcBorders>
            <w:shd w:val="clear" w:color="000000" w:fill="13B5EA"/>
            <w:noWrap/>
            <w:vAlign w:val="center"/>
            <w:hideMark/>
          </w:tcPr>
          <w:p w14:paraId="3D069F05" w14:textId="77777777" w:rsidR="00994CC0" w:rsidRPr="00114DEE" w:rsidRDefault="00994CC0" w:rsidP="00994CC0">
            <w:pPr>
              <w:widowControl/>
              <w:suppressAutoHyphens w:val="0"/>
              <w:jc w:val="center"/>
              <w:rPr>
                <w:rFonts w:eastAsia="Times New Roman" w:cs="Times New Roman"/>
                <w:b/>
                <w:color w:val="FFFFFF"/>
                <w:kern w:val="0"/>
                <w:sz w:val="18"/>
                <w:szCs w:val="18"/>
                <w:lang w:eastAsia="en-US" w:bidi="ar-SA"/>
              </w:rPr>
            </w:pPr>
            <w:r w:rsidRPr="00114DEE">
              <w:rPr>
                <w:rFonts w:eastAsia="Times New Roman" w:cs="Times New Roman"/>
                <w:b/>
                <w:color w:val="FFFFFF"/>
                <w:kern w:val="0"/>
                <w:sz w:val="18"/>
                <w:szCs w:val="18"/>
                <w:lang w:eastAsia="en-US" w:bidi="ar-SA"/>
              </w:rPr>
              <w:t> </w:t>
            </w:r>
          </w:p>
        </w:tc>
        <w:tc>
          <w:tcPr>
            <w:tcW w:w="1131" w:type="dxa"/>
            <w:tcBorders>
              <w:top w:val="nil"/>
              <w:left w:val="nil"/>
              <w:bottom w:val="nil"/>
              <w:right w:val="nil"/>
            </w:tcBorders>
            <w:shd w:val="clear" w:color="000000" w:fill="13B5EA"/>
            <w:noWrap/>
            <w:vAlign w:val="center"/>
            <w:hideMark/>
          </w:tcPr>
          <w:p w14:paraId="420F5E27" w14:textId="77777777" w:rsidR="00994CC0" w:rsidRPr="00114DEE" w:rsidRDefault="00994CC0" w:rsidP="00114DEE">
            <w:pPr>
              <w:widowControl/>
              <w:suppressAutoHyphens w:val="0"/>
              <w:jc w:val="right"/>
              <w:rPr>
                <w:rFonts w:eastAsia="Times New Roman" w:cs="Times New Roman"/>
                <w:b/>
                <w:color w:val="FFFFFF"/>
                <w:kern w:val="0"/>
                <w:sz w:val="18"/>
                <w:szCs w:val="18"/>
                <w:lang w:eastAsia="en-US" w:bidi="ar-SA"/>
              </w:rPr>
            </w:pPr>
            <w:r w:rsidRPr="00114DEE">
              <w:rPr>
                <w:rFonts w:eastAsia="Times New Roman" w:cs="Times New Roman"/>
                <w:b/>
                <w:color w:val="FFFFFF"/>
                <w:kern w:val="0"/>
                <w:sz w:val="18"/>
                <w:szCs w:val="18"/>
                <w:lang w:eastAsia="en-US" w:bidi="ar-SA"/>
              </w:rPr>
              <w:t>2022</w:t>
            </w:r>
          </w:p>
        </w:tc>
        <w:tc>
          <w:tcPr>
            <w:tcW w:w="1131" w:type="dxa"/>
            <w:tcBorders>
              <w:top w:val="nil"/>
              <w:left w:val="nil"/>
              <w:bottom w:val="nil"/>
              <w:right w:val="nil"/>
            </w:tcBorders>
            <w:shd w:val="clear" w:color="000000" w:fill="13B5EA"/>
            <w:noWrap/>
            <w:vAlign w:val="center"/>
            <w:hideMark/>
          </w:tcPr>
          <w:p w14:paraId="629BE81D" w14:textId="77777777" w:rsidR="00994CC0" w:rsidRPr="00114DEE" w:rsidRDefault="00994CC0" w:rsidP="00114DEE">
            <w:pPr>
              <w:widowControl/>
              <w:suppressAutoHyphens w:val="0"/>
              <w:jc w:val="right"/>
              <w:rPr>
                <w:rFonts w:eastAsia="Times New Roman" w:cs="Times New Roman"/>
                <w:b/>
                <w:color w:val="FFFFFF"/>
                <w:kern w:val="0"/>
                <w:sz w:val="18"/>
                <w:szCs w:val="18"/>
                <w:lang w:eastAsia="en-US" w:bidi="ar-SA"/>
              </w:rPr>
            </w:pPr>
            <w:r w:rsidRPr="00114DEE">
              <w:rPr>
                <w:rFonts w:eastAsia="Times New Roman" w:cs="Times New Roman"/>
                <w:b/>
                <w:color w:val="FFFFFF"/>
                <w:kern w:val="0"/>
                <w:sz w:val="18"/>
                <w:szCs w:val="18"/>
                <w:lang w:eastAsia="en-US" w:bidi="ar-SA"/>
              </w:rPr>
              <w:t>2023</w:t>
            </w:r>
          </w:p>
        </w:tc>
        <w:tc>
          <w:tcPr>
            <w:tcW w:w="1131" w:type="dxa"/>
            <w:tcBorders>
              <w:top w:val="nil"/>
              <w:left w:val="nil"/>
              <w:bottom w:val="nil"/>
              <w:right w:val="nil"/>
            </w:tcBorders>
            <w:shd w:val="clear" w:color="000000" w:fill="13B5EA"/>
            <w:noWrap/>
            <w:vAlign w:val="center"/>
            <w:hideMark/>
          </w:tcPr>
          <w:p w14:paraId="12249A99" w14:textId="77777777" w:rsidR="00994CC0" w:rsidRPr="00114DEE" w:rsidRDefault="00994CC0" w:rsidP="00114DEE">
            <w:pPr>
              <w:widowControl/>
              <w:suppressAutoHyphens w:val="0"/>
              <w:jc w:val="right"/>
              <w:rPr>
                <w:rFonts w:eastAsia="Times New Roman" w:cs="Times New Roman"/>
                <w:b/>
                <w:color w:val="FFFFFF"/>
                <w:kern w:val="0"/>
                <w:sz w:val="18"/>
                <w:szCs w:val="18"/>
                <w:lang w:eastAsia="en-US" w:bidi="ar-SA"/>
              </w:rPr>
            </w:pPr>
            <w:r w:rsidRPr="00114DEE">
              <w:rPr>
                <w:rFonts w:eastAsia="Times New Roman" w:cs="Times New Roman"/>
                <w:b/>
                <w:color w:val="FFFFFF"/>
                <w:kern w:val="0"/>
                <w:sz w:val="18"/>
                <w:szCs w:val="18"/>
                <w:lang w:eastAsia="en-US" w:bidi="ar-SA"/>
              </w:rPr>
              <w:t>2024</w:t>
            </w:r>
          </w:p>
        </w:tc>
        <w:tc>
          <w:tcPr>
            <w:tcW w:w="1132" w:type="dxa"/>
            <w:tcBorders>
              <w:top w:val="nil"/>
              <w:left w:val="nil"/>
              <w:bottom w:val="nil"/>
              <w:right w:val="nil"/>
            </w:tcBorders>
            <w:shd w:val="clear" w:color="000000" w:fill="13B5EA"/>
            <w:noWrap/>
            <w:vAlign w:val="center"/>
            <w:hideMark/>
          </w:tcPr>
          <w:p w14:paraId="214B8EF0" w14:textId="77777777" w:rsidR="00994CC0" w:rsidRPr="00114DEE" w:rsidRDefault="00994CC0" w:rsidP="00114DEE">
            <w:pPr>
              <w:widowControl/>
              <w:suppressAutoHyphens w:val="0"/>
              <w:jc w:val="right"/>
              <w:rPr>
                <w:rFonts w:eastAsia="Times New Roman" w:cs="Times New Roman"/>
                <w:b/>
                <w:color w:val="FFFFFF"/>
                <w:kern w:val="0"/>
                <w:sz w:val="18"/>
                <w:szCs w:val="18"/>
                <w:lang w:eastAsia="en-US" w:bidi="ar-SA"/>
              </w:rPr>
            </w:pPr>
            <w:r w:rsidRPr="00114DEE">
              <w:rPr>
                <w:rFonts w:eastAsia="Times New Roman" w:cs="Times New Roman"/>
                <w:b/>
                <w:color w:val="FFFFFF"/>
                <w:kern w:val="0"/>
                <w:sz w:val="18"/>
                <w:szCs w:val="18"/>
                <w:lang w:eastAsia="en-US" w:bidi="ar-SA"/>
              </w:rPr>
              <w:t>2025</w:t>
            </w:r>
          </w:p>
        </w:tc>
      </w:tr>
      <w:tr w:rsidR="00994CC0" w:rsidRPr="00B34723" w14:paraId="5BD03A20" w14:textId="77777777" w:rsidTr="00994CC0">
        <w:trPr>
          <w:trHeight w:val="300"/>
        </w:trPr>
        <w:tc>
          <w:tcPr>
            <w:tcW w:w="4111" w:type="dxa"/>
            <w:tcBorders>
              <w:top w:val="nil"/>
              <w:left w:val="nil"/>
              <w:bottom w:val="nil"/>
              <w:right w:val="nil"/>
            </w:tcBorders>
            <w:shd w:val="clear" w:color="auto" w:fill="auto"/>
            <w:noWrap/>
            <w:vAlign w:val="center"/>
            <w:hideMark/>
          </w:tcPr>
          <w:p w14:paraId="17CD56AB" w14:textId="77777777" w:rsidR="00994CC0" w:rsidRPr="00114DEE" w:rsidRDefault="00994CC0" w:rsidP="00994CC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 Príjmy verejnej správy</w:t>
            </w:r>
          </w:p>
        </w:tc>
        <w:tc>
          <w:tcPr>
            <w:tcW w:w="1131" w:type="dxa"/>
            <w:tcBorders>
              <w:top w:val="nil"/>
              <w:left w:val="nil"/>
              <w:bottom w:val="nil"/>
              <w:right w:val="nil"/>
            </w:tcBorders>
            <w:shd w:val="clear" w:color="auto" w:fill="auto"/>
            <w:noWrap/>
            <w:vAlign w:val="center"/>
            <w:hideMark/>
          </w:tcPr>
          <w:p w14:paraId="3B8297BE"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44 248</w:t>
            </w:r>
          </w:p>
        </w:tc>
        <w:tc>
          <w:tcPr>
            <w:tcW w:w="1131" w:type="dxa"/>
            <w:tcBorders>
              <w:top w:val="nil"/>
              <w:left w:val="nil"/>
              <w:bottom w:val="nil"/>
              <w:right w:val="nil"/>
            </w:tcBorders>
            <w:shd w:val="clear" w:color="auto" w:fill="auto"/>
            <w:noWrap/>
            <w:vAlign w:val="center"/>
            <w:hideMark/>
          </w:tcPr>
          <w:p w14:paraId="1C0421A7"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50 056</w:t>
            </w:r>
          </w:p>
        </w:tc>
        <w:tc>
          <w:tcPr>
            <w:tcW w:w="1131" w:type="dxa"/>
            <w:tcBorders>
              <w:top w:val="nil"/>
              <w:left w:val="nil"/>
              <w:bottom w:val="nil"/>
              <w:right w:val="nil"/>
            </w:tcBorders>
            <w:shd w:val="clear" w:color="auto" w:fill="auto"/>
            <w:noWrap/>
            <w:vAlign w:val="center"/>
            <w:hideMark/>
          </w:tcPr>
          <w:p w14:paraId="658BBE09"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51 364</w:t>
            </w:r>
          </w:p>
        </w:tc>
        <w:tc>
          <w:tcPr>
            <w:tcW w:w="1132" w:type="dxa"/>
            <w:tcBorders>
              <w:top w:val="nil"/>
              <w:left w:val="nil"/>
              <w:bottom w:val="nil"/>
              <w:right w:val="nil"/>
            </w:tcBorders>
            <w:shd w:val="clear" w:color="auto" w:fill="auto"/>
            <w:noWrap/>
            <w:vAlign w:val="center"/>
            <w:hideMark/>
          </w:tcPr>
          <w:p w14:paraId="3D064C37"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53 876</w:t>
            </w:r>
          </w:p>
        </w:tc>
      </w:tr>
      <w:tr w:rsidR="00994CC0" w:rsidRPr="00B34723" w14:paraId="33F3A2A6" w14:textId="77777777" w:rsidTr="00994CC0">
        <w:trPr>
          <w:trHeight w:val="300"/>
        </w:trPr>
        <w:tc>
          <w:tcPr>
            <w:tcW w:w="4111" w:type="dxa"/>
            <w:tcBorders>
              <w:top w:val="nil"/>
              <w:left w:val="nil"/>
              <w:bottom w:val="nil"/>
              <w:right w:val="nil"/>
            </w:tcBorders>
            <w:shd w:val="clear" w:color="auto" w:fill="auto"/>
            <w:noWrap/>
            <w:vAlign w:val="center"/>
            <w:hideMark/>
          </w:tcPr>
          <w:p w14:paraId="57E889FA" w14:textId="77777777" w:rsidR="00994CC0" w:rsidRPr="00114DEE" w:rsidRDefault="00994CC0" w:rsidP="00994CC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2. Výdavky verejnej správy</w:t>
            </w:r>
          </w:p>
        </w:tc>
        <w:tc>
          <w:tcPr>
            <w:tcW w:w="1131" w:type="dxa"/>
            <w:tcBorders>
              <w:top w:val="nil"/>
              <w:left w:val="nil"/>
              <w:bottom w:val="nil"/>
              <w:right w:val="nil"/>
            </w:tcBorders>
            <w:shd w:val="clear" w:color="auto" w:fill="auto"/>
            <w:noWrap/>
            <w:vAlign w:val="center"/>
            <w:hideMark/>
          </w:tcPr>
          <w:p w14:paraId="0F021CDB"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48 736</w:t>
            </w:r>
          </w:p>
        </w:tc>
        <w:tc>
          <w:tcPr>
            <w:tcW w:w="1131" w:type="dxa"/>
            <w:tcBorders>
              <w:top w:val="nil"/>
              <w:left w:val="nil"/>
              <w:bottom w:val="nil"/>
              <w:right w:val="nil"/>
            </w:tcBorders>
            <w:shd w:val="clear" w:color="auto" w:fill="auto"/>
            <w:noWrap/>
            <w:vAlign w:val="center"/>
            <w:hideMark/>
          </w:tcPr>
          <w:p w14:paraId="5F19B9A6"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57 925</w:t>
            </w:r>
          </w:p>
        </w:tc>
        <w:tc>
          <w:tcPr>
            <w:tcW w:w="1131" w:type="dxa"/>
            <w:tcBorders>
              <w:top w:val="nil"/>
              <w:left w:val="nil"/>
              <w:bottom w:val="nil"/>
              <w:right w:val="nil"/>
            </w:tcBorders>
            <w:shd w:val="clear" w:color="auto" w:fill="auto"/>
            <w:noWrap/>
            <w:vAlign w:val="center"/>
            <w:hideMark/>
          </w:tcPr>
          <w:p w14:paraId="78F40911"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57 127</w:t>
            </w:r>
          </w:p>
        </w:tc>
        <w:tc>
          <w:tcPr>
            <w:tcW w:w="1132" w:type="dxa"/>
            <w:tcBorders>
              <w:top w:val="nil"/>
              <w:left w:val="nil"/>
              <w:bottom w:val="nil"/>
              <w:right w:val="nil"/>
            </w:tcBorders>
            <w:shd w:val="clear" w:color="auto" w:fill="auto"/>
            <w:noWrap/>
            <w:vAlign w:val="center"/>
            <w:hideMark/>
          </w:tcPr>
          <w:p w14:paraId="450CC35E"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59 708</w:t>
            </w:r>
          </w:p>
        </w:tc>
      </w:tr>
      <w:tr w:rsidR="00994CC0" w:rsidRPr="00B34723" w14:paraId="6FB2329F" w14:textId="77777777" w:rsidTr="00994CC0">
        <w:trPr>
          <w:trHeight w:val="300"/>
        </w:trPr>
        <w:tc>
          <w:tcPr>
            <w:tcW w:w="4111" w:type="dxa"/>
            <w:tcBorders>
              <w:top w:val="nil"/>
              <w:left w:val="nil"/>
              <w:bottom w:val="nil"/>
              <w:right w:val="nil"/>
            </w:tcBorders>
            <w:shd w:val="clear" w:color="auto" w:fill="auto"/>
            <w:noWrap/>
            <w:vAlign w:val="center"/>
            <w:hideMark/>
          </w:tcPr>
          <w:p w14:paraId="1269357C" w14:textId="77777777" w:rsidR="00994CC0" w:rsidRPr="00114DEE" w:rsidRDefault="00994CC0" w:rsidP="00994CC0">
            <w:pPr>
              <w:widowControl/>
              <w:suppressAutoHyphens w:val="0"/>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3. Saldo verejnej správy (1-2)</w:t>
            </w:r>
          </w:p>
        </w:tc>
        <w:tc>
          <w:tcPr>
            <w:tcW w:w="1131" w:type="dxa"/>
            <w:tcBorders>
              <w:top w:val="nil"/>
              <w:left w:val="nil"/>
              <w:bottom w:val="nil"/>
              <w:right w:val="nil"/>
            </w:tcBorders>
            <w:shd w:val="clear" w:color="auto" w:fill="auto"/>
            <w:noWrap/>
            <w:vAlign w:val="center"/>
            <w:hideMark/>
          </w:tcPr>
          <w:p w14:paraId="69358493"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-4 488</w:t>
            </w:r>
          </w:p>
        </w:tc>
        <w:tc>
          <w:tcPr>
            <w:tcW w:w="1131" w:type="dxa"/>
            <w:tcBorders>
              <w:top w:val="nil"/>
              <w:left w:val="nil"/>
              <w:bottom w:val="nil"/>
              <w:right w:val="nil"/>
            </w:tcBorders>
            <w:shd w:val="clear" w:color="auto" w:fill="auto"/>
            <w:noWrap/>
            <w:vAlign w:val="center"/>
            <w:hideMark/>
          </w:tcPr>
          <w:p w14:paraId="452BF3E3"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-7 869</w:t>
            </w:r>
          </w:p>
        </w:tc>
        <w:tc>
          <w:tcPr>
            <w:tcW w:w="1131" w:type="dxa"/>
            <w:tcBorders>
              <w:top w:val="nil"/>
              <w:left w:val="nil"/>
              <w:bottom w:val="nil"/>
              <w:right w:val="nil"/>
            </w:tcBorders>
            <w:shd w:val="clear" w:color="auto" w:fill="auto"/>
            <w:noWrap/>
            <w:vAlign w:val="center"/>
            <w:hideMark/>
          </w:tcPr>
          <w:p w14:paraId="4238284D"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-5 763</w:t>
            </w:r>
          </w:p>
        </w:tc>
        <w:tc>
          <w:tcPr>
            <w:tcW w:w="1132" w:type="dxa"/>
            <w:tcBorders>
              <w:top w:val="nil"/>
              <w:left w:val="nil"/>
              <w:bottom w:val="nil"/>
              <w:right w:val="nil"/>
            </w:tcBorders>
            <w:shd w:val="clear" w:color="auto" w:fill="auto"/>
            <w:noWrap/>
            <w:vAlign w:val="center"/>
            <w:hideMark/>
          </w:tcPr>
          <w:p w14:paraId="7F6EEDD5"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-5 832</w:t>
            </w:r>
          </w:p>
        </w:tc>
      </w:tr>
      <w:tr w:rsidR="00994CC0" w:rsidRPr="00B34723" w14:paraId="6197F728" w14:textId="77777777" w:rsidTr="00994CC0">
        <w:trPr>
          <w:trHeight w:val="300"/>
        </w:trPr>
        <w:tc>
          <w:tcPr>
            <w:tcW w:w="4111" w:type="dxa"/>
            <w:tcBorders>
              <w:top w:val="nil"/>
              <w:left w:val="nil"/>
              <w:bottom w:val="nil"/>
              <w:right w:val="nil"/>
            </w:tcBorders>
            <w:shd w:val="clear" w:color="auto" w:fill="auto"/>
            <w:noWrap/>
            <w:vAlign w:val="center"/>
            <w:hideMark/>
          </w:tcPr>
          <w:p w14:paraId="69A16E4F" w14:textId="77777777" w:rsidR="00994CC0" w:rsidRPr="00114DEE" w:rsidRDefault="00994CC0" w:rsidP="00994CC0">
            <w:pPr>
              <w:widowControl/>
              <w:suppressAutoHyphens w:val="0"/>
              <w:ind w:firstLineChars="100" w:firstLine="181"/>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 xml:space="preserve"> - v % HDP</w:t>
            </w:r>
          </w:p>
        </w:tc>
        <w:tc>
          <w:tcPr>
            <w:tcW w:w="1131" w:type="dxa"/>
            <w:tcBorders>
              <w:top w:val="nil"/>
              <w:left w:val="nil"/>
              <w:bottom w:val="nil"/>
              <w:right w:val="nil"/>
            </w:tcBorders>
            <w:shd w:val="clear" w:color="auto" w:fill="auto"/>
            <w:noWrap/>
            <w:vAlign w:val="center"/>
            <w:hideMark/>
          </w:tcPr>
          <w:p w14:paraId="7111AC01"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-4,1</w:t>
            </w:r>
          </w:p>
        </w:tc>
        <w:tc>
          <w:tcPr>
            <w:tcW w:w="1131" w:type="dxa"/>
            <w:tcBorders>
              <w:top w:val="nil"/>
              <w:left w:val="nil"/>
              <w:bottom w:val="nil"/>
              <w:right w:val="nil"/>
            </w:tcBorders>
            <w:shd w:val="clear" w:color="auto" w:fill="auto"/>
            <w:noWrap/>
            <w:vAlign w:val="center"/>
            <w:hideMark/>
          </w:tcPr>
          <w:p w14:paraId="4E00A45D"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-6,4</w:t>
            </w:r>
          </w:p>
        </w:tc>
        <w:tc>
          <w:tcPr>
            <w:tcW w:w="1131" w:type="dxa"/>
            <w:tcBorders>
              <w:top w:val="nil"/>
              <w:left w:val="nil"/>
              <w:bottom w:val="nil"/>
              <w:right w:val="nil"/>
            </w:tcBorders>
            <w:shd w:val="clear" w:color="auto" w:fill="auto"/>
            <w:noWrap/>
            <w:vAlign w:val="center"/>
            <w:hideMark/>
          </w:tcPr>
          <w:p w14:paraId="09AE6353"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-4,4</w:t>
            </w:r>
          </w:p>
        </w:tc>
        <w:tc>
          <w:tcPr>
            <w:tcW w:w="1132" w:type="dxa"/>
            <w:tcBorders>
              <w:top w:val="nil"/>
              <w:left w:val="nil"/>
              <w:bottom w:val="nil"/>
              <w:right w:val="nil"/>
            </w:tcBorders>
            <w:shd w:val="clear" w:color="auto" w:fill="auto"/>
            <w:noWrap/>
            <w:vAlign w:val="center"/>
            <w:hideMark/>
          </w:tcPr>
          <w:p w14:paraId="02250AF9"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-4,2</w:t>
            </w:r>
          </w:p>
        </w:tc>
      </w:tr>
      <w:tr w:rsidR="00994CC0" w:rsidRPr="00B34723" w14:paraId="5B4175C9" w14:textId="77777777" w:rsidTr="00994CC0">
        <w:trPr>
          <w:trHeight w:val="300"/>
        </w:trPr>
        <w:tc>
          <w:tcPr>
            <w:tcW w:w="4111" w:type="dxa"/>
            <w:tcBorders>
              <w:top w:val="nil"/>
              <w:left w:val="nil"/>
              <w:bottom w:val="nil"/>
              <w:right w:val="nil"/>
            </w:tcBorders>
            <w:shd w:val="clear" w:color="auto" w:fill="auto"/>
            <w:noWrap/>
            <w:vAlign w:val="center"/>
            <w:hideMark/>
          </w:tcPr>
          <w:p w14:paraId="6541DF23" w14:textId="77777777" w:rsidR="00994CC0" w:rsidRPr="00114DEE" w:rsidRDefault="00994CC0" w:rsidP="00994CC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4. Cyklická zložka</w:t>
            </w:r>
          </w:p>
        </w:tc>
        <w:tc>
          <w:tcPr>
            <w:tcW w:w="1131" w:type="dxa"/>
            <w:tcBorders>
              <w:top w:val="nil"/>
              <w:left w:val="nil"/>
              <w:bottom w:val="nil"/>
              <w:right w:val="nil"/>
            </w:tcBorders>
            <w:shd w:val="clear" w:color="auto" w:fill="auto"/>
            <w:noWrap/>
            <w:vAlign w:val="center"/>
            <w:hideMark/>
          </w:tcPr>
          <w:p w14:paraId="2B1A255F"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335</w:t>
            </w:r>
          </w:p>
        </w:tc>
        <w:tc>
          <w:tcPr>
            <w:tcW w:w="1131" w:type="dxa"/>
            <w:tcBorders>
              <w:top w:val="nil"/>
              <w:left w:val="nil"/>
              <w:bottom w:val="nil"/>
              <w:right w:val="nil"/>
            </w:tcBorders>
            <w:shd w:val="clear" w:color="auto" w:fill="auto"/>
            <w:noWrap/>
            <w:vAlign w:val="center"/>
            <w:hideMark/>
          </w:tcPr>
          <w:p w14:paraId="25187751"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-567</w:t>
            </w:r>
          </w:p>
        </w:tc>
        <w:tc>
          <w:tcPr>
            <w:tcW w:w="1131" w:type="dxa"/>
            <w:tcBorders>
              <w:top w:val="nil"/>
              <w:left w:val="nil"/>
              <w:bottom w:val="nil"/>
              <w:right w:val="nil"/>
            </w:tcBorders>
            <w:shd w:val="clear" w:color="auto" w:fill="auto"/>
            <w:noWrap/>
            <w:vAlign w:val="center"/>
            <w:hideMark/>
          </w:tcPr>
          <w:p w14:paraId="36A6350B"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-559</w:t>
            </w:r>
          </w:p>
        </w:tc>
        <w:tc>
          <w:tcPr>
            <w:tcW w:w="1132" w:type="dxa"/>
            <w:tcBorders>
              <w:top w:val="nil"/>
              <w:left w:val="nil"/>
              <w:bottom w:val="nil"/>
              <w:right w:val="nil"/>
            </w:tcBorders>
            <w:shd w:val="clear" w:color="auto" w:fill="auto"/>
            <w:noWrap/>
            <w:vAlign w:val="center"/>
            <w:hideMark/>
          </w:tcPr>
          <w:p w14:paraId="214DBFF0"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-387</w:t>
            </w:r>
          </w:p>
        </w:tc>
      </w:tr>
      <w:tr w:rsidR="00994CC0" w:rsidRPr="00B34723" w14:paraId="124B3FB5" w14:textId="77777777" w:rsidTr="00994CC0">
        <w:trPr>
          <w:trHeight w:val="300"/>
        </w:trPr>
        <w:tc>
          <w:tcPr>
            <w:tcW w:w="4111" w:type="dxa"/>
            <w:tcBorders>
              <w:top w:val="nil"/>
              <w:left w:val="nil"/>
              <w:bottom w:val="nil"/>
              <w:right w:val="nil"/>
            </w:tcBorders>
            <w:shd w:val="clear" w:color="auto" w:fill="auto"/>
            <w:noWrap/>
            <w:vAlign w:val="center"/>
            <w:hideMark/>
          </w:tcPr>
          <w:p w14:paraId="459BFC36" w14:textId="77777777" w:rsidR="00994CC0" w:rsidRPr="00114DEE" w:rsidRDefault="00994CC0" w:rsidP="00994CC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5. Jednorazové vplyvy</w:t>
            </w:r>
          </w:p>
        </w:tc>
        <w:tc>
          <w:tcPr>
            <w:tcW w:w="1131" w:type="dxa"/>
            <w:tcBorders>
              <w:top w:val="nil"/>
              <w:left w:val="nil"/>
              <w:bottom w:val="nil"/>
              <w:right w:val="nil"/>
            </w:tcBorders>
            <w:shd w:val="clear" w:color="auto" w:fill="auto"/>
            <w:noWrap/>
            <w:vAlign w:val="center"/>
            <w:hideMark/>
          </w:tcPr>
          <w:p w14:paraId="0C276D5A"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-2 013</w:t>
            </w:r>
          </w:p>
        </w:tc>
        <w:tc>
          <w:tcPr>
            <w:tcW w:w="1131" w:type="dxa"/>
            <w:tcBorders>
              <w:top w:val="nil"/>
              <w:left w:val="nil"/>
              <w:bottom w:val="nil"/>
              <w:right w:val="nil"/>
            </w:tcBorders>
            <w:shd w:val="clear" w:color="auto" w:fill="auto"/>
            <w:noWrap/>
            <w:vAlign w:val="center"/>
            <w:hideMark/>
          </w:tcPr>
          <w:p w14:paraId="5F9ABEFB"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-3 186</w:t>
            </w:r>
          </w:p>
        </w:tc>
        <w:tc>
          <w:tcPr>
            <w:tcW w:w="1131" w:type="dxa"/>
            <w:tcBorders>
              <w:top w:val="nil"/>
              <w:left w:val="nil"/>
              <w:bottom w:val="nil"/>
              <w:right w:val="nil"/>
            </w:tcBorders>
            <w:shd w:val="clear" w:color="auto" w:fill="auto"/>
            <w:noWrap/>
            <w:vAlign w:val="center"/>
            <w:hideMark/>
          </w:tcPr>
          <w:p w14:paraId="4E9D803E"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-6</w:t>
            </w:r>
          </w:p>
        </w:tc>
        <w:tc>
          <w:tcPr>
            <w:tcW w:w="1132" w:type="dxa"/>
            <w:tcBorders>
              <w:top w:val="nil"/>
              <w:left w:val="nil"/>
              <w:bottom w:val="nil"/>
              <w:right w:val="nil"/>
            </w:tcBorders>
            <w:shd w:val="clear" w:color="auto" w:fill="auto"/>
            <w:noWrap/>
            <w:vAlign w:val="center"/>
            <w:hideMark/>
          </w:tcPr>
          <w:p w14:paraId="0B4DBB4B"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-6</w:t>
            </w:r>
          </w:p>
        </w:tc>
      </w:tr>
      <w:tr w:rsidR="00994CC0" w:rsidRPr="00B34723" w14:paraId="6B84FAE0" w14:textId="77777777" w:rsidTr="00994CC0">
        <w:trPr>
          <w:trHeight w:val="300"/>
        </w:trPr>
        <w:tc>
          <w:tcPr>
            <w:tcW w:w="4111" w:type="dxa"/>
            <w:tcBorders>
              <w:top w:val="nil"/>
              <w:left w:val="nil"/>
              <w:bottom w:val="nil"/>
              <w:right w:val="nil"/>
            </w:tcBorders>
            <w:shd w:val="clear" w:color="auto" w:fill="auto"/>
            <w:noWrap/>
            <w:vAlign w:val="center"/>
            <w:hideMark/>
          </w:tcPr>
          <w:p w14:paraId="4AB0D570" w14:textId="77777777" w:rsidR="00994CC0" w:rsidRPr="00114DEE" w:rsidRDefault="00994CC0" w:rsidP="00994CC0">
            <w:pPr>
              <w:widowControl/>
              <w:suppressAutoHyphens w:val="0"/>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6. Štrukturálne saldo verejnej správy (3-4-5)</w:t>
            </w:r>
          </w:p>
        </w:tc>
        <w:tc>
          <w:tcPr>
            <w:tcW w:w="1131" w:type="dxa"/>
            <w:tcBorders>
              <w:top w:val="nil"/>
              <w:left w:val="nil"/>
              <w:bottom w:val="nil"/>
              <w:right w:val="nil"/>
            </w:tcBorders>
            <w:shd w:val="clear" w:color="auto" w:fill="auto"/>
            <w:noWrap/>
            <w:vAlign w:val="center"/>
            <w:hideMark/>
          </w:tcPr>
          <w:p w14:paraId="7CF8F776"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-2 810</w:t>
            </w:r>
          </w:p>
        </w:tc>
        <w:tc>
          <w:tcPr>
            <w:tcW w:w="1131" w:type="dxa"/>
            <w:tcBorders>
              <w:top w:val="nil"/>
              <w:left w:val="nil"/>
              <w:bottom w:val="nil"/>
              <w:right w:val="nil"/>
            </w:tcBorders>
            <w:shd w:val="clear" w:color="auto" w:fill="auto"/>
            <w:noWrap/>
            <w:vAlign w:val="center"/>
            <w:hideMark/>
          </w:tcPr>
          <w:p w14:paraId="763A5889"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-4 116</w:t>
            </w:r>
          </w:p>
        </w:tc>
        <w:tc>
          <w:tcPr>
            <w:tcW w:w="1131" w:type="dxa"/>
            <w:tcBorders>
              <w:top w:val="nil"/>
              <w:left w:val="nil"/>
              <w:bottom w:val="nil"/>
              <w:right w:val="nil"/>
            </w:tcBorders>
            <w:shd w:val="clear" w:color="auto" w:fill="auto"/>
            <w:noWrap/>
            <w:vAlign w:val="center"/>
            <w:hideMark/>
          </w:tcPr>
          <w:p w14:paraId="3763648D"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-5 198</w:t>
            </w:r>
          </w:p>
        </w:tc>
        <w:tc>
          <w:tcPr>
            <w:tcW w:w="1132" w:type="dxa"/>
            <w:tcBorders>
              <w:top w:val="nil"/>
              <w:left w:val="nil"/>
              <w:bottom w:val="nil"/>
              <w:right w:val="nil"/>
            </w:tcBorders>
            <w:shd w:val="clear" w:color="auto" w:fill="auto"/>
            <w:noWrap/>
            <w:vAlign w:val="center"/>
            <w:hideMark/>
          </w:tcPr>
          <w:p w14:paraId="7B153489"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-5 439</w:t>
            </w:r>
          </w:p>
        </w:tc>
      </w:tr>
      <w:tr w:rsidR="00994CC0" w:rsidRPr="00B34723" w14:paraId="21EBCA6E" w14:textId="77777777" w:rsidTr="00994CC0">
        <w:trPr>
          <w:trHeight w:val="300"/>
        </w:trPr>
        <w:tc>
          <w:tcPr>
            <w:tcW w:w="4111" w:type="dxa"/>
            <w:tcBorders>
              <w:top w:val="nil"/>
              <w:left w:val="nil"/>
              <w:bottom w:val="nil"/>
              <w:right w:val="nil"/>
            </w:tcBorders>
            <w:shd w:val="clear" w:color="auto" w:fill="auto"/>
            <w:noWrap/>
            <w:vAlign w:val="center"/>
            <w:hideMark/>
          </w:tcPr>
          <w:p w14:paraId="04800325" w14:textId="77777777" w:rsidR="00994CC0" w:rsidRPr="00114DEE" w:rsidRDefault="00994CC0" w:rsidP="00994CC0">
            <w:pPr>
              <w:widowControl/>
              <w:suppressAutoHyphens w:val="0"/>
              <w:ind w:firstLineChars="100" w:firstLine="181"/>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 xml:space="preserve"> - v % HDP</w:t>
            </w:r>
          </w:p>
        </w:tc>
        <w:tc>
          <w:tcPr>
            <w:tcW w:w="1131" w:type="dxa"/>
            <w:tcBorders>
              <w:top w:val="nil"/>
              <w:left w:val="nil"/>
              <w:bottom w:val="nil"/>
              <w:right w:val="nil"/>
            </w:tcBorders>
            <w:shd w:val="clear" w:color="auto" w:fill="auto"/>
            <w:noWrap/>
            <w:vAlign w:val="center"/>
            <w:hideMark/>
          </w:tcPr>
          <w:p w14:paraId="3E055F35"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-2,6</w:t>
            </w:r>
          </w:p>
        </w:tc>
        <w:tc>
          <w:tcPr>
            <w:tcW w:w="1131" w:type="dxa"/>
            <w:tcBorders>
              <w:top w:val="nil"/>
              <w:left w:val="nil"/>
              <w:bottom w:val="nil"/>
              <w:right w:val="nil"/>
            </w:tcBorders>
            <w:shd w:val="clear" w:color="auto" w:fill="auto"/>
            <w:noWrap/>
            <w:vAlign w:val="center"/>
            <w:hideMark/>
          </w:tcPr>
          <w:p w14:paraId="6F225A01"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-3,4</w:t>
            </w:r>
          </w:p>
        </w:tc>
        <w:tc>
          <w:tcPr>
            <w:tcW w:w="1131" w:type="dxa"/>
            <w:tcBorders>
              <w:top w:val="nil"/>
              <w:left w:val="nil"/>
              <w:bottom w:val="nil"/>
              <w:right w:val="nil"/>
            </w:tcBorders>
            <w:shd w:val="clear" w:color="auto" w:fill="auto"/>
            <w:noWrap/>
            <w:vAlign w:val="center"/>
            <w:hideMark/>
          </w:tcPr>
          <w:p w14:paraId="13E3CBD5"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-4,0</w:t>
            </w:r>
          </w:p>
        </w:tc>
        <w:tc>
          <w:tcPr>
            <w:tcW w:w="1132" w:type="dxa"/>
            <w:tcBorders>
              <w:top w:val="nil"/>
              <w:left w:val="nil"/>
              <w:bottom w:val="nil"/>
              <w:right w:val="nil"/>
            </w:tcBorders>
            <w:shd w:val="clear" w:color="auto" w:fill="auto"/>
            <w:noWrap/>
            <w:vAlign w:val="center"/>
            <w:hideMark/>
          </w:tcPr>
          <w:p w14:paraId="250F5A69" w14:textId="77777777"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-3,9</w:t>
            </w:r>
          </w:p>
        </w:tc>
      </w:tr>
      <w:tr w:rsidR="00994CC0" w:rsidRPr="00B34723" w14:paraId="1A136626" w14:textId="77777777" w:rsidTr="00994CC0">
        <w:trPr>
          <w:trHeight w:val="300"/>
        </w:trPr>
        <w:tc>
          <w:tcPr>
            <w:tcW w:w="4111" w:type="dxa"/>
            <w:tcBorders>
              <w:top w:val="nil"/>
              <w:left w:val="nil"/>
              <w:bottom w:val="single" w:sz="4" w:space="0" w:color="13B5EA"/>
              <w:right w:val="nil"/>
            </w:tcBorders>
            <w:shd w:val="clear" w:color="auto" w:fill="auto"/>
            <w:noWrap/>
            <w:vAlign w:val="center"/>
            <w:hideMark/>
          </w:tcPr>
          <w:p w14:paraId="43EDE5DA" w14:textId="77777777" w:rsidR="00994CC0" w:rsidRPr="00114DEE" w:rsidRDefault="00994CC0" w:rsidP="00994CC0">
            <w:pPr>
              <w:widowControl/>
              <w:suppressAutoHyphens w:val="0"/>
              <w:ind w:firstLineChars="100" w:firstLine="18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xml:space="preserve"> - medziročná zmena</w:t>
            </w:r>
          </w:p>
        </w:tc>
        <w:tc>
          <w:tcPr>
            <w:tcW w:w="1131" w:type="dxa"/>
            <w:tcBorders>
              <w:top w:val="nil"/>
              <w:left w:val="nil"/>
              <w:bottom w:val="single" w:sz="4" w:space="0" w:color="13B5EA"/>
              <w:right w:val="nil"/>
            </w:tcBorders>
            <w:shd w:val="clear" w:color="auto" w:fill="auto"/>
            <w:noWrap/>
            <w:vAlign w:val="center"/>
            <w:hideMark/>
          </w:tcPr>
          <w:p w14:paraId="1897BF8E" w14:textId="77777777" w:rsidR="00994CC0" w:rsidRPr="00114DEE" w:rsidRDefault="00994CC0" w:rsidP="00994CC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w:t>
            </w:r>
          </w:p>
        </w:tc>
        <w:tc>
          <w:tcPr>
            <w:tcW w:w="1131" w:type="dxa"/>
            <w:tcBorders>
              <w:top w:val="nil"/>
              <w:left w:val="nil"/>
              <w:bottom w:val="single" w:sz="4" w:space="0" w:color="13B5EA"/>
              <w:right w:val="nil"/>
            </w:tcBorders>
            <w:shd w:val="clear" w:color="auto" w:fill="auto"/>
            <w:noWrap/>
            <w:vAlign w:val="center"/>
            <w:hideMark/>
          </w:tcPr>
          <w:p w14:paraId="109C5885"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-0,8</w:t>
            </w:r>
          </w:p>
        </w:tc>
        <w:tc>
          <w:tcPr>
            <w:tcW w:w="1131" w:type="dxa"/>
            <w:tcBorders>
              <w:top w:val="nil"/>
              <w:left w:val="nil"/>
              <w:bottom w:val="single" w:sz="4" w:space="0" w:color="13B5EA"/>
              <w:right w:val="nil"/>
            </w:tcBorders>
            <w:shd w:val="clear" w:color="auto" w:fill="auto"/>
            <w:noWrap/>
            <w:vAlign w:val="center"/>
            <w:hideMark/>
          </w:tcPr>
          <w:p w14:paraId="58FCA70E"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-0,6</w:t>
            </w:r>
          </w:p>
        </w:tc>
        <w:tc>
          <w:tcPr>
            <w:tcW w:w="1132" w:type="dxa"/>
            <w:tcBorders>
              <w:top w:val="nil"/>
              <w:left w:val="nil"/>
              <w:bottom w:val="single" w:sz="4" w:space="0" w:color="13B5EA"/>
              <w:right w:val="nil"/>
            </w:tcBorders>
            <w:shd w:val="clear" w:color="auto" w:fill="auto"/>
            <w:noWrap/>
            <w:vAlign w:val="center"/>
            <w:hideMark/>
          </w:tcPr>
          <w:p w14:paraId="6FA19B86" w14:textId="77777777" w:rsidR="00994CC0" w:rsidRPr="00114DEE" w:rsidRDefault="00994CC0" w:rsidP="00994CC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0,1</w:t>
            </w:r>
          </w:p>
        </w:tc>
      </w:tr>
      <w:tr w:rsidR="00994CC0" w:rsidRPr="00B34723" w14:paraId="622F4949" w14:textId="77777777" w:rsidTr="00994CC0">
        <w:trPr>
          <w:trHeight w:val="300"/>
        </w:trPr>
        <w:tc>
          <w:tcPr>
            <w:tcW w:w="4111" w:type="dxa"/>
            <w:tcBorders>
              <w:top w:val="nil"/>
              <w:left w:val="nil"/>
              <w:bottom w:val="single" w:sz="4" w:space="0" w:color="13B5EA"/>
              <w:right w:val="nil"/>
            </w:tcBorders>
            <w:shd w:val="clear" w:color="auto" w:fill="auto"/>
            <w:noWrap/>
            <w:vAlign w:val="center"/>
            <w:hideMark/>
          </w:tcPr>
          <w:p w14:paraId="7957489A" w14:textId="77777777" w:rsidR="00994CC0" w:rsidRPr="00114DEE" w:rsidRDefault="00994CC0" w:rsidP="00994CC0">
            <w:pPr>
              <w:widowControl/>
              <w:suppressAutoHyphens w:val="0"/>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Ukazovateľ dlhodobej udržateľnosti (% HDP)</w:t>
            </w:r>
          </w:p>
        </w:tc>
        <w:tc>
          <w:tcPr>
            <w:tcW w:w="1131" w:type="dxa"/>
            <w:tcBorders>
              <w:top w:val="nil"/>
              <w:left w:val="nil"/>
              <w:bottom w:val="single" w:sz="4" w:space="0" w:color="13B5EA"/>
              <w:right w:val="nil"/>
            </w:tcBorders>
            <w:shd w:val="clear" w:color="auto" w:fill="auto"/>
            <w:noWrap/>
            <w:vAlign w:val="center"/>
            <w:hideMark/>
          </w:tcPr>
          <w:p w14:paraId="2489327C" w14:textId="52616EFD" w:rsidR="00994CC0" w:rsidRPr="00114DEE" w:rsidRDefault="00994CC0" w:rsidP="00994CC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5,5</w:t>
            </w:r>
          </w:p>
        </w:tc>
        <w:tc>
          <w:tcPr>
            <w:tcW w:w="1131" w:type="dxa"/>
            <w:tcBorders>
              <w:top w:val="nil"/>
              <w:left w:val="nil"/>
              <w:bottom w:val="single" w:sz="4" w:space="0" w:color="13B5EA"/>
              <w:right w:val="nil"/>
            </w:tcBorders>
            <w:shd w:val="clear" w:color="auto" w:fill="auto"/>
            <w:noWrap/>
            <w:vAlign w:val="center"/>
            <w:hideMark/>
          </w:tcPr>
          <w:p w14:paraId="3E62804F" w14:textId="77777777" w:rsidR="00994CC0" w:rsidRPr="00114DEE" w:rsidRDefault="00994CC0" w:rsidP="00994CC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w:t>
            </w:r>
          </w:p>
        </w:tc>
        <w:tc>
          <w:tcPr>
            <w:tcW w:w="1131" w:type="dxa"/>
            <w:tcBorders>
              <w:top w:val="nil"/>
              <w:left w:val="nil"/>
              <w:bottom w:val="single" w:sz="4" w:space="0" w:color="13B5EA"/>
              <w:right w:val="nil"/>
            </w:tcBorders>
            <w:shd w:val="clear" w:color="auto" w:fill="auto"/>
            <w:noWrap/>
            <w:vAlign w:val="center"/>
            <w:hideMark/>
          </w:tcPr>
          <w:p w14:paraId="63E1388E" w14:textId="77777777" w:rsidR="00994CC0" w:rsidRPr="00114DEE" w:rsidRDefault="00994CC0" w:rsidP="00994CC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w:t>
            </w:r>
          </w:p>
        </w:tc>
        <w:tc>
          <w:tcPr>
            <w:tcW w:w="1132" w:type="dxa"/>
            <w:tcBorders>
              <w:top w:val="nil"/>
              <w:left w:val="nil"/>
              <w:bottom w:val="single" w:sz="4" w:space="0" w:color="13B5EA"/>
              <w:right w:val="nil"/>
            </w:tcBorders>
            <w:shd w:val="clear" w:color="auto" w:fill="auto"/>
            <w:noWrap/>
            <w:vAlign w:val="center"/>
            <w:hideMark/>
          </w:tcPr>
          <w:p w14:paraId="524381F7" w14:textId="77777777" w:rsidR="00994CC0" w:rsidRPr="00114DEE" w:rsidRDefault="00994CC0" w:rsidP="00994CC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w:t>
            </w:r>
          </w:p>
        </w:tc>
      </w:tr>
      <w:tr w:rsidR="00994CC0" w:rsidRPr="00B34723" w14:paraId="633D0BA6" w14:textId="77777777" w:rsidTr="00022F1F">
        <w:trPr>
          <w:trHeight w:val="141"/>
        </w:trPr>
        <w:tc>
          <w:tcPr>
            <w:tcW w:w="4111" w:type="dxa"/>
            <w:tcBorders>
              <w:top w:val="nil"/>
              <w:left w:val="nil"/>
              <w:bottom w:val="nil"/>
              <w:right w:val="nil"/>
            </w:tcBorders>
            <w:shd w:val="clear" w:color="auto" w:fill="auto"/>
            <w:noWrap/>
            <w:vAlign w:val="center"/>
            <w:hideMark/>
          </w:tcPr>
          <w:p w14:paraId="122283FF" w14:textId="77777777" w:rsidR="00994CC0" w:rsidRPr="00114DEE" w:rsidRDefault="00994CC0" w:rsidP="00994CC0">
            <w:pPr>
              <w:widowControl/>
              <w:suppressAutoHyphens w:val="0"/>
              <w:rPr>
                <w:rFonts w:eastAsia="Times New Roman" w:cs="Times New Roman"/>
                <w:color w:val="000000"/>
                <w:kern w:val="0"/>
                <w:sz w:val="18"/>
                <w:szCs w:val="18"/>
                <w:lang w:eastAsia="en-US" w:bidi="ar-SA"/>
              </w:rPr>
            </w:pPr>
          </w:p>
        </w:tc>
        <w:tc>
          <w:tcPr>
            <w:tcW w:w="1131" w:type="dxa"/>
            <w:tcBorders>
              <w:top w:val="nil"/>
              <w:left w:val="nil"/>
              <w:bottom w:val="nil"/>
              <w:right w:val="nil"/>
            </w:tcBorders>
            <w:shd w:val="clear" w:color="auto" w:fill="auto"/>
            <w:noWrap/>
            <w:vAlign w:val="bottom"/>
            <w:hideMark/>
          </w:tcPr>
          <w:p w14:paraId="512E79D9" w14:textId="77777777" w:rsidR="00994CC0" w:rsidRPr="00114DEE" w:rsidRDefault="00994CC0" w:rsidP="00994CC0">
            <w:pPr>
              <w:widowControl/>
              <w:suppressAutoHyphens w:val="0"/>
              <w:rPr>
                <w:rFonts w:eastAsia="Times New Roman" w:cs="Times New Roman"/>
                <w:kern w:val="0"/>
                <w:sz w:val="20"/>
                <w:szCs w:val="20"/>
                <w:lang w:eastAsia="en-US" w:bidi="ar-SA"/>
              </w:rPr>
            </w:pPr>
          </w:p>
        </w:tc>
        <w:tc>
          <w:tcPr>
            <w:tcW w:w="1131" w:type="dxa"/>
            <w:tcBorders>
              <w:top w:val="nil"/>
              <w:left w:val="nil"/>
              <w:bottom w:val="nil"/>
              <w:right w:val="nil"/>
            </w:tcBorders>
            <w:shd w:val="clear" w:color="auto" w:fill="auto"/>
            <w:noWrap/>
            <w:vAlign w:val="bottom"/>
            <w:hideMark/>
          </w:tcPr>
          <w:p w14:paraId="7F054AC0" w14:textId="77777777" w:rsidR="00994CC0" w:rsidRPr="00114DEE" w:rsidRDefault="00994CC0" w:rsidP="00994CC0">
            <w:pPr>
              <w:widowControl/>
              <w:suppressAutoHyphens w:val="0"/>
              <w:rPr>
                <w:rFonts w:eastAsia="Times New Roman" w:cs="Times New Roman"/>
                <w:kern w:val="0"/>
                <w:sz w:val="20"/>
                <w:szCs w:val="20"/>
                <w:lang w:eastAsia="en-US" w:bidi="ar-SA"/>
              </w:rPr>
            </w:pPr>
          </w:p>
        </w:tc>
        <w:tc>
          <w:tcPr>
            <w:tcW w:w="1131" w:type="dxa"/>
            <w:tcBorders>
              <w:top w:val="nil"/>
              <w:left w:val="nil"/>
              <w:bottom w:val="nil"/>
              <w:right w:val="nil"/>
            </w:tcBorders>
            <w:shd w:val="clear" w:color="auto" w:fill="auto"/>
            <w:noWrap/>
            <w:vAlign w:val="bottom"/>
            <w:hideMark/>
          </w:tcPr>
          <w:p w14:paraId="0911AE8D" w14:textId="77777777" w:rsidR="00994CC0" w:rsidRPr="00114DEE" w:rsidRDefault="00994CC0" w:rsidP="00994CC0">
            <w:pPr>
              <w:widowControl/>
              <w:suppressAutoHyphens w:val="0"/>
              <w:rPr>
                <w:rFonts w:eastAsia="Times New Roman" w:cs="Times New Roman"/>
                <w:kern w:val="0"/>
                <w:sz w:val="20"/>
                <w:szCs w:val="20"/>
                <w:lang w:eastAsia="en-US" w:bidi="ar-SA"/>
              </w:rPr>
            </w:pPr>
          </w:p>
        </w:tc>
        <w:tc>
          <w:tcPr>
            <w:tcW w:w="1132" w:type="dxa"/>
            <w:tcBorders>
              <w:top w:val="nil"/>
              <w:left w:val="nil"/>
              <w:bottom w:val="nil"/>
              <w:right w:val="nil"/>
            </w:tcBorders>
            <w:shd w:val="clear" w:color="auto" w:fill="auto"/>
            <w:noWrap/>
            <w:vAlign w:val="center"/>
            <w:hideMark/>
          </w:tcPr>
          <w:p w14:paraId="06620203" w14:textId="77777777" w:rsidR="00994CC0" w:rsidRPr="00114DEE" w:rsidRDefault="00994CC0" w:rsidP="00994CC0">
            <w:pPr>
              <w:widowControl/>
              <w:suppressAutoHyphens w:val="0"/>
              <w:jc w:val="right"/>
              <w:rPr>
                <w:rFonts w:eastAsia="Times New Roman" w:cs="Times New Roman"/>
                <w:i/>
                <w:color w:val="13B5EA"/>
                <w:kern w:val="0"/>
                <w:sz w:val="16"/>
                <w:szCs w:val="16"/>
                <w:lang w:eastAsia="en-US" w:bidi="ar-SA"/>
              </w:rPr>
            </w:pPr>
            <w:r w:rsidRPr="00114DEE">
              <w:rPr>
                <w:rFonts w:eastAsia="Times New Roman" w:cs="Times New Roman"/>
                <w:i/>
                <w:color w:val="13B5EA"/>
                <w:kern w:val="0"/>
                <w:sz w:val="16"/>
                <w:szCs w:val="16"/>
                <w:lang w:eastAsia="en-US" w:bidi="ar-SA"/>
              </w:rPr>
              <w:t>Zdroj: RRZ</w:t>
            </w:r>
          </w:p>
        </w:tc>
      </w:tr>
    </w:tbl>
    <w:p w14:paraId="3B173092" w14:textId="32CC8769" w:rsidR="009A4823" w:rsidRDefault="009A4823" w:rsidP="000833C6">
      <w:pPr>
        <w:rPr>
          <w:sz w:val="22"/>
          <w:szCs w:val="22"/>
        </w:rPr>
      </w:pPr>
    </w:p>
    <w:p w14:paraId="69DE62BC" w14:textId="575F3F77" w:rsidR="009A4823" w:rsidRDefault="009A4823" w:rsidP="00114DEE">
      <w:pPr>
        <w:jc w:val="both"/>
        <w:rPr>
          <w:sz w:val="22"/>
          <w:szCs w:val="22"/>
        </w:rPr>
      </w:pPr>
      <w:r>
        <w:rPr>
          <w:sz w:val="22"/>
          <w:szCs w:val="22"/>
        </w:rPr>
        <w:t xml:space="preserve">Strednodobá časť základného scenára vychádza z odhadu pre rok 2022, pričom v plnej miere zohľadňuje vplyvy nových schválených opatrení </w:t>
      </w:r>
      <w:r w:rsidR="00AA431D">
        <w:rPr>
          <w:sz w:val="22"/>
          <w:szCs w:val="22"/>
        </w:rPr>
        <w:t xml:space="preserve">v priebehu roku až do </w:t>
      </w:r>
      <w:r w:rsidR="006758EC">
        <w:rPr>
          <w:sz w:val="22"/>
          <w:szCs w:val="22"/>
        </w:rPr>
        <w:t>13</w:t>
      </w:r>
      <w:r w:rsidR="00AA431D">
        <w:rPr>
          <w:sz w:val="22"/>
          <w:szCs w:val="22"/>
        </w:rPr>
        <w:t>. decembra 2022</w:t>
      </w:r>
      <w:r>
        <w:rPr>
          <w:sz w:val="22"/>
          <w:szCs w:val="22"/>
        </w:rPr>
        <w:t xml:space="preserve"> (podrobný zoznam je </w:t>
      </w:r>
      <w:r w:rsidRPr="00FB056C">
        <w:rPr>
          <w:sz w:val="22"/>
          <w:szCs w:val="22"/>
        </w:rPr>
        <w:lastRenderedPageBreak/>
        <w:t>v</w:t>
      </w:r>
      <w:r w:rsidR="00820152">
        <w:t> </w:t>
      </w:r>
      <w:r w:rsidR="00820152" w:rsidRPr="00820152">
        <w:rPr>
          <w:color w:val="13B5EA"/>
          <w:sz w:val="22"/>
          <w:szCs w:val="22"/>
        </w:rPr>
        <w:t>Tab 3</w:t>
      </w:r>
      <w:r>
        <w:rPr>
          <w:sz w:val="22"/>
          <w:szCs w:val="22"/>
        </w:rPr>
        <w:t>). Odhadovaný vývoj hospodárenia verejnej správy v najvýraznejšej miere ovplyvňujú nové opatrenia v oblasti rodinnej politiky, ktoré navyšujú deficit približne</w:t>
      </w:r>
      <w:r w:rsidR="006758EC">
        <w:rPr>
          <w:sz w:val="22"/>
          <w:szCs w:val="22"/>
        </w:rPr>
        <w:t xml:space="preserve"> o</w:t>
      </w:r>
      <w:r w:rsidR="00F7460E">
        <w:rPr>
          <w:sz w:val="22"/>
          <w:szCs w:val="22"/>
        </w:rPr>
        <w:t> 1,1</w:t>
      </w:r>
      <w:r>
        <w:rPr>
          <w:sz w:val="22"/>
          <w:szCs w:val="22"/>
        </w:rPr>
        <w:t xml:space="preserve"> mld. eur</w:t>
      </w:r>
      <w:r w:rsidR="00F7460E">
        <w:rPr>
          <w:sz w:val="22"/>
          <w:szCs w:val="22"/>
        </w:rPr>
        <w:t xml:space="preserve"> v rokoch 2023 a 2024 a o necelých 0,8 mld. eur v roku 2025</w:t>
      </w:r>
      <w:r>
        <w:rPr>
          <w:sz w:val="22"/>
          <w:szCs w:val="22"/>
        </w:rPr>
        <w:t>.</w:t>
      </w:r>
    </w:p>
    <w:p w14:paraId="33502F29" w14:textId="262DF7CF" w:rsidR="00462ECB" w:rsidRDefault="00462ECB" w:rsidP="00114DEE">
      <w:pPr>
        <w:jc w:val="both"/>
        <w:rPr>
          <w:sz w:val="22"/>
          <w:szCs w:val="22"/>
        </w:rPr>
      </w:pPr>
    </w:p>
    <w:tbl>
      <w:tblPr>
        <w:tblW w:w="0" w:type="auto"/>
        <w:tblLayout w:type="fixed"/>
        <w:tblCellMar>
          <w:left w:w="70" w:type="dxa"/>
          <w:right w:w="70" w:type="dxa"/>
        </w:tblCellMar>
        <w:tblLook w:val="04A0" w:firstRow="1" w:lastRow="0" w:firstColumn="1" w:lastColumn="0" w:noHBand="0" w:noVBand="1"/>
      </w:tblPr>
      <w:tblGrid>
        <w:gridCol w:w="4962"/>
        <w:gridCol w:w="1027"/>
        <w:gridCol w:w="1028"/>
        <w:gridCol w:w="638"/>
        <w:gridCol w:w="389"/>
        <w:gridCol w:w="1028"/>
      </w:tblGrid>
      <w:tr w:rsidR="00462ECB" w:rsidRPr="00462ECB" w14:paraId="06A4A42A" w14:textId="77777777" w:rsidTr="00462ECB">
        <w:trPr>
          <w:trHeight w:val="288"/>
        </w:trPr>
        <w:tc>
          <w:tcPr>
            <w:tcW w:w="9072" w:type="dxa"/>
            <w:gridSpan w:val="6"/>
            <w:tcBorders>
              <w:top w:val="nil"/>
              <w:left w:val="nil"/>
              <w:bottom w:val="nil"/>
              <w:right w:val="nil"/>
            </w:tcBorders>
            <w:shd w:val="clear" w:color="auto" w:fill="auto"/>
            <w:vAlign w:val="center"/>
            <w:hideMark/>
          </w:tcPr>
          <w:p w14:paraId="509887F5" w14:textId="77777777" w:rsidR="00462ECB" w:rsidRPr="00801276" w:rsidRDefault="00462ECB" w:rsidP="00462ECB">
            <w:pPr>
              <w:widowControl/>
              <w:suppressAutoHyphens w:val="0"/>
              <w:rPr>
                <w:rFonts w:eastAsia="Times New Roman" w:cs="Times New Roman"/>
                <w:b/>
                <w:bCs/>
                <w:color w:val="13B5EA"/>
                <w:kern w:val="0"/>
                <w:sz w:val="20"/>
                <w:szCs w:val="20"/>
                <w:lang w:eastAsia="sk-SK" w:bidi="ar-SA"/>
              </w:rPr>
            </w:pPr>
            <w:bookmarkStart w:id="7" w:name="RANGE!A1"/>
            <w:r w:rsidRPr="00801276">
              <w:rPr>
                <w:rFonts w:eastAsia="Times New Roman" w:cs="Times New Roman"/>
                <w:b/>
                <w:bCs/>
                <w:color w:val="13B5EA"/>
                <w:kern w:val="0"/>
                <w:sz w:val="20"/>
                <w:szCs w:val="20"/>
                <w:lang w:eastAsia="sk-SK" w:bidi="ar-SA"/>
              </w:rPr>
              <w:t>Tab 3: Zoznam opatrení schválených v roku 2022</w:t>
            </w:r>
            <w:r w:rsidRPr="00801276">
              <w:rPr>
                <w:rFonts w:eastAsia="Times New Roman" w:cs="Times New Roman"/>
                <w:b/>
                <w:bCs/>
                <w:color w:val="13B5EA"/>
                <w:kern w:val="0"/>
                <w:sz w:val="16"/>
                <w:szCs w:val="16"/>
                <w:lang w:eastAsia="sk-SK" w:bidi="ar-SA"/>
              </w:rPr>
              <w:t xml:space="preserve"> </w:t>
            </w:r>
            <w:r w:rsidRPr="00801276">
              <w:rPr>
                <w:rFonts w:eastAsia="Times New Roman" w:cs="Times New Roman"/>
                <w:b/>
                <w:bCs/>
                <w:color w:val="13B5EA"/>
                <w:kern w:val="0"/>
                <w:sz w:val="20"/>
                <w:szCs w:val="20"/>
                <w:lang w:eastAsia="sk-SK" w:bidi="ar-SA"/>
              </w:rPr>
              <w:t>(tis. eur, rozdiely voči základnému scenáru, bez legislatívnych zmien ovplyvňujúcich dlhodobú udržateľnosť)</w:t>
            </w:r>
            <w:bookmarkEnd w:id="7"/>
          </w:p>
        </w:tc>
      </w:tr>
      <w:tr w:rsidR="00462ECB" w:rsidRPr="00462ECB" w14:paraId="05BD117D" w14:textId="77777777" w:rsidTr="00462ECB">
        <w:trPr>
          <w:trHeight w:val="288"/>
        </w:trPr>
        <w:tc>
          <w:tcPr>
            <w:tcW w:w="4962" w:type="dxa"/>
            <w:tcBorders>
              <w:top w:val="nil"/>
              <w:left w:val="nil"/>
              <w:bottom w:val="nil"/>
              <w:right w:val="nil"/>
            </w:tcBorders>
            <w:shd w:val="clear" w:color="000000" w:fill="13B5EA"/>
            <w:noWrap/>
            <w:vAlign w:val="center"/>
            <w:hideMark/>
          </w:tcPr>
          <w:p w14:paraId="753A90C8" w14:textId="77777777" w:rsidR="00462ECB" w:rsidRPr="00801276" w:rsidRDefault="00462ECB" w:rsidP="00462ECB">
            <w:pPr>
              <w:widowControl/>
              <w:suppressAutoHyphens w:val="0"/>
              <w:rPr>
                <w:rFonts w:eastAsia="Times New Roman" w:cs="Times New Roman"/>
                <w:color w:val="FFFFFF"/>
                <w:kern w:val="0"/>
                <w:sz w:val="18"/>
                <w:szCs w:val="18"/>
                <w:lang w:eastAsia="sk-SK" w:bidi="ar-SA"/>
              </w:rPr>
            </w:pPr>
            <w:r w:rsidRPr="00801276">
              <w:rPr>
                <w:rFonts w:eastAsia="Times New Roman" w:cs="Times New Roman"/>
                <w:color w:val="FFFFFF"/>
                <w:kern w:val="0"/>
                <w:sz w:val="18"/>
                <w:szCs w:val="18"/>
                <w:lang w:eastAsia="sk-SK" w:bidi="ar-SA"/>
              </w:rPr>
              <w:t> </w:t>
            </w:r>
          </w:p>
        </w:tc>
        <w:tc>
          <w:tcPr>
            <w:tcW w:w="1027" w:type="dxa"/>
            <w:tcBorders>
              <w:top w:val="nil"/>
              <w:left w:val="nil"/>
              <w:bottom w:val="nil"/>
              <w:right w:val="nil"/>
            </w:tcBorders>
            <w:shd w:val="clear" w:color="000000" w:fill="13B5EA"/>
            <w:vAlign w:val="center"/>
            <w:hideMark/>
          </w:tcPr>
          <w:p w14:paraId="62D14B54" w14:textId="77777777" w:rsidR="00462ECB" w:rsidRPr="00801276" w:rsidRDefault="00462ECB" w:rsidP="00462ECB">
            <w:pPr>
              <w:widowControl/>
              <w:suppressAutoHyphens w:val="0"/>
              <w:jc w:val="right"/>
              <w:rPr>
                <w:rFonts w:eastAsia="Times New Roman" w:cs="Times New Roman"/>
                <w:b/>
                <w:bCs/>
                <w:color w:val="FFFFFF"/>
                <w:kern w:val="0"/>
                <w:sz w:val="18"/>
                <w:szCs w:val="18"/>
                <w:lang w:eastAsia="sk-SK" w:bidi="ar-SA"/>
              </w:rPr>
            </w:pPr>
            <w:r w:rsidRPr="00801276">
              <w:rPr>
                <w:rFonts w:eastAsia="Times New Roman" w:cs="Times New Roman"/>
                <w:b/>
                <w:bCs/>
                <w:color w:val="FFFFFF"/>
                <w:kern w:val="0"/>
                <w:sz w:val="18"/>
                <w:szCs w:val="18"/>
                <w:lang w:eastAsia="sk-SK" w:bidi="ar-SA"/>
              </w:rPr>
              <w:t>2022</w:t>
            </w:r>
          </w:p>
        </w:tc>
        <w:tc>
          <w:tcPr>
            <w:tcW w:w="1028" w:type="dxa"/>
            <w:tcBorders>
              <w:top w:val="nil"/>
              <w:left w:val="nil"/>
              <w:bottom w:val="nil"/>
              <w:right w:val="nil"/>
            </w:tcBorders>
            <w:shd w:val="clear" w:color="000000" w:fill="13B5EA"/>
            <w:vAlign w:val="center"/>
            <w:hideMark/>
          </w:tcPr>
          <w:p w14:paraId="1243CD54" w14:textId="77777777" w:rsidR="00462ECB" w:rsidRPr="00801276" w:rsidRDefault="00462ECB" w:rsidP="00462ECB">
            <w:pPr>
              <w:widowControl/>
              <w:suppressAutoHyphens w:val="0"/>
              <w:jc w:val="right"/>
              <w:rPr>
                <w:rFonts w:eastAsia="Times New Roman" w:cs="Times New Roman"/>
                <w:b/>
                <w:bCs/>
                <w:color w:val="FFFFFF"/>
                <w:kern w:val="0"/>
                <w:sz w:val="18"/>
                <w:szCs w:val="18"/>
                <w:lang w:eastAsia="sk-SK" w:bidi="ar-SA"/>
              </w:rPr>
            </w:pPr>
            <w:r w:rsidRPr="00801276">
              <w:rPr>
                <w:rFonts w:eastAsia="Times New Roman" w:cs="Times New Roman"/>
                <w:b/>
                <w:bCs/>
                <w:color w:val="FFFFFF"/>
                <w:kern w:val="0"/>
                <w:sz w:val="18"/>
                <w:szCs w:val="18"/>
                <w:lang w:eastAsia="sk-SK" w:bidi="ar-SA"/>
              </w:rPr>
              <w:t>2023</w:t>
            </w:r>
          </w:p>
        </w:tc>
        <w:tc>
          <w:tcPr>
            <w:tcW w:w="1027" w:type="dxa"/>
            <w:gridSpan w:val="2"/>
            <w:tcBorders>
              <w:top w:val="nil"/>
              <w:left w:val="nil"/>
              <w:bottom w:val="nil"/>
              <w:right w:val="nil"/>
            </w:tcBorders>
            <w:shd w:val="clear" w:color="000000" w:fill="13B5EA"/>
            <w:vAlign w:val="center"/>
            <w:hideMark/>
          </w:tcPr>
          <w:p w14:paraId="4E28D400" w14:textId="77777777" w:rsidR="00462ECB" w:rsidRPr="00801276" w:rsidRDefault="00462ECB" w:rsidP="00462ECB">
            <w:pPr>
              <w:widowControl/>
              <w:suppressAutoHyphens w:val="0"/>
              <w:jc w:val="right"/>
              <w:rPr>
                <w:rFonts w:eastAsia="Times New Roman" w:cs="Times New Roman"/>
                <w:b/>
                <w:bCs/>
                <w:color w:val="FFFFFF"/>
                <w:kern w:val="0"/>
                <w:sz w:val="18"/>
                <w:szCs w:val="18"/>
                <w:lang w:eastAsia="sk-SK" w:bidi="ar-SA"/>
              </w:rPr>
            </w:pPr>
            <w:r w:rsidRPr="00801276">
              <w:rPr>
                <w:rFonts w:eastAsia="Times New Roman" w:cs="Times New Roman"/>
                <w:b/>
                <w:bCs/>
                <w:color w:val="FFFFFF"/>
                <w:kern w:val="0"/>
                <w:sz w:val="18"/>
                <w:szCs w:val="18"/>
                <w:lang w:eastAsia="sk-SK" w:bidi="ar-SA"/>
              </w:rPr>
              <w:t>2024</w:t>
            </w:r>
          </w:p>
        </w:tc>
        <w:tc>
          <w:tcPr>
            <w:tcW w:w="1028" w:type="dxa"/>
            <w:tcBorders>
              <w:top w:val="nil"/>
              <w:left w:val="nil"/>
              <w:bottom w:val="nil"/>
              <w:right w:val="nil"/>
            </w:tcBorders>
            <w:shd w:val="clear" w:color="000000" w:fill="13B5EA"/>
            <w:vAlign w:val="center"/>
            <w:hideMark/>
          </w:tcPr>
          <w:p w14:paraId="0F59DE97" w14:textId="77777777" w:rsidR="00462ECB" w:rsidRPr="00801276" w:rsidRDefault="00462ECB" w:rsidP="00462ECB">
            <w:pPr>
              <w:widowControl/>
              <w:suppressAutoHyphens w:val="0"/>
              <w:jc w:val="right"/>
              <w:rPr>
                <w:rFonts w:eastAsia="Times New Roman" w:cs="Times New Roman"/>
                <w:b/>
                <w:bCs/>
                <w:color w:val="FFFFFF"/>
                <w:kern w:val="0"/>
                <w:sz w:val="18"/>
                <w:szCs w:val="18"/>
                <w:lang w:eastAsia="sk-SK" w:bidi="ar-SA"/>
              </w:rPr>
            </w:pPr>
            <w:r w:rsidRPr="00801276">
              <w:rPr>
                <w:rFonts w:eastAsia="Times New Roman" w:cs="Times New Roman"/>
                <w:b/>
                <w:bCs/>
                <w:color w:val="FFFFFF"/>
                <w:kern w:val="0"/>
                <w:sz w:val="18"/>
                <w:szCs w:val="18"/>
                <w:lang w:eastAsia="sk-SK" w:bidi="ar-SA"/>
              </w:rPr>
              <w:t>2025</w:t>
            </w:r>
          </w:p>
        </w:tc>
      </w:tr>
      <w:tr w:rsidR="00462ECB" w:rsidRPr="00462ECB" w14:paraId="20E17A47" w14:textId="77777777" w:rsidTr="00462ECB">
        <w:trPr>
          <w:trHeight w:val="288"/>
        </w:trPr>
        <w:tc>
          <w:tcPr>
            <w:tcW w:w="4962" w:type="dxa"/>
            <w:tcBorders>
              <w:top w:val="nil"/>
              <w:left w:val="nil"/>
              <w:bottom w:val="nil"/>
              <w:right w:val="nil"/>
            </w:tcBorders>
            <w:shd w:val="clear" w:color="auto" w:fill="auto"/>
            <w:vAlign w:val="center"/>
            <w:hideMark/>
          </w:tcPr>
          <w:p w14:paraId="41549897"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Daňový bonus, rodinné prídavky a krúžkovné</w:t>
            </w:r>
          </w:p>
        </w:tc>
        <w:tc>
          <w:tcPr>
            <w:tcW w:w="1027" w:type="dxa"/>
            <w:tcBorders>
              <w:top w:val="nil"/>
              <w:left w:val="nil"/>
              <w:bottom w:val="nil"/>
              <w:right w:val="nil"/>
            </w:tcBorders>
            <w:shd w:val="clear" w:color="auto" w:fill="auto"/>
            <w:vAlign w:val="center"/>
            <w:hideMark/>
          </w:tcPr>
          <w:p w14:paraId="656EAAD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-149 047</w:t>
            </w:r>
          </w:p>
        </w:tc>
        <w:tc>
          <w:tcPr>
            <w:tcW w:w="1028" w:type="dxa"/>
            <w:tcBorders>
              <w:top w:val="nil"/>
              <w:left w:val="nil"/>
              <w:bottom w:val="nil"/>
              <w:right w:val="nil"/>
            </w:tcBorders>
            <w:shd w:val="clear" w:color="auto" w:fill="auto"/>
            <w:vAlign w:val="center"/>
            <w:hideMark/>
          </w:tcPr>
          <w:p w14:paraId="619C55EA"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-1 153 797</w:t>
            </w:r>
          </w:p>
        </w:tc>
        <w:tc>
          <w:tcPr>
            <w:tcW w:w="1027" w:type="dxa"/>
            <w:gridSpan w:val="2"/>
            <w:tcBorders>
              <w:top w:val="nil"/>
              <w:left w:val="nil"/>
              <w:bottom w:val="nil"/>
              <w:right w:val="nil"/>
            </w:tcBorders>
            <w:shd w:val="clear" w:color="auto" w:fill="auto"/>
            <w:vAlign w:val="center"/>
            <w:hideMark/>
          </w:tcPr>
          <w:p w14:paraId="4598D61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-1 124 135</w:t>
            </w:r>
          </w:p>
        </w:tc>
        <w:tc>
          <w:tcPr>
            <w:tcW w:w="1028" w:type="dxa"/>
            <w:tcBorders>
              <w:top w:val="nil"/>
              <w:left w:val="nil"/>
              <w:bottom w:val="nil"/>
              <w:right w:val="nil"/>
            </w:tcBorders>
            <w:shd w:val="clear" w:color="auto" w:fill="auto"/>
            <w:vAlign w:val="center"/>
            <w:hideMark/>
          </w:tcPr>
          <w:p w14:paraId="135AE3CA"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-761 380</w:t>
            </w:r>
          </w:p>
        </w:tc>
      </w:tr>
      <w:tr w:rsidR="00462ECB" w:rsidRPr="00462ECB" w14:paraId="4E4A0A33" w14:textId="77777777" w:rsidTr="00462ECB">
        <w:trPr>
          <w:trHeight w:val="288"/>
        </w:trPr>
        <w:tc>
          <w:tcPr>
            <w:tcW w:w="4962" w:type="dxa"/>
            <w:tcBorders>
              <w:top w:val="nil"/>
              <w:left w:val="nil"/>
              <w:bottom w:val="nil"/>
              <w:right w:val="nil"/>
            </w:tcBorders>
            <w:shd w:val="clear" w:color="auto" w:fill="auto"/>
            <w:vAlign w:val="center"/>
            <w:hideMark/>
          </w:tcPr>
          <w:p w14:paraId="051CAA9F" w14:textId="77777777" w:rsidR="00462ECB" w:rsidRPr="00801276" w:rsidRDefault="00462ECB" w:rsidP="00462ECB">
            <w:pPr>
              <w:widowControl/>
              <w:suppressAutoHyphens w:val="0"/>
              <w:ind w:firstLineChars="200" w:firstLine="36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 xml:space="preserve"> - daňový bonus</w:t>
            </w:r>
          </w:p>
        </w:tc>
        <w:tc>
          <w:tcPr>
            <w:tcW w:w="1027" w:type="dxa"/>
            <w:tcBorders>
              <w:top w:val="nil"/>
              <w:left w:val="nil"/>
              <w:bottom w:val="nil"/>
              <w:right w:val="nil"/>
            </w:tcBorders>
            <w:shd w:val="clear" w:color="auto" w:fill="auto"/>
            <w:vAlign w:val="center"/>
            <w:hideMark/>
          </w:tcPr>
          <w:p w14:paraId="37CA4B69"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-115 144</w:t>
            </w:r>
          </w:p>
        </w:tc>
        <w:tc>
          <w:tcPr>
            <w:tcW w:w="1028" w:type="dxa"/>
            <w:tcBorders>
              <w:top w:val="nil"/>
              <w:left w:val="nil"/>
              <w:bottom w:val="nil"/>
              <w:right w:val="nil"/>
            </w:tcBorders>
            <w:shd w:val="clear" w:color="auto" w:fill="auto"/>
            <w:vAlign w:val="center"/>
            <w:hideMark/>
          </w:tcPr>
          <w:p w14:paraId="66BBD714"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-749 309</w:t>
            </w:r>
          </w:p>
        </w:tc>
        <w:tc>
          <w:tcPr>
            <w:tcW w:w="1027" w:type="dxa"/>
            <w:gridSpan w:val="2"/>
            <w:tcBorders>
              <w:top w:val="nil"/>
              <w:left w:val="nil"/>
              <w:bottom w:val="nil"/>
              <w:right w:val="nil"/>
            </w:tcBorders>
            <w:shd w:val="clear" w:color="auto" w:fill="auto"/>
            <w:vAlign w:val="center"/>
            <w:hideMark/>
          </w:tcPr>
          <w:p w14:paraId="4F371599"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-722 798</w:t>
            </w:r>
          </w:p>
        </w:tc>
        <w:tc>
          <w:tcPr>
            <w:tcW w:w="1028" w:type="dxa"/>
            <w:tcBorders>
              <w:top w:val="nil"/>
              <w:left w:val="nil"/>
              <w:bottom w:val="nil"/>
              <w:right w:val="nil"/>
            </w:tcBorders>
            <w:shd w:val="clear" w:color="auto" w:fill="auto"/>
            <w:vAlign w:val="center"/>
            <w:hideMark/>
          </w:tcPr>
          <w:p w14:paraId="0F4467A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-372 045</w:t>
            </w:r>
          </w:p>
        </w:tc>
      </w:tr>
      <w:tr w:rsidR="00462ECB" w:rsidRPr="00462ECB" w14:paraId="4A295109" w14:textId="77777777" w:rsidTr="00462ECB">
        <w:trPr>
          <w:trHeight w:val="288"/>
        </w:trPr>
        <w:tc>
          <w:tcPr>
            <w:tcW w:w="4962" w:type="dxa"/>
            <w:tcBorders>
              <w:top w:val="nil"/>
              <w:left w:val="nil"/>
              <w:bottom w:val="nil"/>
              <w:right w:val="nil"/>
            </w:tcBorders>
            <w:shd w:val="clear" w:color="auto" w:fill="auto"/>
            <w:vAlign w:val="center"/>
            <w:hideMark/>
          </w:tcPr>
          <w:p w14:paraId="097622C5" w14:textId="77777777" w:rsidR="00462ECB" w:rsidRPr="00801276" w:rsidRDefault="00462ECB" w:rsidP="00462ECB">
            <w:pPr>
              <w:widowControl/>
              <w:suppressAutoHyphens w:val="0"/>
              <w:ind w:firstLineChars="200" w:firstLine="36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 xml:space="preserve"> - prídavky na deti</w:t>
            </w:r>
          </w:p>
        </w:tc>
        <w:tc>
          <w:tcPr>
            <w:tcW w:w="1027" w:type="dxa"/>
            <w:tcBorders>
              <w:top w:val="nil"/>
              <w:left w:val="nil"/>
              <w:bottom w:val="nil"/>
              <w:right w:val="nil"/>
            </w:tcBorders>
            <w:shd w:val="clear" w:color="auto" w:fill="auto"/>
            <w:vAlign w:val="center"/>
            <w:hideMark/>
          </w:tcPr>
          <w:p w14:paraId="142083AF"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-23 130</w:t>
            </w:r>
          </w:p>
        </w:tc>
        <w:tc>
          <w:tcPr>
            <w:tcW w:w="1028" w:type="dxa"/>
            <w:tcBorders>
              <w:top w:val="nil"/>
              <w:left w:val="nil"/>
              <w:bottom w:val="nil"/>
              <w:right w:val="nil"/>
            </w:tcBorders>
            <w:shd w:val="clear" w:color="auto" w:fill="auto"/>
            <w:vAlign w:val="center"/>
            <w:hideMark/>
          </w:tcPr>
          <w:p w14:paraId="3E68992E"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-403 784</w:t>
            </w:r>
          </w:p>
        </w:tc>
        <w:tc>
          <w:tcPr>
            <w:tcW w:w="1027" w:type="dxa"/>
            <w:gridSpan w:val="2"/>
            <w:tcBorders>
              <w:top w:val="nil"/>
              <w:left w:val="nil"/>
              <w:bottom w:val="nil"/>
              <w:right w:val="nil"/>
            </w:tcBorders>
            <w:shd w:val="clear" w:color="auto" w:fill="auto"/>
            <w:vAlign w:val="center"/>
            <w:hideMark/>
          </w:tcPr>
          <w:p w14:paraId="4DC953E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-400 583</w:t>
            </w:r>
          </w:p>
        </w:tc>
        <w:tc>
          <w:tcPr>
            <w:tcW w:w="1028" w:type="dxa"/>
            <w:tcBorders>
              <w:top w:val="nil"/>
              <w:left w:val="nil"/>
              <w:bottom w:val="nil"/>
              <w:right w:val="nil"/>
            </w:tcBorders>
            <w:shd w:val="clear" w:color="auto" w:fill="auto"/>
            <w:vAlign w:val="center"/>
            <w:hideMark/>
          </w:tcPr>
          <w:p w14:paraId="3FA57940"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-388 532</w:t>
            </w:r>
          </w:p>
        </w:tc>
      </w:tr>
      <w:tr w:rsidR="00462ECB" w:rsidRPr="00462ECB" w14:paraId="50FCC517" w14:textId="77777777" w:rsidTr="00462ECB">
        <w:trPr>
          <w:trHeight w:val="288"/>
        </w:trPr>
        <w:tc>
          <w:tcPr>
            <w:tcW w:w="4962" w:type="dxa"/>
            <w:tcBorders>
              <w:top w:val="nil"/>
              <w:left w:val="nil"/>
              <w:bottom w:val="nil"/>
              <w:right w:val="nil"/>
            </w:tcBorders>
            <w:shd w:val="clear" w:color="auto" w:fill="auto"/>
            <w:vAlign w:val="center"/>
            <w:hideMark/>
          </w:tcPr>
          <w:p w14:paraId="2E16965F" w14:textId="77777777" w:rsidR="00462ECB" w:rsidRPr="00801276" w:rsidRDefault="00462ECB" w:rsidP="00462ECB">
            <w:pPr>
              <w:widowControl/>
              <w:suppressAutoHyphens w:val="0"/>
              <w:ind w:firstLineChars="200" w:firstLine="36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 xml:space="preserve"> - krúžkovné</w:t>
            </w:r>
          </w:p>
        </w:tc>
        <w:tc>
          <w:tcPr>
            <w:tcW w:w="1027" w:type="dxa"/>
            <w:tcBorders>
              <w:top w:val="nil"/>
              <w:left w:val="nil"/>
              <w:bottom w:val="nil"/>
              <w:right w:val="nil"/>
            </w:tcBorders>
            <w:shd w:val="clear" w:color="auto" w:fill="auto"/>
            <w:vAlign w:val="center"/>
            <w:hideMark/>
          </w:tcPr>
          <w:p w14:paraId="339374A8"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3AEF291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7" w:type="dxa"/>
            <w:gridSpan w:val="2"/>
            <w:tcBorders>
              <w:top w:val="nil"/>
              <w:left w:val="nil"/>
              <w:bottom w:val="nil"/>
              <w:right w:val="nil"/>
            </w:tcBorders>
            <w:shd w:val="clear" w:color="auto" w:fill="auto"/>
            <w:vAlign w:val="center"/>
            <w:hideMark/>
          </w:tcPr>
          <w:p w14:paraId="040781C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2F0AEB9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r>
      <w:tr w:rsidR="00462ECB" w:rsidRPr="00462ECB" w14:paraId="3F948027" w14:textId="77777777" w:rsidTr="00462ECB">
        <w:trPr>
          <w:trHeight w:val="288"/>
        </w:trPr>
        <w:tc>
          <w:tcPr>
            <w:tcW w:w="4962" w:type="dxa"/>
            <w:tcBorders>
              <w:top w:val="nil"/>
              <w:left w:val="nil"/>
              <w:bottom w:val="nil"/>
              <w:right w:val="nil"/>
            </w:tcBorders>
            <w:shd w:val="clear" w:color="auto" w:fill="auto"/>
            <w:vAlign w:val="center"/>
            <w:hideMark/>
          </w:tcPr>
          <w:p w14:paraId="0C21D6E7" w14:textId="77777777" w:rsidR="00462ECB" w:rsidRPr="00801276" w:rsidRDefault="00462ECB" w:rsidP="00462ECB">
            <w:pPr>
              <w:widowControl/>
              <w:suppressAutoHyphens w:val="0"/>
              <w:ind w:firstLineChars="200" w:firstLine="36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 xml:space="preserve"> - ostatné</w:t>
            </w:r>
          </w:p>
        </w:tc>
        <w:tc>
          <w:tcPr>
            <w:tcW w:w="1027" w:type="dxa"/>
            <w:tcBorders>
              <w:top w:val="nil"/>
              <w:left w:val="nil"/>
              <w:bottom w:val="nil"/>
              <w:right w:val="nil"/>
            </w:tcBorders>
            <w:shd w:val="clear" w:color="auto" w:fill="auto"/>
            <w:vAlign w:val="center"/>
            <w:hideMark/>
          </w:tcPr>
          <w:p w14:paraId="093E23B4"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-10 773</w:t>
            </w:r>
          </w:p>
        </w:tc>
        <w:tc>
          <w:tcPr>
            <w:tcW w:w="1028" w:type="dxa"/>
            <w:tcBorders>
              <w:top w:val="nil"/>
              <w:left w:val="nil"/>
              <w:bottom w:val="nil"/>
              <w:right w:val="nil"/>
            </w:tcBorders>
            <w:shd w:val="clear" w:color="auto" w:fill="auto"/>
            <w:vAlign w:val="center"/>
            <w:hideMark/>
          </w:tcPr>
          <w:p w14:paraId="2FEC6451"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-704</w:t>
            </w:r>
          </w:p>
        </w:tc>
        <w:tc>
          <w:tcPr>
            <w:tcW w:w="1027" w:type="dxa"/>
            <w:gridSpan w:val="2"/>
            <w:tcBorders>
              <w:top w:val="nil"/>
              <w:left w:val="nil"/>
              <w:bottom w:val="nil"/>
              <w:right w:val="nil"/>
            </w:tcBorders>
            <w:shd w:val="clear" w:color="auto" w:fill="auto"/>
            <w:vAlign w:val="center"/>
            <w:hideMark/>
          </w:tcPr>
          <w:p w14:paraId="1AD14C8C"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-753</w:t>
            </w:r>
          </w:p>
        </w:tc>
        <w:tc>
          <w:tcPr>
            <w:tcW w:w="1028" w:type="dxa"/>
            <w:tcBorders>
              <w:top w:val="nil"/>
              <w:left w:val="nil"/>
              <w:bottom w:val="nil"/>
              <w:right w:val="nil"/>
            </w:tcBorders>
            <w:shd w:val="clear" w:color="auto" w:fill="auto"/>
            <w:vAlign w:val="center"/>
            <w:hideMark/>
          </w:tcPr>
          <w:p w14:paraId="6A725785"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-802</w:t>
            </w:r>
          </w:p>
        </w:tc>
      </w:tr>
      <w:tr w:rsidR="00462ECB" w:rsidRPr="00462ECB" w14:paraId="6607B300" w14:textId="77777777" w:rsidTr="00462ECB">
        <w:trPr>
          <w:trHeight w:val="288"/>
        </w:trPr>
        <w:tc>
          <w:tcPr>
            <w:tcW w:w="4962" w:type="dxa"/>
            <w:tcBorders>
              <w:top w:val="nil"/>
              <w:left w:val="nil"/>
              <w:bottom w:val="nil"/>
              <w:right w:val="nil"/>
            </w:tcBorders>
            <w:shd w:val="clear" w:color="auto" w:fill="auto"/>
            <w:vAlign w:val="center"/>
            <w:hideMark/>
          </w:tcPr>
          <w:p w14:paraId="3F053528"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Novela zákona o liekoch</w:t>
            </w:r>
          </w:p>
        </w:tc>
        <w:tc>
          <w:tcPr>
            <w:tcW w:w="1027" w:type="dxa"/>
            <w:tcBorders>
              <w:top w:val="nil"/>
              <w:left w:val="nil"/>
              <w:bottom w:val="nil"/>
              <w:right w:val="nil"/>
            </w:tcBorders>
            <w:shd w:val="clear" w:color="auto" w:fill="auto"/>
            <w:vAlign w:val="center"/>
            <w:hideMark/>
          </w:tcPr>
          <w:p w14:paraId="45D502F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10 400</w:t>
            </w:r>
          </w:p>
        </w:tc>
        <w:tc>
          <w:tcPr>
            <w:tcW w:w="1028" w:type="dxa"/>
            <w:tcBorders>
              <w:top w:val="nil"/>
              <w:left w:val="nil"/>
              <w:bottom w:val="nil"/>
              <w:right w:val="nil"/>
            </w:tcBorders>
            <w:shd w:val="clear" w:color="auto" w:fill="auto"/>
            <w:vAlign w:val="center"/>
            <w:hideMark/>
          </w:tcPr>
          <w:p w14:paraId="17DFA9D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-13 880</w:t>
            </w:r>
          </w:p>
        </w:tc>
        <w:tc>
          <w:tcPr>
            <w:tcW w:w="1027" w:type="dxa"/>
            <w:gridSpan w:val="2"/>
            <w:tcBorders>
              <w:top w:val="nil"/>
              <w:left w:val="nil"/>
              <w:bottom w:val="nil"/>
              <w:right w:val="nil"/>
            </w:tcBorders>
            <w:shd w:val="clear" w:color="auto" w:fill="auto"/>
            <w:vAlign w:val="center"/>
            <w:hideMark/>
          </w:tcPr>
          <w:p w14:paraId="7A83EE2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-16 220</w:t>
            </w:r>
          </w:p>
        </w:tc>
        <w:tc>
          <w:tcPr>
            <w:tcW w:w="1028" w:type="dxa"/>
            <w:tcBorders>
              <w:top w:val="nil"/>
              <w:left w:val="nil"/>
              <w:bottom w:val="nil"/>
              <w:right w:val="nil"/>
            </w:tcBorders>
            <w:shd w:val="clear" w:color="auto" w:fill="auto"/>
            <w:vAlign w:val="center"/>
            <w:hideMark/>
          </w:tcPr>
          <w:p w14:paraId="325445D4"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920</w:t>
            </w:r>
          </w:p>
        </w:tc>
      </w:tr>
      <w:tr w:rsidR="00462ECB" w:rsidRPr="00462ECB" w14:paraId="73A3AB1E" w14:textId="77777777" w:rsidTr="00462ECB">
        <w:trPr>
          <w:trHeight w:val="288"/>
        </w:trPr>
        <w:tc>
          <w:tcPr>
            <w:tcW w:w="4962" w:type="dxa"/>
            <w:tcBorders>
              <w:top w:val="nil"/>
              <w:left w:val="nil"/>
              <w:bottom w:val="nil"/>
              <w:right w:val="nil"/>
            </w:tcBorders>
            <w:shd w:val="clear" w:color="auto" w:fill="auto"/>
            <w:vAlign w:val="center"/>
            <w:hideMark/>
          </w:tcPr>
          <w:p w14:paraId="506AF0CC"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Novela zákona o zdravotnej starostlivosti</w:t>
            </w:r>
          </w:p>
        </w:tc>
        <w:tc>
          <w:tcPr>
            <w:tcW w:w="1027" w:type="dxa"/>
            <w:tcBorders>
              <w:top w:val="nil"/>
              <w:left w:val="nil"/>
              <w:bottom w:val="nil"/>
              <w:right w:val="nil"/>
            </w:tcBorders>
            <w:shd w:val="clear" w:color="auto" w:fill="auto"/>
            <w:vAlign w:val="center"/>
            <w:hideMark/>
          </w:tcPr>
          <w:p w14:paraId="31A4AE3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-10 903</w:t>
            </w:r>
          </w:p>
        </w:tc>
        <w:tc>
          <w:tcPr>
            <w:tcW w:w="1028" w:type="dxa"/>
            <w:tcBorders>
              <w:top w:val="nil"/>
              <w:left w:val="nil"/>
              <w:bottom w:val="nil"/>
              <w:right w:val="nil"/>
            </w:tcBorders>
            <w:shd w:val="clear" w:color="auto" w:fill="auto"/>
            <w:vAlign w:val="center"/>
            <w:hideMark/>
          </w:tcPr>
          <w:p w14:paraId="15BCEB6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-25 157</w:t>
            </w:r>
          </w:p>
        </w:tc>
        <w:tc>
          <w:tcPr>
            <w:tcW w:w="1027" w:type="dxa"/>
            <w:gridSpan w:val="2"/>
            <w:tcBorders>
              <w:top w:val="nil"/>
              <w:left w:val="nil"/>
              <w:bottom w:val="nil"/>
              <w:right w:val="nil"/>
            </w:tcBorders>
            <w:shd w:val="clear" w:color="auto" w:fill="auto"/>
            <w:vAlign w:val="center"/>
            <w:hideMark/>
          </w:tcPr>
          <w:p w14:paraId="0B9F52FE"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-29 556</w:t>
            </w:r>
          </w:p>
        </w:tc>
        <w:tc>
          <w:tcPr>
            <w:tcW w:w="1028" w:type="dxa"/>
            <w:tcBorders>
              <w:top w:val="nil"/>
              <w:left w:val="nil"/>
              <w:bottom w:val="nil"/>
              <w:right w:val="nil"/>
            </w:tcBorders>
            <w:shd w:val="clear" w:color="auto" w:fill="auto"/>
            <w:vAlign w:val="center"/>
            <w:hideMark/>
          </w:tcPr>
          <w:p w14:paraId="7A3F90D1"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-33 112</w:t>
            </w:r>
          </w:p>
        </w:tc>
      </w:tr>
      <w:tr w:rsidR="00462ECB" w:rsidRPr="00462ECB" w14:paraId="726EDA47" w14:textId="77777777" w:rsidTr="00462ECB">
        <w:trPr>
          <w:trHeight w:val="288"/>
        </w:trPr>
        <w:tc>
          <w:tcPr>
            <w:tcW w:w="4962" w:type="dxa"/>
            <w:tcBorders>
              <w:top w:val="nil"/>
              <w:left w:val="nil"/>
              <w:bottom w:val="nil"/>
              <w:right w:val="nil"/>
            </w:tcBorders>
            <w:shd w:val="clear" w:color="auto" w:fill="auto"/>
            <w:vAlign w:val="center"/>
            <w:hideMark/>
          </w:tcPr>
          <w:p w14:paraId="68E88E37"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Súdna reforma</w:t>
            </w:r>
          </w:p>
        </w:tc>
        <w:tc>
          <w:tcPr>
            <w:tcW w:w="1027" w:type="dxa"/>
            <w:tcBorders>
              <w:top w:val="nil"/>
              <w:left w:val="nil"/>
              <w:bottom w:val="nil"/>
              <w:right w:val="nil"/>
            </w:tcBorders>
            <w:shd w:val="clear" w:color="auto" w:fill="auto"/>
            <w:vAlign w:val="center"/>
            <w:hideMark/>
          </w:tcPr>
          <w:p w14:paraId="3CA4B89C"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-2 014</w:t>
            </w:r>
          </w:p>
        </w:tc>
        <w:tc>
          <w:tcPr>
            <w:tcW w:w="1028" w:type="dxa"/>
            <w:tcBorders>
              <w:top w:val="nil"/>
              <w:left w:val="nil"/>
              <w:bottom w:val="nil"/>
              <w:right w:val="nil"/>
            </w:tcBorders>
            <w:shd w:val="clear" w:color="auto" w:fill="auto"/>
            <w:vAlign w:val="center"/>
            <w:hideMark/>
          </w:tcPr>
          <w:p w14:paraId="164B105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-15 055</w:t>
            </w:r>
          </w:p>
        </w:tc>
        <w:tc>
          <w:tcPr>
            <w:tcW w:w="1027" w:type="dxa"/>
            <w:gridSpan w:val="2"/>
            <w:tcBorders>
              <w:top w:val="nil"/>
              <w:left w:val="nil"/>
              <w:bottom w:val="nil"/>
              <w:right w:val="nil"/>
            </w:tcBorders>
            <w:shd w:val="clear" w:color="auto" w:fill="auto"/>
            <w:vAlign w:val="center"/>
            <w:hideMark/>
          </w:tcPr>
          <w:p w14:paraId="58BEA10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-13 305</w:t>
            </w:r>
          </w:p>
        </w:tc>
        <w:tc>
          <w:tcPr>
            <w:tcW w:w="1028" w:type="dxa"/>
            <w:tcBorders>
              <w:top w:val="nil"/>
              <w:left w:val="nil"/>
              <w:bottom w:val="nil"/>
              <w:right w:val="nil"/>
            </w:tcBorders>
            <w:shd w:val="clear" w:color="auto" w:fill="auto"/>
            <w:vAlign w:val="center"/>
            <w:hideMark/>
          </w:tcPr>
          <w:p w14:paraId="2433CDE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-13 917</w:t>
            </w:r>
          </w:p>
        </w:tc>
      </w:tr>
      <w:tr w:rsidR="00462ECB" w:rsidRPr="00462ECB" w14:paraId="7A00AB97" w14:textId="77777777" w:rsidTr="00462ECB">
        <w:trPr>
          <w:trHeight w:val="288"/>
        </w:trPr>
        <w:tc>
          <w:tcPr>
            <w:tcW w:w="4962" w:type="dxa"/>
            <w:tcBorders>
              <w:top w:val="nil"/>
              <w:left w:val="nil"/>
              <w:bottom w:val="nil"/>
              <w:right w:val="nil"/>
            </w:tcBorders>
            <w:shd w:val="clear" w:color="auto" w:fill="auto"/>
            <w:vAlign w:val="center"/>
            <w:hideMark/>
          </w:tcPr>
          <w:p w14:paraId="21B8BAF3"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Správne súdy</w:t>
            </w:r>
          </w:p>
        </w:tc>
        <w:tc>
          <w:tcPr>
            <w:tcW w:w="1027" w:type="dxa"/>
            <w:tcBorders>
              <w:top w:val="nil"/>
              <w:left w:val="nil"/>
              <w:bottom w:val="nil"/>
              <w:right w:val="nil"/>
            </w:tcBorders>
            <w:shd w:val="clear" w:color="auto" w:fill="auto"/>
            <w:vAlign w:val="center"/>
            <w:hideMark/>
          </w:tcPr>
          <w:p w14:paraId="46E8B825"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68ED424C"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-17 962</w:t>
            </w:r>
          </w:p>
        </w:tc>
        <w:tc>
          <w:tcPr>
            <w:tcW w:w="1027" w:type="dxa"/>
            <w:gridSpan w:val="2"/>
            <w:tcBorders>
              <w:top w:val="nil"/>
              <w:left w:val="nil"/>
              <w:bottom w:val="nil"/>
              <w:right w:val="nil"/>
            </w:tcBorders>
            <w:shd w:val="clear" w:color="auto" w:fill="auto"/>
            <w:vAlign w:val="center"/>
            <w:hideMark/>
          </w:tcPr>
          <w:p w14:paraId="71155C29"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-15 583</w:t>
            </w:r>
          </w:p>
        </w:tc>
        <w:tc>
          <w:tcPr>
            <w:tcW w:w="1028" w:type="dxa"/>
            <w:tcBorders>
              <w:top w:val="nil"/>
              <w:left w:val="nil"/>
              <w:bottom w:val="nil"/>
              <w:right w:val="nil"/>
            </w:tcBorders>
            <w:shd w:val="clear" w:color="auto" w:fill="auto"/>
            <w:vAlign w:val="center"/>
            <w:hideMark/>
          </w:tcPr>
          <w:p w14:paraId="5B7D8914"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-16 490</w:t>
            </w:r>
          </w:p>
        </w:tc>
      </w:tr>
      <w:tr w:rsidR="00462ECB" w:rsidRPr="00462ECB" w14:paraId="5638336C" w14:textId="77777777" w:rsidTr="00462ECB">
        <w:trPr>
          <w:trHeight w:val="480"/>
        </w:trPr>
        <w:tc>
          <w:tcPr>
            <w:tcW w:w="4962" w:type="dxa"/>
            <w:tcBorders>
              <w:top w:val="nil"/>
              <w:left w:val="nil"/>
              <w:bottom w:val="nil"/>
              <w:right w:val="nil"/>
            </w:tcBorders>
            <w:shd w:val="clear" w:color="auto" w:fill="auto"/>
            <w:vAlign w:val="center"/>
            <w:hideMark/>
          </w:tcPr>
          <w:p w14:paraId="06C3AC35"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Zákony o výstavbe, územnom plánovaní a zriadenie centrálneho stavebného úradu</w:t>
            </w:r>
          </w:p>
        </w:tc>
        <w:tc>
          <w:tcPr>
            <w:tcW w:w="1027" w:type="dxa"/>
            <w:tcBorders>
              <w:top w:val="nil"/>
              <w:left w:val="nil"/>
              <w:bottom w:val="nil"/>
              <w:right w:val="nil"/>
            </w:tcBorders>
            <w:shd w:val="clear" w:color="auto" w:fill="auto"/>
            <w:vAlign w:val="center"/>
            <w:hideMark/>
          </w:tcPr>
          <w:p w14:paraId="1BB2138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19A48E5F"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-68 048</w:t>
            </w:r>
          </w:p>
        </w:tc>
        <w:tc>
          <w:tcPr>
            <w:tcW w:w="1027" w:type="dxa"/>
            <w:gridSpan w:val="2"/>
            <w:tcBorders>
              <w:top w:val="nil"/>
              <w:left w:val="nil"/>
              <w:bottom w:val="nil"/>
              <w:right w:val="nil"/>
            </w:tcBorders>
            <w:shd w:val="clear" w:color="auto" w:fill="auto"/>
            <w:vAlign w:val="center"/>
            <w:hideMark/>
          </w:tcPr>
          <w:p w14:paraId="58F681F1"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-70 108</w:t>
            </w:r>
          </w:p>
        </w:tc>
        <w:tc>
          <w:tcPr>
            <w:tcW w:w="1028" w:type="dxa"/>
            <w:tcBorders>
              <w:top w:val="nil"/>
              <w:left w:val="nil"/>
              <w:bottom w:val="nil"/>
              <w:right w:val="nil"/>
            </w:tcBorders>
            <w:shd w:val="clear" w:color="auto" w:fill="auto"/>
            <w:vAlign w:val="center"/>
            <w:hideMark/>
          </w:tcPr>
          <w:p w14:paraId="03E3D39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-83 124</w:t>
            </w:r>
          </w:p>
        </w:tc>
      </w:tr>
      <w:tr w:rsidR="00462ECB" w:rsidRPr="00462ECB" w14:paraId="79F17FD3" w14:textId="77777777" w:rsidTr="00462ECB">
        <w:trPr>
          <w:trHeight w:val="288"/>
        </w:trPr>
        <w:tc>
          <w:tcPr>
            <w:tcW w:w="4962" w:type="dxa"/>
            <w:tcBorders>
              <w:top w:val="nil"/>
              <w:left w:val="nil"/>
              <w:bottom w:val="nil"/>
              <w:right w:val="nil"/>
            </w:tcBorders>
            <w:shd w:val="clear" w:color="auto" w:fill="auto"/>
            <w:vAlign w:val="center"/>
            <w:hideMark/>
          </w:tcPr>
          <w:p w14:paraId="45199698"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Dotácia pre Volvo</w:t>
            </w:r>
          </w:p>
        </w:tc>
        <w:tc>
          <w:tcPr>
            <w:tcW w:w="1027" w:type="dxa"/>
            <w:tcBorders>
              <w:top w:val="nil"/>
              <w:left w:val="nil"/>
              <w:bottom w:val="nil"/>
              <w:right w:val="nil"/>
            </w:tcBorders>
            <w:shd w:val="clear" w:color="auto" w:fill="auto"/>
            <w:vAlign w:val="center"/>
            <w:hideMark/>
          </w:tcPr>
          <w:p w14:paraId="01B30F54"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4D5FAF4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7" w:type="dxa"/>
            <w:gridSpan w:val="2"/>
            <w:tcBorders>
              <w:top w:val="nil"/>
              <w:left w:val="nil"/>
              <w:bottom w:val="nil"/>
              <w:right w:val="nil"/>
            </w:tcBorders>
            <w:shd w:val="clear" w:color="auto" w:fill="auto"/>
            <w:vAlign w:val="center"/>
            <w:hideMark/>
          </w:tcPr>
          <w:p w14:paraId="6AD4259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-12 721</w:t>
            </w:r>
          </w:p>
        </w:tc>
        <w:tc>
          <w:tcPr>
            <w:tcW w:w="1028" w:type="dxa"/>
            <w:tcBorders>
              <w:top w:val="nil"/>
              <w:left w:val="nil"/>
              <w:bottom w:val="nil"/>
              <w:right w:val="nil"/>
            </w:tcBorders>
            <w:shd w:val="clear" w:color="auto" w:fill="auto"/>
            <w:vAlign w:val="center"/>
            <w:hideMark/>
          </w:tcPr>
          <w:p w14:paraId="67B3DB50"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-15 261</w:t>
            </w:r>
          </w:p>
        </w:tc>
      </w:tr>
      <w:tr w:rsidR="00462ECB" w:rsidRPr="00462ECB" w14:paraId="16406140" w14:textId="77777777" w:rsidTr="00462ECB">
        <w:trPr>
          <w:trHeight w:val="288"/>
        </w:trPr>
        <w:tc>
          <w:tcPr>
            <w:tcW w:w="4962" w:type="dxa"/>
            <w:tcBorders>
              <w:top w:val="nil"/>
              <w:left w:val="nil"/>
              <w:bottom w:val="nil"/>
              <w:right w:val="nil"/>
            </w:tcBorders>
            <w:shd w:val="clear" w:color="auto" w:fill="auto"/>
            <w:vAlign w:val="center"/>
            <w:hideMark/>
          </w:tcPr>
          <w:p w14:paraId="40C1B3D8"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OOP pre sezónnych pracovníkov</w:t>
            </w:r>
          </w:p>
        </w:tc>
        <w:tc>
          <w:tcPr>
            <w:tcW w:w="1027" w:type="dxa"/>
            <w:tcBorders>
              <w:top w:val="nil"/>
              <w:left w:val="nil"/>
              <w:bottom w:val="nil"/>
              <w:right w:val="nil"/>
            </w:tcBorders>
            <w:shd w:val="clear" w:color="auto" w:fill="auto"/>
            <w:vAlign w:val="center"/>
            <w:hideMark/>
          </w:tcPr>
          <w:p w14:paraId="621D386A"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160A174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-11 294</w:t>
            </w:r>
          </w:p>
        </w:tc>
        <w:tc>
          <w:tcPr>
            <w:tcW w:w="1027" w:type="dxa"/>
            <w:gridSpan w:val="2"/>
            <w:tcBorders>
              <w:top w:val="nil"/>
              <w:left w:val="nil"/>
              <w:bottom w:val="nil"/>
              <w:right w:val="nil"/>
            </w:tcBorders>
            <w:shd w:val="clear" w:color="auto" w:fill="auto"/>
            <w:vAlign w:val="center"/>
            <w:hideMark/>
          </w:tcPr>
          <w:p w14:paraId="1C2B86F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-11 872</w:t>
            </w:r>
          </w:p>
        </w:tc>
        <w:tc>
          <w:tcPr>
            <w:tcW w:w="1028" w:type="dxa"/>
            <w:tcBorders>
              <w:top w:val="nil"/>
              <w:left w:val="nil"/>
              <w:bottom w:val="nil"/>
              <w:right w:val="nil"/>
            </w:tcBorders>
            <w:shd w:val="clear" w:color="auto" w:fill="auto"/>
            <w:vAlign w:val="center"/>
            <w:hideMark/>
          </w:tcPr>
          <w:p w14:paraId="4CE55D7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-13 059</w:t>
            </w:r>
          </w:p>
        </w:tc>
      </w:tr>
      <w:tr w:rsidR="00462ECB" w:rsidRPr="00462ECB" w14:paraId="572E42AC" w14:textId="77777777" w:rsidTr="00462ECB">
        <w:trPr>
          <w:trHeight w:val="288"/>
        </w:trPr>
        <w:tc>
          <w:tcPr>
            <w:tcW w:w="4962" w:type="dxa"/>
            <w:tcBorders>
              <w:top w:val="nil"/>
              <w:left w:val="nil"/>
              <w:bottom w:val="nil"/>
              <w:right w:val="nil"/>
            </w:tcBorders>
            <w:shd w:val="clear" w:color="auto" w:fill="auto"/>
            <w:vAlign w:val="center"/>
            <w:hideMark/>
          </w:tcPr>
          <w:p w14:paraId="3EDF89C0"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Zmena poplatkov za uloženie stavebného odpadu na skládku</w:t>
            </w:r>
          </w:p>
        </w:tc>
        <w:tc>
          <w:tcPr>
            <w:tcW w:w="1027" w:type="dxa"/>
            <w:tcBorders>
              <w:top w:val="nil"/>
              <w:left w:val="nil"/>
              <w:bottom w:val="nil"/>
              <w:right w:val="nil"/>
            </w:tcBorders>
            <w:shd w:val="clear" w:color="auto" w:fill="auto"/>
            <w:vAlign w:val="center"/>
            <w:hideMark/>
          </w:tcPr>
          <w:p w14:paraId="20B458C1"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1 064</w:t>
            </w:r>
          </w:p>
        </w:tc>
        <w:tc>
          <w:tcPr>
            <w:tcW w:w="1028" w:type="dxa"/>
            <w:tcBorders>
              <w:top w:val="nil"/>
              <w:left w:val="nil"/>
              <w:bottom w:val="nil"/>
              <w:right w:val="nil"/>
            </w:tcBorders>
            <w:shd w:val="clear" w:color="auto" w:fill="auto"/>
            <w:vAlign w:val="center"/>
            <w:hideMark/>
          </w:tcPr>
          <w:p w14:paraId="41BD9AF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2 388</w:t>
            </w:r>
          </w:p>
        </w:tc>
        <w:tc>
          <w:tcPr>
            <w:tcW w:w="1027" w:type="dxa"/>
            <w:gridSpan w:val="2"/>
            <w:tcBorders>
              <w:top w:val="nil"/>
              <w:left w:val="nil"/>
              <w:bottom w:val="nil"/>
              <w:right w:val="nil"/>
            </w:tcBorders>
            <w:shd w:val="clear" w:color="auto" w:fill="auto"/>
            <w:vAlign w:val="center"/>
            <w:hideMark/>
          </w:tcPr>
          <w:p w14:paraId="21EEA7B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2 481</w:t>
            </w:r>
          </w:p>
        </w:tc>
        <w:tc>
          <w:tcPr>
            <w:tcW w:w="1028" w:type="dxa"/>
            <w:tcBorders>
              <w:top w:val="nil"/>
              <w:left w:val="nil"/>
              <w:bottom w:val="nil"/>
              <w:right w:val="nil"/>
            </w:tcBorders>
            <w:shd w:val="clear" w:color="auto" w:fill="auto"/>
            <w:vAlign w:val="center"/>
            <w:hideMark/>
          </w:tcPr>
          <w:p w14:paraId="5BA4AA8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2 481</w:t>
            </w:r>
          </w:p>
        </w:tc>
      </w:tr>
      <w:tr w:rsidR="00462ECB" w:rsidRPr="00462ECB" w14:paraId="7B12F2CC" w14:textId="77777777" w:rsidTr="00462ECB">
        <w:trPr>
          <w:trHeight w:val="288"/>
        </w:trPr>
        <w:tc>
          <w:tcPr>
            <w:tcW w:w="4962" w:type="dxa"/>
            <w:tcBorders>
              <w:top w:val="nil"/>
              <w:left w:val="nil"/>
              <w:bottom w:val="nil"/>
              <w:right w:val="nil"/>
            </w:tcBorders>
            <w:shd w:val="clear" w:color="auto" w:fill="auto"/>
            <w:vAlign w:val="center"/>
            <w:hideMark/>
          </w:tcPr>
          <w:p w14:paraId="24C0AD95"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Zmeny ovplyvňujúce výdavky na dlhodobú starostlivosť</w:t>
            </w:r>
          </w:p>
        </w:tc>
        <w:tc>
          <w:tcPr>
            <w:tcW w:w="1027" w:type="dxa"/>
            <w:tcBorders>
              <w:top w:val="nil"/>
              <w:left w:val="nil"/>
              <w:bottom w:val="nil"/>
              <w:right w:val="nil"/>
            </w:tcBorders>
            <w:shd w:val="clear" w:color="auto" w:fill="auto"/>
            <w:vAlign w:val="center"/>
            <w:hideMark/>
          </w:tcPr>
          <w:p w14:paraId="0ECFF29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-1 982</w:t>
            </w:r>
          </w:p>
        </w:tc>
        <w:tc>
          <w:tcPr>
            <w:tcW w:w="1028" w:type="dxa"/>
            <w:tcBorders>
              <w:top w:val="nil"/>
              <w:left w:val="nil"/>
              <w:bottom w:val="nil"/>
              <w:right w:val="nil"/>
            </w:tcBorders>
            <w:shd w:val="clear" w:color="auto" w:fill="auto"/>
            <w:vAlign w:val="center"/>
            <w:hideMark/>
          </w:tcPr>
          <w:p w14:paraId="5A9A4CF1"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-12 740</w:t>
            </w:r>
          </w:p>
        </w:tc>
        <w:tc>
          <w:tcPr>
            <w:tcW w:w="1027" w:type="dxa"/>
            <w:gridSpan w:val="2"/>
            <w:tcBorders>
              <w:top w:val="nil"/>
              <w:left w:val="nil"/>
              <w:bottom w:val="nil"/>
              <w:right w:val="nil"/>
            </w:tcBorders>
            <w:shd w:val="clear" w:color="auto" w:fill="auto"/>
            <w:vAlign w:val="center"/>
            <w:hideMark/>
          </w:tcPr>
          <w:p w14:paraId="6C869B54"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-13 771</w:t>
            </w:r>
          </w:p>
        </w:tc>
        <w:tc>
          <w:tcPr>
            <w:tcW w:w="1028" w:type="dxa"/>
            <w:tcBorders>
              <w:top w:val="nil"/>
              <w:left w:val="nil"/>
              <w:bottom w:val="nil"/>
              <w:right w:val="nil"/>
            </w:tcBorders>
            <w:shd w:val="clear" w:color="auto" w:fill="auto"/>
            <w:vAlign w:val="center"/>
            <w:hideMark/>
          </w:tcPr>
          <w:p w14:paraId="0301E74C"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-14 623</w:t>
            </w:r>
          </w:p>
        </w:tc>
      </w:tr>
      <w:tr w:rsidR="00462ECB" w:rsidRPr="00462ECB" w14:paraId="24C81A8A" w14:textId="77777777" w:rsidTr="00462ECB">
        <w:trPr>
          <w:trHeight w:val="288"/>
        </w:trPr>
        <w:tc>
          <w:tcPr>
            <w:tcW w:w="4962" w:type="dxa"/>
            <w:tcBorders>
              <w:top w:val="nil"/>
              <w:left w:val="nil"/>
              <w:bottom w:val="nil"/>
              <w:right w:val="nil"/>
            </w:tcBorders>
            <w:shd w:val="clear" w:color="auto" w:fill="auto"/>
            <w:vAlign w:val="center"/>
            <w:hideMark/>
          </w:tcPr>
          <w:p w14:paraId="20F9720D"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Zákon o kultúrno-osvetovej činnosti</w:t>
            </w:r>
          </w:p>
        </w:tc>
        <w:tc>
          <w:tcPr>
            <w:tcW w:w="1027" w:type="dxa"/>
            <w:tcBorders>
              <w:top w:val="nil"/>
              <w:left w:val="nil"/>
              <w:bottom w:val="nil"/>
              <w:right w:val="nil"/>
            </w:tcBorders>
            <w:shd w:val="clear" w:color="auto" w:fill="auto"/>
            <w:vAlign w:val="center"/>
            <w:hideMark/>
          </w:tcPr>
          <w:p w14:paraId="1C992388"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39F4E4D5"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-1 053</w:t>
            </w:r>
          </w:p>
        </w:tc>
        <w:tc>
          <w:tcPr>
            <w:tcW w:w="1027" w:type="dxa"/>
            <w:gridSpan w:val="2"/>
            <w:tcBorders>
              <w:top w:val="nil"/>
              <w:left w:val="nil"/>
              <w:bottom w:val="nil"/>
              <w:right w:val="nil"/>
            </w:tcBorders>
            <w:shd w:val="clear" w:color="auto" w:fill="auto"/>
            <w:vAlign w:val="center"/>
            <w:hideMark/>
          </w:tcPr>
          <w:p w14:paraId="02FBA3B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-1 201</w:t>
            </w:r>
          </w:p>
        </w:tc>
        <w:tc>
          <w:tcPr>
            <w:tcW w:w="1028" w:type="dxa"/>
            <w:tcBorders>
              <w:top w:val="nil"/>
              <w:left w:val="nil"/>
              <w:bottom w:val="nil"/>
              <w:right w:val="nil"/>
            </w:tcBorders>
            <w:shd w:val="clear" w:color="auto" w:fill="auto"/>
            <w:vAlign w:val="center"/>
            <w:hideMark/>
          </w:tcPr>
          <w:p w14:paraId="0AC438EA"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-1 248</w:t>
            </w:r>
          </w:p>
        </w:tc>
      </w:tr>
      <w:tr w:rsidR="00462ECB" w:rsidRPr="00462ECB" w14:paraId="385FD01F" w14:textId="77777777" w:rsidTr="00462ECB">
        <w:trPr>
          <w:trHeight w:val="288"/>
        </w:trPr>
        <w:tc>
          <w:tcPr>
            <w:tcW w:w="4962" w:type="dxa"/>
            <w:tcBorders>
              <w:top w:val="nil"/>
              <w:left w:val="nil"/>
              <w:bottom w:val="nil"/>
              <w:right w:val="nil"/>
            </w:tcBorders>
            <w:shd w:val="clear" w:color="auto" w:fill="auto"/>
            <w:vAlign w:val="center"/>
            <w:hideMark/>
          </w:tcPr>
          <w:p w14:paraId="2BAEED14"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Investičná pomoc (PCA, Solar Turbines)</w:t>
            </w:r>
          </w:p>
        </w:tc>
        <w:tc>
          <w:tcPr>
            <w:tcW w:w="1027" w:type="dxa"/>
            <w:tcBorders>
              <w:top w:val="nil"/>
              <w:left w:val="nil"/>
              <w:bottom w:val="nil"/>
              <w:right w:val="nil"/>
            </w:tcBorders>
            <w:shd w:val="clear" w:color="auto" w:fill="auto"/>
            <w:vAlign w:val="center"/>
            <w:hideMark/>
          </w:tcPr>
          <w:p w14:paraId="70C9D165"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-3 195</w:t>
            </w:r>
          </w:p>
        </w:tc>
        <w:tc>
          <w:tcPr>
            <w:tcW w:w="1028" w:type="dxa"/>
            <w:tcBorders>
              <w:top w:val="nil"/>
              <w:left w:val="nil"/>
              <w:bottom w:val="nil"/>
              <w:right w:val="nil"/>
            </w:tcBorders>
            <w:shd w:val="clear" w:color="auto" w:fill="auto"/>
            <w:vAlign w:val="center"/>
            <w:hideMark/>
          </w:tcPr>
          <w:p w14:paraId="09730FEF"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-7 054</w:t>
            </w:r>
          </w:p>
        </w:tc>
        <w:tc>
          <w:tcPr>
            <w:tcW w:w="1027" w:type="dxa"/>
            <w:gridSpan w:val="2"/>
            <w:tcBorders>
              <w:top w:val="nil"/>
              <w:left w:val="nil"/>
              <w:bottom w:val="nil"/>
              <w:right w:val="nil"/>
            </w:tcBorders>
            <w:shd w:val="clear" w:color="auto" w:fill="auto"/>
            <w:vAlign w:val="center"/>
            <w:hideMark/>
          </w:tcPr>
          <w:p w14:paraId="1E3705D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11 698</w:t>
            </w:r>
          </w:p>
        </w:tc>
        <w:tc>
          <w:tcPr>
            <w:tcW w:w="1028" w:type="dxa"/>
            <w:tcBorders>
              <w:top w:val="nil"/>
              <w:left w:val="nil"/>
              <w:bottom w:val="nil"/>
              <w:right w:val="nil"/>
            </w:tcBorders>
            <w:shd w:val="clear" w:color="auto" w:fill="auto"/>
            <w:vAlign w:val="center"/>
            <w:hideMark/>
          </w:tcPr>
          <w:p w14:paraId="3FE7BD8E"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13 796</w:t>
            </w:r>
          </w:p>
        </w:tc>
      </w:tr>
      <w:tr w:rsidR="00462ECB" w:rsidRPr="00462ECB" w14:paraId="127068A2" w14:textId="77777777" w:rsidTr="00462ECB">
        <w:trPr>
          <w:trHeight w:val="288"/>
        </w:trPr>
        <w:tc>
          <w:tcPr>
            <w:tcW w:w="4962" w:type="dxa"/>
            <w:tcBorders>
              <w:top w:val="nil"/>
              <w:left w:val="nil"/>
              <w:bottom w:val="nil"/>
              <w:right w:val="nil"/>
            </w:tcBorders>
            <w:shd w:val="clear" w:color="auto" w:fill="auto"/>
            <w:vAlign w:val="center"/>
            <w:hideMark/>
          </w:tcPr>
          <w:p w14:paraId="4EBFFF71"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Intermodálna doprava</w:t>
            </w:r>
          </w:p>
        </w:tc>
        <w:tc>
          <w:tcPr>
            <w:tcW w:w="1027" w:type="dxa"/>
            <w:tcBorders>
              <w:top w:val="nil"/>
              <w:left w:val="nil"/>
              <w:bottom w:val="nil"/>
              <w:right w:val="nil"/>
            </w:tcBorders>
            <w:shd w:val="clear" w:color="auto" w:fill="auto"/>
            <w:vAlign w:val="center"/>
            <w:hideMark/>
          </w:tcPr>
          <w:p w14:paraId="36B7652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34B02724"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-18 368</w:t>
            </w:r>
          </w:p>
        </w:tc>
        <w:tc>
          <w:tcPr>
            <w:tcW w:w="1027" w:type="dxa"/>
            <w:gridSpan w:val="2"/>
            <w:tcBorders>
              <w:top w:val="nil"/>
              <w:left w:val="nil"/>
              <w:bottom w:val="nil"/>
              <w:right w:val="nil"/>
            </w:tcBorders>
            <w:shd w:val="clear" w:color="auto" w:fill="auto"/>
            <w:vAlign w:val="center"/>
            <w:hideMark/>
          </w:tcPr>
          <w:p w14:paraId="64DA5CBA"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-19 325</w:t>
            </w:r>
          </w:p>
        </w:tc>
        <w:tc>
          <w:tcPr>
            <w:tcW w:w="1028" w:type="dxa"/>
            <w:tcBorders>
              <w:top w:val="nil"/>
              <w:left w:val="nil"/>
              <w:bottom w:val="nil"/>
              <w:right w:val="nil"/>
            </w:tcBorders>
            <w:shd w:val="clear" w:color="auto" w:fill="auto"/>
            <w:vAlign w:val="center"/>
            <w:hideMark/>
          </w:tcPr>
          <w:p w14:paraId="282444CE"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-20 323</w:t>
            </w:r>
          </w:p>
        </w:tc>
      </w:tr>
      <w:tr w:rsidR="00462ECB" w:rsidRPr="00462ECB" w14:paraId="2FE6FD01" w14:textId="77777777" w:rsidTr="00462ECB">
        <w:trPr>
          <w:trHeight w:val="288"/>
        </w:trPr>
        <w:tc>
          <w:tcPr>
            <w:tcW w:w="4962" w:type="dxa"/>
            <w:tcBorders>
              <w:top w:val="nil"/>
              <w:left w:val="nil"/>
              <w:bottom w:val="nil"/>
              <w:right w:val="nil"/>
            </w:tcBorders>
            <w:shd w:val="clear" w:color="auto" w:fill="auto"/>
            <w:vAlign w:val="center"/>
            <w:hideMark/>
          </w:tcPr>
          <w:p w14:paraId="7D6AC180"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Štátna politika - Slováci v zahraničí</w:t>
            </w:r>
          </w:p>
        </w:tc>
        <w:tc>
          <w:tcPr>
            <w:tcW w:w="1027" w:type="dxa"/>
            <w:tcBorders>
              <w:top w:val="nil"/>
              <w:left w:val="nil"/>
              <w:bottom w:val="nil"/>
              <w:right w:val="nil"/>
            </w:tcBorders>
            <w:shd w:val="clear" w:color="auto" w:fill="auto"/>
            <w:vAlign w:val="center"/>
            <w:hideMark/>
          </w:tcPr>
          <w:p w14:paraId="038E439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-7 130</w:t>
            </w:r>
          </w:p>
        </w:tc>
        <w:tc>
          <w:tcPr>
            <w:tcW w:w="1028" w:type="dxa"/>
            <w:tcBorders>
              <w:top w:val="nil"/>
              <w:left w:val="nil"/>
              <w:bottom w:val="nil"/>
              <w:right w:val="nil"/>
            </w:tcBorders>
            <w:shd w:val="clear" w:color="auto" w:fill="auto"/>
            <w:vAlign w:val="center"/>
            <w:hideMark/>
          </w:tcPr>
          <w:p w14:paraId="03C4981C"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-7 745</w:t>
            </w:r>
          </w:p>
        </w:tc>
        <w:tc>
          <w:tcPr>
            <w:tcW w:w="1027" w:type="dxa"/>
            <w:gridSpan w:val="2"/>
            <w:tcBorders>
              <w:top w:val="nil"/>
              <w:left w:val="nil"/>
              <w:bottom w:val="nil"/>
              <w:right w:val="nil"/>
            </w:tcBorders>
            <w:shd w:val="clear" w:color="auto" w:fill="auto"/>
            <w:vAlign w:val="center"/>
            <w:hideMark/>
          </w:tcPr>
          <w:p w14:paraId="280C14E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-10 158</w:t>
            </w:r>
          </w:p>
        </w:tc>
        <w:tc>
          <w:tcPr>
            <w:tcW w:w="1028" w:type="dxa"/>
            <w:tcBorders>
              <w:top w:val="nil"/>
              <w:left w:val="nil"/>
              <w:bottom w:val="nil"/>
              <w:right w:val="nil"/>
            </w:tcBorders>
            <w:shd w:val="clear" w:color="auto" w:fill="auto"/>
            <w:vAlign w:val="center"/>
            <w:hideMark/>
          </w:tcPr>
          <w:p w14:paraId="7289EA1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-9 033</w:t>
            </w:r>
          </w:p>
        </w:tc>
      </w:tr>
      <w:tr w:rsidR="00462ECB" w:rsidRPr="00462ECB" w14:paraId="1CEE737B" w14:textId="77777777" w:rsidTr="00462ECB">
        <w:trPr>
          <w:trHeight w:val="288"/>
        </w:trPr>
        <w:tc>
          <w:tcPr>
            <w:tcW w:w="4962" w:type="dxa"/>
            <w:tcBorders>
              <w:top w:val="nil"/>
              <w:left w:val="nil"/>
              <w:bottom w:val="nil"/>
              <w:right w:val="nil"/>
            </w:tcBorders>
            <w:shd w:val="clear" w:color="auto" w:fill="auto"/>
            <w:vAlign w:val="center"/>
            <w:hideMark/>
          </w:tcPr>
          <w:p w14:paraId="4B84D81E"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Zvýšenie miezd školstvo, štátna správa - kolektívne zmluvy</w:t>
            </w:r>
          </w:p>
        </w:tc>
        <w:tc>
          <w:tcPr>
            <w:tcW w:w="1027" w:type="dxa"/>
            <w:tcBorders>
              <w:top w:val="nil"/>
              <w:left w:val="nil"/>
              <w:bottom w:val="nil"/>
              <w:right w:val="nil"/>
            </w:tcBorders>
            <w:shd w:val="clear" w:color="auto" w:fill="auto"/>
            <w:vAlign w:val="center"/>
            <w:hideMark/>
          </w:tcPr>
          <w:p w14:paraId="4263DF0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-229 216</w:t>
            </w:r>
          </w:p>
        </w:tc>
        <w:tc>
          <w:tcPr>
            <w:tcW w:w="1028" w:type="dxa"/>
            <w:tcBorders>
              <w:top w:val="nil"/>
              <w:left w:val="nil"/>
              <w:bottom w:val="nil"/>
              <w:right w:val="nil"/>
            </w:tcBorders>
            <w:shd w:val="clear" w:color="auto" w:fill="auto"/>
            <w:vAlign w:val="center"/>
            <w:hideMark/>
          </w:tcPr>
          <w:p w14:paraId="0C70BBA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-227 463</w:t>
            </w:r>
          </w:p>
        </w:tc>
        <w:tc>
          <w:tcPr>
            <w:tcW w:w="1027" w:type="dxa"/>
            <w:gridSpan w:val="2"/>
            <w:tcBorders>
              <w:top w:val="nil"/>
              <w:left w:val="nil"/>
              <w:bottom w:val="nil"/>
              <w:right w:val="nil"/>
            </w:tcBorders>
            <w:shd w:val="clear" w:color="auto" w:fill="auto"/>
            <w:vAlign w:val="center"/>
            <w:hideMark/>
          </w:tcPr>
          <w:p w14:paraId="5BDAFB6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-229 879</w:t>
            </w:r>
          </w:p>
        </w:tc>
        <w:tc>
          <w:tcPr>
            <w:tcW w:w="1028" w:type="dxa"/>
            <w:tcBorders>
              <w:top w:val="nil"/>
              <w:left w:val="nil"/>
              <w:bottom w:val="nil"/>
              <w:right w:val="nil"/>
            </w:tcBorders>
            <w:shd w:val="clear" w:color="auto" w:fill="auto"/>
            <w:vAlign w:val="center"/>
            <w:hideMark/>
          </w:tcPr>
          <w:p w14:paraId="7AEACE04"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-244 794</w:t>
            </w:r>
          </w:p>
        </w:tc>
      </w:tr>
      <w:tr w:rsidR="00462ECB" w:rsidRPr="00462ECB" w14:paraId="707C39C6" w14:textId="77777777" w:rsidTr="00462ECB">
        <w:trPr>
          <w:trHeight w:val="288"/>
        </w:trPr>
        <w:tc>
          <w:tcPr>
            <w:tcW w:w="4962" w:type="dxa"/>
            <w:tcBorders>
              <w:top w:val="nil"/>
              <w:left w:val="nil"/>
              <w:bottom w:val="nil"/>
              <w:right w:val="nil"/>
            </w:tcBorders>
            <w:shd w:val="clear" w:color="auto" w:fill="auto"/>
            <w:noWrap/>
            <w:vAlign w:val="bottom"/>
            <w:hideMark/>
          </w:tcPr>
          <w:p w14:paraId="02D0EB43"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Založenie Agentúry štátom podporovaného nájomného bývania</w:t>
            </w:r>
          </w:p>
        </w:tc>
        <w:tc>
          <w:tcPr>
            <w:tcW w:w="1027" w:type="dxa"/>
            <w:tcBorders>
              <w:top w:val="nil"/>
              <w:left w:val="nil"/>
              <w:bottom w:val="nil"/>
              <w:right w:val="nil"/>
            </w:tcBorders>
            <w:shd w:val="clear" w:color="auto" w:fill="auto"/>
            <w:vAlign w:val="center"/>
            <w:hideMark/>
          </w:tcPr>
          <w:p w14:paraId="23DE17F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-666</w:t>
            </w:r>
          </w:p>
        </w:tc>
        <w:tc>
          <w:tcPr>
            <w:tcW w:w="1028" w:type="dxa"/>
            <w:tcBorders>
              <w:top w:val="nil"/>
              <w:left w:val="nil"/>
              <w:bottom w:val="nil"/>
              <w:right w:val="nil"/>
            </w:tcBorders>
            <w:shd w:val="clear" w:color="auto" w:fill="auto"/>
            <w:vAlign w:val="center"/>
            <w:hideMark/>
          </w:tcPr>
          <w:p w14:paraId="1A49780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-1 990</w:t>
            </w:r>
          </w:p>
        </w:tc>
        <w:tc>
          <w:tcPr>
            <w:tcW w:w="1027" w:type="dxa"/>
            <w:gridSpan w:val="2"/>
            <w:tcBorders>
              <w:top w:val="nil"/>
              <w:left w:val="nil"/>
              <w:bottom w:val="nil"/>
              <w:right w:val="nil"/>
            </w:tcBorders>
            <w:shd w:val="clear" w:color="auto" w:fill="auto"/>
            <w:vAlign w:val="center"/>
            <w:hideMark/>
          </w:tcPr>
          <w:p w14:paraId="0F8DAE1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-2 094</w:t>
            </w:r>
          </w:p>
        </w:tc>
        <w:tc>
          <w:tcPr>
            <w:tcW w:w="1028" w:type="dxa"/>
            <w:tcBorders>
              <w:top w:val="nil"/>
              <w:left w:val="nil"/>
              <w:bottom w:val="nil"/>
              <w:right w:val="nil"/>
            </w:tcBorders>
            <w:shd w:val="clear" w:color="auto" w:fill="auto"/>
            <w:vAlign w:val="center"/>
            <w:hideMark/>
          </w:tcPr>
          <w:p w14:paraId="495C2EC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-2 202</w:t>
            </w:r>
          </w:p>
        </w:tc>
      </w:tr>
      <w:tr w:rsidR="00462ECB" w:rsidRPr="00462ECB" w14:paraId="2E9059F7" w14:textId="77777777" w:rsidTr="00462ECB">
        <w:trPr>
          <w:trHeight w:val="288"/>
        </w:trPr>
        <w:tc>
          <w:tcPr>
            <w:tcW w:w="4962" w:type="dxa"/>
            <w:tcBorders>
              <w:top w:val="nil"/>
              <w:left w:val="nil"/>
              <w:bottom w:val="nil"/>
              <w:right w:val="nil"/>
            </w:tcBorders>
            <w:shd w:val="clear" w:color="auto" w:fill="auto"/>
            <w:noWrap/>
            <w:vAlign w:val="bottom"/>
            <w:hideMark/>
          </w:tcPr>
          <w:p w14:paraId="68C14FD2"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Zákon o profesionálnych náhradných rodičoch</w:t>
            </w:r>
          </w:p>
        </w:tc>
        <w:tc>
          <w:tcPr>
            <w:tcW w:w="1027" w:type="dxa"/>
            <w:tcBorders>
              <w:top w:val="nil"/>
              <w:left w:val="nil"/>
              <w:bottom w:val="nil"/>
              <w:right w:val="nil"/>
            </w:tcBorders>
            <w:shd w:val="clear" w:color="auto" w:fill="auto"/>
            <w:vAlign w:val="center"/>
            <w:hideMark/>
          </w:tcPr>
          <w:p w14:paraId="5B2024E5"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-65</w:t>
            </w:r>
          </w:p>
        </w:tc>
        <w:tc>
          <w:tcPr>
            <w:tcW w:w="1028" w:type="dxa"/>
            <w:tcBorders>
              <w:top w:val="nil"/>
              <w:left w:val="nil"/>
              <w:bottom w:val="nil"/>
              <w:right w:val="nil"/>
            </w:tcBorders>
            <w:shd w:val="clear" w:color="auto" w:fill="auto"/>
            <w:vAlign w:val="center"/>
            <w:hideMark/>
          </w:tcPr>
          <w:p w14:paraId="7B345DD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-3 453</w:t>
            </w:r>
          </w:p>
        </w:tc>
        <w:tc>
          <w:tcPr>
            <w:tcW w:w="1027" w:type="dxa"/>
            <w:gridSpan w:val="2"/>
            <w:tcBorders>
              <w:top w:val="nil"/>
              <w:left w:val="nil"/>
              <w:bottom w:val="nil"/>
              <w:right w:val="nil"/>
            </w:tcBorders>
            <w:shd w:val="clear" w:color="auto" w:fill="auto"/>
            <w:vAlign w:val="center"/>
            <w:hideMark/>
          </w:tcPr>
          <w:p w14:paraId="2300526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-3 056</w:t>
            </w:r>
          </w:p>
        </w:tc>
        <w:tc>
          <w:tcPr>
            <w:tcW w:w="1028" w:type="dxa"/>
            <w:tcBorders>
              <w:top w:val="nil"/>
              <w:left w:val="nil"/>
              <w:bottom w:val="nil"/>
              <w:right w:val="nil"/>
            </w:tcBorders>
            <w:shd w:val="clear" w:color="auto" w:fill="auto"/>
            <w:vAlign w:val="center"/>
            <w:hideMark/>
          </w:tcPr>
          <w:p w14:paraId="5E66F34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-3 433</w:t>
            </w:r>
          </w:p>
        </w:tc>
      </w:tr>
      <w:tr w:rsidR="00462ECB" w:rsidRPr="00462ECB" w14:paraId="02EF704F" w14:textId="77777777" w:rsidTr="00462ECB">
        <w:trPr>
          <w:trHeight w:val="288"/>
        </w:trPr>
        <w:tc>
          <w:tcPr>
            <w:tcW w:w="4962" w:type="dxa"/>
            <w:tcBorders>
              <w:top w:val="nil"/>
              <w:left w:val="nil"/>
              <w:bottom w:val="nil"/>
              <w:right w:val="nil"/>
            </w:tcBorders>
            <w:shd w:val="clear" w:color="auto" w:fill="auto"/>
            <w:noWrap/>
            <w:vAlign w:val="bottom"/>
            <w:hideMark/>
          </w:tcPr>
          <w:p w14:paraId="72D82AC6"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Inšpekcia v sociálnych veciach</w:t>
            </w:r>
          </w:p>
        </w:tc>
        <w:tc>
          <w:tcPr>
            <w:tcW w:w="1027" w:type="dxa"/>
            <w:tcBorders>
              <w:top w:val="nil"/>
              <w:left w:val="nil"/>
              <w:bottom w:val="nil"/>
              <w:right w:val="nil"/>
            </w:tcBorders>
            <w:shd w:val="clear" w:color="auto" w:fill="auto"/>
            <w:vAlign w:val="center"/>
            <w:hideMark/>
          </w:tcPr>
          <w:p w14:paraId="69EDEA29"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-5 966</w:t>
            </w:r>
          </w:p>
        </w:tc>
        <w:tc>
          <w:tcPr>
            <w:tcW w:w="1028" w:type="dxa"/>
            <w:tcBorders>
              <w:top w:val="nil"/>
              <w:left w:val="nil"/>
              <w:bottom w:val="nil"/>
              <w:right w:val="nil"/>
            </w:tcBorders>
            <w:shd w:val="clear" w:color="auto" w:fill="auto"/>
            <w:vAlign w:val="center"/>
            <w:hideMark/>
          </w:tcPr>
          <w:p w14:paraId="673D070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-9 433</w:t>
            </w:r>
          </w:p>
        </w:tc>
        <w:tc>
          <w:tcPr>
            <w:tcW w:w="1027" w:type="dxa"/>
            <w:gridSpan w:val="2"/>
            <w:tcBorders>
              <w:top w:val="nil"/>
              <w:left w:val="nil"/>
              <w:bottom w:val="nil"/>
              <w:right w:val="nil"/>
            </w:tcBorders>
            <w:shd w:val="clear" w:color="auto" w:fill="auto"/>
            <w:vAlign w:val="center"/>
            <w:hideMark/>
          </w:tcPr>
          <w:p w14:paraId="2B43731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-6 933</w:t>
            </w:r>
          </w:p>
        </w:tc>
        <w:tc>
          <w:tcPr>
            <w:tcW w:w="1028" w:type="dxa"/>
            <w:tcBorders>
              <w:top w:val="nil"/>
              <w:left w:val="nil"/>
              <w:bottom w:val="nil"/>
              <w:right w:val="nil"/>
            </w:tcBorders>
            <w:shd w:val="clear" w:color="auto" w:fill="auto"/>
            <w:vAlign w:val="center"/>
            <w:hideMark/>
          </w:tcPr>
          <w:p w14:paraId="55A3AB4C"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-7 345</w:t>
            </w:r>
          </w:p>
        </w:tc>
      </w:tr>
      <w:tr w:rsidR="00462ECB" w:rsidRPr="00462ECB" w14:paraId="790E96A7" w14:textId="77777777" w:rsidTr="00462ECB">
        <w:trPr>
          <w:trHeight w:val="288"/>
        </w:trPr>
        <w:tc>
          <w:tcPr>
            <w:tcW w:w="4962" w:type="dxa"/>
            <w:tcBorders>
              <w:top w:val="nil"/>
              <w:left w:val="nil"/>
              <w:bottom w:val="nil"/>
              <w:right w:val="nil"/>
            </w:tcBorders>
            <w:shd w:val="clear" w:color="auto" w:fill="auto"/>
            <w:noWrap/>
            <w:vAlign w:val="bottom"/>
            <w:hideMark/>
          </w:tcPr>
          <w:p w14:paraId="36B4372E"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Zákon o výkone väzby</w:t>
            </w:r>
          </w:p>
        </w:tc>
        <w:tc>
          <w:tcPr>
            <w:tcW w:w="1027" w:type="dxa"/>
            <w:tcBorders>
              <w:top w:val="nil"/>
              <w:left w:val="nil"/>
              <w:bottom w:val="nil"/>
              <w:right w:val="nil"/>
            </w:tcBorders>
            <w:shd w:val="clear" w:color="auto" w:fill="auto"/>
            <w:vAlign w:val="center"/>
            <w:hideMark/>
          </w:tcPr>
          <w:p w14:paraId="3AB5A73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65DBFE95"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-435</w:t>
            </w:r>
          </w:p>
        </w:tc>
        <w:tc>
          <w:tcPr>
            <w:tcW w:w="1027" w:type="dxa"/>
            <w:gridSpan w:val="2"/>
            <w:tcBorders>
              <w:top w:val="nil"/>
              <w:left w:val="nil"/>
              <w:bottom w:val="nil"/>
              <w:right w:val="nil"/>
            </w:tcBorders>
            <w:shd w:val="clear" w:color="auto" w:fill="auto"/>
            <w:vAlign w:val="center"/>
            <w:hideMark/>
          </w:tcPr>
          <w:p w14:paraId="43C276AA"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-435</w:t>
            </w:r>
          </w:p>
        </w:tc>
        <w:tc>
          <w:tcPr>
            <w:tcW w:w="1028" w:type="dxa"/>
            <w:tcBorders>
              <w:top w:val="nil"/>
              <w:left w:val="nil"/>
              <w:bottom w:val="nil"/>
              <w:right w:val="nil"/>
            </w:tcBorders>
            <w:shd w:val="clear" w:color="auto" w:fill="auto"/>
            <w:vAlign w:val="center"/>
            <w:hideMark/>
          </w:tcPr>
          <w:p w14:paraId="164F3E1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-435</w:t>
            </w:r>
          </w:p>
        </w:tc>
      </w:tr>
      <w:tr w:rsidR="00462ECB" w:rsidRPr="00462ECB" w14:paraId="6377441D" w14:textId="77777777" w:rsidTr="00462ECB">
        <w:trPr>
          <w:trHeight w:val="288"/>
        </w:trPr>
        <w:tc>
          <w:tcPr>
            <w:tcW w:w="4962" w:type="dxa"/>
            <w:tcBorders>
              <w:top w:val="nil"/>
              <w:left w:val="nil"/>
              <w:bottom w:val="nil"/>
              <w:right w:val="nil"/>
            </w:tcBorders>
            <w:shd w:val="clear" w:color="auto" w:fill="auto"/>
            <w:noWrap/>
            <w:vAlign w:val="bottom"/>
            <w:hideMark/>
          </w:tcPr>
          <w:p w14:paraId="3FB686BE"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Otcovská dovolenka</w:t>
            </w:r>
          </w:p>
        </w:tc>
        <w:tc>
          <w:tcPr>
            <w:tcW w:w="1027" w:type="dxa"/>
            <w:tcBorders>
              <w:top w:val="nil"/>
              <w:left w:val="nil"/>
              <w:bottom w:val="nil"/>
              <w:right w:val="nil"/>
            </w:tcBorders>
            <w:shd w:val="clear" w:color="auto" w:fill="auto"/>
            <w:vAlign w:val="center"/>
            <w:hideMark/>
          </w:tcPr>
          <w:p w14:paraId="585C0D7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-3 101</w:t>
            </w:r>
          </w:p>
        </w:tc>
        <w:tc>
          <w:tcPr>
            <w:tcW w:w="1028" w:type="dxa"/>
            <w:tcBorders>
              <w:top w:val="nil"/>
              <w:left w:val="nil"/>
              <w:bottom w:val="nil"/>
              <w:right w:val="nil"/>
            </w:tcBorders>
            <w:shd w:val="clear" w:color="auto" w:fill="auto"/>
            <w:vAlign w:val="center"/>
            <w:hideMark/>
          </w:tcPr>
          <w:p w14:paraId="5E7CDA3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-19 769</w:t>
            </w:r>
          </w:p>
        </w:tc>
        <w:tc>
          <w:tcPr>
            <w:tcW w:w="1027" w:type="dxa"/>
            <w:gridSpan w:val="2"/>
            <w:tcBorders>
              <w:top w:val="nil"/>
              <w:left w:val="nil"/>
              <w:bottom w:val="nil"/>
              <w:right w:val="nil"/>
            </w:tcBorders>
            <w:shd w:val="clear" w:color="auto" w:fill="auto"/>
            <w:vAlign w:val="center"/>
            <w:hideMark/>
          </w:tcPr>
          <w:p w14:paraId="76CCE10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-13 618</w:t>
            </w:r>
          </w:p>
        </w:tc>
        <w:tc>
          <w:tcPr>
            <w:tcW w:w="1028" w:type="dxa"/>
            <w:tcBorders>
              <w:top w:val="nil"/>
              <w:left w:val="nil"/>
              <w:bottom w:val="nil"/>
              <w:right w:val="nil"/>
            </w:tcBorders>
            <w:shd w:val="clear" w:color="auto" w:fill="auto"/>
            <w:vAlign w:val="center"/>
            <w:hideMark/>
          </w:tcPr>
          <w:p w14:paraId="2CE189FC"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-14 321</w:t>
            </w:r>
          </w:p>
        </w:tc>
      </w:tr>
      <w:tr w:rsidR="00462ECB" w:rsidRPr="00462ECB" w14:paraId="2A6825B8" w14:textId="77777777" w:rsidTr="00462ECB">
        <w:trPr>
          <w:trHeight w:val="288"/>
        </w:trPr>
        <w:tc>
          <w:tcPr>
            <w:tcW w:w="4962" w:type="dxa"/>
            <w:tcBorders>
              <w:top w:val="nil"/>
              <w:left w:val="nil"/>
              <w:bottom w:val="nil"/>
              <w:right w:val="nil"/>
            </w:tcBorders>
            <w:shd w:val="clear" w:color="auto" w:fill="auto"/>
            <w:noWrap/>
            <w:vAlign w:val="bottom"/>
            <w:hideMark/>
          </w:tcPr>
          <w:p w14:paraId="717CF5E2"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Zvýšenie platov v ústavnej zdravotnej starostlivosti</w:t>
            </w:r>
          </w:p>
        </w:tc>
        <w:tc>
          <w:tcPr>
            <w:tcW w:w="1027" w:type="dxa"/>
            <w:tcBorders>
              <w:top w:val="nil"/>
              <w:left w:val="nil"/>
              <w:bottom w:val="nil"/>
              <w:right w:val="nil"/>
            </w:tcBorders>
            <w:shd w:val="clear" w:color="auto" w:fill="auto"/>
            <w:vAlign w:val="center"/>
            <w:hideMark/>
          </w:tcPr>
          <w:p w14:paraId="61F1C7C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1389EDB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-231 621</w:t>
            </w:r>
          </w:p>
        </w:tc>
        <w:tc>
          <w:tcPr>
            <w:tcW w:w="1027" w:type="dxa"/>
            <w:gridSpan w:val="2"/>
            <w:tcBorders>
              <w:top w:val="nil"/>
              <w:left w:val="nil"/>
              <w:bottom w:val="nil"/>
              <w:right w:val="nil"/>
            </w:tcBorders>
            <w:shd w:val="clear" w:color="auto" w:fill="auto"/>
            <w:vAlign w:val="center"/>
            <w:hideMark/>
          </w:tcPr>
          <w:p w14:paraId="2D70755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-243 668</w:t>
            </w:r>
          </w:p>
        </w:tc>
        <w:tc>
          <w:tcPr>
            <w:tcW w:w="1028" w:type="dxa"/>
            <w:tcBorders>
              <w:top w:val="nil"/>
              <w:left w:val="nil"/>
              <w:bottom w:val="nil"/>
              <w:right w:val="nil"/>
            </w:tcBorders>
            <w:shd w:val="clear" w:color="auto" w:fill="auto"/>
            <w:vAlign w:val="center"/>
            <w:hideMark/>
          </w:tcPr>
          <w:p w14:paraId="4E519258"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-261 180</w:t>
            </w:r>
          </w:p>
        </w:tc>
      </w:tr>
      <w:tr w:rsidR="00462ECB" w:rsidRPr="00462ECB" w14:paraId="06FF8C61" w14:textId="77777777" w:rsidTr="00462ECB">
        <w:trPr>
          <w:trHeight w:val="288"/>
        </w:trPr>
        <w:tc>
          <w:tcPr>
            <w:tcW w:w="4962" w:type="dxa"/>
            <w:tcBorders>
              <w:top w:val="nil"/>
              <w:left w:val="nil"/>
              <w:bottom w:val="nil"/>
              <w:right w:val="nil"/>
            </w:tcBorders>
            <w:shd w:val="clear" w:color="auto" w:fill="auto"/>
            <w:noWrap/>
            <w:vAlign w:val="bottom"/>
            <w:hideMark/>
          </w:tcPr>
          <w:p w14:paraId="787BBEF6"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Zavedenie 14. dôchodku</w:t>
            </w:r>
          </w:p>
        </w:tc>
        <w:tc>
          <w:tcPr>
            <w:tcW w:w="1027" w:type="dxa"/>
            <w:tcBorders>
              <w:top w:val="nil"/>
              <w:left w:val="nil"/>
              <w:bottom w:val="nil"/>
              <w:right w:val="nil"/>
            </w:tcBorders>
            <w:shd w:val="clear" w:color="auto" w:fill="auto"/>
            <w:vAlign w:val="center"/>
            <w:hideMark/>
          </w:tcPr>
          <w:p w14:paraId="3E59C945"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-207 619</w:t>
            </w:r>
          </w:p>
        </w:tc>
        <w:tc>
          <w:tcPr>
            <w:tcW w:w="1028" w:type="dxa"/>
            <w:tcBorders>
              <w:top w:val="nil"/>
              <w:left w:val="nil"/>
              <w:bottom w:val="nil"/>
              <w:right w:val="nil"/>
            </w:tcBorders>
            <w:shd w:val="clear" w:color="auto" w:fill="auto"/>
            <w:vAlign w:val="center"/>
            <w:hideMark/>
          </w:tcPr>
          <w:p w14:paraId="158B371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7" w:type="dxa"/>
            <w:gridSpan w:val="2"/>
            <w:tcBorders>
              <w:top w:val="nil"/>
              <w:left w:val="nil"/>
              <w:bottom w:val="nil"/>
              <w:right w:val="nil"/>
            </w:tcBorders>
            <w:shd w:val="clear" w:color="auto" w:fill="auto"/>
            <w:vAlign w:val="center"/>
            <w:hideMark/>
          </w:tcPr>
          <w:p w14:paraId="18CDD4E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2B6CC648"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r>
      <w:tr w:rsidR="00462ECB" w:rsidRPr="00462ECB" w14:paraId="7FCE2E8F" w14:textId="77777777" w:rsidTr="00462ECB">
        <w:trPr>
          <w:trHeight w:val="288"/>
        </w:trPr>
        <w:tc>
          <w:tcPr>
            <w:tcW w:w="4962" w:type="dxa"/>
            <w:tcBorders>
              <w:top w:val="nil"/>
              <w:left w:val="nil"/>
              <w:bottom w:val="nil"/>
              <w:right w:val="nil"/>
            </w:tcBorders>
            <w:shd w:val="clear" w:color="auto" w:fill="auto"/>
            <w:noWrap/>
            <w:vAlign w:val="bottom"/>
            <w:hideMark/>
          </w:tcPr>
          <w:p w14:paraId="14B91F03"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Kontingenčný plán pre riešenie prílevu obyvateľov Ukrajiny</w:t>
            </w:r>
          </w:p>
        </w:tc>
        <w:tc>
          <w:tcPr>
            <w:tcW w:w="1027" w:type="dxa"/>
            <w:tcBorders>
              <w:top w:val="nil"/>
              <w:left w:val="nil"/>
              <w:bottom w:val="nil"/>
              <w:right w:val="nil"/>
            </w:tcBorders>
            <w:shd w:val="clear" w:color="auto" w:fill="auto"/>
            <w:vAlign w:val="center"/>
            <w:hideMark/>
          </w:tcPr>
          <w:p w14:paraId="1CE76B4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750BCE5F"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-31 750</w:t>
            </w:r>
          </w:p>
        </w:tc>
        <w:tc>
          <w:tcPr>
            <w:tcW w:w="1027" w:type="dxa"/>
            <w:gridSpan w:val="2"/>
            <w:tcBorders>
              <w:top w:val="nil"/>
              <w:left w:val="nil"/>
              <w:bottom w:val="nil"/>
              <w:right w:val="nil"/>
            </w:tcBorders>
            <w:shd w:val="clear" w:color="auto" w:fill="auto"/>
            <w:vAlign w:val="center"/>
            <w:hideMark/>
          </w:tcPr>
          <w:p w14:paraId="60F90034"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4B89C818"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r>
      <w:tr w:rsidR="00462ECB" w:rsidRPr="00462ECB" w14:paraId="421810D2" w14:textId="77777777" w:rsidTr="00462ECB">
        <w:trPr>
          <w:trHeight w:val="288"/>
        </w:trPr>
        <w:tc>
          <w:tcPr>
            <w:tcW w:w="4962" w:type="dxa"/>
            <w:tcBorders>
              <w:top w:val="nil"/>
              <w:left w:val="nil"/>
              <w:bottom w:val="nil"/>
              <w:right w:val="nil"/>
            </w:tcBorders>
            <w:shd w:val="clear" w:color="auto" w:fill="auto"/>
            <w:noWrap/>
            <w:vAlign w:val="bottom"/>
            <w:hideMark/>
          </w:tcPr>
          <w:p w14:paraId="23DD2F18"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Poskytovanie príspevku za ubytovanie odídenca</w:t>
            </w:r>
          </w:p>
        </w:tc>
        <w:tc>
          <w:tcPr>
            <w:tcW w:w="1027" w:type="dxa"/>
            <w:tcBorders>
              <w:top w:val="nil"/>
              <w:left w:val="nil"/>
              <w:bottom w:val="nil"/>
              <w:right w:val="nil"/>
            </w:tcBorders>
            <w:shd w:val="clear" w:color="auto" w:fill="auto"/>
            <w:vAlign w:val="center"/>
            <w:hideMark/>
          </w:tcPr>
          <w:p w14:paraId="77646B08"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-20 051</w:t>
            </w:r>
          </w:p>
        </w:tc>
        <w:tc>
          <w:tcPr>
            <w:tcW w:w="1028" w:type="dxa"/>
            <w:tcBorders>
              <w:top w:val="nil"/>
              <w:left w:val="nil"/>
              <w:bottom w:val="nil"/>
              <w:right w:val="nil"/>
            </w:tcBorders>
            <w:shd w:val="clear" w:color="auto" w:fill="auto"/>
            <w:vAlign w:val="center"/>
            <w:hideMark/>
          </w:tcPr>
          <w:p w14:paraId="626AFE6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-13 367</w:t>
            </w:r>
          </w:p>
        </w:tc>
        <w:tc>
          <w:tcPr>
            <w:tcW w:w="1027" w:type="dxa"/>
            <w:gridSpan w:val="2"/>
            <w:tcBorders>
              <w:top w:val="nil"/>
              <w:left w:val="nil"/>
              <w:bottom w:val="nil"/>
              <w:right w:val="nil"/>
            </w:tcBorders>
            <w:shd w:val="clear" w:color="auto" w:fill="auto"/>
            <w:vAlign w:val="center"/>
            <w:hideMark/>
          </w:tcPr>
          <w:p w14:paraId="3DAE8FD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6CD1A79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r>
      <w:tr w:rsidR="00462ECB" w:rsidRPr="00462ECB" w14:paraId="58F7BDF6" w14:textId="77777777" w:rsidTr="00462ECB">
        <w:trPr>
          <w:trHeight w:val="288"/>
        </w:trPr>
        <w:tc>
          <w:tcPr>
            <w:tcW w:w="4962" w:type="dxa"/>
            <w:tcBorders>
              <w:top w:val="nil"/>
              <w:left w:val="nil"/>
              <w:bottom w:val="nil"/>
              <w:right w:val="nil"/>
            </w:tcBorders>
            <w:shd w:val="clear" w:color="auto" w:fill="auto"/>
            <w:noWrap/>
            <w:vAlign w:val="bottom"/>
            <w:hideMark/>
          </w:tcPr>
          <w:p w14:paraId="304A1996"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Referendum (január 2023)</w:t>
            </w:r>
          </w:p>
        </w:tc>
        <w:tc>
          <w:tcPr>
            <w:tcW w:w="1027" w:type="dxa"/>
            <w:tcBorders>
              <w:top w:val="nil"/>
              <w:left w:val="nil"/>
              <w:bottom w:val="nil"/>
              <w:right w:val="nil"/>
            </w:tcBorders>
            <w:shd w:val="clear" w:color="auto" w:fill="auto"/>
            <w:vAlign w:val="center"/>
            <w:hideMark/>
          </w:tcPr>
          <w:p w14:paraId="25C46C68"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-5 344</w:t>
            </w:r>
          </w:p>
        </w:tc>
        <w:tc>
          <w:tcPr>
            <w:tcW w:w="1028" w:type="dxa"/>
            <w:tcBorders>
              <w:top w:val="nil"/>
              <w:left w:val="nil"/>
              <w:bottom w:val="nil"/>
              <w:right w:val="nil"/>
            </w:tcBorders>
            <w:shd w:val="clear" w:color="auto" w:fill="auto"/>
            <w:vAlign w:val="center"/>
            <w:hideMark/>
          </w:tcPr>
          <w:p w14:paraId="7B7F8E3F"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-5 394</w:t>
            </w:r>
          </w:p>
        </w:tc>
        <w:tc>
          <w:tcPr>
            <w:tcW w:w="1027" w:type="dxa"/>
            <w:gridSpan w:val="2"/>
            <w:tcBorders>
              <w:top w:val="nil"/>
              <w:left w:val="nil"/>
              <w:bottom w:val="nil"/>
              <w:right w:val="nil"/>
            </w:tcBorders>
            <w:shd w:val="clear" w:color="auto" w:fill="auto"/>
            <w:vAlign w:val="center"/>
            <w:hideMark/>
          </w:tcPr>
          <w:p w14:paraId="6780F721"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59958AB9"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r>
      <w:tr w:rsidR="00462ECB" w:rsidRPr="00462ECB" w14:paraId="74FEC8CC" w14:textId="77777777" w:rsidTr="00462ECB">
        <w:trPr>
          <w:trHeight w:val="288"/>
        </w:trPr>
        <w:tc>
          <w:tcPr>
            <w:tcW w:w="4962" w:type="dxa"/>
            <w:tcBorders>
              <w:top w:val="nil"/>
              <w:left w:val="nil"/>
              <w:bottom w:val="nil"/>
              <w:right w:val="nil"/>
            </w:tcBorders>
            <w:shd w:val="clear" w:color="auto" w:fill="auto"/>
            <w:noWrap/>
            <w:vAlign w:val="bottom"/>
            <w:hideMark/>
          </w:tcPr>
          <w:p w14:paraId="333F6FA4"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Zákon o zdravotnej starostlivosti - detencia</w:t>
            </w:r>
          </w:p>
        </w:tc>
        <w:tc>
          <w:tcPr>
            <w:tcW w:w="1027" w:type="dxa"/>
            <w:tcBorders>
              <w:top w:val="nil"/>
              <w:left w:val="nil"/>
              <w:bottom w:val="nil"/>
              <w:right w:val="nil"/>
            </w:tcBorders>
            <w:shd w:val="clear" w:color="auto" w:fill="auto"/>
            <w:vAlign w:val="center"/>
            <w:hideMark/>
          </w:tcPr>
          <w:p w14:paraId="23AAC849"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-4 600</w:t>
            </w:r>
          </w:p>
        </w:tc>
        <w:tc>
          <w:tcPr>
            <w:tcW w:w="1028" w:type="dxa"/>
            <w:tcBorders>
              <w:top w:val="nil"/>
              <w:left w:val="nil"/>
              <w:bottom w:val="nil"/>
              <w:right w:val="nil"/>
            </w:tcBorders>
            <w:shd w:val="clear" w:color="auto" w:fill="auto"/>
            <w:vAlign w:val="center"/>
            <w:hideMark/>
          </w:tcPr>
          <w:p w14:paraId="69D26CF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-6 236</w:t>
            </w:r>
          </w:p>
        </w:tc>
        <w:tc>
          <w:tcPr>
            <w:tcW w:w="1027" w:type="dxa"/>
            <w:gridSpan w:val="2"/>
            <w:tcBorders>
              <w:top w:val="nil"/>
              <w:left w:val="nil"/>
              <w:bottom w:val="nil"/>
              <w:right w:val="nil"/>
            </w:tcBorders>
            <w:shd w:val="clear" w:color="auto" w:fill="auto"/>
            <w:vAlign w:val="center"/>
            <w:hideMark/>
          </w:tcPr>
          <w:p w14:paraId="48AB0E68"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-6 671</w:t>
            </w:r>
          </w:p>
        </w:tc>
        <w:tc>
          <w:tcPr>
            <w:tcW w:w="1028" w:type="dxa"/>
            <w:tcBorders>
              <w:top w:val="nil"/>
              <w:left w:val="nil"/>
              <w:bottom w:val="nil"/>
              <w:right w:val="nil"/>
            </w:tcBorders>
            <w:shd w:val="clear" w:color="auto" w:fill="auto"/>
            <w:vAlign w:val="center"/>
            <w:hideMark/>
          </w:tcPr>
          <w:p w14:paraId="65547AFA"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-7 102</w:t>
            </w:r>
          </w:p>
        </w:tc>
      </w:tr>
      <w:tr w:rsidR="00462ECB" w:rsidRPr="00462ECB" w14:paraId="6CD670F0" w14:textId="77777777" w:rsidTr="00462ECB">
        <w:trPr>
          <w:trHeight w:val="288"/>
        </w:trPr>
        <w:tc>
          <w:tcPr>
            <w:tcW w:w="4962" w:type="dxa"/>
            <w:tcBorders>
              <w:top w:val="nil"/>
              <w:left w:val="nil"/>
              <w:bottom w:val="nil"/>
              <w:right w:val="nil"/>
            </w:tcBorders>
            <w:shd w:val="clear" w:color="auto" w:fill="auto"/>
            <w:noWrap/>
            <w:vAlign w:val="bottom"/>
            <w:hideMark/>
          </w:tcPr>
          <w:p w14:paraId="6D6A1D3D"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Návrh na zriadenie koordinačného úradu UNESCO</w:t>
            </w:r>
          </w:p>
        </w:tc>
        <w:tc>
          <w:tcPr>
            <w:tcW w:w="1027" w:type="dxa"/>
            <w:tcBorders>
              <w:top w:val="nil"/>
              <w:left w:val="nil"/>
              <w:bottom w:val="nil"/>
              <w:right w:val="nil"/>
            </w:tcBorders>
            <w:shd w:val="clear" w:color="auto" w:fill="auto"/>
            <w:vAlign w:val="center"/>
            <w:hideMark/>
          </w:tcPr>
          <w:p w14:paraId="1AF092FE"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1A43C80F"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7" w:type="dxa"/>
            <w:gridSpan w:val="2"/>
            <w:tcBorders>
              <w:top w:val="nil"/>
              <w:left w:val="nil"/>
              <w:bottom w:val="nil"/>
              <w:right w:val="nil"/>
            </w:tcBorders>
            <w:shd w:val="clear" w:color="auto" w:fill="auto"/>
            <w:vAlign w:val="center"/>
            <w:hideMark/>
          </w:tcPr>
          <w:p w14:paraId="355E9A40"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-362</w:t>
            </w:r>
          </w:p>
        </w:tc>
        <w:tc>
          <w:tcPr>
            <w:tcW w:w="1028" w:type="dxa"/>
            <w:tcBorders>
              <w:top w:val="nil"/>
              <w:left w:val="nil"/>
              <w:bottom w:val="nil"/>
              <w:right w:val="nil"/>
            </w:tcBorders>
            <w:shd w:val="clear" w:color="auto" w:fill="auto"/>
            <w:vAlign w:val="center"/>
            <w:hideMark/>
          </w:tcPr>
          <w:p w14:paraId="095068F0"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-325</w:t>
            </w:r>
          </w:p>
        </w:tc>
      </w:tr>
      <w:tr w:rsidR="00462ECB" w:rsidRPr="00462ECB" w14:paraId="0F503EDF" w14:textId="77777777" w:rsidTr="00462ECB">
        <w:trPr>
          <w:trHeight w:val="288"/>
        </w:trPr>
        <w:tc>
          <w:tcPr>
            <w:tcW w:w="4962" w:type="dxa"/>
            <w:tcBorders>
              <w:top w:val="nil"/>
              <w:left w:val="nil"/>
              <w:bottom w:val="nil"/>
              <w:right w:val="nil"/>
            </w:tcBorders>
            <w:shd w:val="clear" w:color="auto" w:fill="auto"/>
            <w:noWrap/>
            <w:vAlign w:val="bottom"/>
            <w:hideMark/>
          </w:tcPr>
          <w:p w14:paraId="79B79867"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Strategické územie Valaliky</w:t>
            </w:r>
          </w:p>
        </w:tc>
        <w:tc>
          <w:tcPr>
            <w:tcW w:w="1027" w:type="dxa"/>
            <w:tcBorders>
              <w:top w:val="nil"/>
              <w:left w:val="nil"/>
              <w:bottom w:val="nil"/>
              <w:right w:val="nil"/>
            </w:tcBorders>
            <w:shd w:val="clear" w:color="auto" w:fill="auto"/>
            <w:vAlign w:val="center"/>
            <w:hideMark/>
          </w:tcPr>
          <w:p w14:paraId="135E92F1"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-152 620</w:t>
            </w:r>
          </w:p>
        </w:tc>
        <w:tc>
          <w:tcPr>
            <w:tcW w:w="1028" w:type="dxa"/>
            <w:tcBorders>
              <w:top w:val="nil"/>
              <w:left w:val="nil"/>
              <w:bottom w:val="nil"/>
              <w:right w:val="nil"/>
            </w:tcBorders>
            <w:shd w:val="clear" w:color="auto" w:fill="auto"/>
            <w:vAlign w:val="center"/>
            <w:hideMark/>
          </w:tcPr>
          <w:p w14:paraId="2E37F434"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-132 724</w:t>
            </w:r>
          </w:p>
        </w:tc>
        <w:tc>
          <w:tcPr>
            <w:tcW w:w="1027" w:type="dxa"/>
            <w:gridSpan w:val="2"/>
            <w:tcBorders>
              <w:top w:val="nil"/>
              <w:left w:val="nil"/>
              <w:bottom w:val="nil"/>
              <w:right w:val="nil"/>
            </w:tcBorders>
            <w:shd w:val="clear" w:color="auto" w:fill="auto"/>
            <w:vAlign w:val="center"/>
            <w:hideMark/>
          </w:tcPr>
          <w:p w14:paraId="33A041C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-1 049</w:t>
            </w:r>
          </w:p>
        </w:tc>
        <w:tc>
          <w:tcPr>
            <w:tcW w:w="1028" w:type="dxa"/>
            <w:tcBorders>
              <w:top w:val="nil"/>
              <w:left w:val="nil"/>
              <w:bottom w:val="nil"/>
              <w:right w:val="nil"/>
            </w:tcBorders>
            <w:shd w:val="clear" w:color="auto" w:fill="auto"/>
            <w:vAlign w:val="center"/>
            <w:hideMark/>
          </w:tcPr>
          <w:p w14:paraId="2607ABA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-1 108</w:t>
            </w:r>
          </w:p>
        </w:tc>
      </w:tr>
      <w:tr w:rsidR="00462ECB" w:rsidRPr="00462ECB" w14:paraId="3779CED5" w14:textId="77777777" w:rsidTr="00462ECB">
        <w:trPr>
          <w:trHeight w:val="288"/>
        </w:trPr>
        <w:tc>
          <w:tcPr>
            <w:tcW w:w="4962" w:type="dxa"/>
            <w:tcBorders>
              <w:top w:val="nil"/>
              <w:left w:val="nil"/>
              <w:bottom w:val="nil"/>
              <w:right w:val="nil"/>
            </w:tcBorders>
            <w:shd w:val="clear" w:color="auto" w:fill="auto"/>
            <w:noWrap/>
            <w:vAlign w:val="bottom"/>
            <w:hideMark/>
          </w:tcPr>
          <w:p w14:paraId="14889C66"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Lekári a ostatní zdravotnícki zamestnanci - valorizácia</w:t>
            </w:r>
          </w:p>
        </w:tc>
        <w:tc>
          <w:tcPr>
            <w:tcW w:w="1027" w:type="dxa"/>
            <w:tcBorders>
              <w:top w:val="nil"/>
              <w:left w:val="nil"/>
              <w:bottom w:val="nil"/>
              <w:right w:val="nil"/>
            </w:tcBorders>
            <w:shd w:val="clear" w:color="auto" w:fill="auto"/>
            <w:vAlign w:val="center"/>
            <w:hideMark/>
          </w:tcPr>
          <w:p w14:paraId="57E4AF0C"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7B1C4FD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-126 537</w:t>
            </w:r>
          </w:p>
        </w:tc>
        <w:tc>
          <w:tcPr>
            <w:tcW w:w="1027" w:type="dxa"/>
            <w:gridSpan w:val="2"/>
            <w:tcBorders>
              <w:top w:val="nil"/>
              <w:left w:val="nil"/>
              <w:bottom w:val="nil"/>
              <w:right w:val="nil"/>
            </w:tcBorders>
            <w:shd w:val="clear" w:color="auto" w:fill="auto"/>
            <w:vAlign w:val="center"/>
            <w:hideMark/>
          </w:tcPr>
          <w:p w14:paraId="082F442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-132 715</w:t>
            </w:r>
          </w:p>
        </w:tc>
        <w:tc>
          <w:tcPr>
            <w:tcW w:w="1028" w:type="dxa"/>
            <w:tcBorders>
              <w:top w:val="nil"/>
              <w:left w:val="nil"/>
              <w:bottom w:val="nil"/>
              <w:right w:val="nil"/>
            </w:tcBorders>
            <w:shd w:val="clear" w:color="auto" w:fill="auto"/>
            <w:vAlign w:val="center"/>
            <w:hideMark/>
          </w:tcPr>
          <w:p w14:paraId="185607E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-160 588</w:t>
            </w:r>
          </w:p>
        </w:tc>
      </w:tr>
      <w:tr w:rsidR="00462ECB" w:rsidRPr="00462ECB" w14:paraId="1098C23B" w14:textId="77777777" w:rsidTr="00462ECB">
        <w:trPr>
          <w:trHeight w:val="288"/>
        </w:trPr>
        <w:tc>
          <w:tcPr>
            <w:tcW w:w="4962" w:type="dxa"/>
            <w:tcBorders>
              <w:top w:val="nil"/>
              <w:left w:val="nil"/>
              <w:bottom w:val="nil"/>
              <w:right w:val="nil"/>
            </w:tcBorders>
            <w:shd w:val="clear" w:color="auto" w:fill="auto"/>
            <w:noWrap/>
            <w:vAlign w:val="bottom"/>
            <w:hideMark/>
          </w:tcPr>
          <w:p w14:paraId="570097C5"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Odstránenie aplikačných problémov v sociálnej ekonomike</w:t>
            </w:r>
          </w:p>
        </w:tc>
        <w:tc>
          <w:tcPr>
            <w:tcW w:w="1027" w:type="dxa"/>
            <w:tcBorders>
              <w:top w:val="nil"/>
              <w:left w:val="nil"/>
              <w:bottom w:val="nil"/>
              <w:right w:val="nil"/>
            </w:tcBorders>
            <w:shd w:val="clear" w:color="auto" w:fill="auto"/>
            <w:vAlign w:val="center"/>
            <w:hideMark/>
          </w:tcPr>
          <w:p w14:paraId="4CCB4AF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2E07BCE0"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-1 316</w:t>
            </w:r>
          </w:p>
        </w:tc>
        <w:tc>
          <w:tcPr>
            <w:tcW w:w="1027" w:type="dxa"/>
            <w:gridSpan w:val="2"/>
            <w:tcBorders>
              <w:top w:val="nil"/>
              <w:left w:val="nil"/>
              <w:bottom w:val="nil"/>
              <w:right w:val="nil"/>
            </w:tcBorders>
            <w:shd w:val="clear" w:color="auto" w:fill="auto"/>
            <w:vAlign w:val="center"/>
            <w:hideMark/>
          </w:tcPr>
          <w:p w14:paraId="79E59A5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-1 459</w:t>
            </w:r>
          </w:p>
        </w:tc>
        <w:tc>
          <w:tcPr>
            <w:tcW w:w="1028" w:type="dxa"/>
            <w:tcBorders>
              <w:top w:val="nil"/>
              <w:left w:val="nil"/>
              <w:bottom w:val="nil"/>
              <w:right w:val="nil"/>
            </w:tcBorders>
            <w:shd w:val="clear" w:color="auto" w:fill="auto"/>
            <w:vAlign w:val="center"/>
            <w:hideMark/>
          </w:tcPr>
          <w:p w14:paraId="785FDC71"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-1 619</w:t>
            </w:r>
          </w:p>
        </w:tc>
      </w:tr>
      <w:tr w:rsidR="00462ECB" w:rsidRPr="00462ECB" w14:paraId="650390A7" w14:textId="77777777" w:rsidTr="00462ECB">
        <w:trPr>
          <w:trHeight w:val="288"/>
        </w:trPr>
        <w:tc>
          <w:tcPr>
            <w:tcW w:w="4962" w:type="dxa"/>
            <w:tcBorders>
              <w:top w:val="nil"/>
              <w:left w:val="nil"/>
              <w:bottom w:val="nil"/>
              <w:right w:val="nil"/>
            </w:tcBorders>
            <w:shd w:val="clear" w:color="auto" w:fill="auto"/>
            <w:noWrap/>
            <w:vAlign w:val="bottom"/>
            <w:hideMark/>
          </w:tcPr>
          <w:p w14:paraId="4F60098E"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Daňové zmeny (úrokové náklady, výkazníctvo, poistné zmluvy)</w:t>
            </w:r>
          </w:p>
        </w:tc>
        <w:tc>
          <w:tcPr>
            <w:tcW w:w="1027" w:type="dxa"/>
            <w:tcBorders>
              <w:top w:val="nil"/>
              <w:left w:val="nil"/>
              <w:bottom w:val="nil"/>
              <w:right w:val="nil"/>
            </w:tcBorders>
            <w:shd w:val="clear" w:color="auto" w:fill="auto"/>
            <w:vAlign w:val="center"/>
            <w:hideMark/>
          </w:tcPr>
          <w:p w14:paraId="325B684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-126</w:t>
            </w:r>
          </w:p>
        </w:tc>
        <w:tc>
          <w:tcPr>
            <w:tcW w:w="1028" w:type="dxa"/>
            <w:tcBorders>
              <w:top w:val="nil"/>
              <w:left w:val="nil"/>
              <w:bottom w:val="nil"/>
              <w:right w:val="nil"/>
            </w:tcBorders>
            <w:shd w:val="clear" w:color="auto" w:fill="auto"/>
            <w:vAlign w:val="center"/>
            <w:hideMark/>
          </w:tcPr>
          <w:p w14:paraId="77BD1209"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22 763</w:t>
            </w:r>
          </w:p>
        </w:tc>
        <w:tc>
          <w:tcPr>
            <w:tcW w:w="1027" w:type="dxa"/>
            <w:gridSpan w:val="2"/>
            <w:tcBorders>
              <w:top w:val="nil"/>
              <w:left w:val="nil"/>
              <w:bottom w:val="nil"/>
              <w:right w:val="nil"/>
            </w:tcBorders>
            <w:shd w:val="clear" w:color="auto" w:fill="auto"/>
            <w:vAlign w:val="center"/>
            <w:hideMark/>
          </w:tcPr>
          <w:p w14:paraId="2B69C8B9"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30 517</w:t>
            </w:r>
          </w:p>
        </w:tc>
        <w:tc>
          <w:tcPr>
            <w:tcW w:w="1028" w:type="dxa"/>
            <w:tcBorders>
              <w:top w:val="nil"/>
              <w:left w:val="nil"/>
              <w:bottom w:val="nil"/>
              <w:right w:val="nil"/>
            </w:tcBorders>
            <w:shd w:val="clear" w:color="auto" w:fill="auto"/>
            <w:vAlign w:val="center"/>
            <w:hideMark/>
          </w:tcPr>
          <w:p w14:paraId="144638F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22 626</w:t>
            </w:r>
          </w:p>
        </w:tc>
      </w:tr>
      <w:tr w:rsidR="00462ECB" w:rsidRPr="00462ECB" w14:paraId="5A7B3995" w14:textId="77777777" w:rsidTr="00462ECB">
        <w:trPr>
          <w:trHeight w:val="288"/>
        </w:trPr>
        <w:tc>
          <w:tcPr>
            <w:tcW w:w="4962" w:type="dxa"/>
            <w:tcBorders>
              <w:top w:val="nil"/>
              <w:left w:val="nil"/>
              <w:bottom w:val="nil"/>
              <w:right w:val="nil"/>
            </w:tcBorders>
            <w:shd w:val="clear" w:color="auto" w:fill="auto"/>
            <w:noWrap/>
            <w:vAlign w:val="bottom"/>
            <w:hideMark/>
          </w:tcPr>
          <w:p w14:paraId="54D1305B"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Znížená DPH na gastro a služby</w:t>
            </w:r>
          </w:p>
        </w:tc>
        <w:tc>
          <w:tcPr>
            <w:tcW w:w="1027" w:type="dxa"/>
            <w:tcBorders>
              <w:top w:val="nil"/>
              <w:left w:val="nil"/>
              <w:bottom w:val="nil"/>
              <w:right w:val="nil"/>
            </w:tcBorders>
            <w:shd w:val="clear" w:color="auto" w:fill="auto"/>
            <w:vAlign w:val="center"/>
            <w:hideMark/>
          </w:tcPr>
          <w:p w14:paraId="7838FD27"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-39</w:t>
            </w:r>
          </w:p>
        </w:tc>
        <w:tc>
          <w:tcPr>
            <w:tcW w:w="1028" w:type="dxa"/>
            <w:tcBorders>
              <w:top w:val="nil"/>
              <w:left w:val="nil"/>
              <w:bottom w:val="nil"/>
              <w:right w:val="nil"/>
            </w:tcBorders>
            <w:shd w:val="clear" w:color="auto" w:fill="auto"/>
            <w:vAlign w:val="center"/>
            <w:hideMark/>
          </w:tcPr>
          <w:p w14:paraId="3D54C92A"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-42 562</w:t>
            </w:r>
          </w:p>
        </w:tc>
        <w:tc>
          <w:tcPr>
            <w:tcW w:w="1027" w:type="dxa"/>
            <w:gridSpan w:val="2"/>
            <w:tcBorders>
              <w:top w:val="nil"/>
              <w:left w:val="nil"/>
              <w:bottom w:val="nil"/>
              <w:right w:val="nil"/>
            </w:tcBorders>
            <w:shd w:val="clear" w:color="auto" w:fill="auto"/>
            <w:vAlign w:val="center"/>
            <w:hideMark/>
          </w:tcPr>
          <w:p w14:paraId="78B61DCE"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7DA267F6"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r>
      <w:tr w:rsidR="00462ECB" w:rsidRPr="00462ECB" w14:paraId="58DDE298" w14:textId="77777777" w:rsidTr="00462ECB">
        <w:trPr>
          <w:trHeight w:val="288"/>
        </w:trPr>
        <w:tc>
          <w:tcPr>
            <w:tcW w:w="4962" w:type="dxa"/>
            <w:tcBorders>
              <w:top w:val="nil"/>
              <w:left w:val="nil"/>
              <w:bottom w:val="nil"/>
              <w:right w:val="nil"/>
            </w:tcBorders>
            <w:shd w:val="clear" w:color="auto" w:fill="auto"/>
            <w:noWrap/>
            <w:vAlign w:val="bottom"/>
            <w:hideMark/>
          </w:tcPr>
          <w:p w14:paraId="445CF4A7"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Podpora zamestnancov štátnych príslušníkov tretích krajín, občanov so zdr. postihnutím</w:t>
            </w:r>
          </w:p>
        </w:tc>
        <w:tc>
          <w:tcPr>
            <w:tcW w:w="1027" w:type="dxa"/>
            <w:tcBorders>
              <w:top w:val="nil"/>
              <w:left w:val="nil"/>
              <w:bottom w:val="nil"/>
              <w:right w:val="nil"/>
            </w:tcBorders>
            <w:shd w:val="clear" w:color="auto" w:fill="auto"/>
            <w:vAlign w:val="center"/>
            <w:hideMark/>
          </w:tcPr>
          <w:p w14:paraId="3D22773F"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6E4577C9"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-8 949</w:t>
            </w:r>
          </w:p>
        </w:tc>
        <w:tc>
          <w:tcPr>
            <w:tcW w:w="1027" w:type="dxa"/>
            <w:gridSpan w:val="2"/>
            <w:tcBorders>
              <w:top w:val="nil"/>
              <w:left w:val="nil"/>
              <w:bottom w:val="nil"/>
              <w:right w:val="nil"/>
            </w:tcBorders>
            <w:shd w:val="clear" w:color="auto" w:fill="auto"/>
            <w:vAlign w:val="center"/>
            <w:hideMark/>
          </w:tcPr>
          <w:p w14:paraId="7A115A4B"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-8 752</w:t>
            </w:r>
          </w:p>
        </w:tc>
        <w:tc>
          <w:tcPr>
            <w:tcW w:w="1028" w:type="dxa"/>
            <w:tcBorders>
              <w:top w:val="nil"/>
              <w:left w:val="nil"/>
              <w:bottom w:val="nil"/>
              <w:right w:val="nil"/>
            </w:tcBorders>
            <w:shd w:val="clear" w:color="auto" w:fill="auto"/>
            <w:vAlign w:val="center"/>
            <w:hideMark/>
          </w:tcPr>
          <w:p w14:paraId="06C1EE41"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-8 824</w:t>
            </w:r>
          </w:p>
        </w:tc>
      </w:tr>
      <w:tr w:rsidR="00462ECB" w:rsidRPr="00462ECB" w14:paraId="2F574060" w14:textId="77777777" w:rsidTr="00462ECB">
        <w:trPr>
          <w:trHeight w:val="288"/>
        </w:trPr>
        <w:tc>
          <w:tcPr>
            <w:tcW w:w="4962" w:type="dxa"/>
            <w:tcBorders>
              <w:top w:val="nil"/>
              <w:left w:val="nil"/>
              <w:bottom w:val="nil"/>
              <w:right w:val="nil"/>
            </w:tcBorders>
            <w:shd w:val="clear" w:color="auto" w:fill="auto"/>
            <w:noWrap/>
            <w:vAlign w:val="bottom"/>
            <w:hideMark/>
          </w:tcPr>
          <w:p w14:paraId="534AB6C9"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Národná stratégia európskeho integrovaného riadenia hraníc na roky 2023 - 2026</w:t>
            </w:r>
          </w:p>
        </w:tc>
        <w:tc>
          <w:tcPr>
            <w:tcW w:w="1027" w:type="dxa"/>
            <w:tcBorders>
              <w:top w:val="nil"/>
              <w:left w:val="nil"/>
              <w:bottom w:val="nil"/>
              <w:right w:val="nil"/>
            </w:tcBorders>
            <w:shd w:val="clear" w:color="auto" w:fill="auto"/>
            <w:vAlign w:val="center"/>
            <w:hideMark/>
          </w:tcPr>
          <w:p w14:paraId="7453277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351EEAE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-17 762</w:t>
            </w:r>
          </w:p>
        </w:tc>
        <w:tc>
          <w:tcPr>
            <w:tcW w:w="1027" w:type="dxa"/>
            <w:gridSpan w:val="2"/>
            <w:tcBorders>
              <w:top w:val="nil"/>
              <w:left w:val="nil"/>
              <w:bottom w:val="nil"/>
              <w:right w:val="nil"/>
            </w:tcBorders>
            <w:shd w:val="clear" w:color="auto" w:fill="auto"/>
            <w:vAlign w:val="center"/>
            <w:hideMark/>
          </w:tcPr>
          <w:p w14:paraId="7E25BF55"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-9 998</w:t>
            </w:r>
          </w:p>
        </w:tc>
        <w:tc>
          <w:tcPr>
            <w:tcW w:w="1028" w:type="dxa"/>
            <w:tcBorders>
              <w:top w:val="nil"/>
              <w:left w:val="nil"/>
              <w:bottom w:val="nil"/>
              <w:right w:val="nil"/>
            </w:tcBorders>
            <w:shd w:val="clear" w:color="auto" w:fill="auto"/>
            <w:vAlign w:val="center"/>
            <w:hideMark/>
          </w:tcPr>
          <w:p w14:paraId="092A1AEA"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-1 292</w:t>
            </w:r>
          </w:p>
        </w:tc>
      </w:tr>
      <w:tr w:rsidR="00462ECB" w:rsidRPr="00462ECB" w14:paraId="3CBB2EE5" w14:textId="77777777" w:rsidTr="00462ECB">
        <w:trPr>
          <w:trHeight w:val="492"/>
        </w:trPr>
        <w:tc>
          <w:tcPr>
            <w:tcW w:w="4962" w:type="dxa"/>
            <w:tcBorders>
              <w:top w:val="nil"/>
              <w:left w:val="nil"/>
              <w:bottom w:val="nil"/>
              <w:right w:val="nil"/>
            </w:tcBorders>
            <w:shd w:val="clear" w:color="auto" w:fill="auto"/>
            <w:vAlign w:val="bottom"/>
            <w:hideMark/>
          </w:tcPr>
          <w:p w14:paraId="414D73A6"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Zabezpečenie bezpečnosti, pravidelnosti, kvality a ceny dodávok plynu pre domácnosti</w:t>
            </w:r>
          </w:p>
        </w:tc>
        <w:tc>
          <w:tcPr>
            <w:tcW w:w="1027" w:type="dxa"/>
            <w:tcBorders>
              <w:top w:val="nil"/>
              <w:left w:val="nil"/>
              <w:bottom w:val="nil"/>
              <w:right w:val="nil"/>
            </w:tcBorders>
            <w:shd w:val="clear" w:color="auto" w:fill="auto"/>
            <w:vAlign w:val="center"/>
            <w:hideMark/>
          </w:tcPr>
          <w:p w14:paraId="535A79C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50FF86C9"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-1 690 269</w:t>
            </w:r>
          </w:p>
        </w:tc>
        <w:tc>
          <w:tcPr>
            <w:tcW w:w="1027" w:type="dxa"/>
            <w:gridSpan w:val="2"/>
            <w:tcBorders>
              <w:top w:val="nil"/>
              <w:left w:val="nil"/>
              <w:bottom w:val="nil"/>
              <w:right w:val="nil"/>
            </w:tcBorders>
            <w:shd w:val="clear" w:color="auto" w:fill="auto"/>
            <w:vAlign w:val="center"/>
            <w:hideMark/>
          </w:tcPr>
          <w:p w14:paraId="75E2BAA3"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161EF574"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r>
      <w:tr w:rsidR="00462ECB" w:rsidRPr="00462ECB" w14:paraId="0E1E1FED" w14:textId="77777777" w:rsidTr="00462ECB">
        <w:trPr>
          <w:trHeight w:val="288"/>
        </w:trPr>
        <w:tc>
          <w:tcPr>
            <w:tcW w:w="4962" w:type="dxa"/>
            <w:tcBorders>
              <w:top w:val="nil"/>
              <w:left w:val="nil"/>
              <w:bottom w:val="nil"/>
              <w:right w:val="nil"/>
            </w:tcBorders>
            <w:shd w:val="clear" w:color="auto" w:fill="auto"/>
            <w:noWrap/>
            <w:vAlign w:val="bottom"/>
            <w:hideMark/>
          </w:tcPr>
          <w:p w14:paraId="7402D32A"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lastRenderedPageBreak/>
              <w:t>Poskytnutie ubytovania odídencovi v súvislosti so situáciou na Ukrajine</w:t>
            </w:r>
          </w:p>
        </w:tc>
        <w:tc>
          <w:tcPr>
            <w:tcW w:w="1027" w:type="dxa"/>
            <w:tcBorders>
              <w:top w:val="nil"/>
              <w:left w:val="nil"/>
              <w:bottom w:val="nil"/>
              <w:right w:val="nil"/>
            </w:tcBorders>
            <w:shd w:val="clear" w:color="auto" w:fill="auto"/>
            <w:vAlign w:val="center"/>
            <w:hideMark/>
          </w:tcPr>
          <w:p w14:paraId="2B6BF981"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684F9E75"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-29 040</w:t>
            </w:r>
          </w:p>
        </w:tc>
        <w:tc>
          <w:tcPr>
            <w:tcW w:w="1027" w:type="dxa"/>
            <w:gridSpan w:val="2"/>
            <w:tcBorders>
              <w:top w:val="nil"/>
              <w:left w:val="nil"/>
              <w:bottom w:val="nil"/>
              <w:right w:val="nil"/>
            </w:tcBorders>
            <w:shd w:val="clear" w:color="auto" w:fill="auto"/>
            <w:vAlign w:val="center"/>
            <w:hideMark/>
          </w:tcPr>
          <w:p w14:paraId="517ECB1D"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084304DC"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0</w:t>
            </w:r>
          </w:p>
        </w:tc>
      </w:tr>
      <w:tr w:rsidR="00462ECB" w:rsidRPr="00462ECB" w14:paraId="7BD63A49" w14:textId="77777777" w:rsidTr="00462ECB">
        <w:trPr>
          <w:trHeight w:val="288"/>
        </w:trPr>
        <w:tc>
          <w:tcPr>
            <w:tcW w:w="4962" w:type="dxa"/>
            <w:tcBorders>
              <w:top w:val="nil"/>
              <w:left w:val="nil"/>
              <w:bottom w:val="nil"/>
              <w:right w:val="nil"/>
            </w:tcBorders>
            <w:shd w:val="clear" w:color="auto" w:fill="auto"/>
            <w:noWrap/>
            <w:vAlign w:val="bottom"/>
            <w:hideMark/>
          </w:tcPr>
          <w:p w14:paraId="34BB7CD2" w14:textId="77777777" w:rsidR="00462ECB" w:rsidRPr="00801276" w:rsidRDefault="00462ECB" w:rsidP="00462ECB">
            <w:pPr>
              <w:widowControl/>
              <w:suppressAutoHyphens w:val="0"/>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Dotácie v súvislosti s prílevom cudzincov</w:t>
            </w:r>
          </w:p>
        </w:tc>
        <w:tc>
          <w:tcPr>
            <w:tcW w:w="1027" w:type="dxa"/>
            <w:tcBorders>
              <w:top w:val="nil"/>
              <w:left w:val="nil"/>
              <w:bottom w:val="nil"/>
              <w:right w:val="nil"/>
            </w:tcBorders>
            <w:shd w:val="clear" w:color="auto" w:fill="auto"/>
            <w:vAlign w:val="center"/>
            <w:hideMark/>
          </w:tcPr>
          <w:p w14:paraId="17B0673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-431</w:t>
            </w:r>
          </w:p>
        </w:tc>
        <w:tc>
          <w:tcPr>
            <w:tcW w:w="1028" w:type="dxa"/>
            <w:tcBorders>
              <w:top w:val="nil"/>
              <w:left w:val="nil"/>
              <w:bottom w:val="nil"/>
              <w:right w:val="nil"/>
            </w:tcBorders>
            <w:shd w:val="clear" w:color="auto" w:fill="auto"/>
            <w:vAlign w:val="center"/>
            <w:hideMark/>
          </w:tcPr>
          <w:p w14:paraId="6573BA02"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-8 951</w:t>
            </w:r>
          </w:p>
        </w:tc>
        <w:tc>
          <w:tcPr>
            <w:tcW w:w="1027" w:type="dxa"/>
            <w:gridSpan w:val="2"/>
            <w:tcBorders>
              <w:top w:val="nil"/>
              <w:left w:val="nil"/>
              <w:bottom w:val="nil"/>
              <w:right w:val="nil"/>
            </w:tcBorders>
            <w:shd w:val="clear" w:color="auto" w:fill="auto"/>
            <w:vAlign w:val="center"/>
            <w:hideMark/>
          </w:tcPr>
          <w:p w14:paraId="23B3DE8E"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-15 932</w:t>
            </w:r>
          </w:p>
        </w:tc>
        <w:tc>
          <w:tcPr>
            <w:tcW w:w="1028" w:type="dxa"/>
            <w:tcBorders>
              <w:top w:val="nil"/>
              <w:left w:val="nil"/>
              <w:bottom w:val="nil"/>
              <w:right w:val="nil"/>
            </w:tcBorders>
            <w:shd w:val="clear" w:color="auto" w:fill="auto"/>
            <w:vAlign w:val="center"/>
            <w:hideMark/>
          </w:tcPr>
          <w:p w14:paraId="466DC2C8" w14:textId="77777777" w:rsidR="00462ECB" w:rsidRPr="00801276" w:rsidRDefault="00462ECB" w:rsidP="00462ECB">
            <w:pPr>
              <w:widowControl/>
              <w:suppressAutoHyphens w:val="0"/>
              <w:jc w:val="right"/>
              <w:rPr>
                <w:rFonts w:eastAsia="Times New Roman" w:cs="Times New Roman"/>
                <w:color w:val="000000"/>
                <w:kern w:val="0"/>
                <w:sz w:val="18"/>
                <w:szCs w:val="18"/>
                <w:lang w:eastAsia="sk-SK" w:bidi="ar-SA"/>
              </w:rPr>
            </w:pPr>
            <w:r w:rsidRPr="00801276">
              <w:rPr>
                <w:rFonts w:eastAsia="Times New Roman" w:cs="Times New Roman"/>
                <w:color w:val="000000"/>
                <w:kern w:val="0"/>
                <w:sz w:val="18"/>
                <w:szCs w:val="18"/>
                <w:lang w:eastAsia="sk-SK" w:bidi="ar-SA"/>
              </w:rPr>
              <w:t>-22 913</w:t>
            </w:r>
          </w:p>
        </w:tc>
      </w:tr>
      <w:tr w:rsidR="00462ECB" w:rsidRPr="00462ECB" w14:paraId="05D1227D" w14:textId="77777777" w:rsidTr="00462ECB">
        <w:trPr>
          <w:trHeight w:val="288"/>
        </w:trPr>
        <w:tc>
          <w:tcPr>
            <w:tcW w:w="4962" w:type="dxa"/>
            <w:tcBorders>
              <w:top w:val="nil"/>
              <w:left w:val="nil"/>
              <w:bottom w:val="nil"/>
              <w:right w:val="nil"/>
            </w:tcBorders>
            <w:shd w:val="clear" w:color="auto" w:fill="auto"/>
            <w:vAlign w:val="center"/>
            <w:hideMark/>
          </w:tcPr>
          <w:p w14:paraId="6486F53C" w14:textId="77777777" w:rsidR="00462ECB" w:rsidRPr="00801276" w:rsidRDefault="00462ECB" w:rsidP="00462ECB">
            <w:pPr>
              <w:widowControl/>
              <w:suppressAutoHyphens w:val="0"/>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Celkové vplyvy opatrení voči NPC</w:t>
            </w:r>
          </w:p>
        </w:tc>
        <w:tc>
          <w:tcPr>
            <w:tcW w:w="1027" w:type="dxa"/>
            <w:tcBorders>
              <w:top w:val="nil"/>
              <w:left w:val="nil"/>
              <w:bottom w:val="nil"/>
              <w:right w:val="nil"/>
            </w:tcBorders>
            <w:shd w:val="clear" w:color="auto" w:fill="auto"/>
            <w:vAlign w:val="center"/>
            <w:hideMark/>
          </w:tcPr>
          <w:p w14:paraId="287ADC3C"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-792 653</w:t>
            </w:r>
          </w:p>
        </w:tc>
        <w:tc>
          <w:tcPr>
            <w:tcW w:w="1028" w:type="dxa"/>
            <w:tcBorders>
              <w:top w:val="nil"/>
              <w:left w:val="nil"/>
              <w:bottom w:val="nil"/>
              <w:right w:val="nil"/>
            </w:tcBorders>
            <w:shd w:val="clear" w:color="auto" w:fill="auto"/>
            <w:vAlign w:val="center"/>
            <w:hideMark/>
          </w:tcPr>
          <w:p w14:paraId="0C5FB0AF"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-3 936 024</w:t>
            </w:r>
          </w:p>
        </w:tc>
        <w:tc>
          <w:tcPr>
            <w:tcW w:w="1027" w:type="dxa"/>
            <w:gridSpan w:val="2"/>
            <w:tcBorders>
              <w:top w:val="nil"/>
              <w:left w:val="nil"/>
              <w:bottom w:val="nil"/>
              <w:right w:val="nil"/>
            </w:tcBorders>
            <w:shd w:val="clear" w:color="auto" w:fill="auto"/>
            <w:vAlign w:val="center"/>
            <w:hideMark/>
          </w:tcPr>
          <w:p w14:paraId="4E09D69B"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-1 969 879</w:t>
            </w:r>
          </w:p>
        </w:tc>
        <w:tc>
          <w:tcPr>
            <w:tcW w:w="1028" w:type="dxa"/>
            <w:tcBorders>
              <w:top w:val="nil"/>
              <w:left w:val="nil"/>
              <w:bottom w:val="nil"/>
              <w:right w:val="nil"/>
            </w:tcBorders>
            <w:shd w:val="clear" w:color="auto" w:fill="auto"/>
            <w:vAlign w:val="center"/>
            <w:hideMark/>
          </w:tcPr>
          <w:p w14:paraId="6A7AD884"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-1 679 227</w:t>
            </w:r>
          </w:p>
        </w:tc>
      </w:tr>
      <w:tr w:rsidR="00462ECB" w:rsidRPr="00462ECB" w14:paraId="12118EFD" w14:textId="77777777" w:rsidTr="00462ECB">
        <w:trPr>
          <w:trHeight w:val="288"/>
        </w:trPr>
        <w:tc>
          <w:tcPr>
            <w:tcW w:w="4962" w:type="dxa"/>
            <w:tcBorders>
              <w:top w:val="nil"/>
              <w:left w:val="nil"/>
              <w:bottom w:val="nil"/>
              <w:right w:val="nil"/>
            </w:tcBorders>
            <w:shd w:val="clear" w:color="auto" w:fill="auto"/>
            <w:vAlign w:val="center"/>
            <w:hideMark/>
          </w:tcPr>
          <w:p w14:paraId="4324C36B" w14:textId="77777777" w:rsidR="00462ECB" w:rsidRPr="00801276" w:rsidRDefault="00462ECB" w:rsidP="00462ECB">
            <w:pPr>
              <w:widowControl/>
              <w:suppressAutoHyphens w:val="0"/>
              <w:ind w:firstLineChars="100" w:firstLine="181"/>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 xml:space="preserve"> - jednorazové</w:t>
            </w:r>
          </w:p>
        </w:tc>
        <w:tc>
          <w:tcPr>
            <w:tcW w:w="1027" w:type="dxa"/>
            <w:tcBorders>
              <w:top w:val="nil"/>
              <w:left w:val="nil"/>
              <w:bottom w:val="nil"/>
              <w:right w:val="nil"/>
            </w:tcBorders>
            <w:shd w:val="clear" w:color="auto" w:fill="auto"/>
            <w:vAlign w:val="center"/>
            <w:hideMark/>
          </w:tcPr>
          <w:p w14:paraId="7469A793"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-227 670</w:t>
            </w:r>
          </w:p>
        </w:tc>
        <w:tc>
          <w:tcPr>
            <w:tcW w:w="1028" w:type="dxa"/>
            <w:tcBorders>
              <w:top w:val="nil"/>
              <w:left w:val="nil"/>
              <w:bottom w:val="nil"/>
              <w:right w:val="nil"/>
            </w:tcBorders>
            <w:shd w:val="clear" w:color="auto" w:fill="auto"/>
            <w:vAlign w:val="center"/>
            <w:hideMark/>
          </w:tcPr>
          <w:p w14:paraId="144EAC17"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-1 806 701</w:t>
            </w:r>
          </w:p>
        </w:tc>
        <w:tc>
          <w:tcPr>
            <w:tcW w:w="1027" w:type="dxa"/>
            <w:gridSpan w:val="2"/>
            <w:tcBorders>
              <w:top w:val="nil"/>
              <w:left w:val="nil"/>
              <w:bottom w:val="nil"/>
              <w:right w:val="nil"/>
            </w:tcBorders>
            <w:shd w:val="clear" w:color="auto" w:fill="auto"/>
            <w:vAlign w:val="center"/>
            <w:hideMark/>
          </w:tcPr>
          <w:p w14:paraId="292CA13C"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0</w:t>
            </w:r>
          </w:p>
        </w:tc>
        <w:tc>
          <w:tcPr>
            <w:tcW w:w="1028" w:type="dxa"/>
            <w:tcBorders>
              <w:top w:val="nil"/>
              <w:left w:val="nil"/>
              <w:bottom w:val="nil"/>
              <w:right w:val="nil"/>
            </w:tcBorders>
            <w:shd w:val="clear" w:color="auto" w:fill="auto"/>
            <w:vAlign w:val="center"/>
            <w:hideMark/>
          </w:tcPr>
          <w:p w14:paraId="30323B16"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0</w:t>
            </w:r>
          </w:p>
        </w:tc>
      </w:tr>
      <w:tr w:rsidR="00462ECB" w:rsidRPr="00462ECB" w14:paraId="46CE1500" w14:textId="77777777" w:rsidTr="00462ECB">
        <w:trPr>
          <w:trHeight w:val="288"/>
        </w:trPr>
        <w:tc>
          <w:tcPr>
            <w:tcW w:w="4962" w:type="dxa"/>
            <w:tcBorders>
              <w:top w:val="nil"/>
              <w:left w:val="nil"/>
              <w:bottom w:val="single" w:sz="4" w:space="0" w:color="13B5EA"/>
              <w:right w:val="nil"/>
            </w:tcBorders>
            <w:shd w:val="clear" w:color="auto" w:fill="auto"/>
            <w:vAlign w:val="center"/>
            <w:hideMark/>
          </w:tcPr>
          <w:p w14:paraId="46A74B23" w14:textId="77777777" w:rsidR="00462ECB" w:rsidRPr="00801276" w:rsidRDefault="00462ECB" w:rsidP="00462ECB">
            <w:pPr>
              <w:widowControl/>
              <w:suppressAutoHyphens w:val="0"/>
              <w:ind w:firstLineChars="100" w:firstLine="181"/>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 xml:space="preserve"> - trvalé</w:t>
            </w:r>
          </w:p>
        </w:tc>
        <w:tc>
          <w:tcPr>
            <w:tcW w:w="1027" w:type="dxa"/>
            <w:tcBorders>
              <w:top w:val="nil"/>
              <w:left w:val="nil"/>
              <w:bottom w:val="single" w:sz="4" w:space="0" w:color="13B5EA"/>
              <w:right w:val="nil"/>
            </w:tcBorders>
            <w:shd w:val="clear" w:color="auto" w:fill="auto"/>
            <w:vAlign w:val="center"/>
            <w:hideMark/>
          </w:tcPr>
          <w:p w14:paraId="1AFA65A5"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-564 983</w:t>
            </w:r>
          </w:p>
        </w:tc>
        <w:tc>
          <w:tcPr>
            <w:tcW w:w="1028" w:type="dxa"/>
            <w:tcBorders>
              <w:top w:val="nil"/>
              <w:left w:val="nil"/>
              <w:bottom w:val="single" w:sz="4" w:space="0" w:color="13B5EA"/>
              <w:right w:val="nil"/>
            </w:tcBorders>
            <w:shd w:val="clear" w:color="auto" w:fill="auto"/>
            <w:vAlign w:val="center"/>
            <w:hideMark/>
          </w:tcPr>
          <w:p w14:paraId="131A1BF3"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-2 129 323</w:t>
            </w:r>
          </w:p>
        </w:tc>
        <w:tc>
          <w:tcPr>
            <w:tcW w:w="1027" w:type="dxa"/>
            <w:gridSpan w:val="2"/>
            <w:tcBorders>
              <w:top w:val="nil"/>
              <w:left w:val="nil"/>
              <w:bottom w:val="single" w:sz="4" w:space="0" w:color="13B5EA"/>
              <w:right w:val="nil"/>
            </w:tcBorders>
            <w:shd w:val="clear" w:color="auto" w:fill="auto"/>
            <w:vAlign w:val="center"/>
            <w:hideMark/>
          </w:tcPr>
          <w:p w14:paraId="6BAEE4CF"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-1 969 879</w:t>
            </w:r>
          </w:p>
        </w:tc>
        <w:tc>
          <w:tcPr>
            <w:tcW w:w="1028" w:type="dxa"/>
            <w:tcBorders>
              <w:top w:val="nil"/>
              <w:left w:val="nil"/>
              <w:bottom w:val="single" w:sz="4" w:space="0" w:color="13B5EA"/>
              <w:right w:val="nil"/>
            </w:tcBorders>
            <w:shd w:val="clear" w:color="auto" w:fill="auto"/>
            <w:vAlign w:val="center"/>
            <w:hideMark/>
          </w:tcPr>
          <w:p w14:paraId="2F8CC77F"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-1 679 227</w:t>
            </w:r>
          </w:p>
        </w:tc>
      </w:tr>
      <w:tr w:rsidR="00462ECB" w:rsidRPr="00462ECB" w14:paraId="59BEAB6F" w14:textId="77777777" w:rsidTr="00462ECB">
        <w:trPr>
          <w:trHeight w:val="288"/>
        </w:trPr>
        <w:tc>
          <w:tcPr>
            <w:tcW w:w="4962" w:type="dxa"/>
            <w:tcBorders>
              <w:top w:val="nil"/>
              <w:left w:val="nil"/>
              <w:bottom w:val="nil"/>
              <w:right w:val="nil"/>
            </w:tcBorders>
            <w:shd w:val="clear" w:color="auto" w:fill="auto"/>
            <w:vAlign w:val="center"/>
            <w:hideMark/>
          </w:tcPr>
          <w:p w14:paraId="6B086DE0" w14:textId="77777777" w:rsidR="00462ECB" w:rsidRPr="00801276" w:rsidRDefault="00462ECB" w:rsidP="00462ECB">
            <w:pPr>
              <w:widowControl/>
              <w:suppressAutoHyphens w:val="0"/>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Celkové vplyvy opatrení voči NPC (% HDP)</w:t>
            </w:r>
          </w:p>
        </w:tc>
        <w:tc>
          <w:tcPr>
            <w:tcW w:w="1027" w:type="dxa"/>
            <w:tcBorders>
              <w:top w:val="nil"/>
              <w:left w:val="nil"/>
              <w:bottom w:val="nil"/>
              <w:right w:val="nil"/>
            </w:tcBorders>
            <w:shd w:val="clear" w:color="auto" w:fill="auto"/>
            <w:vAlign w:val="center"/>
            <w:hideMark/>
          </w:tcPr>
          <w:p w14:paraId="3D6C1227"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-0,73</w:t>
            </w:r>
          </w:p>
        </w:tc>
        <w:tc>
          <w:tcPr>
            <w:tcW w:w="1028" w:type="dxa"/>
            <w:tcBorders>
              <w:top w:val="nil"/>
              <w:left w:val="nil"/>
              <w:bottom w:val="nil"/>
              <w:right w:val="nil"/>
            </w:tcBorders>
            <w:shd w:val="clear" w:color="auto" w:fill="auto"/>
            <w:vAlign w:val="center"/>
            <w:hideMark/>
          </w:tcPr>
          <w:p w14:paraId="76012BAB"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-3,22</w:t>
            </w:r>
          </w:p>
        </w:tc>
        <w:tc>
          <w:tcPr>
            <w:tcW w:w="1027" w:type="dxa"/>
            <w:gridSpan w:val="2"/>
            <w:tcBorders>
              <w:top w:val="nil"/>
              <w:left w:val="nil"/>
              <w:bottom w:val="nil"/>
              <w:right w:val="nil"/>
            </w:tcBorders>
            <w:shd w:val="clear" w:color="auto" w:fill="auto"/>
            <w:vAlign w:val="center"/>
            <w:hideMark/>
          </w:tcPr>
          <w:p w14:paraId="25F54698"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-1,51</w:t>
            </w:r>
          </w:p>
        </w:tc>
        <w:tc>
          <w:tcPr>
            <w:tcW w:w="1028" w:type="dxa"/>
            <w:tcBorders>
              <w:top w:val="nil"/>
              <w:left w:val="nil"/>
              <w:bottom w:val="nil"/>
              <w:right w:val="nil"/>
            </w:tcBorders>
            <w:shd w:val="clear" w:color="auto" w:fill="auto"/>
            <w:vAlign w:val="center"/>
            <w:hideMark/>
          </w:tcPr>
          <w:p w14:paraId="4DA1F847"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-1,21</w:t>
            </w:r>
          </w:p>
        </w:tc>
      </w:tr>
      <w:tr w:rsidR="00462ECB" w:rsidRPr="00462ECB" w14:paraId="4534AE72" w14:textId="77777777" w:rsidTr="00462ECB">
        <w:trPr>
          <w:trHeight w:val="288"/>
        </w:trPr>
        <w:tc>
          <w:tcPr>
            <w:tcW w:w="4962" w:type="dxa"/>
            <w:tcBorders>
              <w:top w:val="nil"/>
              <w:left w:val="nil"/>
              <w:bottom w:val="nil"/>
              <w:right w:val="nil"/>
            </w:tcBorders>
            <w:shd w:val="clear" w:color="auto" w:fill="auto"/>
            <w:vAlign w:val="center"/>
            <w:hideMark/>
          </w:tcPr>
          <w:p w14:paraId="02C3B3E5" w14:textId="77777777" w:rsidR="00462ECB" w:rsidRPr="00801276" w:rsidRDefault="00462ECB" w:rsidP="00462ECB">
            <w:pPr>
              <w:widowControl/>
              <w:suppressAutoHyphens w:val="0"/>
              <w:ind w:firstLineChars="100" w:firstLine="181"/>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 xml:space="preserve"> - jednorazové (% HDP)</w:t>
            </w:r>
          </w:p>
        </w:tc>
        <w:tc>
          <w:tcPr>
            <w:tcW w:w="1027" w:type="dxa"/>
            <w:tcBorders>
              <w:top w:val="nil"/>
              <w:left w:val="nil"/>
              <w:bottom w:val="nil"/>
              <w:right w:val="nil"/>
            </w:tcBorders>
            <w:shd w:val="clear" w:color="auto" w:fill="auto"/>
            <w:vAlign w:val="center"/>
            <w:hideMark/>
          </w:tcPr>
          <w:p w14:paraId="28D90141"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-0,21</w:t>
            </w:r>
          </w:p>
        </w:tc>
        <w:tc>
          <w:tcPr>
            <w:tcW w:w="1028" w:type="dxa"/>
            <w:tcBorders>
              <w:top w:val="nil"/>
              <w:left w:val="nil"/>
              <w:bottom w:val="nil"/>
              <w:right w:val="nil"/>
            </w:tcBorders>
            <w:shd w:val="clear" w:color="auto" w:fill="auto"/>
            <w:vAlign w:val="center"/>
            <w:hideMark/>
          </w:tcPr>
          <w:p w14:paraId="2811E2C6"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-1,48</w:t>
            </w:r>
          </w:p>
        </w:tc>
        <w:tc>
          <w:tcPr>
            <w:tcW w:w="1027" w:type="dxa"/>
            <w:gridSpan w:val="2"/>
            <w:tcBorders>
              <w:top w:val="nil"/>
              <w:left w:val="nil"/>
              <w:bottom w:val="nil"/>
              <w:right w:val="nil"/>
            </w:tcBorders>
            <w:shd w:val="clear" w:color="auto" w:fill="auto"/>
            <w:vAlign w:val="center"/>
            <w:hideMark/>
          </w:tcPr>
          <w:p w14:paraId="51358D56"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0,00</w:t>
            </w:r>
          </w:p>
        </w:tc>
        <w:tc>
          <w:tcPr>
            <w:tcW w:w="1028" w:type="dxa"/>
            <w:tcBorders>
              <w:top w:val="nil"/>
              <w:left w:val="nil"/>
              <w:bottom w:val="nil"/>
              <w:right w:val="nil"/>
            </w:tcBorders>
            <w:shd w:val="clear" w:color="auto" w:fill="auto"/>
            <w:vAlign w:val="center"/>
            <w:hideMark/>
          </w:tcPr>
          <w:p w14:paraId="0E7BFA0E"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0,00</w:t>
            </w:r>
          </w:p>
        </w:tc>
      </w:tr>
      <w:tr w:rsidR="00462ECB" w:rsidRPr="00462ECB" w14:paraId="3CCD84ED" w14:textId="77777777" w:rsidTr="00462ECB">
        <w:trPr>
          <w:trHeight w:val="288"/>
        </w:trPr>
        <w:tc>
          <w:tcPr>
            <w:tcW w:w="4962" w:type="dxa"/>
            <w:tcBorders>
              <w:top w:val="nil"/>
              <w:left w:val="nil"/>
              <w:bottom w:val="single" w:sz="4" w:space="0" w:color="13B5EA"/>
              <w:right w:val="nil"/>
            </w:tcBorders>
            <w:shd w:val="clear" w:color="auto" w:fill="auto"/>
            <w:vAlign w:val="center"/>
            <w:hideMark/>
          </w:tcPr>
          <w:p w14:paraId="11153092" w14:textId="77777777" w:rsidR="00462ECB" w:rsidRPr="00801276" w:rsidRDefault="00462ECB" w:rsidP="00462ECB">
            <w:pPr>
              <w:widowControl/>
              <w:suppressAutoHyphens w:val="0"/>
              <w:ind w:firstLineChars="100" w:firstLine="181"/>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 xml:space="preserve"> - trvalé (% HDP)</w:t>
            </w:r>
          </w:p>
        </w:tc>
        <w:tc>
          <w:tcPr>
            <w:tcW w:w="1027" w:type="dxa"/>
            <w:tcBorders>
              <w:top w:val="nil"/>
              <w:left w:val="nil"/>
              <w:bottom w:val="single" w:sz="4" w:space="0" w:color="13B5EA"/>
              <w:right w:val="nil"/>
            </w:tcBorders>
            <w:shd w:val="clear" w:color="auto" w:fill="auto"/>
            <w:vAlign w:val="center"/>
            <w:hideMark/>
          </w:tcPr>
          <w:p w14:paraId="74F50CC1"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-0,52</w:t>
            </w:r>
          </w:p>
        </w:tc>
        <w:tc>
          <w:tcPr>
            <w:tcW w:w="1028" w:type="dxa"/>
            <w:tcBorders>
              <w:top w:val="nil"/>
              <w:left w:val="nil"/>
              <w:bottom w:val="single" w:sz="4" w:space="0" w:color="13B5EA"/>
              <w:right w:val="nil"/>
            </w:tcBorders>
            <w:shd w:val="clear" w:color="auto" w:fill="auto"/>
            <w:vAlign w:val="center"/>
            <w:hideMark/>
          </w:tcPr>
          <w:p w14:paraId="77F73F65"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-1,74</w:t>
            </w:r>
          </w:p>
        </w:tc>
        <w:tc>
          <w:tcPr>
            <w:tcW w:w="1027" w:type="dxa"/>
            <w:gridSpan w:val="2"/>
            <w:tcBorders>
              <w:top w:val="nil"/>
              <w:left w:val="nil"/>
              <w:bottom w:val="single" w:sz="4" w:space="0" w:color="13B5EA"/>
              <w:right w:val="nil"/>
            </w:tcBorders>
            <w:shd w:val="clear" w:color="auto" w:fill="auto"/>
            <w:vAlign w:val="center"/>
            <w:hideMark/>
          </w:tcPr>
          <w:p w14:paraId="63480C7C"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-1,51</w:t>
            </w:r>
          </w:p>
        </w:tc>
        <w:tc>
          <w:tcPr>
            <w:tcW w:w="1028" w:type="dxa"/>
            <w:tcBorders>
              <w:top w:val="nil"/>
              <w:left w:val="nil"/>
              <w:bottom w:val="single" w:sz="4" w:space="0" w:color="13B5EA"/>
              <w:right w:val="nil"/>
            </w:tcBorders>
            <w:shd w:val="clear" w:color="auto" w:fill="auto"/>
            <w:vAlign w:val="center"/>
            <w:hideMark/>
          </w:tcPr>
          <w:p w14:paraId="5E13E88E" w14:textId="77777777" w:rsidR="00462ECB" w:rsidRPr="00801276" w:rsidRDefault="00462ECB" w:rsidP="00462ECB">
            <w:pPr>
              <w:widowControl/>
              <w:suppressAutoHyphens w:val="0"/>
              <w:jc w:val="right"/>
              <w:rPr>
                <w:rFonts w:eastAsia="Times New Roman" w:cs="Times New Roman"/>
                <w:b/>
                <w:bCs/>
                <w:color w:val="000000"/>
                <w:kern w:val="0"/>
                <w:sz w:val="18"/>
                <w:szCs w:val="18"/>
                <w:lang w:eastAsia="sk-SK" w:bidi="ar-SA"/>
              </w:rPr>
            </w:pPr>
            <w:r w:rsidRPr="00801276">
              <w:rPr>
                <w:rFonts w:eastAsia="Times New Roman" w:cs="Times New Roman"/>
                <w:b/>
                <w:bCs/>
                <w:color w:val="000000"/>
                <w:kern w:val="0"/>
                <w:sz w:val="18"/>
                <w:szCs w:val="18"/>
                <w:lang w:eastAsia="sk-SK" w:bidi="ar-SA"/>
              </w:rPr>
              <w:t>-1,21</w:t>
            </w:r>
          </w:p>
        </w:tc>
      </w:tr>
      <w:tr w:rsidR="00462ECB" w:rsidRPr="00462ECB" w14:paraId="3BCB6D25" w14:textId="77777777" w:rsidTr="004F1A1D">
        <w:trPr>
          <w:trHeight w:val="585"/>
        </w:trPr>
        <w:tc>
          <w:tcPr>
            <w:tcW w:w="7655" w:type="dxa"/>
            <w:gridSpan w:val="4"/>
            <w:tcBorders>
              <w:top w:val="nil"/>
              <w:left w:val="nil"/>
              <w:bottom w:val="nil"/>
              <w:right w:val="nil"/>
            </w:tcBorders>
            <w:shd w:val="clear" w:color="auto" w:fill="auto"/>
            <w:vAlign w:val="center"/>
            <w:hideMark/>
          </w:tcPr>
          <w:p w14:paraId="33713CCF" w14:textId="77777777" w:rsidR="00462ECB" w:rsidRPr="00801276" w:rsidRDefault="00462ECB" w:rsidP="00462ECB">
            <w:pPr>
              <w:widowControl/>
              <w:suppressAutoHyphens w:val="0"/>
              <w:rPr>
                <w:rFonts w:eastAsia="Times New Roman" w:cs="Times New Roman"/>
                <w:i/>
                <w:iCs/>
                <w:color w:val="13B5EA"/>
                <w:kern w:val="0"/>
                <w:sz w:val="16"/>
                <w:szCs w:val="16"/>
                <w:lang w:eastAsia="sk-SK" w:bidi="ar-SA"/>
              </w:rPr>
            </w:pPr>
            <w:r w:rsidRPr="00801276">
              <w:rPr>
                <w:rFonts w:eastAsia="Times New Roman" w:cs="Times New Roman"/>
                <w:i/>
                <w:iCs/>
                <w:color w:val="13B5EA"/>
                <w:kern w:val="0"/>
                <w:sz w:val="16"/>
                <w:szCs w:val="16"/>
                <w:lang w:eastAsia="sk-SK" w:bidi="ar-SA"/>
              </w:rPr>
              <w:t>Vplyvy legislatívnych zmien sú čerpané z oficiálnych dokumentov (výstupy Výboru pre daňové prognózy, doložky vplyvov) a podkladov poskytnutých MF SR, pričom sú vyjadrené voči vývoju verejných financií za predpokladu nezmenených politík (NPC scenár).</w:t>
            </w:r>
          </w:p>
        </w:tc>
        <w:tc>
          <w:tcPr>
            <w:tcW w:w="1417" w:type="dxa"/>
            <w:gridSpan w:val="2"/>
            <w:tcBorders>
              <w:top w:val="nil"/>
              <w:left w:val="nil"/>
              <w:bottom w:val="nil"/>
              <w:right w:val="nil"/>
            </w:tcBorders>
            <w:shd w:val="clear" w:color="auto" w:fill="auto"/>
            <w:noWrap/>
            <w:vAlign w:val="center"/>
            <w:hideMark/>
          </w:tcPr>
          <w:p w14:paraId="1A369A55" w14:textId="77777777" w:rsidR="00462ECB" w:rsidRPr="00801276" w:rsidRDefault="00462ECB" w:rsidP="00462ECB">
            <w:pPr>
              <w:widowControl/>
              <w:suppressAutoHyphens w:val="0"/>
              <w:jc w:val="right"/>
              <w:rPr>
                <w:rFonts w:eastAsia="Times New Roman" w:cs="Times New Roman"/>
                <w:i/>
                <w:iCs/>
                <w:color w:val="13B5EA"/>
                <w:kern w:val="0"/>
                <w:sz w:val="16"/>
                <w:szCs w:val="16"/>
                <w:lang w:eastAsia="sk-SK" w:bidi="ar-SA"/>
              </w:rPr>
            </w:pPr>
            <w:r w:rsidRPr="00801276">
              <w:rPr>
                <w:rFonts w:eastAsia="Times New Roman" w:cs="Times New Roman"/>
                <w:i/>
                <w:iCs/>
                <w:color w:val="13B5EA"/>
                <w:kern w:val="0"/>
                <w:sz w:val="16"/>
                <w:szCs w:val="16"/>
                <w:lang w:eastAsia="sk-SK" w:bidi="ar-SA"/>
              </w:rPr>
              <w:t>Zdroj: RRZ, MF SR</w:t>
            </w:r>
          </w:p>
        </w:tc>
      </w:tr>
    </w:tbl>
    <w:p w14:paraId="4C8897B7" w14:textId="2F312751" w:rsidR="00462ECB" w:rsidRDefault="00462ECB" w:rsidP="00114DEE">
      <w:pPr>
        <w:jc w:val="both"/>
        <w:rPr>
          <w:sz w:val="22"/>
          <w:szCs w:val="22"/>
        </w:rPr>
      </w:pPr>
    </w:p>
    <w:p w14:paraId="4511B3F4" w14:textId="5B93872E" w:rsidR="009A4823" w:rsidRDefault="009A4823" w:rsidP="00114DEE">
      <w:pPr>
        <w:jc w:val="both"/>
        <w:rPr>
          <w:sz w:val="22"/>
          <w:szCs w:val="22"/>
        </w:rPr>
      </w:pPr>
    </w:p>
    <w:p w14:paraId="45B5E247" w14:textId="77777777" w:rsidR="00A30150" w:rsidRDefault="00A30150" w:rsidP="00114DEE">
      <w:pPr>
        <w:jc w:val="both"/>
        <w:rPr>
          <w:sz w:val="22"/>
          <w:szCs w:val="22"/>
        </w:rPr>
      </w:pPr>
    </w:p>
    <w:p w14:paraId="12FC784E" w14:textId="511748AD" w:rsidR="00183C05" w:rsidRPr="00114DEE" w:rsidRDefault="00183C05" w:rsidP="00114DEE">
      <w:pPr>
        <w:rPr>
          <w:b/>
          <w:sz w:val="22"/>
          <w:szCs w:val="22"/>
        </w:rPr>
      </w:pPr>
      <w:r w:rsidRPr="00114DEE">
        <w:rPr>
          <w:b/>
          <w:sz w:val="22"/>
          <w:szCs w:val="22"/>
        </w:rPr>
        <w:t>Výpočet limitu verejných výdavkov</w:t>
      </w:r>
    </w:p>
    <w:p w14:paraId="1775F3B7" w14:textId="77777777" w:rsidR="009A4823" w:rsidRDefault="009A4823" w:rsidP="000833C6">
      <w:pPr>
        <w:rPr>
          <w:sz w:val="22"/>
          <w:szCs w:val="22"/>
        </w:rPr>
      </w:pPr>
    </w:p>
    <w:p w14:paraId="58DD0670" w14:textId="03A311B2" w:rsidR="000833C6" w:rsidRDefault="000833C6" w:rsidP="000833C6">
      <w:pPr>
        <w:rPr>
          <w:sz w:val="22"/>
          <w:szCs w:val="22"/>
        </w:rPr>
      </w:pPr>
      <w:r w:rsidRPr="00932A34">
        <w:rPr>
          <w:sz w:val="22"/>
          <w:szCs w:val="22"/>
        </w:rPr>
        <w:t>Pri stanovení hodnoty plánovaného štrukturálneho salda, ktoré je východiskom pre výpočet limitu verejných výdavkov, sa berie do úvahy (</w:t>
      </w:r>
      <w:r w:rsidR="00820152">
        <w:rPr>
          <w:color w:val="13B5EA"/>
          <w:sz w:val="22"/>
          <w:szCs w:val="22"/>
        </w:rPr>
        <w:t>Tab</w:t>
      </w:r>
      <w:r w:rsidRPr="006B6810">
        <w:rPr>
          <w:color w:val="13B5EA"/>
          <w:sz w:val="22"/>
          <w:szCs w:val="22"/>
        </w:rPr>
        <w:t xml:space="preserve"> </w:t>
      </w:r>
      <w:r w:rsidR="00CC3C85">
        <w:rPr>
          <w:color w:val="13B5EA"/>
          <w:sz w:val="22"/>
          <w:szCs w:val="22"/>
        </w:rPr>
        <w:t>6</w:t>
      </w:r>
      <w:r w:rsidRPr="00932A34">
        <w:rPr>
          <w:sz w:val="22"/>
          <w:szCs w:val="22"/>
        </w:rPr>
        <w:t xml:space="preserve">): </w:t>
      </w:r>
    </w:p>
    <w:p w14:paraId="324CDAA5" w14:textId="77777777" w:rsidR="000833C6" w:rsidRPr="00321634" w:rsidRDefault="000833C6" w:rsidP="000833C6">
      <w:pPr>
        <w:rPr>
          <w:sz w:val="20"/>
          <w:szCs w:val="20"/>
        </w:rPr>
      </w:pPr>
    </w:p>
    <w:p w14:paraId="496CAB41" w14:textId="77777777" w:rsidR="000833C6" w:rsidRPr="00321634" w:rsidRDefault="000833C6" w:rsidP="000833C6">
      <w:pPr>
        <w:pStyle w:val="ListParagraph"/>
        <w:widowControl/>
        <w:numPr>
          <w:ilvl w:val="0"/>
          <w:numId w:val="18"/>
        </w:numPr>
        <w:autoSpaceDN w:val="0"/>
        <w:jc w:val="both"/>
        <w:rPr>
          <w:sz w:val="22"/>
          <w:szCs w:val="22"/>
        </w:rPr>
      </w:pPr>
      <w:r w:rsidRPr="00321634">
        <w:rPr>
          <w:sz w:val="22"/>
          <w:szCs w:val="22"/>
        </w:rPr>
        <w:t xml:space="preserve">miera rizika dlhodobej udržateľnosti verejných financií, </w:t>
      </w:r>
    </w:p>
    <w:p w14:paraId="68F2C91B" w14:textId="77777777" w:rsidR="000833C6" w:rsidRPr="00321634" w:rsidRDefault="000833C6" w:rsidP="000833C6">
      <w:pPr>
        <w:pStyle w:val="ListParagraph"/>
        <w:widowControl/>
        <w:numPr>
          <w:ilvl w:val="0"/>
          <w:numId w:val="18"/>
        </w:numPr>
        <w:autoSpaceDN w:val="0"/>
        <w:jc w:val="both"/>
        <w:rPr>
          <w:sz w:val="22"/>
          <w:szCs w:val="22"/>
        </w:rPr>
      </w:pPr>
      <w:r w:rsidRPr="00321634">
        <w:rPr>
          <w:sz w:val="22"/>
          <w:szCs w:val="22"/>
        </w:rPr>
        <w:t>niektoré sankcie dlhovej brzdy a </w:t>
      </w:r>
    </w:p>
    <w:p w14:paraId="451A119C" w14:textId="77777777" w:rsidR="000833C6" w:rsidRPr="00321634" w:rsidRDefault="000833C6" w:rsidP="000833C6">
      <w:pPr>
        <w:pStyle w:val="ListParagraph"/>
        <w:widowControl/>
        <w:numPr>
          <w:ilvl w:val="0"/>
          <w:numId w:val="18"/>
        </w:numPr>
        <w:autoSpaceDN w:val="0"/>
        <w:jc w:val="both"/>
        <w:rPr>
          <w:sz w:val="22"/>
          <w:szCs w:val="22"/>
        </w:rPr>
      </w:pPr>
      <w:r w:rsidRPr="00321634">
        <w:rPr>
          <w:sz w:val="22"/>
          <w:szCs w:val="22"/>
        </w:rPr>
        <w:t xml:space="preserve">odhadované vplyvy zmien v dlhodobej udržateľnosti vyvolané legislatívnymi zmenami schválenými národnou radou, ktoré nie sú zahrnuté v základnom scenári. </w:t>
      </w:r>
    </w:p>
    <w:p w14:paraId="142270BB" w14:textId="77777777" w:rsidR="000833C6" w:rsidRPr="00321634" w:rsidRDefault="000833C6" w:rsidP="000833C6">
      <w:pPr>
        <w:rPr>
          <w:sz w:val="20"/>
          <w:szCs w:val="20"/>
        </w:rPr>
      </w:pPr>
    </w:p>
    <w:p w14:paraId="084B6E5C" w14:textId="3C44B590" w:rsidR="000833C6" w:rsidRPr="00932A34" w:rsidRDefault="000833C6" w:rsidP="000833C6">
      <w:pPr>
        <w:jc w:val="both"/>
      </w:pPr>
      <w:r w:rsidRPr="00932A34">
        <w:rPr>
          <w:sz w:val="22"/>
          <w:szCs w:val="22"/>
        </w:rPr>
        <w:t>Riziká spojené s dlhodobou udržateľnosťou sú na základe základného scenára vysoké, čo znamená, že pre rok 2023 platí požiadavka na zlepšenie štrukturálneho salda voči základnému scenáru o 0,5</w:t>
      </w:r>
      <w:r>
        <w:rPr>
          <w:sz w:val="22"/>
          <w:szCs w:val="22"/>
        </w:rPr>
        <w:t> </w:t>
      </w:r>
      <w:r w:rsidRPr="00932A34">
        <w:rPr>
          <w:sz w:val="22"/>
          <w:szCs w:val="22"/>
        </w:rPr>
        <w:t xml:space="preserve">% HDP. Pri splnení tohto požadovaného zlepšenia </w:t>
      </w:r>
      <w:r w:rsidR="00B34723">
        <w:rPr>
          <w:sz w:val="22"/>
          <w:szCs w:val="22"/>
        </w:rPr>
        <w:t>a zohľadnení vplyvov legislatívnych zmien ovplyvňujúcich dlhodobú udržateľnosť (</w:t>
      </w:r>
      <w:r w:rsidR="00820152">
        <w:rPr>
          <w:color w:val="13B5EA"/>
          <w:sz w:val="22"/>
          <w:szCs w:val="22"/>
        </w:rPr>
        <w:t>Tab</w:t>
      </w:r>
      <w:r w:rsidR="00B34723" w:rsidRPr="00114DEE">
        <w:rPr>
          <w:color w:val="13B5EA"/>
          <w:sz w:val="22"/>
          <w:szCs w:val="22"/>
        </w:rPr>
        <w:t xml:space="preserve"> 4</w:t>
      </w:r>
      <w:r w:rsidR="007A320B">
        <w:rPr>
          <w:color w:val="13B5EA"/>
          <w:sz w:val="22"/>
          <w:szCs w:val="22"/>
        </w:rPr>
        <w:t xml:space="preserve"> </w:t>
      </w:r>
      <w:r w:rsidR="007A320B" w:rsidRPr="00D459B9">
        <w:rPr>
          <w:sz w:val="22"/>
          <w:szCs w:val="22"/>
        </w:rPr>
        <w:t>a</w:t>
      </w:r>
      <w:r w:rsidR="007A320B">
        <w:rPr>
          <w:color w:val="13B5EA"/>
          <w:sz w:val="22"/>
          <w:szCs w:val="22"/>
        </w:rPr>
        <w:t xml:space="preserve"> 5</w:t>
      </w:r>
      <w:r w:rsidR="00B34723">
        <w:rPr>
          <w:sz w:val="22"/>
          <w:szCs w:val="22"/>
        </w:rPr>
        <w:t xml:space="preserve">) </w:t>
      </w:r>
      <w:r w:rsidRPr="00932A34">
        <w:rPr>
          <w:sz w:val="22"/>
          <w:szCs w:val="22"/>
        </w:rPr>
        <w:t xml:space="preserve">by sa </w:t>
      </w:r>
      <w:r w:rsidRPr="00B34723">
        <w:rPr>
          <w:sz w:val="22"/>
          <w:szCs w:val="22"/>
        </w:rPr>
        <w:t>riziká znížili do stredného pásma,</w:t>
      </w:r>
      <w:r w:rsidRPr="00932A34">
        <w:rPr>
          <w:sz w:val="22"/>
          <w:szCs w:val="22"/>
        </w:rPr>
        <w:t xml:space="preserve"> pričom aj v tomto prípade platí pre rok</w:t>
      </w:r>
      <w:r w:rsidR="00183C05">
        <w:rPr>
          <w:sz w:val="22"/>
          <w:szCs w:val="22"/>
        </w:rPr>
        <w:t>y</w:t>
      </w:r>
      <w:r w:rsidRPr="00932A34">
        <w:rPr>
          <w:sz w:val="22"/>
          <w:szCs w:val="22"/>
        </w:rPr>
        <w:t xml:space="preserve"> 2024</w:t>
      </w:r>
      <w:r w:rsidR="00183C05">
        <w:rPr>
          <w:sz w:val="22"/>
          <w:szCs w:val="22"/>
        </w:rPr>
        <w:t xml:space="preserve"> a 2025</w:t>
      </w:r>
      <w:r w:rsidRPr="00932A34">
        <w:rPr>
          <w:sz w:val="22"/>
          <w:szCs w:val="22"/>
        </w:rPr>
        <w:t xml:space="preserve"> požiadavka na zlepšenie štrukturálneho salda o 0,5 % HDP</w:t>
      </w:r>
      <w:r w:rsidRPr="00932A34">
        <w:rPr>
          <w:rStyle w:val="FootnoteReference"/>
          <w:sz w:val="22"/>
          <w:szCs w:val="22"/>
        </w:rPr>
        <w:footnoteReference w:id="12"/>
      </w:r>
      <w:r w:rsidRPr="00932A34">
        <w:rPr>
          <w:sz w:val="22"/>
          <w:szCs w:val="22"/>
        </w:rPr>
        <w:t>.</w:t>
      </w:r>
    </w:p>
    <w:p w14:paraId="50D56A48" w14:textId="77777777" w:rsidR="000833C6" w:rsidRPr="00321634" w:rsidRDefault="000833C6" w:rsidP="000833C6">
      <w:pPr>
        <w:rPr>
          <w:sz w:val="20"/>
          <w:szCs w:val="20"/>
        </w:rPr>
      </w:pPr>
    </w:p>
    <w:p w14:paraId="265B221A" w14:textId="5D393E6B" w:rsidR="000833C6" w:rsidRDefault="000833C6" w:rsidP="000833C6">
      <w:pPr>
        <w:jc w:val="both"/>
      </w:pPr>
      <w:r w:rsidRPr="00932A34">
        <w:rPr>
          <w:sz w:val="22"/>
          <w:szCs w:val="22"/>
        </w:rPr>
        <w:t>Hrubý dlh za rok 2021 bol nad najvyšším sankčným pásmom, ale z dôvodu 24 mesačnej výnimky od schválenia</w:t>
      </w:r>
      <w:r>
        <w:rPr>
          <w:sz w:val="22"/>
          <w:szCs w:val="22"/>
        </w:rPr>
        <w:t xml:space="preserve"> programového vyhlásenia novej vlády sa prísnejšie sankcie dlhovej brzdy neuplatňujú a platia len sankcie druhého sankčného pásma (predloženie zdôvodnenia nárastu dlhu a návrhu opatrení na zníženie dlhu vládou na rokovanie NR SR a zmrazenie platov členov vlády). </w:t>
      </w:r>
      <w:r w:rsidRPr="00114DEE">
        <w:rPr>
          <w:sz w:val="22"/>
          <w:szCs w:val="22"/>
        </w:rPr>
        <w:t xml:space="preserve">Tieto sankcie </w:t>
      </w:r>
      <w:r w:rsidR="004C7BC3" w:rsidRPr="00114DEE">
        <w:rPr>
          <w:sz w:val="22"/>
          <w:szCs w:val="22"/>
        </w:rPr>
        <w:t>však neovplyvňujú</w:t>
      </w:r>
      <w:r w:rsidRPr="00114DEE">
        <w:rPr>
          <w:rStyle w:val="FootnoteReference"/>
          <w:sz w:val="22"/>
          <w:szCs w:val="22"/>
        </w:rPr>
        <w:footnoteReference w:id="13"/>
      </w:r>
      <w:r w:rsidRPr="00114DEE">
        <w:rPr>
          <w:sz w:val="22"/>
          <w:szCs w:val="22"/>
        </w:rPr>
        <w:t xml:space="preserve"> výpoč</w:t>
      </w:r>
      <w:r w:rsidR="004C7BC3" w:rsidRPr="00114DEE">
        <w:rPr>
          <w:sz w:val="22"/>
          <w:szCs w:val="22"/>
        </w:rPr>
        <w:t>e</w:t>
      </w:r>
      <w:r w:rsidRPr="00114DEE">
        <w:rPr>
          <w:sz w:val="22"/>
          <w:szCs w:val="22"/>
        </w:rPr>
        <w:t>t plánovaného štrukturálneho salda. Prípadné sankcie spojené s výškou hrubého dlhu za rok 2022, ktoré by boli relevantné pre prípravu rozpočtu na rok 2024, ešte v súčasnosti nie je možné určiť, a preto sa do výpočtu plánovaného štrukturálneho salda nezohľadňujú.</w:t>
      </w:r>
    </w:p>
    <w:p w14:paraId="11380009" w14:textId="77777777" w:rsidR="000833C6" w:rsidRPr="00321634" w:rsidRDefault="000833C6" w:rsidP="000833C6">
      <w:pPr>
        <w:rPr>
          <w:sz w:val="20"/>
          <w:szCs w:val="20"/>
        </w:rPr>
      </w:pPr>
    </w:p>
    <w:p w14:paraId="2C6622C7" w14:textId="76D16DB6" w:rsidR="000833C6" w:rsidRDefault="004C7BC3" w:rsidP="000833C6">
      <w:pPr>
        <w:jc w:val="both"/>
        <w:rPr>
          <w:sz w:val="22"/>
          <w:szCs w:val="22"/>
        </w:rPr>
      </w:pPr>
      <w:r w:rsidRPr="00114DEE">
        <w:rPr>
          <w:sz w:val="22"/>
          <w:szCs w:val="22"/>
        </w:rPr>
        <w:t xml:space="preserve">V priebehu </w:t>
      </w:r>
      <w:r w:rsidR="000833C6" w:rsidRPr="00114DEE">
        <w:rPr>
          <w:sz w:val="22"/>
          <w:szCs w:val="22"/>
        </w:rPr>
        <w:t>roku 2022</w:t>
      </w:r>
      <w:r w:rsidR="000833C6" w:rsidRPr="004C7BC3" w:rsidDel="00320F70">
        <w:rPr>
          <w:sz w:val="22"/>
          <w:szCs w:val="22"/>
        </w:rPr>
        <w:t xml:space="preserve"> </w:t>
      </w:r>
      <w:r w:rsidR="000833C6">
        <w:rPr>
          <w:sz w:val="22"/>
          <w:szCs w:val="22"/>
        </w:rPr>
        <w:t xml:space="preserve">došlo </w:t>
      </w:r>
      <w:r>
        <w:rPr>
          <w:sz w:val="22"/>
          <w:szCs w:val="22"/>
        </w:rPr>
        <w:t xml:space="preserve">aj </w:t>
      </w:r>
      <w:r w:rsidR="000833C6">
        <w:rPr>
          <w:sz w:val="22"/>
          <w:szCs w:val="22"/>
        </w:rPr>
        <w:t xml:space="preserve">k schváleniu </w:t>
      </w:r>
      <w:r w:rsidR="000833C6" w:rsidDel="004C7BC3">
        <w:rPr>
          <w:sz w:val="22"/>
          <w:szCs w:val="22"/>
        </w:rPr>
        <w:t xml:space="preserve">legislatívnych zmien </w:t>
      </w:r>
      <w:r w:rsidR="000833C6">
        <w:rPr>
          <w:sz w:val="22"/>
          <w:szCs w:val="22"/>
        </w:rPr>
        <w:t>ovplyvňujúc</w:t>
      </w:r>
      <w:r>
        <w:rPr>
          <w:sz w:val="22"/>
          <w:szCs w:val="22"/>
        </w:rPr>
        <w:t>ich</w:t>
      </w:r>
      <w:r w:rsidR="000833C6">
        <w:rPr>
          <w:sz w:val="22"/>
          <w:szCs w:val="22"/>
        </w:rPr>
        <w:t xml:space="preserve"> dlhodobú udržateľnosť verejných financií</w:t>
      </w:r>
      <w:r>
        <w:rPr>
          <w:sz w:val="22"/>
          <w:szCs w:val="22"/>
        </w:rPr>
        <w:t xml:space="preserve"> pričom ich vplyvy sa zahŕňajú nad rámec základného scenára. Konkrétne ide o zmeny v priebežnom pilieri dôchodkového systému a</w:t>
      </w:r>
      <w:r w:rsidR="00644556">
        <w:rPr>
          <w:sz w:val="22"/>
          <w:szCs w:val="22"/>
        </w:rPr>
        <w:t xml:space="preserve"> zmeny v peňažných príspevkoch na opatrovanie, ktoré ovplyvňujú výdavky na dlhodobú starostlivosť. </w:t>
      </w:r>
    </w:p>
    <w:p w14:paraId="349FCBE2" w14:textId="6DB68D37" w:rsidR="002D5732" w:rsidRDefault="002D5732" w:rsidP="000833C6">
      <w:pPr>
        <w:jc w:val="both"/>
        <w:rPr>
          <w:sz w:val="22"/>
          <w:szCs w:val="22"/>
        </w:rPr>
      </w:pPr>
    </w:p>
    <w:p w14:paraId="0F546581" w14:textId="77777777" w:rsidR="00A30150" w:rsidRDefault="00A30150" w:rsidP="000833C6">
      <w:pPr>
        <w:jc w:val="both"/>
        <w:rPr>
          <w:sz w:val="22"/>
          <w:szCs w:val="22"/>
        </w:rPr>
      </w:pPr>
    </w:p>
    <w:p w14:paraId="281C1F12" w14:textId="1A141E20" w:rsidR="002D5732" w:rsidRDefault="002D5732" w:rsidP="000833C6">
      <w:pPr>
        <w:jc w:val="both"/>
        <w:rPr>
          <w:sz w:val="22"/>
          <w:szCs w:val="22"/>
        </w:rPr>
      </w:pPr>
    </w:p>
    <w:p w14:paraId="10D46434" w14:textId="3F14E9AB" w:rsidR="007A320B" w:rsidRDefault="007A320B" w:rsidP="000833C6">
      <w:pPr>
        <w:jc w:val="both"/>
        <w:rPr>
          <w:sz w:val="22"/>
          <w:szCs w:val="22"/>
        </w:rPr>
      </w:pPr>
    </w:p>
    <w:p w14:paraId="2055299A" w14:textId="7E29C2AC" w:rsidR="007A320B" w:rsidRDefault="007A320B" w:rsidP="000833C6">
      <w:pPr>
        <w:jc w:val="both"/>
        <w:rPr>
          <w:sz w:val="22"/>
          <w:szCs w:val="22"/>
        </w:rPr>
      </w:pPr>
    </w:p>
    <w:tbl>
      <w:tblPr>
        <w:tblW w:w="9072" w:type="dxa"/>
        <w:tblLayout w:type="fixed"/>
        <w:tblLook w:val="04A0" w:firstRow="1" w:lastRow="0" w:firstColumn="1" w:lastColumn="0" w:noHBand="0" w:noVBand="1"/>
      </w:tblPr>
      <w:tblGrid>
        <w:gridCol w:w="5670"/>
        <w:gridCol w:w="1134"/>
        <w:gridCol w:w="1134"/>
        <w:gridCol w:w="1134"/>
      </w:tblGrid>
      <w:tr w:rsidR="000C7EC7" w:rsidRPr="000C7EC7" w14:paraId="5810937A" w14:textId="77777777" w:rsidTr="007A320B">
        <w:trPr>
          <w:trHeight w:val="288"/>
        </w:trPr>
        <w:tc>
          <w:tcPr>
            <w:tcW w:w="9072" w:type="dxa"/>
            <w:gridSpan w:val="4"/>
            <w:tcBorders>
              <w:top w:val="nil"/>
              <w:left w:val="nil"/>
              <w:bottom w:val="nil"/>
              <w:right w:val="nil"/>
            </w:tcBorders>
            <w:shd w:val="clear" w:color="auto" w:fill="auto"/>
            <w:noWrap/>
            <w:vAlign w:val="center"/>
            <w:hideMark/>
          </w:tcPr>
          <w:p w14:paraId="1A01F494" w14:textId="42729253" w:rsidR="000C7EC7" w:rsidRPr="00572949" w:rsidRDefault="000C7EC7" w:rsidP="00CC3C85">
            <w:pPr>
              <w:widowControl/>
              <w:suppressAutoHyphens w:val="0"/>
              <w:rPr>
                <w:rFonts w:eastAsia="Times New Roman" w:cs="Times New Roman"/>
                <w:kern w:val="0"/>
                <w:sz w:val="20"/>
                <w:szCs w:val="20"/>
                <w:lang w:eastAsia="en-US" w:bidi="ar-SA"/>
              </w:rPr>
            </w:pPr>
            <w:r w:rsidRPr="00572949">
              <w:rPr>
                <w:rFonts w:eastAsia="Times New Roman" w:cs="Times New Roman"/>
                <w:b/>
                <w:bCs/>
                <w:color w:val="13B5EA"/>
                <w:kern w:val="0"/>
                <w:sz w:val="20"/>
                <w:szCs w:val="20"/>
                <w:lang w:eastAsia="en-US" w:bidi="ar-SA"/>
              </w:rPr>
              <w:lastRenderedPageBreak/>
              <w:t xml:space="preserve">Tab </w:t>
            </w:r>
            <w:r w:rsidR="004A0904">
              <w:rPr>
                <w:rFonts w:eastAsia="Times New Roman" w:cs="Times New Roman"/>
                <w:b/>
                <w:bCs/>
                <w:color w:val="13B5EA"/>
                <w:kern w:val="0"/>
                <w:sz w:val="20"/>
                <w:szCs w:val="20"/>
                <w:lang w:eastAsia="en-US" w:bidi="ar-SA"/>
              </w:rPr>
              <w:t>4</w:t>
            </w:r>
            <w:r w:rsidRPr="00572949">
              <w:rPr>
                <w:rFonts w:eastAsia="Times New Roman" w:cs="Times New Roman"/>
                <w:b/>
                <w:bCs/>
                <w:color w:val="13B5EA"/>
                <w:kern w:val="0"/>
                <w:sz w:val="20"/>
                <w:szCs w:val="20"/>
                <w:lang w:eastAsia="en-US" w:bidi="ar-SA"/>
              </w:rPr>
              <w:t xml:space="preserve">: Legislatívne zmeny ovplyvňujúce dlhodobú udržateľnosť (tis. </w:t>
            </w:r>
            <w:r w:rsidR="00176C3F">
              <w:rPr>
                <w:rFonts w:eastAsia="Times New Roman" w:cs="Times New Roman"/>
                <w:b/>
                <w:bCs/>
                <w:color w:val="13B5EA"/>
                <w:kern w:val="0"/>
                <w:sz w:val="20"/>
                <w:szCs w:val="20"/>
                <w:lang w:eastAsia="en-US" w:bidi="ar-SA"/>
              </w:rPr>
              <w:t>e</w:t>
            </w:r>
            <w:r w:rsidRPr="00572949">
              <w:rPr>
                <w:rFonts w:eastAsia="Times New Roman" w:cs="Times New Roman"/>
                <w:b/>
                <w:bCs/>
                <w:color w:val="13B5EA"/>
                <w:kern w:val="0"/>
                <w:sz w:val="20"/>
                <w:szCs w:val="20"/>
                <w:lang w:eastAsia="en-US" w:bidi="ar-SA"/>
              </w:rPr>
              <w:t>ur</w:t>
            </w:r>
            <w:r w:rsidR="004A0904">
              <w:rPr>
                <w:rFonts w:eastAsia="Times New Roman" w:cs="Times New Roman"/>
                <w:b/>
                <w:bCs/>
                <w:color w:val="13B5EA"/>
                <w:kern w:val="0"/>
                <w:sz w:val="20"/>
                <w:szCs w:val="20"/>
                <w:lang w:eastAsia="en-US" w:bidi="ar-SA"/>
              </w:rPr>
              <w:t>, vplyvy na saldo VS</w:t>
            </w:r>
            <w:r w:rsidRPr="00572949">
              <w:rPr>
                <w:rFonts w:eastAsia="Times New Roman" w:cs="Times New Roman"/>
                <w:b/>
                <w:bCs/>
                <w:color w:val="13B5EA"/>
                <w:kern w:val="0"/>
                <w:sz w:val="20"/>
                <w:szCs w:val="20"/>
                <w:lang w:eastAsia="en-US" w:bidi="ar-SA"/>
              </w:rPr>
              <w:t>)</w:t>
            </w:r>
          </w:p>
        </w:tc>
      </w:tr>
      <w:tr w:rsidR="007A320B" w:rsidRPr="000C7EC7" w14:paraId="255062A3" w14:textId="77777777" w:rsidTr="007A320B">
        <w:trPr>
          <w:trHeight w:val="283"/>
        </w:trPr>
        <w:tc>
          <w:tcPr>
            <w:tcW w:w="5670" w:type="dxa"/>
            <w:tcBorders>
              <w:top w:val="nil"/>
              <w:left w:val="nil"/>
              <w:right w:val="nil"/>
            </w:tcBorders>
            <w:shd w:val="clear" w:color="000000" w:fill="13B5EA"/>
            <w:noWrap/>
            <w:vAlign w:val="center"/>
            <w:hideMark/>
          </w:tcPr>
          <w:p w14:paraId="0EF694A0" w14:textId="1520AA0B" w:rsidR="007A320B" w:rsidRPr="00572949" w:rsidRDefault="007A320B" w:rsidP="007A320B">
            <w:pPr>
              <w:widowControl/>
              <w:suppressAutoHyphens w:val="0"/>
              <w:jc w:val="center"/>
              <w:rPr>
                <w:rFonts w:eastAsia="Times New Roman" w:cs="Times New Roman"/>
                <w:b/>
                <w:bCs/>
                <w:color w:val="FFFFFF"/>
                <w:kern w:val="0"/>
                <w:sz w:val="18"/>
                <w:szCs w:val="18"/>
                <w:lang w:eastAsia="en-US" w:bidi="ar-SA"/>
              </w:rPr>
            </w:pPr>
            <w:r w:rsidRPr="00572949">
              <w:rPr>
                <w:rFonts w:eastAsia="Times New Roman" w:cs="Times New Roman"/>
                <w:b/>
                <w:bCs/>
                <w:color w:val="FFFFFF"/>
                <w:kern w:val="0"/>
                <w:sz w:val="18"/>
                <w:szCs w:val="18"/>
                <w:lang w:eastAsia="en-US" w:bidi="ar-SA"/>
              </w:rPr>
              <w:t> </w:t>
            </w:r>
          </w:p>
        </w:tc>
        <w:tc>
          <w:tcPr>
            <w:tcW w:w="1134" w:type="dxa"/>
            <w:tcBorders>
              <w:top w:val="nil"/>
              <w:left w:val="nil"/>
              <w:bottom w:val="nil"/>
              <w:right w:val="nil"/>
            </w:tcBorders>
            <w:shd w:val="clear" w:color="000000" w:fill="13B5EA"/>
            <w:noWrap/>
            <w:vAlign w:val="center"/>
            <w:hideMark/>
          </w:tcPr>
          <w:p w14:paraId="24B087C8" w14:textId="77777777" w:rsidR="007A320B" w:rsidRPr="00572949" w:rsidRDefault="007A320B" w:rsidP="007A320B">
            <w:pPr>
              <w:widowControl/>
              <w:suppressAutoHyphens w:val="0"/>
              <w:jc w:val="center"/>
              <w:rPr>
                <w:rFonts w:eastAsia="Times New Roman" w:cs="Times New Roman"/>
                <w:b/>
                <w:bCs/>
                <w:color w:val="FFFFFF"/>
                <w:kern w:val="0"/>
                <w:sz w:val="18"/>
                <w:szCs w:val="18"/>
                <w:lang w:eastAsia="en-US" w:bidi="ar-SA"/>
              </w:rPr>
            </w:pPr>
            <w:r w:rsidRPr="00572949">
              <w:rPr>
                <w:rFonts w:eastAsia="Times New Roman" w:cs="Times New Roman"/>
                <w:b/>
                <w:bCs/>
                <w:color w:val="FFFFFF"/>
                <w:kern w:val="0"/>
                <w:sz w:val="18"/>
                <w:szCs w:val="18"/>
                <w:lang w:eastAsia="en-US" w:bidi="ar-SA"/>
              </w:rPr>
              <w:t>2023</w:t>
            </w:r>
          </w:p>
        </w:tc>
        <w:tc>
          <w:tcPr>
            <w:tcW w:w="1134" w:type="dxa"/>
            <w:tcBorders>
              <w:top w:val="nil"/>
              <w:left w:val="nil"/>
              <w:bottom w:val="nil"/>
              <w:right w:val="nil"/>
            </w:tcBorders>
            <w:shd w:val="clear" w:color="000000" w:fill="13B5EA"/>
            <w:noWrap/>
            <w:vAlign w:val="center"/>
            <w:hideMark/>
          </w:tcPr>
          <w:p w14:paraId="2355CC57" w14:textId="77777777" w:rsidR="007A320B" w:rsidRPr="00572949" w:rsidRDefault="007A320B" w:rsidP="007A320B">
            <w:pPr>
              <w:widowControl/>
              <w:suppressAutoHyphens w:val="0"/>
              <w:jc w:val="center"/>
              <w:rPr>
                <w:rFonts w:eastAsia="Times New Roman" w:cs="Times New Roman"/>
                <w:b/>
                <w:bCs/>
                <w:color w:val="FFFFFF"/>
                <w:kern w:val="0"/>
                <w:sz w:val="18"/>
                <w:szCs w:val="18"/>
                <w:lang w:eastAsia="en-US" w:bidi="ar-SA"/>
              </w:rPr>
            </w:pPr>
            <w:r w:rsidRPr="00572949">
              <w:rPr>
                <w:rFonts w:eastAsia="Times New Roman" w:cs="Times New Roman"/>
                <w:b/>
                <w:bCs/>
                <w:color w:val="FFFFFF"/>
                <w:kern w:val="0"/>
                <w:sz w:val="18"/>
                <w:szCs w:val="18"/>
                <w:lang w:eastAsia="en-US" w:bidi="ar-SA"/>
              </w:rPr>
              <w:t>2024</w:t>
            </w:r>
          </w:p>
        </w:tc>
        <w:tc>
          <w:tcPr>
            <w:tcW w:w="1134" w:type="dxa"/>
            <w:tcBorders>
              <w:top w:val="nil"/>
              <w:left w:val="nil"/>
              <w:bottom w:val="nil"/>
              <w:right w:val="nil"/>
            </w:tcBorders>
            <w:shd w:val="clear" w:color="000000" w:fill="13B5EA"/>
            <w:noWrap/>
            <w:vAlign w:val="center"/>
            <w:hideMark/>
          </w:tcPr>
          <w:p w14:paraId="108A7FA1" w14:textId="25BB3A48" w:rsidR="007A320B" w:rsidRPr="00572949" w:rsidRDefault="007A320B" w:rsidP="007A320B">
            <w:pPr>
              <w:widowControl/>
              <w:suppressAutoHyphens w:val="0"/>
              <w:jc w:val="center"/>
              <w:rPr>
                <w:rFonts w:eastAsia="Times New Roman" w:cs="Times New Roman"/>
                <w:b/>
                <w:bCs/>
                <w:color w:val="FFFFFF"/>
                <w:kern w:val="0"/>
                <w:sz w:val="18"/>
                <w:szCs w:val="18"/>
                <w:lang w:eastAsia="en-US" w:bidi="ar-SA"/>
              </w:rPr>
            </w:pPr>
            <w:r w:rsidRPr="00572949">
              <w:rPr>
                <w:rFonts w:eastAsia="Times New Roman" w:cs="Times New Roman"/>
                <w:b/>
                <w:bCs/>
                <w:color w:val="FFFFFF"/>
                <w:kern w:val="0"/>
                <w:sz w:val="18"/>
                <w:szCs w:val="18"/>
                <w:lang w:eastAsia="en-US" w:bidi="ar-SA"/>
              </w:rPr>
              <w:t>2025</w:t>
            </w:r>
          </w:p>
        </w:tc>
      </w:tr>
      <w:tr w:rsidR="007A320B" w:rsidRPr="000C7EC7" w14:paraId="55D7FEDE" w14:textId="77777777" w:rsidTr="007A320B">
        <w:trPr>
          <w:trHeight w:val="288"/>
        </w:trPr>
        <w:tc>
          <w:tcPr>
            <w:tcW w:w="5670" w:type="dxa"/>
            <w:tcBorders>
              <w:top w:val="nil"/>
              <w:left w:val="nil"/>
              <w:bottom w:val="nil"/>
              <w:right w:val="nil"/>
            </w:tcBorders>
            <w:shd w:val="clear" w:color="auto" w:fill="auto"/>
            <w:noWrap/>
            <w:vAlign w:val="center"/>
            <w:hideMark/>
          </w:tcPr>
          <w:p w14:paraId="6EFD98F5" w14:textId="77777777" w:rsidR="007A320B" w:rsidRPr="00572949" w:rsidRDefault="007A320B" w:rsidP="004A0904">
            <w:pPr>
              <w:widowControl/>
              <w:suppressAutoHyphens w:val="0"/>
              <w:rPr>
                <w:rFonts w:eastAsia="Times New Roman" w:cs="Times New Roman"/>
                <w:b/>
                <w:bCs/>
                <w:color w:val="13B5EA"/>
                <w:kern w:val="0"/>
                <w:sz w:val="18"/>
                <w:szCs w:val="18"/>
                <w:lang w:eastAsia="en-US" w:bidi="ar-SA"/>
              </w:rPr>
            </w:pPr>
            <w:r w:rsidRPr="00572949">
              <w:rPr>
                <w:rFonts w:eastAsia="Times New Roman" w:cs="Times New Roman"/>
                <w:b/>
                <w:bCs/>
                <w:color w:val="13B5EA"/>
                <w:kern w:val="0"/>
                <w:sz w:val="18"/>
                <w:szCs w:val="18"/>
                <w:lang w:eastAsia="en-US" w:bidi="ar-SA"/>
              </w:rPr>
              <w:t>1. Dôchodková reforma (A+B+C)</w:t>
            </w:r>
          </w:p>
        </w:tc>
        <w:tc>
          <w:tcPr>
            <w:tcW w:w="1134" w:type="dxa"/>
            <w:tcBorders>
              <w:top w:val="nil"/>
              <w:left w:val="nil"/>
              <w:bottom w:val="nil"/>
              <w:right w:val="nil"/>
            </w:tcBorders>
            <w:shd w:val="clear" w:color="auto" w:fill="auto"/>
            <w:noWrap/>
            <w:vAlign w:val="center"/>
            <w:hideMark/>
          </w:tcPr>
          <w:p w14:paraId="11E1D3A3" w14:textId="77777777" w:rsidR="007A320B" w:rsidRPr="00572949" w:rsidRDefault="007A320B" w:rsidP="007A320B">
            <w:pPr>
              <w:widowControl/>
              <w:suppressAutoHyphens w:val="0"/>
              <w:jc w:val="center"/>
              <w:rPr>
                <w:rFonts w:eastAsia="Times New Roman" w:cs="Times New Roman"/>
                <w:b/>
                <w:bCs/>
                <w:color w:val="13B5EA"/>
                <w:kern w:val="0"/>
                <w:sz w:val="18"/>
                <w:szCs w:val="18"/>
                <w:lang w:eastAsia="en-US" w:bidi="ar-SA"/>
              </w:rPr>
            </w:pPr>
            <w:r w:rsidRPr="00572949">
              <w:rPr>
                <w:rFonts w:eastAsia="Times New Roman" w:cs="Times New Roman"/>
                <w:b/>
                <w:bCs/>
                <w:color w:val="13B5EA"/>
                <w:kern w:val="0"/>
                <w:sz w:val="18"/>
                <w:szCs w:val="18"/>
                <w:lang w:eastAsia="en-US" w:bidi="ar-SA"/>
              </w:rPr>
              <w:t>-280 569</w:t>
            </w:r>
          </w:p>
        </w:tc>
        <w:tc>
          <w:tcPr>
            <w:tcW w:w="1134" w:type="dxa"/>
            <w:tcBorders>
              <w:top w:val="nil"/>
              <w:left w:val="nil"/>
              <w:bottom w:val="nil"/>
              <w:right w:val="nil"/>
            </w:tcBorders>
            <w:shd w:val="clear" w:color="auto" w:fill="auto"/>
            <w:noWrap/>
            <w:vAlign w:val="center"/>
            <w:hideMark/>
          </w:tcPr>
          <w:p w14:paraId="1F80C598" w14:textId="77777777" w:rsidR="007A320B" w:rsidRPr="00572949" w:rsidRDefault="007A320B" w:rsidP="007A320B">
            <w:pPr>
              <w:widowControl/>
              <w:suppressAutoHyphens w:val="0"/>
              <w:jc w:val="center"/>
              <w:rPr>
                <w:rFonts w:eastAsia="Times New Roman" w:cs="Times New Roman"/>
                <w:b/>
                <w:bCs/>
                <w:color w:val="13B5EA"/>
                <w:kern w:val="0"/>
                <w:sz w:val="18"/>
                <w:szCs w:val="18"/>
                <w:lang w:eastAsia="en-US" w:bidi="ar-SA"/>
              </w:rPr>
            </w:pPr>
            <w:r w:rsidRPr="00572949">
              <w:rPr>
                <w:rFonts w:eastAsia="Times New Roman" w:cs="Times New Roman"/>
                <w:b/>
                <w:bCs/>
                <w:color w:val="13B5EA"/>
                <w:kern w:val="0"/>
                <w:sz w:val="18"/>
                <w:szCs w:val="18"/>
                <w:lang w:eastAsia="en-US" w:bidi="ar-SA"/>
              </w:rPr>
              <w:t>-353 913</w:t>
            </w:r>
          </w:p>
        </w:tc>
        <w:tc>
          <w:tcPr>
            <w:tcW w:w="1134" w:type="dxa"/>
            <w:tcBorders>
              <w:top w:val="nil"/>
              <w:left w:val="nil"/>
              <w:bottom w:val="nil"/>
            </w:tcBorders>
            <w:shd w:val="clear" w:color="auto" w:fill="auto"/>
            <w:noWrap/>
            <w:vAlign w:val="center"/>
            <w:hideMark/>
          </w:tcPr>
          <w:p w14:paraId="163DA462" w14:textId="298D1E5E" w:rsidR="007A320B" w:rsidRPr="00572949" w:rsidRDefault="007A320B" w:rsidP="007A320B">
            <w:pPr>
              <w:widowControl/>
              <w:suppressAutoHyphens w:val="0"/>
              <w:jc w:val="center"/>
              <w:rPr>
                <w:rFonts w:eastAsia="Times New Roman" w:cs="Times New Roman"/>
                <w:b/>
                <w:bCs/>
                <w:color w:val="13B5EA"/>
                <w:kern w:val="0"/>
                <w:sz w:val="18"/>
                <w:szCs w:val="18"/>
                <w:lang w:eastAsia="en-US" w:bidi="ar-SA"/>
              </w:rPr>
            </w:pPr>
            <w:r w:rsidRPr="00572949">
              <w:rPr>
                <w:rFonts w:eastAsia="Times New Roman" w:cs="Times New Roman"/>
                <w:b/>
                <w:bCs/>
                <w:color w:val="13B5EA"/>
                <w:kern w:val="0"/>
                <w:sz w:val="18"/>
                <w:szCs w:val="18"/>
                <w:lang w:eastAsia="en-US" w:bidi="ar-SA"/>
              </w:rPr>
              <w:t>-435 066</w:t>
            </w:r>
          </w:p>
        </w:tc>
      </w:tr>
      <w:tr w:rsidR="007A320B" w:rsidRPr="000C7EC7" w14:paraId="4644DE0D" w14:textId="77777777" w:rsidTr="007A320B">
        <w:trPr>
          <w:trHeight w:val="288"/>
        </w:trPr>
        <w:tc>
          <w:tcPr>
            <w:tcW w:w="5670" w:type="dxa"/>
            <w:tcBorders>
              <w:top w:val="nil"/>
              <w:left w:val="nil"/>
              <w:bottom w:val="nil"/>
              <w:right w:val="nil"/>
            </w:tcBorders>
            <w:shd w:val="clear" w:color="auto" w:fill="auto"/>
            <w:noWrap/>
            <w:vAlign w:val="center"/>
            <w:hideMark/>
          </w:tcPr>
          <w:p w14:paraId="5A597E7C" w14:textId="77777777" w:rsidR="007A320B" w:rsidRPr="00572949" w:rsidRDefault="007A320B" w:rsidP="004A0904">
            <w:pPr>
              <w:widowControl/>
              <w:suppressAutoHyphens w:val="0"/>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A. Indexácia ADH o 95% rastu priemernej mzdy (znižovanie novopriznaných dôchodkov)</w:t>
            </w:r>
          </w:p>
        </w:tc>
        <w:tc>
          <w:tcPr>
            <w:tcW w:w="1134" w:type="dxa"/>
            <w:tcBorders>
              <w:top w:val="nil"/>
              <w:left w:val="nil"/>
              <w:bottom w:val="nil"/>
              <w:right w:val="nil"/>
            </w:tcBorders>
            <w:shd w:val="clear" w:color="auto" w:fill="auto"/>
            <w:noWrap/>
            <w:vAlign w:val="center"/>
            <w:hideMark/>
          </w:tcPr>
          <w:p w14:paraId="36565435" w14:textId="77777777" w:rsidR="007A320B" w:rsidRPr="00572949" w:rsidRDefault="007A320B" w:rsidP="007A320B">
            <w:pPr>
              <w:widowControl/>
              <w:suppressAutoHyphens w:val="0"/>
              <w:jc w:val="center"/>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1 546</w:t>
            </w:r>
          </w:p>
        </w:tc>
        <w:tc>
          <w:tcPr>
            <w:tcW w:w="1134" w:type="dxa"/>
            <w:tcBorders>
              <w:top w:val="nil"/>
              <w:left w:val="nil"/>
              <w:bottom w:val="nil"/>
              <w:right w:val="nil"/>
            </w:tcBorders>
            <w:shd w:val="clear" w:color="auto" w:fill="auto"/>
            <w:noWrap/>
            <w:vAlign w:val="center"/>
            <w:hideMark/>
          </w:tcPr>
          <w:p w14:paraId="28E94415" w14:textId="77777777" w:rsidR="007A320B" w:rsidRPr="00572949" w:rsidRDefault="007A320B" w:rsidP="007A320B">
            <w:pPr>
              <w:widowControl/>
              <w:suppressAutoHyphens w:val="0"/>
              <w:jc w:val="center"/>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5 316</w:t>
            </w:r>
          </w:p>
        </w:tc>
        <w:tc>
          <w:tcPr>
            <w:tcW w:w="1134" w:type="dxa"/>
            <w:tcBorders>
              <w:top w:val="nil"/>
              <w:left w:val="nil"/>
              <w:bottom w:val="nil"/>
            </w:tcBorders>
            <w:shd w:val="clear" w:color="auto" w:fill="auto"/>
            <w:noWrap/>
            <w:vAlign w:val="center"/>
            <w:hideMark/>
          </w:tcPr>
          <w:p w14:paraId="547C7943" w14:textId="05A5771B" w:rsidR="007A320B" w:rsidRPr="00572949" w:rsidRDefault="007A320B" w:rsidP="007A320B">
            <w:pPr>
              <w:widowControl/>
              <w:suppressAutoHyphens w:val="0"/>
              <w:jc w:val="center"/>
              <w:rPr>
                <w:rFonts w:eastAsia="Times New Roman" w:cs="Times New Roman"/>
                <w:kern w:val="0"/>
                <w:sz w:val="20"/>
                <w:szCs w:val="20"/>
                <w:lang w:eastAsia="en-US" w:bidi="ar-SA"/>
              </w:rPr>
            </w:pPr>
            <w:r w:rsidRPr="00572949">
              <w:rPr>
                <w:rFonts w:eastAsia="Times New Roman" w:cs="Times New Roman"/>
                <w:b/>
                <w:bCs/>
                <w:color w:val="000000"/>
                <w:kern w:val="0"/>
                <w:sz w:val="18"/>
                <w:szCs w:val="18"/>
                <w:lang w:eastAsia="en-US" w:bidi="ar-SA"/>
              </w:rPr>
              <w:t>9 819</w:t>
            </w:r>
          </w:p>
        </w:tc>
      </w:tr>
      <w:tr w:rsidR="007A320B" w:rsidRPr="000C7EC7" w14:paraId="6098F80D" w14:textId="77777777" w:rsidTr="007A320B">
        <w:trPr>
          <w:trHeight w:val="288"/>
        </w:trPr>
        <w:tc>
          <w:tcPr>
            <w:tcW w:w="5670" w:type="dxa"/>
            <w:tcBorders>
              <w:top w:val="nil"/>
              <w:left w:val="nil"/>
              <w:bottom w:val="nil"/>
              <w:right w:val="nil"/>
            </w:tcBorders>
            <w:shd w:val="clear" w:color="auto" w:fill="auto"/>
            <w:noWrap/>
            <w:vAlign w:val="center"/>
            <w:hideMark/>
          </w:tcPr>
          <w:p w14:paraId="5B0762FA" w14:textId="77777777" w:rsidR="007A320B" w:rsidRPr="00572949" w:rsidRDefault="007A320B" w:rsidP="004A0904">
            <w:pPr>
              <w:widowControl/>
              <w:suppressAutoHyphens w:val="0"/>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B. Zavedenie rodičovského dôchodku</w:t>
            </w:r>
          </w:p>
        </w:tc>
        <w:tc>
          <w:tcPr>
            <w:tcW w:w="1134" w:type="dxa"/>
            <w:tcBorders>
              <w:top w:val="nil"/>
              <w:left w:val="nil"/>
              <w:bottom w:val="nil"/>
              <w:right w:val="nil"/>
            </w:tcBorders>
            <w:shd w:val="clear" w:color="auto" w:fill="auto"/>
            <w:noWrap/>
            <w:vAlign w:val="center"/>
            <w:hideMark/>
          </w:tcPr>
          <w:p w14:paraId="456CEAE2" w14:textId="77777777" w:rsidR="007A320B" w:rsidRPr="00572949" w:rsidRDefault="007A320B" w:rsidP="007A320B">
            <w:pPr>
              <w:widowControl/>
              <w:suppressAutoHyphens w:val="0"/>
              <w:jc w:val="center"/>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-252 600</w:t>
            </w:r>
          </w:p>
        </w:tc>
        <w:tc>
          <w:tcPr>
            <w:tcW w:w="1134" w:type="dxa"/>
            <w:tcBorders>
              <w:top w:val="nil"/>
              <w:left w:val="nil"/>
              <w:bottom w:val="nil"/>
              <w:right w:val="nil"/>
            </w:tcBorders>
            <w:shd w:val="clear" w:color="auto" w:fill="auto"/>
            <w:noWrap/>
            <w:vAlign w:val="center"/>
            <w:hideMark/>
          </w:tcPr>
          <w:p w14:paraId="7E7BC6AD" w14:textId="77777777" w:rsidR="007A320B" w:rsidRPr="00572949" w:rsidRDefault="007A320B" w:rsidP="007A320B">
            <w:pPr>
              <w:widowControl/>
              <w:suppressAutoHyphens w:val="0"/>
              <w:jc w:val="center"/>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-278 187</w:t>
            </w:r>
          </w:p>
        </w:tc>
        <w:tc>
          <w:tcPr>
            <w:tcW w:w="1134" w:type="dxa"/>
            <w:tcBorders>
              <w:top w:val="nil"/>
              <w:left w:val="nil"/>
              <w:bottom w:val="nil"/>
            </w:tcBorders>
            <w:shd w:val="clear" w:color="auto" w:fill="auto"/>
            <w:noWrap/>
            <w:vAlign w:val="center"/>
            <w:hideMark/>
          </w:tcPr>
          <w:p w14:paraId="362C67DA" w14:textId="0E623E2C" w:rsidR="007A320B" w:rsidRPr="00572949" w:rsidRDefault="007A320B" w:rsidP="007A320B">
            <w:pPr>
              <w:widowControl/>
              <w:suppressAutoHyphens w:val="0"/>
              <w:jc w:val="center"/>
              <w:rPr>
                <w:rFonts w:eastAsia="Times New Roman" w:cs="Times New Roman"/>
                <w:kern w:val="0"/>
                <w:sz w:val="20"/>
                <w:szCs w:val="20"/>
                <w:lang w:eastAsia="en-US" w:bidi="ar-SA"/>
              </w:rPr>
            </w:pPr>
            <w:r w:rsidRPr="00572949">
              <w:rPr>
                <w:rFonts w:eastAsia="Times New Roman" w:cs="Times New Roman"/>
                <w:b/>
                <w:bCs/>
                <w:color w:val="000000"/>
                <w:kern w:val="0"/>
                <w:sz w:val="18"/>
                <w:szCs w:val="18"/>
                <w:lang w:eastAsia="en-US" w:bidi="ar-SA"/>
              </w:rPr>
              <w:t>-311 877</w:t>
            </w:r>
          </w:p>
        </w:tc>
      </w:tr>
      <w:tr w:rsidR="007A320B" w:rsidRPr="000C7EC7" w14:paraId="50E83C1E" w14:textId="77777777" w:rsidTr="007A320B">
        <w:trPr>
          <w:trHeight w:val="288"/>
        </w:trPr>
        <w:tc>
          <w:tcPr>
            <w:tcW w:w="5670" w:type="dxa"/>
            <w:tcBorders>
              <w:top w:val="nil"/>
              <w:left w:val="nil"/>
              <w:bottom w:val="nil"/>
              <w:right w:val="nil"/>
            </w:tcBorders>
            <w:shd w:val="clear" w:color="auto" w:fill="auto"/>
            <w:noWrap/>
            <w:vAlign w:val="center"/>
            <w:hideMark/>
          </w:tcPr>
          <w:p w14:paraId="6770ED1A" w14:textId="77777777" w:rsidR="007A320B" w:rsidRPr="00572949" w:rsidRDefault="007A320B" w:rsidP="004A0904">
            <w:pPr>
              <w:widowControl/>
              <w:suppressAutoHyphens w:val="0"/>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 xml:space="preserve">C. Predčasný dôchodok po 40 odpracovaných rokoch spolu </w:t>
            </w:r>
          </w:p>
        </w:tc>
        <w:tc>
          <w:tcPr>
            <w:tcW w:w="1134" w:type="dxa"/>
            <w:tcBorders>
              <w:top w:val="nil"/>
              <w:left w:val="nil"/>
              <w:bottom w:val="nil"/>
              <w:right w:val="nil"/>
            </w:tcBorders>
            <w:shd w:val="clear" w:color="auto" w:fill="auto"/>
            <w:noWrap/>
            <w:vAlign w:val="center"/>
            <w:hideMark/>
          </w:tcPr>
          <w:p w14:paraId="7244EB3D" w14:textId="77777777" w:rsidR="007A320B" w:rsidRPr="00572949" w:rsidRDefault="007A320B" w:rsidP="007A320B">
            <w:pPr>
              <w:widowControl/>
              <w:suppressAutoHyphens w:val="0"/>
              <w:jc w:val="center"/>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-29 515</w:t>
            </w:r>
          </w:p>
        </w:tc>
        <w:tc>
          <w:tcPr>
            <w:tcW w:w="1134" w:type="dxa"/>
            <w:tcBorders>
              <w:top w:val="nil"/>
              <w:left w:val="nil"/>
              <w:bottom w:val="nil"/>
              <w:right w:val="nil"/>
            </w:tcBorders>
            <w:shd w:val="clear" w:color="auto" w:fill="auto"/>
            <w:noWrap/>
            <w:vAlign w:val="center"/>
            <w:hideMark/>
          </w:tcPr>
          <w:p w14:paraId="59017979" w14:textId="77777777" w:rsidR="007A320B" w:rsidRPr="00572949" w:rsidRDefault="007A320B" w:rsidP="007A320B">
            <w:pPr>
              <w:widowControl/>
              <w:suppressAutoHyphens w:val="0"/>
              <w:jc w:val="center"/>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-81 042</w:t>
            </w:r>
          </w:p>
        </w:tc>
        <w:tc>
          <w:tcPr>
            <w:tcW w:w="1134" w:type="dxa"/>
            <w:tcBorders>
              <w:top w:val="nil"/>
              <w:left w:val="nil"/>
              <w:bottom w:val="nil"/>
            </w:tcBorders>
            <w:shd w:val="clear" w:color="auto" w:fill="auto"/>
            <w:noWrap/>
            <w:vAlign w:val="center"/>
            <w:hideMark/>
          </w:tcPr>
          <w:p w14:paraId="1E69838B" w14:textId="74CBF5E8" w:rsidR="007A320B" w:rsidRPr="00572949" w:rsidRDefault="007A320B" w:rsidP="007A320B">
            <w:pPr>
              <w:widowControl/>
              <w:suppressAutoHyphens w:val="0"/>
              <w:jc w:val="center"/>
              <w:rPr>
                <w:rFonts w:eastAsia="Times New Roman" w:cs="Times New Roman"/>
                <w:kern w:val="0"/>
                <w:sz w:val="20"/>
                <w:szCs w:val="20"/>
                <w:lang w:eastAsia="en-US" w:bidi="ar-SA"/>
              </w:rPr>
            </w:pPr>
            <w:r w:rsidRPr="00572949">
              <w:rPr>
                <w:rFonts w:eastAsia="Times New Roman" w:cs="Times New Roman"/>
                <w:b/>
                <w:bCs/>
                <w:color w:val="000000"/>
                <w:kern w:val="0"/>
                <w:sz w:val="18"/>
                <w:szCs w:val="18"/>
                <w:lang w:eastAsia="en-US" w:bidi="ar-SA"/>
              </w:rPr>
              <w:t>-133 008</w:t>
            </w:r>
          </w:p>
        </w:tc>
      </w:tr>
      <w:tr w:rsidR="007A320B" w:rsidRPr="000C7EC7" w14:paraId="74A9D46F" w14:textId="77777777" w:rsidTr="007A320B">
        <w:trPr>
          <w:trHeight w:val="288"/>
        </w:trPr>
        <w:tc>
          <w:tcPr>
            <w:tcW w:w="5670" w:type="dxa"/>
            <w:tcBorders>
              <w:top w:val="nil"/>
              <w:left w:val="nil"/>
              <w:bottom w:val="nil"/>
              <w:right w:val="nil"/>
            </w:tcBorders>
            <w:shd w:val="clear" w:color="auto" w:fill="auto"/>
            <w:noWrap/>
            <w:vAlign w:val="center"/>
            <w:hideMark/>
          </w:tcPr>
          <w:p w14:paraId="785735D1" w14:textId="77777777" w:rsidR="007A320B" w:rsidRPr="00572949" w:rsidRDefault="007A320B" w:rsidP="004A0904">
            <w:pPr>
              <w:widowControl/>
              <w:suppressAutoHyphens w:val="0"/>
              <w:ind w:firstLineChars="200" w:firstLine="361"/>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 xml:space="preserve"> - vplyv na výdavky:</w:t>
            </w:r>
          </w:p>
        </w:tc>
        <w:tc>
          <w:tcPr>
            <w:tcW w:w="1134" w:type="dxa"/>
            <w:tcBorders>
              <w:top w:val="nil"/>
              <w:left w:val="nil"/>
              <w:bottom w:val="nil"/>
              <w:right w:val="nil"/>
            </w:tcBorders>
            <w:shd w:val="clear" w:color="auto" w:fill="auto"/>
            <w:noWrap/>
            <w:vAlign w:val="center"/>
            <w:hideMark/>
          </w:tcPr>
          <w:p w14:paraId="44B89AD9" w14:textId="77777777" w:rsidR="007A320B" w:rsidRPr="00572949" w:rsidRDefault="007A320B" w:rsidP="007A320B">
            <w:pPr>
              <w:widowControl/>
              <w:suppressAutoHyphens w:val="0"/>
              <w:jc w:val="center"/>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-20 287</w:t>
            </w:r>
          </w:p>
        </w:tc>
        <w:tc>
          <w:tcPr>
            <w:tcW w:w="1134" w:type="dxa"/>
            <w:tcBorders>
              <w:top w:val="nil"/>
              <w:left w:val="nil"/>
              <w:bottom w:val="nil"/>
              <w:right w:val="nil"/>
            </w:tcBorders>
            <w:shd w:val="clear" w:color="auto" w:fill="auto"/>
            <w:noWrap/>
            <w:vAlign w:val="center"/>
            <w:hideMark/>
          </w:tcPr>
          <w:p w14:paraId="79193D7C" w14:textId="77777777" w:rsidR="007A320B" w:rsidRPr="00572949" w:rsidRDefault="007A320B" w:rsidP="007A320B">
            <w:pPr>
              <w:widowControl/>
              <w:suppressAutoHyphens w:val="0"/>
              <w:jc w:val="center"/>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-70 025</w:t>
            </w:r>
          </w:p>
        </w:tc>
        <w:tc>
          <w:tcPr>
            <w:tcW w:w="1134" w:type="dxa"/>
            <w:tcBorders>
              <w:top w:val="nil"/>
              <w:left w:val="nil"/>
              <w:bottom w:val="nil"/>
            </w:tcBorders>
            <w:shd w:val="clear" w:color="auto" w:fill="auto"/>
            <w:noWrap/>
            <w:vAlign w:val="center"/>
            <w:hideMark/>
          </w:tcPr>
          <w:p w14:paraId="3C2BBACB" w14:textId="56DC6529" w:rsidR="007A320B" w:rsidRPr="00572949" w:rsidRDefault="007A320B" w:rsidP="007A320B">
            <w:pPr>
              <w:widowControl/>
              <w:suppressAutoHyphens w:val="0"/>
              <w:jc w:val="center"/>
              <w:rPr>
                <w:rFonts w:eastAsia="Times New Roman" w:cs="Times New Roman"/>
                <w:kern w:val="0"/>
                <w:sz w:val="20"/>
                <w:szCs w:val="20"/>
                <w:lang w:eastAsia="en-US" w:bidi="ar-SA"/>
              </w:rPr>
            </w:pPr>
            <w:r w:rsidRPr="00572949">
              <w:rPr>
                <w:rFonts w:eastAsia="Times New Roman" w:cs="Times New Roman"/>
                <w:b/>
                <w:bCs/>
                <w:color w:val="000000"/>
                <w:kern w:val="0"/>
                <w:sz w:val="18"/>
                <w:szCs w:val="18"/>
                <w:lang w:eastAsia="en-US" w:bidi="ar-SA"/>
              </w:rPr>
              <w:t>-121 255</w:t>
            </w:r>
          </w:p>
        </w:tc>
      </w:tr>
      <w:tr w:rsidR="007A320B" w:rsidRPr="000C7EC7" w14:paraId="1447A43F" w14:textId="77777777" w:rsidTr="007A320B">
        <w:trPr>
          <w:trHeight w:val="288"/>
        </w:trPr>
        <w:tc>
          <w:tcPr>
            <w:tcW w:w="5670" w:type="dxa"/>
            <w:tcBorders>
              <w:top w:val="nil"/>
              <w:left w:val="nil"/>
              <w:bottom w:val="nil"/>
              <w:right w:val="nil"/>
            </w:tcBorders>
            <w:shd w:val="clear" w:color="auto" w:fill="auto"/>
            <w:noWrap/>
            <w:vAlign w:val="center"/>
            <w:hideMark/>
          </w:tcPr>
          <w:p w14:paraId="3247AC99" w14:textId="77777777" w:rsidR="007A320B" w:rsidRPr="00572949" w:rsidRDefault="007A320B" w:rsidP="004A0904">
            <w:pPr>
              <w:widowControl/>
              <w:suppressAutoHyphens w:val="0"/>
              <w:ind w:firstLineChars="400" w:firstLine="720"/>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 xml:space="preserve">vplyv zavedenia predčasného dôchodku po 40 rokoch </w:t>
            </w:r>
          </w:p>
        </w:tc>
        <w:tc>
          <w:tcPr>
            <w:tcW w:w="1134" w:type="dxa"/>
            <w:tcBorders>
              <w:top w:val="nil"/>
              <w:left w:val="nil"/>
              <w:bottom w:val="nil"/>
              <w:right w:val="nil"/>
            </w:tcBorders>
            <w:shd w:val="clear" w:color="auto" w:fill="auto"/>
            <w:noWrap/>
            <w:vAlign w:val="center"/>
            <w:hideMark/>
          </w:tcPr>
          <w:p w14:paraId="02B5303E"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-14 833</w:t>
            </w:r>
          </w:p>
        </w:tc>
        <w:tc>
          <w:tcPr>
            <w:tcW w:w="1134" w:type="dxa"/>
            <w:tcBorders>
              <w:top w:val="nil"/>
              <w:left w:val="nil"/>
              <w:bottom w:val="nil"/>
              <w:right w:val="nil"/>
            </w:tcBorders>
            <w:shd w:val="clear" w:color="auto" w:fill="auto"/>
            <w:noWrap/>
            <w:vAlign w:val="center"/>
            <w:hideMark/>
          </w:tcPr>
          <w:p w14:paraId="7C087903"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-49 024</w:t>
            </w:r>
          </w:p>
        </w:tc>
        <w:tc>
          <w:tcPr>
            <w:tcW w:w="1134" w:type="dxa"/>
            <w:tcBorders>
              <w:top w:val="nil"/>
              <w:left w:val="nil"/>
              <w:bottom w:val="nil"/>
            </w:tcBorders>
            <w:shd w:val="clear" w:color="auto" w:fill="auto"/>
            <w:noWrap/>
            <w:vAlign w:val="center"/>
            <w:hideMark/>
          </w:tcPr>
          <w:p w14:paraId="6A8BE7C7" w14:textId="602C2A31" w:rsidR="007A320B" w:rsidRPr="00572949" w:rsidRDefault="007A320B" w:rsidP="007A320B">
            <w:pPr>
              <w:widowControl/>
              <w:suppressAutoHyphens w:val="0"/>
              <w:jc w:val="center"/>
              <w:rPr>
                <w:rFonts w:eastAsia="Times New Roman" w:cs="Times New Roman"/>
                <w:kern w:val="0"/>
                <w:sz w:val="20"/>
                <w:szCs w:val="20"/>
                <w:lang w:eastAsia="en-US" w:bidi="ar-SA"/>
              </w:rPr>
            </w:pPr>
            <w:r w:rsidRPr="00572949">
              <w:rPr>
                <w:rFonts w:eastAsia="Times New Roman" w:cs="Times New Roman"/>
                <w:color w:val="000000"/>
                <w:kern w:val="0"/>
                <w:sz w:val="18"/>
                <w:szCs w:val="18"/>
                <w:lang w:eastAsia="en-US" w:bidi="ar-SA"/>
              </w:rPr>
              <w:t>-75 150</w:t>
            </w:r>
          </w:p>
        </w:tc>
      </w:tr>
      <w:tr w:rsidR="007A320B" w:rsidRPr="000C7EC7" w14:paraId="717696F0" w14:textId="77777777" w:rsidTr="007A320B">
        <w:trPr>
          <w:trHeight w:val="288"/>
        </w:trPr>
        <w:tc>
          <w:tcPr>
            <w:tcW w:w="5670" w:type="dxa"/>
            <w:tcBorders>
              <w:top w:val="nil"/>
              <w:left w:val="nil"/>
              <w:bottom w:val="nil"/>
              <w:right w:val="nil"/>
            </w:tcBorders>
            <w:shd w:val="clear" w:color="auto" w:fill="auto"/>
            <w:noWrap/>
            <w:vAlign w:val="center"/>
            <w:hideMark/>
          </w:tcPr>
          <w:p w14:paraId="1B74CE65" w14:textId="77777777" w:rsidR="007A320B" w:rsidRPr="00572949" w:rsidRDefault="007A320B" w:rsidP="004A0904">
            <w:pPr>
              <w:widowControl/>
              <w:suppressAutoHyphens w:val="0"/>
              <w:ind w:firstLineChars="400" w:firstLine="720"/>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prepočet PSD - nové krátenie (spätný prepočet krátenia z 0,5% na 0,3%)</w:t>
            </w:r>
          </w:p>
        </w:tc>
        <w:tc>
          <w:tcPr>
            <w:tcW w:w="1134" w:type="dxa"/>
            <w:tcBorders>
              <w:top w:val="nil"/>
              <w:left w:val="nil"/>
              <w:bottom w:val="nil"/>
              <w:right w:val="nil"/>
            </w:tcBorders>
            <w:shd w:val="clear" w:color="auto" w:fill="auto"/>
            <w:noWrap/>
            <w:vAlign w:val="center"/>
            <w:hideMark/>
          </w:tcPr>
          <w:p w14:paraId="6B1EB36F"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-11 413</w:t>
            </w:r>
          </w:p>
        </w:tc>
        <w:tc>
          <w:tcPr>
            <w:tcW w:w="1134" w:type="dxa"/>
            <w:tcBorders>
              <w:top w:val="nil"/>
              <w:left w:val="nil"/>
              <w:bottom w:val="nil"/>
              <w:right w:val="nil"/>
            </w:tcBorders>
            <w:shd w:val="clear" w:color="auto" w:fill="auto"/>
            <w:noWrap/>
            <w:vAlign w:val="center"/>
            <w:hideMark/>
          </w:tcPr>
          <w:p w14:paraId="13D692C0"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-37 160</w:t>
            </w:r>
          </w:p>
        </w:tc>
        <w:tc>
          <w:tcPr>
            <w:tcW w:w="1134" w:type="dxa"/>
            <w:tcBorders>
              <w:top w:val="nil"/>
              <w:left w:val="nil"/>
              <w:bottom w:val="nil"/>
            </w:tcBorders>
            <w:shd w:val="clear" w:color="auto" w:fill="auto"/>
            <w:noWrap/>
            <w:vAlign w:val="center"/>
            <w:hideMark/>
          </w:tcPr>
          <w:p w14:paraId="7FBC2F7C" w14:textId="147AF521" w:rsidR="007A320B" w:rsidRPr="00572949" w:rsidRDefault="007A320B" w:rsidP="007A320B">
            <w:pPr>
              <w:widowControl/>
              <w:suppressAutoHyphens w:val="0"/>
              <w:jc w:val="center"/>
              <w:rPr>
                <w:rFonts w:eastAsia="Times New Roman" w:cs="Times New Roman"/>
                <w:kern w:val="0"/>
                <w:sz w:val="20"/>
                <w:szCs w:val="20"/>
                <w:lang w:eastAsia="en-US" w:bidi="ar-SA"/>
              </w:rPr>
            </w:pPr>
            <w:r w:rsidRPr="00572949">
              <w:rPr>
                <w:rFonts w:eastAsia="Times New Roman" w:cs="Times New Roman"/>
                <w:color w:val="000000"/>
                <w:kern w:val="0"/>
                <w:sz w:val="18"/>
                <w:szCs w:val="18"/>
                <w:lang w:eastAsia="en-US" w:bidi="ar-SA"/>
              </w:rPr>
              <w:t>-62 778</w:t>
            </w:r>
          </w:p>
        </w:tc>
      </w:tr>
      <w:tr w:rsidR="007A320B" w:rsidRPr="000C7EC7" w14:paraId="17069F7B" w14:textId="77777777" w:rsidTr="007A320B">
        <w:trPr>
          <w:trHeight w:val="288"/>
        </w:trPr>
        <w:tc>
          <w:tcPr>
            <w:tcW w:w="5670" w:type="dxa"/>
            <w:tcBorders>
              <w:top w:val="nil"/>
              <w:left w:val="nil"/>
              <w:bottom w:val="nil"/>
              <w:right w:val="nil"/>
            </w:tcBorders>
            <w:shd w:val="clear" w:color="auto" w:fill="auto"/>
            <w:noWrap/>
            <w:vAlign w:val="center"/>
            <w:hideMark/>
          </w:tcPr>
          <w:p w14:paraId="6D896ECB" w14:textId="77777777" w:rsidR="007A320B" w:rsidRPr="00572949" w:rsidRDefault="007A320B" w:rsidP="004A0904">
            <w:pPr>
              <w:widowControl/>
              <w:suppressAutoHyphens w:val="0"/>
              <w:ind w:firstLineChars="400" w:firstLine="720"/>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sprísnenie podmienok na PSD výdavky SP</w:t>
            </w:r>
          </w:p>
        </w:tc>
        <w:tc>
          <w:tcPr>
            <w:tcW w:w="1134" w:type="dxa"/>
            <w:tcBorders>
              <w:top w:val="nil"/>
              <w:left w:val="nil"/>
              <w:bottom w:val="nil"/>
              <w:right w:val="nil"/>
            </w:tcBorders>
            <w:shd w:val="clear" w:color="auto" w:fill="auto"/>
            <w:noWrap/>
            <w:vAlign w:val="center"/>
            <w:hideMark/>
          </w:tcPr>
          <w:p w14:paraId="4C6C5A75"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5 959</w:t>
            </w:r>
          </w:p>
        </w:tc>
        <w:tc>
          <w:tcPr>
            <w:tcW w:w="1134" w:type="dxa"/>
            <w:tcBorders>
              <w:top w:val="nil"/>
              <w:left w:val="nil"/>
              <w:bottom w:val="nil"/>
              <w:right w:val="nil"/>
            </w:tcBorders>
            <w:shd w:val="clear" w:color="auto" w:fill="auto"/>
            <w:noWrap/>
            <w:vAlign w:val="center"/>
            <w:hideMark/>
          </w:tcPr>
          <w:p w14:paraId="73D705F4"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15 837</w:t>
            </w:r>
          </w:p>
        </w:tc>
        <w:tc>
          <w:tcPr>
            <w:tcW w:w="1134" w:type="dxa"/>
            <w:tcBorders>
              <w:top w:val="nil"/>
              <w:left w:val="nil"/>
              <w:bottom w:val="nil"/>
            </w:tcBorders>
            <w:shd w:val="clear" w:color="auto" w:fill="auto"/>
            <w:noWrap/>
            <w:vAlign w:val="center"/>
            <w:hideMark/>
          </w:tcPr>
          <w:p w14:paraId="0C96FA22" w14:textId="4D184DED" w:rsidR="007A320B" w:rsidRPr="00572949" w:rsidRDefault="007A320B" w:rsidP="007A320B">
            <w:pPr>
              <w:widowControl/>
              <w:suppressAutoHyphens w:val="0"/>
              <w:jc w:val="center"/>
              <w:rPr>
                <w:rFonts w:eastAsia="Times New Roman" w:cs="Times New Roman"/>
                <w:kern w:val="0"/>
                <w:sz w:val="20"/>
                <w:szCs w:val="20"/>
                <w:lang w:eastAsia="en-US" w:bidi="ar-SA"/>
              </w:rPr>
            </w:pPr>
            <w:r w:rsidRPr="00572949">
              <w:rPr>
                <w:rFonts w:eastAsia="Times New Roman" w:cs="Times New Roman"/>
                <w:color w:val="000000"/>
                <w:kern w:val="0"/>
                <w:sz w:val="18"/>
                <w:szCs w:val="18"/>
                <w:lang w:eastAsia="en-US" w:bidi="ar-SA"/>
              </w:rPr>
              <w:t>15 657</w:t>
            </w:r>
          </w:p>
        </w:tc>
      </w:tr>
      <w:tr w:rsidR="007A320B" w:rsidRPr="000C7EC7" w14:paraId="20293F7A" w14:textId="77777777" w:rsidTr="007A320B">
        <w:trPr>
          <w:trHeight w:val="288"/>
        </w:trPr>
        <w:tc>
          <w:tcPr>
            <w:tcW w:w="5670" w:type="dxa"/>
            <w:tcBorders>
              <w:top w:val="nil"/>
              <w:left w:val="nil"/>
              <w:bottom w:val="nil"/>
              <w:right w:val="nil"/>
            </w:tcBorders>
            <w:shd w:val="clear" w:color="auto" w:fill="auto"/>
            <w:noWrap/>
            <w:vAlign w:val="center"/>
            <w:hideMark/>
          </w:tcPr>
          <w:p w14:paraId="7420DCD7" w14:textId="77777777" w:rsidR="007A320B" w:rsidRPr="00572949" w:rsidRDefault="007A320B" w:rsidP="004A0904">
            <w:pPr>
              <w:widowControl/>
              <w:suppressAutoHyphens w:val="0"/>
              <w:ind w:firstLineChars="400" w:firstLine="720"/>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sprísnenie podmienok na PSD výdavky ŠR - vplyv na MIDO</w:t>
            </w:r>
          </w:p>
        </w:tc>
        <w:tc>
          <w:tcPr>
            <w:tcW w:w="1134" w:type="dxa"/>
            <w:tcBorders>
              <w:top w:val="nil"/>
              <w:left w:val="nil"/>
              <w:bottom w:val="nil"/>
              <w:right w:val="nil"/>
            </w:tcBorders>
            <w:shd w:val="clear" w:color="auto" w:fill="auto"/>
            <w:noWrap/>
            <w:vAlign w:val="center"/>
            <w:hideMark/>
          </w:tcPr>
          <w:p w14:paraId="2BC515EC"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0</w:t>
            </w:r>
          </w:p>
        </w:tc>
        <w:tc>
          <w:tcPr>
            <w:tcW w:w="1134" w:type="dxa"/>
            <w:tcBorders>
              <w:top w:val="nil"/>
              <w:left w:val="nil"/>
              <w:bottom w:val="nil"/>
              <w:right w:val="nil"/>
            </w:tcBorders>
            <w:shd w:val="clear" w:color="auto" w:fill="auto"/>
            <w:noWrap/>
            <w:vAlign w:val="center"/>
            <w:hideMark/>
          </w:tcPr>
          <w:p w14:paraId="42E6D547"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323</w:t>
            </w:r>
          </w:p>
        </w:tc>
        <w:tc>
          <w:tcPr>
            <w:tcW w:w="1134" w:type="dxa"/>
            <w:tcBorders>
              <w:top w:val="nil"/>
              <w:left w:val="nil"/>
              <w:bottom w:val="nil"/>
            </w:tcBorders>
            <w:shd w:val="clear" w:color="auto" w:fill="auto"/>
            <w:noWrap/>
            <w:vAlign w:val="center"/>
            <w:hideMark/>
          </w:tcPr>
          <w:p w14:paraId="51ED858C" w14:textId="597D49E0" w:rsidR="007A320B" w:rsidRPr="00572949" w:rsidRDefault="007A320B" w:rsidP="007A320B">
            <w:pPr>
              <w:widowControl/>
              <w:suppressAutoHyphens w:val="0"/>
              <w:jc w:val="center"/>
              <w:rPr>
                <w:rFonts w:eastAsia="Times New Roman" w:cs="Times New Roman"/>
                <w:kern w:val="0"/>
                <w:sz w:val="20"/>
                <w:szCs w:val="20"/>
                <w:lang w:eastAsia="en-US" w:bidi="ar-SA"/>
              </w:rPr>
            </w:pPr>
            <w:r w:rsidRPr="00572949">
              <w:rPr>
                <w:rFonts w:eastAsia="Times New Roman" w:cs="Times New Roman"/>
                <w:color w:val="000000"/>
                <w:kern w:val="0"/>
                <w:sz w:val="18"/>
                <w:szCs w:val="18"/>
                <w:lang w:eastAsia="en-US" w:bidi="ar-SA"/>
              </w:rPr>
              <w:t>1 016</w:t>
            </w:r>
          </w:p>
        </w:tc>
      </w:tr>
      <w:tr w:rsidR="007A320B" w:rsidRPr="000C7EC7" w14:paraId="133C1BD3" w14:textId="77777777" w:rsidTr="007A320B">
        <w:trPr>
          <w:trHeight w:val="288"/>
        </w:trPr>
        <w:tc>
          <w:tcPr>
            <w:tcW w:w="5670" w:type="dxa"/>
            <w:tcBorders>
              <w:top w:val="nil"/>
              <w:left w:val="nil"/>
              <w:bottom w:val="nil"/>
              <w:right w:val="nil"/>
            </w:tcBorders>
            <w:shd w:val="clear" w:color="auto" w:fill="auto"/>
            <w:noWrap/>
            <w:vAlign w:val="center"/>
            <w:hideMark/>
          </w:tcPr>
          <w:p w14:paraId="6974E935" w14:textId="77777777" w:rsidR="007A320B" w:rsidRPr="00572949" w:rsidRDefault="007A320B" w:rsidP="004A0904">
            <w:pPr>
              <w:widowControl/>
              <w:suppressAutoHyphens w:val="0"/>
              <w:ind w:firstLineChars="200" w:firstLine="361"/>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 xml:space="preserve"> - vplyv na príjmy:</w:t>
            </w:r>
          </w:p>
        </w:tc>
        <w:tc>
          <w:tcPr>
            <w:tcW w:w="1134" w:type="dxa"/>
            <w:tcBorders>
              <w:top w:val="nil"/>
              <w:left w:val="nil"/>
              <w:bottom w:val="nil"/>
              <w:right w:val="nil"/>
            </w:tcBorders>
            <w:shd w:val="clear" w:color="auto" w:fill="auto"/>
            <w:noWrap/>
            <w:vAlign w:val="center"/>
            <w:hideMark/>
          </w:tcPr>
          <w:p w14:paraId="452397CE" w14:textId="77777777" w:rsidR="007A320B" w:rsidRPr="00572949" w:rsidRDefault="007A320B" w:rsidP="007A320B">
            <w:pPr>
              <w:widowControl/>
              <w:suppressAutoHyphens w:val="0"/>
              <w:jc w:val="center"/>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-9 227</w:t>
            </w:r>
          </w:p>
        </w:tc>
        <w:tc>
          <w:tcPr>
            <w:tcW w:w="1134" w:type="dxa"/>
            <w:tcBorders>
              <w:top w:val="nil"/>
              <w:left w:val="nil"/>
              <w:bottom w:val="nil"/>
              <w:right w:val="nil"/>
            </w:tcBorders>
            <w:shd w:val="clear" w:color="auto" w:fill="auto"/>
            <w:noWrap/>
            <w:vAlign w:val="center"/>
            <w:hideMark/>
          </w:tcPr>
          <w:p w14:paraId="018395DA" w14:textId="77777777" w:rsidR="007A320B" w:rsidRPr="00572949" w:rsidRDefault="007A320B" w:rsidP="007A320B">
            <w:pPr>
              <w:widowControl/>
              <w:suppressAutoHyphens w:val="0"/>
              <w:jc w:val="center"/>
              <w:rPr>
                <w:rFonts w:eastAsia="Times New Roman" w:cs="Times New Roman"/>
                <w:b/>
                <w:bCs/>
                <w:color w:val="000000"/>
                <w:kern w:val="0"/>
                <w:sz w:val="18"/>
                <w:szCs w:val="18"/>
                <w:lang w:eastAsia="en-US" w:bidi="ar-SA"/>
              </w:rPr>
            </w:pPr>
            <w:r w:rsidRPr="00572949">
              <w:rPr>
                <w:rFonts w:eastAsia="Times New Roman" w:cs="Times New Roman"/>
                <w:b/>
                <w:bCs/>
                <w:color w:val="000000"/>
                <w:kern w:val="0"/>
                <w:sz w:val="18"/>
                <w:szCs w:val="18"/>
                <w:lang w:eastAsia="en-US" w:bidi="ar-SA"/>
              </w:rPr>
              <w:t>-11 017</w:t>
            </w:r>
          </w:p>
        </w:tc>
        <w:tc>
          <w:tcPr>
            <w:tcW w:w="1134" w:type="dxa"/>
            <w:tcBorders>
              <w:top w:val="nil"/>
              <w:left w:val="nil"/>
              <w:bottom w:val="nil"/>
            </w:tcBorders>
            <w:shd w:val="clear" w:color="auto" w:fill="auto"/>
            <w:noWrap/>
            <w:vAlign w:val="center"/>
            <w:hideMark/>
          </w:tcPr>
          <w:p w14:paraId="5C5A675C" w14:textId="2B4843FD" w:rsidR="007A320B" w:rsidRPr="00572949" w:rsidRDefault="007A320B" w:rsidP="007A320B">
            <w:pPr>
              <w:widowControl/>
              <w:suppressAutoHyphens w:val="0"/>
              <w:jc w:val="center"/>
              <w:rPr>
                <w:rFonts w:eastAsia="Times New Roman" w:cs="Times New Roman"/>
                <w:kern w:val="0"/>
                <w:sz w:val="20"/>
                <w:szCs w:val="20"/>
                <w:lang w:eastAsia="en-US" w:bidi="ar-SA"/>
              </w:rPr>
            </w:pPr>
            <w:r w:rsidRPr="00572949">
              <w:rPr>
                <w:rFonts w:eastAsia="Times New Roman" w:cs="Times New Roman"/>
                <w:b/>
                <w:bCs/>
                <w:color w:val="000000"/>
                <w:kern w:val="0"/>
                <w:sz w:val="18"/>
                <w:szCs w:val="18"/>
                <w:lang w:eastAsia="en-US" w:bidi="ar-SA"/>
              </w:rPr>
              <w:t>-11 753</w:t>
            </w:r>
          </w:p>
        </w:tc>
      </w:tr>
      <w:tr w:rsidR="007A320B" w:rsidRPr="000C7EC7" w14:paraId="64D948FB" w14:textId="77777777" w:rsidTr="007A320B">
        <w:trPr>
          <w:trHeight w:val="288"/>
        </w:trPr>
        <w:tc>
          <w:tcPr>
            <w:tcW w:w="5670" w:type="dxa"/>
            <w:tcBorders>
              <w:top w:val="nil"/>
              <w:left w:val="nil"/>
              <w:bottom w:val="nil"/>
              <w:right w:val="nil"/>
            </w:tcBorders>
            <w:shd w:val="clear" w:color="auto" w:fill="auto"/>
            <w:noWrap/>
            <w:vAlign w:val="center"/>
            <w:hideMark/>
          </w:tcPr>
          <w:p w14:paraId="04043A9C" w14:textId="77777777" w:rsidR="007A320B" w:rsidRPr="00572949" w:rsidRDefault="007A320B" w:rsidP="004A0904">
            <w:pPr>
              <w:widowControl/>
              <w:suppressAutoHyphens w:val="0"/>
              <w:ind w:firstLineChars="400" w:firstLine="720"/>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príjmy Sociálnej poisťovne</w:t>
            </w:r>
          </w:p>
        </w:tc>
        <w:tc>
          <w:tcPr>
            <w:tcW w:w="1134" w:type="dxa"/>
            <w:tcBorders>
              <w:top w:val="nil"/>
              <w:left w:val="nil"/>
              <w:bottom w:val="nil"/>
              <w:right w:val="nil"/>
            </w:tcBorders>
            <w:shd w:val="clear" w:color="auto" w:fill="auto"/>
            <w:noWrap/>
            <w:vAlign w:val="center"/>
            <w:hideMark/>
          </w:tcPr>
          <w:p w14:paraId="314914B1"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-5 350</w:t>
            </w:r>
          </w:p>
        </w:tc>
        <w:tc>
          <w:tcPr>
            <w:tcW w:w="1134" w:type="dxa"/>
            <w:tcBorders>
              <w:top w:val="nil"/>
              <w:left w:val="nil"/>
              <w:bottom w:val="nil"/>
              <w:right w:val="nil"/>
            </w:tcBorders>
            <w:shd w:val="clear" w:color="auto" w:fill="auto"/>
            <w:noWrap/>
            <w:vAlign w:val="center"/>
            <w:hideMark/>
          </w:tcPr>
          <w:p w14:paraId="5BAB8F9C"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-6 399</w:t>
            </w:r>
          </w:p>
        </w:tc>
        <w:tc>
          <w:tcPr>
            <w:tcW w:w="1134" w:type="dxa"/>
            <w:tcBorders>
              <w:top w:val="nil"/>
              <w:left w:val="nil"/>
              <w:bottom w:val="nil"/>
            </w:tcBorders>
            <w:shd w:val="clear" w:color="auto" w:fill="auto"/>
            <w:noWrap/>
            <w:vAlign w:val="center"/>
            <w:hideMark/>
          </w:tcPr>
          <w:p w14:paraId="2AC1B8BF" w14:textId="2D7E4909" w:rsidR="007A320B" w:rsidRPr="00572949" w:rsidRDefault="007A320B" w:rsidP="007A320B">
            <w:pPr>
              <w:widowControl/>
              <w:suppressAutoHyphens w:val="0"/>
              <w:jc w:val="center"/>
              <w:rPr>
                <w:rFonts w:eastAsia="Times New Roman" w:cs="Times New Roman"/>
                <w:kern w:val="0"/>
                <w:sz w:val="20"/>
                <w:szCs w:val="20"/>
                <w:lang w:eastAsia="en-US" w:bidi="ar-SA"/>
              </w:rPr>
            </w:pPr>
            <w:r w:rsidRPr="00572949">
              <w:rPr>
                <w:rFonts w:eastAsia="Times New Roman" w:cs="Times New Roman"/>
                <w:color w:val="000000"/>
                <w:kern w:val="0"/>
                <w:sz w:val="18"/>
                <w:szCs w:val="18"/>
                <w:lang w:eastAsia="en-US" w:bidi="ar-SA"/>
              </w:rPr>
              <w:t>-6 811</w:t>
            </w:r>
          </w:p>
        </w:tc>
      </w:tr>
      <w:tr w:rsidR="007A320B" w:rsidRPr="000C7EC7" w14:paraId="5CB946FD" w14:textId="77777777" w:rsidTr="007A320B">
        <w:trPr>
          <w:trHeight w:val="288"/>
        </w:trPr>
        <w:tc>
          <w:tcPr>
            <w:tcW w:w="5670" w:type="dxa"/>
            <w:tcBorders>
              <w:top w:val="nil"/>
              <w:left w:val="nil"/>
              <w:bottom w:val="nil"/>
              <w:right w:val="nil"/>
            </w:tcBorders>
            <w:shd w:val="clear" w:color="auto" w:fill="auto"/>
            <w:noWrap/>
            <w:vAlign w:val="center"/>
            <w:hideMark/>
          </w:tcPr>
          <w:p w14:paraId="7ED1BDF7" w14:textId="77777777" w:rsidR="007A320B" w:rsidRPr="00572949" w:rsidRDefault="007A320B" w:rsidP="004A0904">
            <w:pPr>
              <w:widowControl/>
              <w:suppressAutoHyphens w:val="0"/>
              <w:ind w:firstLineChars="400" w:firstLine="720"/>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príjmy zdravotných poisťovní</w:t>
            </w:r>
          </w:p>
        </w:tc>
        <w:tc>
          <w:tcPr>
            <w:tcW w:w="1134" w:type="dxa"/>
            <w:tcBorders>
              <w:top w:val="nil"/>
              <w:left w:val="nil"/>
              <w:bottom w:val="nil"/>
              <w:right w:val="nil"/>
            </w:tcBorders>
            <w:shd w:val="clear" w:color="auto" w:fill="auto"/>
            <w:noWrap/>
            <w:vAlign w:val="center"/>
            <w:hideMark/>
          </w:tcPr>
          <w:p w14:paraId="4F71A570"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-2 165</w:t>
            </w:r>
          </w:p>
        </w:tc>
        <w:tc>
          <w:tcPr>
            <w:tcW w:w="1134" w:type="dxa"/>
            <w:tcBorders>
              <w:top w:val="nil"/>
              <w:left w:val="nil"/>
              <w:bottom w:val="nil"/>
              <w:right w:val="nil"/>
            </w:tcBorders>
            <w:shd w:val="clear" w:color="auto" w:fill="auto"/>
            <w:noWrap/>
            <w:vAlign w:val="center"/>
            <w:hideMark/>
          </w:tcPr>
          <w:p w14:paraId="55E4AB81"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-2 589</w:t>
            </w:r>
          </w:p>
        </w:tc>
        <w:tc>
          <w:tcPr>
            <w:tcW w:w="1134" w:type="dxa"/>
            <w:tcBorders>
              <w:top w:val="nil"/>
              <w:left w:val="nil"/>
              <w:bottom w:val="nil"/>
            </w:tcBorders>
            <w:shd w:val="clear" w:color="auto" w:fill="auto"/>
            <w:noWrap/>
            <w:vAlign w:val="center"/>
            <w:hideMark/>
          </w:tcPr>
          <w:p w14:paraId="228ED620" w14:textId="73FB67BD" w:rsidR="007A320B" w:rsidRPr="00572949" w:rsidRDefault="007A320B" w:rsidP="007A320B">
            <w:pPr>
              <w:widowControl/>
              <w:suppressAutoHyphens w:val="0"/>
              <w:jc w:val="center"/>
              <w:rPr>
                <w:rFonts w:eastAsia="Times New Roman" w:cs="Times New Roman"/>
                <w:kern w:val="0"/>
                <w:sz w:val="20"/>
                <w:szCs w:val="20"/>
                <w:lang w:eastAsia="en-US" w:bidi="ar-SA"/>
              </w:rPr>
            </w:pPr>
            <w:r w:rsidRPr="00572949">
              <w:rPr>
                <w:rFonts w:eastAsia="Times New Roman" w:cs="Times New Roman"/>
                <w:color w:val="000000"/>
                <w:kern w:val="0"/>
                <w:sz w:val="18"/>
                <w:szCs w:val="18"/>
                <w:lang w:eastAsia="en-US" w:bidi="ar-SA"/>
              </w:rPr>
              <w:t>-2 756</w:t>
            </w:r>
          </w:p>
        </w:tc>
      </w:tr>
      <w:tr w:rsidR="007A320B" w:rsidRPr="000C7EC7" w14:paraId="0A126064" w14:textId="77777777" w:rsidTr="007A320B">
        <w:trPr>
          <w:trHeight w:val="288"/>
        </w:trPr>
        <w:tc>
          <w:tcPr>
            <w:tcW w:w="5670" w:type="dxa"/>
            <w:tcBorders>
              <w:top w:val="nil"/>
              <w:left w:val="nil"/>
              <w:bottom w:val="single" w:sz="4" w:space="0" w:color="13B5EA"/>
              <w:right w:val="nil"/>
            </w:tcBorders>
            <w:shd w:val="clear" w:color="auto" w:fill="auto"/>
            <w:noWrap/>
            <w:vAlign w:val="center"/>
            <w:hideMark/>
          </w:tcPr>
          <w:p w14:paraId="4AE54F0C" w14:textId="77777777" w:rsidR="007A320B" w:rsidRPr="00572949" w:rsidRDefault="007A320B" w:rsidP="004A0904">
            <w:pPr>
              <w:widowControl/>
              <w:suppressAutoHyphens w:val="0"/>
              <w:ind w:firstLineChars="400" w:firstLine="720"/>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príjmy dane z príjmov fyzických osôb</w:t>
            </w:r>
          </w:p>
        </w:tc>
        <w:tc>
          <w:tcPr>
            <w:tcW w:w="1134" w:type="dxa"/>
            <w:tcBorders>
              <w:top w:val="nil"/>
              <w:left w:val="nil"/>
              <w:bottom w:val="single" w:sz="4" w:space="0" w:color="13B5EA"/>
              <w:right w:val="nil"/>
            </w:tcBorders>
            <w:shd w:val="clear" w:color="auto" w:fill="auto"/>
            <w:noWrap/>
            <w:vAlign w:val="center"/>
            <w:hideMark/>
          </w:tcPr>
          <w:p w14:paraId="5A1651DB"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-1 712</w:t>
            </w:r>
          </w:p>
        </w:tc>
        <w:tc>
          <w:tcPr>
            <w:tcW w:w="1134" w:type="dxa"/>
            <w:tcBorders>
              <w:top w:val="nil"/>
              <w:left w:val="nil"/>
              <w:bottom w:val="single" w:sz="4" w:space="0" w:color="13B5EA"/>
              <w:right w:val="nil"/>
            </w:tcBorders>
            <w:shd w:val="clear" w:color="auto" w:fill="auto"/>
            <w:noWrap/>
            <w:vAlign w:val="center"/>
            <w:hideMark/>
          </w:tcPr>
          <w:p w14:paraId="254F17E0" w14:textId="7777777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-2 029</w:t>
            </w:r>
          </w:p>
        </w:tc>
        <w:tc>
          <w:tcPr>
            <w:tcW w:w="1134" w:type="dxa"/>
            <w:tcBorders>
              <w:top w:val="nil"/>
              <w:left w:val="nil"/>
              <w:bottom w:val="single" w:sz="4" w:space="0" w:color="13B5EA"/>
            </w:tcBorders>
            <w:shd w:val="clear" w:color="auto" w:fill="auto"/>
            <w:noWrap/>
            <w:vAlign w:val="center"/>
            <w:hideMark/>
          </w:tcPr>
          <w:p w14:paraId="28C4342D" w14:textId="240E2BF7" w:rsidR="007A320B" w:rsidRPr="00572949" w:rsidRDefault="007A320B" w:rsidP="007A320B">
            <w:pPr>
              <w:widowControl/>
              <w:suppressAutoHyphens w:val="0"/>
              <w:jc w:val="center"/>
              <w:rPr>
                <w:rFonts w:eastAsia="Times New Roman" w:cs="Times New Roman"/>
                <w:color w:val="000000"/>
                <w:kern w:val="0"/>
                <w:sz w:val="18"/>
                <w:szCs w:val="18"/>
                <w:lang w:eastAsia="en-US" w:bidi="ar-SA"/>
              </w:rPr>
            </w:pPr>
            <w:r w:rsidRPr="00572949">
              <w:rPr>
                <w:rFonts w:eastAsia="Times New Roman" w:cs="Times New Roman"/>
                <w:color w:val="000000"/>
                <w:kern w:val="0"/>
                <w:sz w:val="18"/>
                <w:szCs w:val="18"/>
                <w:lang w:eastAsia="en-US" w:bidi="ar-SA"/>
              </w:rPr>
              <w:t>-2 186</w:t>
            </w:r>
          </w:p>
        </w:tc>
      </w:tr>
      <w:tr w:rsidR="007A320B" w:rsidRPr="000C7EC7" w14:paraId="6F51419C" w14:textId="77777777" w:rsidTr="007A320B">
        <w:trPr>
          <w:trHeight w:val="288"/>
        </w:trPr>
        <w:tc>
          <w:tcPr>
            <w:tcW w:w="5670" w:type="dxa"/>
            <w:tcBorders>
              <w:top w:val="nil"/>
              <w:left w:val="nil"/>
              <w:bottom w:val="single" w:sz="4" w:space="0" w:color="13B5EA"/>
              <w:right w:val="nil"/>
            </w:tcBorders>
            <w:shd w:val="clear" w:color="auto" w:fill="auto"/>
            <w:noWrap/>
            <w:vAlign w:val="center"/>
            <w:hideMark/>
          </w:tcPr>
          <w:p w14:paraId="7E089F16" w14:textId="77777777" w:rsidR="007A320B" w:rsidRPr="00572949" w:rsidRDefault="007A320B" w:rsidP="004A0904">
            <w:pPr>
              <w:widowControl/>
              <w:suppressAutoHyphens w:val="0"/>
              <w:rPr>
                <w:rFonts w:eastAsia="Times New Roman" w:cs="Times New Roman"/>
                <w:b/>
                <w:bCs/>
                <w:color w:val="A6A6A6"/>
                <w:kern w:val="0"/>
                <w:sz w:val="18"/>
                <w:szCs w:val="18"/>
                <w:lang w:eastAsia="en-US" w:bidi="ar-SA"/>
              </w:rPr>
            </w:pPr>
            <w:r w:rsidRPr="00572949">
              <w:rPr>
                <w:rFonts w:eastAsia="Times New Roman" w:cs="Times New Roman"/>
                <w:b/>
                <w:bCs/>
                <w:color w:val="A6A6A6"/>
                <w:kern w:val="0"/>
                <w:sz w:val="18"/>
                <w:szCs w:val="18"/>
                <w:lang w:eastAsia="en-US" w:bidi="ar-SA"/>
              </w:rPr>
              <w:t>Dočasná zmena sadzby do druhého piliera (EAO)</w:t>
            </w:r>
            <w:r w:rsidRPr="00572949">
              <w:rPr>
                <w:rFonts w:eastAsia="Times New Roman" w:cs="Times New Roman"/>
                <w:b/>
                <w:bCs/>
                <w:color w:val="13B5EA"/>
                <w:kern w:val="0"/>
                <w:sz w:val="18"/>
                <w:szCs w:val="18"/>
                <w:lang w:eastAsia="en-US" w:bidi="ar-SA"/>
              </w:rPr>
              <w:t>*</w:t>
            </w:r>
          </w:p>
        </w:tc>
        <w:tc>
          <w:tcPr>
            <w:tcW w:w="1134" w:type="dxa"/>
            <w:tcBorders>
              <w:top w:val="nil"/>
              <w:left w:val="nil"/>
              <w:bottom w:val="single" w:sz="4" w:space="0" w:color="13B5EA"/>
              <w:right w:val="nil"/>
            </w:tcBorders>
            <w:shd w:val="clear" w:color="auto" w:fill="auto"/>
            <w:noWrap/>
            <w:vAlign w:val="center"/>
            <w:hideMark/>
          </w:tcPr>
          <w:p w14:paraId="2BCC0920" w14:textId="77777777" w:rsidR="007A320B" w:rsidRPr="00572949" w:rsidRDefault="007A320B" w:rsidP="007A320B">
            <w:pPr>
              <w:widowControl/>
              <w:suppressAutoHyphens w:val="0"/>
              <w:jc w:val="center"/>
              <w:rPr>
                <w:rFonts w:eastAsia="Times New Roman" w:cs="Times New Roman"/>
                <w:color w:val="A6A6A6"/>
                <w:kern w:val="0"/>
                <w:sz w:val="18"/>
                <w:szCs w:val="18"/>
                <w:lang w:eastAsia="en-US" w:bidi="ar-SA"/>
              </w:rPr>
            </w:pPr>
            <w:r w:rsidRPr="00572949">
              <w:rPr>
                <w:rFonts w:eastAsia="Times New Roman" w:cs="Times New Roman"/>
                <w:color w:val="A6A6A6"/>
                <w:kern w:val="0"/>
                <w:sz w:val="18"/>
                <w:szCs w:val="18"/>
                <w:lang w:eastAsia="en-US" w:bidi="ar-SA"/>
              </w:rPr>
              <w:t>49 450</w:t>
            </w:r>
          </w:p>
        </w:tc>
        <w:tc>
          <w:tcPr>
            <w:tcW w:w="1134" w:type="dxa"/>
            <w:tcBorders>
              <w:top w:val="nil"/>
              <w:left w:val="nil"/>
              <w:bottom w:val="single" w:sz="4" w:space="0" w:color="13B5EA"/>
              <w:right w:val="nil"/>
            </w:tcBorders>
            <w:shd w:val="clear" w:color="auto" w:fill="auto"/>
            <w:noWrap/>
            <w:vAlign w:val="center"/>
            <w:hideMark/>
          </w:tcPr>
          <w:p w14:paraId="4D86ED76" w14:textId="77777777" w:rsidR="007A320B" w:rsidRPr="00572949" w:rsidRDefault="007A320B" w:rsidP="007A320B">
            <w:pPr>
              <w:widowControl/>
              <w:suppressAutoHyphens w:val="0"/>
              <w:jc w:val="center"/>
              <w:rPr>
                <w:rFonts w:eastAsia="Times New Roman" w:cs="Times New Roman"/>
                <w:color w:val="A6A6A6"/>
                <w:kern w:val="0"/>
                <w:sz w:val="18"/>
                <w:szCs w:val="18"/>
                <w:lang w:eastAsia="en-US" w:bidi="ar-SA"/>
              </w:rPr>
            </w:pPr>
            <w:r w:rsidRPr="00572949">
              <w:rPr>
                <w:rFonts w:eastAsia="Times New Roman" w:cs="Times New Roman"/>
                <w:color w:val="A6A6A6"/>
                <w:kern w:val="0"/>
                <w:sz w:val="18"/>
                <w:szCs w:val="18"/>
                <w:lang w:eastAsia="en-US" w:bidi="ar-SA"/>
              </w:rPr>
              <w:t>107 302</w:t>
            </w:r>
          </w:p>
        </w:tc>
        <w:tc>
          <w:tcPr>
            <w:tcW w:w="1134" w:type="dxa"/>
            <w:tcBorders>
              <w:top w:val="nil"/>
              <w:left w:val="nil"/>
              <w:bottom w:val="single" w:sz="4" w:space="0" w:color="13B5EA"/>
            </w:tcBorders>
            <w:shd w:val="clear" w:color="auto" w:fill="auto"/>
            <w:noWrap/>
            <w:vAlign w:val="center"/>
            <w:hideMark/>
          </w:tcPr>
          <w:p w14:paraId="18FE500A" w14:textId="295BB95C" w:rsidR="007A320B" w:rsidRPr="00572949" w:rsidRDefault="007A320B" w:rsidP="007A320B">
            <w:pPr>
              <w:widowControl/>
              <w:suppressAutoHyphens w:val="0"/>
              <w:jc w:val="center"/>
              <w:rPr>
                <w:rFonts w:eastAsia="Times New Roman" w:cs="Times New Roman"/>
                <w:color w:val="A6A6A6"/>
                <w:kern w:val="0"/>
                <w:sz w:val="18"/>
                <w:szCs w:val="18"/>
                <w:lang w:eastAsia="en-US" w:bidi="ar-SA"/>
              </w:rPr>
            </w:pPr>
            <w:r w:rsidRPr="00572949">
              <w:rPr>
                <w:rFonts w:eastAsia="Times New Roman" w:cs="Times New Roman"/>
                <w:color w:val="A6A6A6"/>
                <w:kern w:val="0"/>
                <w:sz w:val="18"/>
                <w:szCs w:val="18"/>
                <w:lang w:eastAsia="en-US" w:bidi="ar-SA"/>
              </w:rPr>
              <w:t>55 508</w:t>
            </w:r>
          </w:p>
        </w:tc>
      </w:tr>
      <w:tr w:rsidR="007A320B" w:rsidRPr="000C7EC7" w14:paraId="4CE3560E" w14:textId="77777777" w:rsidTr="007A320B">
        <w:trPr>
          <w:trHeight w:val="288"/>
        </w:trPr>
        <w:tc>
          <w:tcPr>
            <w:tcW w:w="5670" w:type="dxa"/>
            <w:tcBorders>
              <w:top w:val="nil"/>
              <w:left w:val="nil"/>
              <w:bottom w:val="single" w:sz="4" w:space="0" w:color="13B5EA"/>
              <w:right w:val="nil"/>
            </w:tcBorders>
            <w:shd w:val="clear" w:color="auto" w:fill="auto"/>
            <w:noWrap/>
            <w:vAlign w:val="center"/>
            <w:hideMark/>
          </w:tcPr>
          <w:p w14:paraId="1B4EDD6F" w14:textId="77777777" w:rsidR="007A320B" w:rsidRPr="00572949" w:rsidRDefault="007A320B" w:rsidP="004A0904">
            <w:pPr>
              <w:widowControl/>
              <w:suppressAutoHyphens w:val="0"/>
              <w:rPr>
                <w:rFonts w:eastAsia="Times New Roman" w:cs="Times New Roman"/>
                <w:b/>
                <w:bCs/>
                <w:color w:val="13B5EA"/>
                <w:kern w:val="0"/>
                <w:sz w:val="18"/>
                <w:szCs w:val="18"/>
                <w:lang w:eastAsia="en-US" w:bidi="ar-SA"/>
              </w:rPr>
            </w:pPr>
            <w:r w:rsidRPr="00572949">
              <w:rPr>
                <w:rFonts w:eastAsia="Times New Roman" w:cs="Times New Roman"/>
                <w:b/>
                <w:bCs/>
                <w:color w:val="13B5EA"/>
                <w:kern w:val="0"/>
                <w:sz w:val="18"/>
                <w:szCs w:val="18"/>
                <w:lang w:eastAsia="en-US" w:bidi="ar-SA"/>
              </w:rPr>
              <w:t>2. Zvýšenie peňažného príspevku na opatrovanie</w:t>
            </w:r>
          </w:p>
        </w:tc>
        <w:tc>
          <w:tcPr>
            <w:tcW w:w="1134" w:type="dxa"/>
            <w:tcBorders>
              <w:top w:val="nil"/>
              <w:left w:val="nil"/>
              <w:bottom w:val="single" w:sz="4" w:space="0" w:color="13B5EA"/>
              <w:right w:val="nil"/>
            </w:tcBorders>
            <w:shd w:val="clear" w:color="auto" w:fill="auto"/>
            <w:noWrap/>
            <w:vAlign w:val="center"/>
            <w:hideMark/>
          </w:tcPr>
          <w:p w14:paraId="3B91A432" w14:textId="77777777" w:rsidR="007A320B" w:rsidRPr="00572949" w:rsidRDefault="007A320B" w:rsidP="007A320B">
            <w:pPr>
              <w:widowControl/>
              <w:suppressAutoHyphens w:val="0"/>
              <w:jc w:val="center"/>
              <w:rPr>
                <w:rFonts w:eastAsia="Times New Roman" w:cs="Times New Roman"/>
                <w:b/>
                <w:bCs/>
                <w:color w:val="13B5EA"/>
                <w:kern w:val="0"/>
                <w:sz w:val="18"/>
                <w:szCs w:val="18"/>
                <w:lang w:eastAsia="en-US" w:bidi="ar-SA"/>
              </w:rPr>
            </w:pPr>
            <w:r w:rsidRPr="00572949">
              <w:rPr>
                <w:rFonts w:eastAsia="Times New Roman" w:cs="Times New Roman"/>
                <w:b/>
                <w:bCs/>
                <w:color w:val="13B5EA"/>
                <w:kern w:val="0"/>
                <w:sz w:val="18"/>
                <w:szCs w:val="18"/>
                <w:lang w:eastAsia="en-US" w:bidi="ar-SA"/>
              </w:rPr>
              <w:t>-15 757</w:t>
            </w:r>
          </w:p>
        </w:tc>
        <w:tc>
          <w:tcPr>
            <w:tcW w:w="1134" w:type="dxa"/>
            <w:tcBorders>
              <w:top w:val="nil"/>
              <w:left w:val="nil"/>
              <w:bottom w:val="single" w:sz="4" w:space="0" w:color="13B5EA"/>
              <w:right w:val="nil"/>
            </w:tcBorders>
            <w:shd w:val="clear" w:color="auto" w:fill="auto"/>
            <w:noWrap/>
            <w:vAlign w:val="center"/>
            <w:hideMark/>
          </w:tcPr>
          <w:p w14:paraId="5D54E6D5" w14:textId="77777777" w:rsidR="007A320B" w:rsidRPr="00572949" w:rsidRDefault="007A320B" w:rsidP="007A320B">
            <w:pPr>
              <w:widowControl/>
              <w:suppressAutoHyphens w:val="0"/>
              <w:jc w:val="center"/>
              <w:rPr>
                <w:rFonts w:eastAsia="Times New Roman" w:cs="Times New Roman"/>
                <w:b/>
                <w:bCs/>
                <w:color w:val="13B5EA"/>
                <w:kern w:val="0"/>
                <w:sz w:val="18"/>
                <w:szCs w:val="18"/>
                <w:lang w:eastAsia="en-US" w:bidi="ar-SA"/>
              </w:rPr>
            </w:pPr>
            <w:r w:rsidRPr="00572949">
              <w:rPr>
                <w:rFonts w:eastAsia="Times New Roman" w:cs="Times New Roman"/>
                <w:b/>
                <w:bCs/>
                <w:color w:val="13B5EA"/>
                <w:kern w:val="0"/>
                <w:sz w:val="18"/>
                <w:szCs w:val="18"/>
                <w:lang w:eastAsia="en-US" w:bidi="ar-SA"/>
              </w:rPr>
              <w:t>-49 621</w:t>
            </w:r>
          </w:p>
        </w:tc>
        <w:tc>
          <w:tcPr>
            <w:tcW w:w="1134" w:type="dxa"/>
            <w:tcBorders>
              <w:top w:val="nil"/>
              <w:left w:val="nil"/>
              <w:bottom w:val="single" w:sz="4" w:space="0" w:color="13B5EA"/>
            </w:tcBorders>
            <w:shd w:val="clear" w:color="auto" w:fill="auto"/>
            <w:noWrap/>
            <w:vAlign w:val="center"/>
            <w:hideMark/>
          </w:tcPr>
          <w:p w14:paraId="2E7801A1" w14:textId="5770E632" w:rsidR="007A320B" w:rsidRPr="00572949" w:rsidRDefault="007A320B" w:rsidP="007A320B">
            <w:pPr>
              <w:widowControl/>
              <w:suppressAutoHyphens w:val="0"/>
              <w:jc w:val="center"/>
              <w:rPr>
                <w:rFonts w:eastAsia="Times New Roman" w:cs="Times New Roman"/>
                <w:b/>
                <w:bCs/>
                <w:color w:val="13B5EA"/>
                <w:kern w:val="0"/>
                <w:sz w:val="18"/>
                <w:szCs w:val="18"/>
                <w:lang w:eastAsia="en-US" w:bidi="ar-SA"/>
              </w:rPr>
            </w:pPr>
            <w:r w:rsidRPr="00572949">
              <w:rPr>
                <w:rFonts w:eastAsia="Times New Roman" w:cs="Times New Roman"/>
                <w:b/>
                <w:bCs/>
                <w:color w:val="13B5EA"/>
                <w:kern w:val="0"/>
                <w:sz w:val="18"/>
                <w:szCs w:val="18"/>
                <w:lang w:eastAsia="en-US" w:bidi="ar-SA"/>
              </w:rPr>
              <w:t>-66 342</w:t>
            </w:r>
          </w:p>
        </w:tc>
      </w:tr>
      <w:tr w:rsidR="007A320B" w:rsidRPr="000C7EC7" w14:paraId="2F94C1D8" w14:textId="77777777" w:rsidTr="007A320B">
        <w:trPr>
          <w:trHeight w:val="288"/>
        </w:trPr>
        <w:tc>
          <w:tcPr>
            <w:tcW w:w="5670" w:type="dxa"/>
            <w:tcBorders>
              <w:top w:val="nil"/>
              <w:left w:val="nil"/>
              <w:right w:val="nil"/>
            </w:tcBorders>
            <w:shd w:val="clear" w:color="auto" w:fill="auto"/>
            <w:noWrap/>
            <w:vAlign w:val="center"/>
          </w:tcPr>
          <w:p w14:paraId="0A8AF274" w14:textId="24789CC2" w:rsidR="007A320B" w:rsidRPr="004A0904" w:rsidRDefault="007A320B" w:rsidP="004A0904">
            <w:pPr>
              <w:widowControl/>
              <w:suppressAutoHyphens w:val="0"/>
              <w:rPr>
                <w:rFonts w:eastAsia="Times New Roman" w:cs="Times New Roman"/>
                <w:b/>
                <w:bCs/>
                <w:color w:val="13B5EA"/>
                <w:kern w:val="0"/>
                <w:sz w:val="18"/>
                <w:szCs w:val="18"/>
                <w:lang w:eastAsia="en-US" w:bidi="ar-SA"/>
              </w:rPr>
            </w:pPr>
            <w:r w:rsidRPr="004A0904">
              <w:rPr>
                <w:rFonts w:cs="Times New Roman"/>
                <w:b/>
                <w:bCs/>
                <w:color w:val="13B5EA"/>
                <w:sz w:val="18"/>
                <w:szCs w:val="18"/>
              </w:rPr>
              <w:t>3. Spolu (1+2)</w:t>
            </w:r>
          </w:p>
        </w:tc>
        <w:tc>
          <w:tcPr>
            <w:tcW w:w="1134" w:type="dxa"/>
            <w:tcBorders>
              <w:top w:val="nil"/>
              <w:left w:val="nil"/>
              <w:right w:val="nil"/>
            </w:tcBorders>
            <w:shd w:val="clear" w:color="auto" w:fill="auto"/>
            <w:noWrap/>
            <w:vAlign w:val="center"/>
          </w:tcPr>
          <w:p w14:paraId="0F840BFC" w14:textId="42227DDE" w:rsidR="007A320B" w:rsidRPr="004A0904" w:rsidRDefault="007A320B" w:rsidP="007A320B">
            <w:pPr>
              <w:widowControl/>
              <w:suppressAutoHyphens w:val="0"/>
              <w:jc w:val="center"/>
              <w:rPr>
                <w:rFonts w:eastAsia="Times New Roman" w:cs="Times New Roman"/>
                <w:b/>
                <w:bCs/>
                <w:color w:val="13B5EA"/>
                <w:kern w:val="0"/>
                <w:sz w:val="18"/>
                <w:szCs w:val="18"/>
                <w:lang w:eastAsia="en-US" w:bidi="ar-SA"/>
              </w:rPr>
            </w:pPr>
            <w:r w:rsidRPr="004A0904">
              <w:rPr>
                <w:rFonts w:cs="Times New Roman"/>
                <w:b/>
                <w:bCs/>
                <w:color w:val="13B5EA"/>
                <w:sz w:val="18"/>
                <w:szCs w:val="18"/>
              </w:rPr>
              <w:t>-296 326</w:t>
            </w:r>
          </w:p>
        </w:tc>
        <w:tc>
          <w:tcPr>
            <w:tcW w:w="1134" w:type="dxa"/>
            <w:tcBorders>
              <w:top w:val="nil"/>
              <w:left w:val="nil"/>
              <w:right w:val="nil"/>
            </w:tcBorders>
            <w:shd w:val="clear" w:color="auto" w:fill="auto"/>
            <w:noWrap/>
            <w:vAlign w:val="center"/>
          </w:tcPr>
          <w:p w14:paraId="57CC6CBB" w14:textId="40437AC0" w:rsidR="007A320B" w:rsidRPr="004A0904" w:rsidRDefault="007A320B" w:rsidP="007A320B">
            <w:pPr>
              <w:widowControl/>
              <w:suppressAutoHyphens w:val="0"/>
              <w:jc w:val="center"/>
              <w:rPr>
                <w:rFonts w:eastAsia="Times New Roman" w:cs="Times New Roman"/>
                <w:b/>
                <w:bCs/>
                <w:color w:val="13B5EA"/>
                <w:kern w:val="0"/>
                <w:sz w:val="18"/>
                <w:szCs w:val="18"/>
                <w:lang w:eastAsia="en-US" w:bidi="ar-SA"/>
              </w:rPr>
            </w:pPr>
            <w:r w:rsidRPr="004A0904">
              <w:rPr>
                <w:rFonts w:cs="Times New Roman"/>
                <w:b/>
                <w:bCs/>
                <w:color w:val="13B5EA"/>
                <w:sz w:val="18"/>
                <w:szCs w:val="18"/>
              </w:rPr>
              <w:t>-403 534</w:t>
            </w:r>
          </w:p>
        </w:tc>
        <w:tc>
          <w:tcPr>
            <w:tcW w:w="1134" w:type="dxa"/>
            <w:tcBorders>
              <w:top w:val="nil"/>
              <w:left w:val="nil"/>
            </w:tcBorders>
            <w:shd w:val="clear" w:color="auto" w:fill="auto"/>
            <w:noWrap/>
            <w:vAlign w:val="center"/>
          </w:tcPr>
          <w:p w14:paraId="3F5B6093" w14:textId="27FB984A" w:rsidR="007A320B" w:rsidRPr="004A0904" w:rsidRDefault="007A320B" w:rsidP="007A320B">
            <w:pPr>
              <w:widowControl/>
              <w:suppressAutoHyphens w:val="0"/>
              <w:jc w:val="center"/>
              <w:rPr>
                <w:rFonts w:eastAsia="Times New Roman" w:cs="Times New Roman"/>
                <w:b/>
                <w:bCs/>
                <w:color w:val="13B5EA"/>
                <w:kern w:val="0"/>
                <w:sz w:val="18"/>
                <w:szCs w:val="18"/>
                <w:lang w:eastAsia="en-US" w:bidi="ar-SA"/>
              </w:rPr>
            </w:pPr>
            <w:r w:rsidRPr="004A0904">
              <w:rPr>
                <w:rFonts w:cs="Times New Roman"/>
                <w:b/>
                <w:bCs/>
                <w:color w:val="13B5EA"/>
                <w:sz w:val="18"/>
                <w:szCs w:val="18"/>
              </w:rPr>
              <w:t>-501 408</w:t>
            </w:r>
          </w:p>
        </w:tc>
      </w:tr>
      <w:tr w:rsidR="007A320B" w:rsidRPr="000C7EC7" w14:paraId="1DB16D40" w14:textId="77777777" w:rsidTr="007A320B">
        <w:trPr>
          <w:trHeight w:val="288"/>
        </w:trPr>
        <w:tc>
          <w:tcPr>
            <w:tcW w:w="5670" w:type="dxa"/>
            <w:tcBorders>
              <w:top w:val="nil"/>
              <w:left w:val="nil"/>
              <w:bottom w:val="single" w:sz="4" w:space="0" w:color="13B5EA"/>
              <w:right w:val="nil"/>
            </w:tcBorders>
            <w:shd w:val="clear" w:color="auto" w:fill="auto"/>
            <w:noWrap/>
            <w:vAlign w:val="center"/>
          </w:tcPr>
          <w:p w14:paraId="60F6D63B" w14:textId="28C3E144" w:rsidR="007A320B" w:rsidRPr="00CC3C85" w:rsidRDefault="007A320B" w:rsidP="00CC3C85">
            <w:pPr>
              <w:widowControl/>
              <w:suppressAutoHyphens w:val="0"/>
              <w:rPr>
                <w:rFonts w:cs="Times New Roman"/>
                <w:b/>
                <w:bCs/>
                <w:color w:val="13B5EA"/>
                <w:sz w:val="18"/>
                <w:szCs w:val="18"/>
              </w:rPr>
            </w:pPr>
            <w:r w:rsidRPr="00CC3C85">
              <w:rPr>
                <w:rFonts w:cs="Times New Roman"/>
                <w:b/>
                <w:bCs/>
                <w:color w:val="13B5EA"/>
                <w:sz w:val="18"/>
                <w:szCs w:val="18"/>
              </w:rPr>
              <w:t xml:space="preserve"> </w:t>
            </w:r>
            <w:r>
              <w:rPr>
                <w:rFonts w:cs="Times New Roman"/>
                <w:b/>
                <w:bCs/>
                <w:color w:val="13B5EA"/>
                <w:sz w:val="18"/>
                <w:szCs w:val="18"/>
              </w:rPr>
              <w:t xml:space="preserve">    -  </w:t>
            </w:r>
            <w:r w:rsidRPr="00CC3C85">
              <w:rPr>
                <w:rFonts w:cs="Times New Roman"/>
                <w:b/>
                <w:bCs/>
                <w:color w:val="13B5EA"/>
                <w:sz w:val="18"/>
                <w:szCs w:val="18"/>
              </w:rPr>
              <w:t>v % HDP</w:t>
            </w:r>
          </w:p>
        </w:tc>
        <w:tc>
          <w:tcPr>
            <w:tcW w:w="1134" w:type="dxa"/>
            <w:tcBorders>
              <w:top w:val="nil"/>
              <w:left w:val="nil"/>
              <w:bottom w:val="single" w:sz="4" w:space="0" w:color="13B5EA"/>
              <w:right w:val="nil"/>
            </w:tcBorders>
            <w:shd w:val="clear" w:color="auto" w:fill="auto"/>
            <w:noWrap/>
            <w:vAlign w:val="center"/>
          </w:tcPr>
          <w:p w14:paraId="78858992" w14:textId="0A701226" w:rsidR="007A320B" w:rsidRPr="00CC3C85" w:rsidRDefault="007A320B" w:rsidP="007A320B">
            <w:pPr>
              <w:widowControl/>
              <w:suppressAutoHyphens w:val="0"/>
              <w:jc w:val="center"/>
              <w:rPr>
                <w:rFonts w:cs="Times New Roman"/>
                <w:b/>
                <w:bCs/>
                <w:color w:val="13B5EA"/>
                <w:sz w:val="18"/>
                <w:szCs w:val="18"/>
              </w:rPr>
            </w:pPr>
            <w:r w:rsidRPr="00CC3C85">
              <w:rPr>
                <w:rFonts w:cs="Times New Roman"/>
                <w:b/>
                <w:bCs/>
                <w:color w:val="13B5EA"/>
                <w:sz w:val="18"/>
                <w:szCs w:val="18"/>
              </w:rPr>
              <w:t>-0,24</w:t>
            </w:r>
          </w:p>
        </w:tc>
        <w:tc>
          <w:tcPr>
            <w:tcW w:w="1134" w:type="dxa"/>
            <w:tcBorders>
              <w:top w:val="nil"/>
              <w:left w:val="nil"/>
              <w:bottom w:val="single" w:sz="4" w:space="0" w:color="13B5EA"/>
              <w:right w:val="nil"/>
            </w:tcBorders>
            <w:shd w:val="clear" w:color="auto" w:fill="auto"/>
            <w:noWrap/>
            <w:vAlign w:val="center"/>
          </w:tcPr>
          <w:p w14:paraId="35FB94B6" w14:textId="0874FBDF" w:rsidR="007A320B" w:rsidRPr="00CC3C85" w:rsidRDefault="007A320B" w:rsidP="007A320B">
            <w:pPr>
              <w:widowControl/>
              <w:suppressAutoHyphens w:val="0"/>
              <w:jc w:val="center"/>
              <w:rPr>
                <w:rFonts w:cs="Times New Roman"/>
                <w:b/>
                <w:bCs/>
                <w:color w:val="13B5EA"/>
                <w:sz w:val="18"/>
                <w:szCs w:val="18"/>
              </w:rPr>
            </w:pPr>
            <w:r w:rsidRPr="00CC3C85">
              <w:rPr>
                <w:rFonts w:cs="Times New Roman"/>
                <w:b/>
                <w:bCs/>
                <w:color w:val="13B5EA"/>
                <w:sz w:val="18"/>
                <w:szCs w:val="18"/>
              </w:rPr>
              <w:t>-0,31</w:t>
            </w:r>
          </w:p>
        </w:tc>
        <w:tc>
          <w:tcPr>
            <w:tcW w:w="1134" w:type="dxa"/>
            <w:tcBorders>
              <w:top w:val="nil"/>
              <w:left w:val="nil"/>
              <w:bottom w:val="single" w:sz="4" w:space="0" w:color="13B5EA"/>
            </w:tcBorders>
            <w:shd w:val="clear" w:color="auto" w:fill="auto"/>
            <w:noWrap/>
            <w:vAlign w:val="center"/>
          </w:tcPr>
          <w:p w14:paraId="55970541" w14:textId="6625EC8C" w:rsidR="007A320B" w:rsidRPr="004A0904" w:rsidRDefault="007A320B" w:rsidP="007A320B">
            <w:pPr>
              <w:widowControl/>
              <w:suppressAutoHyphens w:val="0"/>
              <w:jc w:val="center"/>
              <w:rPr>
                <w:rFonts w:cs="Times New Roman"/>
                <w:b/>
                <w:bCs/>
                <w:color w:val="13B5EA"/>
                <w:sz w:val="18"/>
                <w:szCs w:val="18"/>
              </w:rPr>
            </w:pPr>
            <w:r w:rsidRPr="00CC3C85">
              <w:rPr>
                <w:rFonts w:cs="Times New Roman"/>
                <w:b/>
                <w:bCs/>
                <w:color w:val="13B5EA"/>
                <w:sz w:val="18"/>
                <w:szCs w:val="18"/>
              </w:rPr>
              <w:t>-0,36</w:t>
            </w:r>
          </w:p>
        </w:tc>
      </w:tr>
      <w:tr w:rsidR="007A320B" w:rsidRPr="000C7EC7" w14:paraId="130590B1" w14:textId="77777777" w:rsidTr="007A320B">
        <w:trPr>
          <w:trHeight w:val="288"/>
        </w:trPr>
        <w:tc>
          <w:tcPr>
            <w:tcW w:w="9072" w:type="dxa"/>
            <w:gridSpan w:val="4"/>
            <w:tcBorders>
              <w:top w:val="single" w:sz="4" w:space="0" w:color="13B5EA"/>
              <w:left w:val="nil"/>
              <w:bottom w:val="nil"/>
              <w:right w:val="nil"/>
            </w:tcBorders>
            <w:shd w:val="clear" w:color="auto" w:fill="auto"/>
            <w:noWrap/>
            <w:vAlign w:val="center"/>
            <w:hideMark/>
          </w:tcPr>
          <w:p w14:paraId="04CC19B1" w14:textId="62717C1C" w:rsidR="007A320B" w:rsidRPr="00572949" w:rsidRDefault="007A320B" w:rsidP="007A320B">
            <w:pPr>
              <w:widowControl/>
              <w:suppressAutoHyphens w:val="0"/>
              <w:rPr>
                <w:rFonts w:eastAsia="Times New Roman" w:cs="Times New Roman"/>
                <w:i/>
                <w:iCs/>
                <w:color w:val="13B5EA"/>
                <w:kern w:val="0"/>
                <w:sz w:val="16"/>
                <w:szCs w:val="16"/>
                <w:lang w:eastAsia="en-US" w:bidi="ar-SA"/>
              </w:rPr>
            </w:pPr>
            <w:r w:rsidRPr="00572949">
              <w:rPr>
                <w:rFonts w:eastAsia="Times New Roman" w:cs="Times New Roman"/>
                <w:i/>
                <w:iCs/>
                <w:color w:val="13B5EA"/>
                <w:kern w:val="0"/>
                <w:sz w:val="16"/>
                <w:szCs w:val="16"/>
                <w:lang w:eastAsia="en-US" w:bidi="ar-SA"/>
              </w:rPr>
              <w:t>Pozn.: (+) zlepšuje a (-) zho</w:t>
            </w:r>
            <w:r>
              <w:rPr>
                <w:rFonts w:eastAsia="Times New Roman" w:cs="Times New Roman"/>
                <w:i/>
                <w:iCs/>
                <w:color w:val="13B5EA"/>
                <w:kern w:val="0"/>
                <w:sz w:val="16"/>
                <w:szCs w:val="16"/>
                <w:lang w:eastAsia="en-US" w:bidi="ar-SA"/>
              </w:rPr>
              <w:t>r</w:t>
            </w:r>
            <w:r w:rsidRPr="00572949">
              <w:rPr>
                <w:rFonts w:eastAsia="Times New Roman" w:cs="Times New Roman"/>
                <w:i/>
                <w:iCs/>
                <w:color w:val="13B5EA"/>
                <w:kern w:val="0"/>
                <w:sz w:val="16"/>
                <w:szCs w:val="16"/>
                <w:lang w:eastAsia="en-US" w:bidi="ar-SA"/>
              </w:rPr>
              <w:t>šuje saldo verejnej správy</w:t>
            </w:r>
            <w:r>
              <w:rPr>
                <w:rFonts w:eastAsia="Times New Roman" w:cs="Times New Roman"/>
                <w:i/>
                <w:iCs/>
                <w:color w:val="13B5EA"/>
                <w:kern w:val="0"/>
                <w:sz w:val="16"/>
                <w:szCs w:val="16"/>
                <w:lang w:eastAsia="en-US" w:bidi="ar-SA"/>
              </w:rPr>
              <w:t xml:space="preserve">                                                                                                  </w:t>
            </w:r>
            <w:r w:rsidRPr="00572949">
              <w:rPr>
                <w:rFonts w:eastAsia="Times New Roman" w:cs="Times New Roman"/>
                <w:i/>
                <w:iCs/>
                <w:color w:val="13B5EA"/>
                <w:kern w:val="0"/>
                <w:sz w:val="16"/>
                <w:szCs w:val="16"/>
                <w:lang w:eastAsia="en-US" w:bidi="ar-SA"/>
              </w:rPr>
              <w:t>Zdroj: RRZ, MPSVaR</w:t>
            </w:r>
          </w:p>
        </w:tc>
      </w:tr>
      <w:tr w:rsidR="007A320B" w:rsidRPr="000C7EC7" w14:paraId="7D43AEEC" w14:textId="77777777" w:rsidTr="007A320B">
        <w:trPr>
          <w:trHeight w:val="288"/>
        </w:trPr>
        <w:tc>
          <w:tcPr>
            <w:tcW w:w="9072" w:type="dxa"/>
            <w:gridSpan w:val="4"/>
            <w:tcBorders>
              <w:top w:val="nil"/>
              <w:left w:val="nil"/>
              <w:bottom w:val="nil"/>
              <w:right w:val="nil"/>
            </w:tcBorders>
            <w:shd w:val="clear" w:color="auto" w:fill="auto"/>
            <w:noWrap/>
            <w:vAlign w:val="center"/>
            <w:hideMark/>
          </w:tcPr>
          <w:p w14:paraId="46FD44C2" w14:textId="395C3FC1" w:rsidR="007A320B" w:rsidRPr="00572949" w:rsidRDefault="007A320B" w:rsidP="000C7EC7">
            <w:pPr>
              <w:widowControl/>
              <w:suppressAutoHyphens w:val="0"/>
              <w:rPr>
                <w:rFonts w:eastAsia="Times New Roman" w:cs="Times New Roman"/>
                <w:kern w:val="0"/>
                <w:sz w:val="20"/>
                <w:szCs w:val="20"/>
                <w:lang w:eastAsia="en-US" w:bidi="ar-SA"/>
              </w:rPr>
            </w:pPr>
            <w:r w:rsidRPr="00572949">
              <w:rPr>
                <w:rFonts w:eastAsia="Times New Roman" w:cs="Times New Roman"/>
                <w:i/>
                <w:iCs/>
                <w:color w:val="13B5EA"/>
                <w:kern w:val="0"/>
                <w:sz w:val="16"/>
                <w:szCs w:val="16"/>
                <w:lang w:eastAsia="en-US" w:bidi="ar-SA"/>
              </w:rPr>
              <w:t>* V zmysle metodiky zmeny v II. pilieri neovplyvňujú výpočet limitu verejných výdavkov</w:t>
            </w:r>
          </w:p>
        </w:tc>
      </w:tr>
    </w:tbl>
    <w:p w14:paraId="6550E709" w14:textId="77777777" w:rsidR="000833C6" w:rsidRDefault="000833C6" w:rsidP="000833C6">
      <w:pPr>
        <w:jc w:val="both"/>
        <w:rPr>
          <w:b/>
          <w:bCs/>
          <w:sz w:val="22"/>
          <w:szCs w:val="22"/>
        </w:rPr>
      </w:pPr>
    </w:p>
    <w:p w14:paraId="437EC196" w14:textId="387E9389" w:rsidR="00176C3F" w:rsidRPr="00B7286B" w:rsidRDefault="00B7286B" w:rsidP="000833C6">
      <w:pPr>
        <w:jc w:val="both"/>
        <w:rPr>
          <w:sz w:val="22"/>
          <w:szCs w:val="22"/>
        </w:rPr>
      </w:pPr>
      <w:r w:rsidRPr="00B7286B">
        <w:rPr>
          <w:b/>
          <w:bCs/>
          <w:sz w:val="22"/>
          <w:szCs w:val="22"/>
        </w:rPr>
        <w:t>Celkové vplyvy zmien v priebežnom pilieri dôchodkového systému a zvyšovania peňažného príspevku na opatrovanie znižujú potrebu zlepšovania štrukturálneho salda v roku 2023 z 0,5 % HDP na 0,2 % HDP</w:t>
      </w:r>
      <w:r w:rsidR="00562DC8">
        <w:rPr>
          <w:b/>
          <w:bCs/>
          <w:sz w:val="22"/>
          <w:szCs w:val="22"/>
        </w:rPr>
        <w:t xml:space="preserve"> </w:t>
      </w:r>
      <w:r w:rsidR="00562DC8" w:rsidRPr="00733CDE">
        <w:rPr>
          <w:sz w:val="22"/>
          <w:szCs w:val="22"/>
        </w:rPr>
        <w:t>(</w:t>
      </w:r>
      <w:r w:rsidR="00562DC8" w:rsidRPr="00733CDE">
        <w:rPr>
          <w:color w:val="13B5EA"/>
          <w:sz w:val="22"/>
          <w:szCs w:val="22"/>
        </w:rPr>
        <w:t>Tab 5</w:t>
      </w:r>
      <w:r w:rsidR="00562DC8" w:rsidRPr="00733CDE">
        <w:rPr>
          <w:sz w:val="22"/>
          <w:szCs w:val="22"/>
        </w:rPr>
        <w:t>)</w:t>
      </w:r>
      <w:r w:rsidR="00130E3F">
        <w:rPr>
          <w:rStyle w:val="FootnoteReference"/>
          <w:b/>
          <w:bCs/>
          <w:sz w:val="22"/>
          <w:szCs w:val="22"/>
        </w:rPr>
        <w:footnoteReference w:id="14"/>
      </w:r>
      <w:r w:rsidRPr="00B7286B">
        <w:rPr>
          <w:b/>
          <w:bCs/>
          <w:sz w:val="22"/>
          <w:szCs w:val="22"/>
        </w:rPr>
        <w:t>.</w:t>
      </w:r>
      <w:r w:rsidRPr="00B7286B">
        <w:rPr>
          <w:sz w:val="22"/>
          <w:szCs w:val="22"/>
        </w:rPr>
        <w:t xml:space="preserve"> V zmysle platnej metodiky sa vo výpočte zahrnulo krátenie (koeficient 50%) vplyvov tých zmien, ktoré sa prejavia až za horizontom volebného obdobia vlády</w:t>
      </w:r>
      <w:r>
        <w:rPr>
          <w:sz w:val="22"/>
          <w:szCs w:val="22"/>
        </w:rPr>
        <w:t>,</w:t>
      </w:r>
      <w:r w:rsidR="00CB2F27">
        <w:rPr>
          <w:sz w:val="22"/>
          <w:szCs w:val="22"/>
        </w:rPr>
        <w:t xml:space="preserve"> t.j. ide o naviazanie dôchodkového veku na strednú dĺžku života. V</w:t>
      </w:r>
      <w:r w:rsidRPr="00B7286B">
        <w:rPr>
          <w:sz w:val="22"/>
          <w:szCs w:val="22"/>
        </w:rPr>
        <w:t xml:space="preserve"> prípade zmien ovplyvňujúcich II. pilier sa ich vplyvy </w:t>
      </w:r>
      <w:r w:rsidR="00CB2F27">
        <w:rPr>
          <w:sz w:val="22"/>
          <w:szCs w:val="22"/>
        </w:rPr>
        <w:t xml:space="preserve">v zmysle metodiky </w:t>
      </w:r>
      <w:r w:rsidRPr="00B7286B">
        <w:rPr>
          <w:sz w:val="22"/>
          <w:szCs w:val="22"/>
        </w:rPr>
        <w:t>nezohľadni</w:t>
      </w:r>
      <w:r w:rsidR="00CB2F27">
        <w:rPr>
          <w:sz w:val="22"/>
          <w:szCs w:val="22"/>
        </w:rPr>
        <w:t>li</w:t>
      </w:r>
      <w:r w:rsidRPr="00B7286B">
        <w:rPr>
          <w:sz w:val="22"/>
          <w:szCs w:val="22"/>
        </w:rPr>
        <w:t>.</w:t>
      </w:r>
    </w:p>
    <w:p w14:paraId="47FF14D3" w14:textId="77777777" w:rsidR="00176C3F" w:rsidRDefault="00176C3F" w:rsidP="000833C6">
      <w:pPr>
        <w:jc w:val="both"/>
        <w:rPr>
          <w:b/>
          <w:bCs/>
          <w:sz w:val="22"/>
          <w:szCs w:val="22"/>
        </w:rPr>
      </w:pPr>
    </w:p>
    <w:tbl>
      <w:tblPr>
        <w:tblW w:w="9072" w:type="dxa"/>
        <w:tblLook w:val="04A0" w:firstRow="1" w:lastRow="0" w:firstColumn="1" w:lastColumn="0" w:noHBand="0" w:noVBand="1"/>
      </w:tblPr>
      <w:tblGrid>
        <w:gridCol w:w="3828"/>
        <w:gridCol w:w="992"/>
        <w:gridCol w:w="992"/>
        <w:gridCol w:w="1278"/>
        <w:gridCol w:w="1982"/>
      </w:tblGrid>
      <w:tr w:rsidR="00176C3F" w:rsidRPr="00176C3F" w14:paraId="25493DF5" w14:textId="77777777" w:rsidTr="00CC3C85">
        <w:trPr>
          <w:trHeight w:val="300"/>
        </w:trPr>
        <w:tc>
          <w:tcPr>
            <w:tcW w:w="9072" w:type="dxa"/>
            <w:gridSpan w:val="5"/>
            <w:tcBorders>
              <w:top w:val="nil"/>
              <w:left w:val="nil"/>
              <w:bottom w:val="nil"/>
              <w:right w:val="nil"/>
            </w:tcBorders>
            <w:shd w:val="clear" w:color="auto" w:fill="auto"/>
            <w:noWrap/>
            <w:vAlign w:val="center"/>
            <w:hideMark/>
          </w:tcPr>
          <w:p w14:paraId="0D8E4066" w14:textId="77777777" w:rsidR="00176C3F" w:rsidRPr="00176C3F" w:rsidRDefault="00176C3F" w:rsidP="00CC3C85">
            <w:pPr>
              <w:widowControl/>
              <w:suppressAutoHyphens w:val="0"/>
              <w:rPr>
                <w:rFonts w:eastAsia="Times New Roman" w:cs="Times New Roman"/>
                <w:b/>
                <w:bCs/>
                <w:color w:val="00B0F0"/>
                <w:kern w:val="0"/>
                <w:sz w:val="20"/>
                <w:szCs w:val="20"/>
                <w:lang w:eastAsia="en-US" w:bidi="ar-SA"/>
              </w:rPr>
            </w:pPr>
            <w:r w:rsidRPr="00176C3F">
              <w:rPr>
                <w:rFonts w:eastAsia="Times New Roman" w:cs="Times New Roman"/>
                <w:b/>
                <w:bCs/>
                <w:color w:val="00B0F0"/>
                <w:kern w:val="0"/>
                <w:sz w:val="20"/>
                <w:szCs w:val="20"/>
                <w:lang w:eastAsia="en-US" w:bidi="ar-SA"/>
              </w:rPr>
              <w:t>Tab 5: Príspevky legislatívnych zmien k zmene ukazovateľa dlhodobej udržateľnosti (% HDP)</w:t>
            </w:r>
          </w:p>
        </w:tc>
      </w:tr>
      <w:tr w:rsidR="00176C3F" w:rsidRPr="00176C3F" w14:paraId="465AB476" w14:textId="77777777" w:rsidTr="009074BB">
        <w:trPr>
          <w:trHeight w:val="765"/>
        </w:trPr>
        <w:tc>
          <w:tcPr>
            <w:tcW w:w="3828" w:type="dxa"/>
            <w:tcBorders>
              <w:top w:val="nil"/>
              <w:left w:val="nil"/>
              <w:right w:val="nil"/>
            </w:tcBorders>
            <w:shd w:val="clear" w:color="000000" w:fill="00B0F0"/>
            <w:noWrap/>
            <w:vAlign w:val="center"/>
            <w:hideMark/>
          </w:tcPr>
          <w:p w14:paraId="05DA9CA0" w14:textId="77777777" w:rsidR="00176C3F" w:rsidRPr="00176C3F" w:rsidRDefault="00176C3F" w:rsidP="00176C3F">
            <w:pPr>
              <w:widowControl/>
              <w:suppressAutoHyphens w:val="0"/>
              <w:jc w:val="center"/>
              <w:rPr>
                <w:rFonts w:eastAsia="Times New Roman" w:cs="Times New Roman"/>
                <w:b/>
                <w:bCs/>
                <w:color w:val="FFFFFF"/>
                <w:kern w:val="0"/>
                <w:sz w:val="18"/>
                <w:szCs w:val="18"/>
                <w:lang w:eastAsia="en-US" w:bidi="ar-SA"/>
              </w:rPr>
            </w:pPr>
            <w:r w:rsidRPr="00176C3F">
              <w:rPr>
                <w:rFonts w:eastAsia="Times New Roman" w:cs="Times New Roman"/>
                <w:b/>
                <w:bCs/>
                <w:color w:val="FFFFFF"/>
                <w:kern w:val="0"/>
                <w:sz w:val="18"/>
                <w:szCs w:val="18"/>
                <w:lang w:eastAsia="en-US" w:bidi="ar-SA"/>
              </w:rPr>
              <w:t> </w:t>
            </w:r>
          </w:p>
        </w:tc>
        <w:tc>
          <w:tcPr>
            <w:tcW w:w="992" w:type="dxa"/>
            <w:tcBorders>
              <w:top w:val="nil"/>
              <w:left w:val="nil"/>
              <w:right w:val="nil"/>
            </w:tcBorders>
            <w:shd w:val="clear" w:color="000000" w:fill="00B0F0"/>
            <w:noWrap/>
            <w:vAlign w:val="center"/>
            <w:hideMark/>
          </w:tcPr>
          <w:p w14:paraId="2EB75794" w14:textId="77777777" w:rsidR="00176C3F" w:rsidRPr="00176C3F" w:rsidRDefault="00176C3F" w:rsidP="00176C3F">
            <w:pPr>
              <w:widowControl/>
              <w:suppressAutoHyphens w:val="0"/>
              <w:jc w:val="center"/>
              <w:rPr>
                <w:rFonts w:eastAsia="Times New Roman" w:cs="Times New Roman"/>
                <w:b/>
                <w:bCs/>
                <w:color w:val="FFFFFF"/>
                <w:kern w:val="0"/>
                <w:sz w:val="18"/>
                <w:szCs w:val="18"/>
                <w:lang w:eastAsia="en-US" w:bidi="ar-SA"/>
              </w:rPr>
            </w:pPr>
            <w:r w:rsidRPr="00176C3F">
              <w:rPr>
                <w:rFonts w:eastAsia="Times New Roman" w:cs="Times New Roman"/>
                <w:b/>
                <w:bCs/>
                <w:color w:val="FFFFFF"/>
                <w:kern w:val="0"/>
                <w:sz w:val="18"/>
                <w:szCs w:val="18"/>
                <w:lang w:eastAsia="en-US" w:bidi="ar-SA"/>
              </w:rPr>
              <w:t>UDU</w:t>
            </w:r>
          </w:p>
        </w:tc>
        <w:tc>
          <w:tcPr>
            <w:tcW w:w="992" w:type="dxa"/>
            <w:tcBorders>
              <w:top w:val="nil"/>
              <w:left w:val="nil"/>
              <w:right w:val="nil"/>
            </w:tcBorders>
            <w:shd w:val="clear" w:color="000000" w:fill="00B0F0"/>
            <w:noWrap/>
            <w:vAlign w:val="center"/>
            <w:hideMark/>
          </w:tcPr>
          <w:p w14:paraId="4AA79E1C" w14:textId="77777777" w:rsidR="00176C3F" w:rsidRPr="00176C3F" w:rsidRDefault="00176C3F" w:rsidP="00176C3F">
            <w:pPr>
              <w:widowControl/>
              <w:suppressAutoHyphens w:val="0"/>
              <w:jc w:val="center"/>
              <w:rPr>
                <w:rFonts w:eastAsia="Times New Roman" w:cs="Times New Roman"/>
                <w:b/>
                <w:bCs/>
                <w:color w:val="FFFFFF"/>
                <w:kern w:val="0"/>
                <w:sz w:val="18"/>
                <w:szCs w:val="18"/>
                <w:lang w:eastAsia="en-US" w:bidi="ar-SA"/>
              </w:rPr>
            </w:pPr>
            <w:r w:rsidRPr="00176C3F">
              <w:rPr>
                <w:rFonts w:eastAsia="Times New Roman" w:cs="Times New Roman"/>
                <w:b/>
                <w:bCs/>
                <w:color w:val="FFFFFF"/>
                <w:kern w:val="0"/>
                <w:sz w:val="18"/>
                <w:szCs w:val="18"/>
                <w:lang w:eastAsia="en-US" w:bidi="ar-SA"/>
              </w:rPr>
              <w:t>koeficient</w:t>
            </w:r>
          </w:p>
        </w:tc>
        <w:tc>
          <w:tcPr>
            <w:tcW w:w="1278" w:type="dxa"/>
            <w:tcBorders>
              <w:top w:val="nil"/>
              <w:left w:val="nil"/>
              <w:right w:val="nil"/>
            </w:tcBorders>
            <w:shd w:val="clear" w:color="000000" w:fill="00B0F0"/>
            <w:vAlign w:val="center"/>
            <w:hideMark/>
          </w:tcPr>
          <w:p w14:paraId="1B696DBE" w14:textId="77777777" w:rsidR="00176C3F" w:rsidRPr="00176C3F" w:rsidRDefault="00176C3F" w:rsidP="00176C3F">
            <w:pPr>
              <w:widowControl/>
              <w:suppressAutoHyphens w:val="0"/>
              <w:jc w:val="center"/>
              <w:rPr>
                <w:rFonts w:eastAsia="Times New Roman" w:cs="Times New Roman"/>
                <w:b/>
                <w:bCs/>
                <w:color w:val="FFFFFF"/>
                <w:kern w:val="0"/>
                <w:sz w:val="18"/>
                <w:szCs w:val="18"/>
                <w:lang w:eastAsia="en-US" w:bidi="ar-SA"/>
              </w:rPr>
            </w:pPr>
            <w:r w:rsidRPr="00176C3F">
              <w:rPr>
                <w:rFonts w:eastAsia="Times New Roman" w:cs="Times New Roman"/>
                <w:b/>
                <w:bCs/>
                <w:color w:val="FFFFFF"/>
                <w:kern w:val="0"/>
                <w:sz w:val="18"/>
                <w:szCs w:val="18"/>
                <w:lang w:eastAsia="en-US" w:bidi="ar-SA"/>
              </w:rPr>
              <w:t>vplyv na požadovanú konsolidáciu</w:t>
            </w:r>
          </w:p>
        </w:tc>
        <w:tc>
          <w:tcPr>
            <w:tcW w:w="1982" w:type="dxa"/>
            <w:tcBorders>
              <w:top w:val="nil"/>
              <w:left w:val="nil"/>
              <w:right w:val="nil"/>
            </w:tcBorders>
            <w:shd w:val="clear" w:color="000000" w:fill="00B0F0"/>
            <w:vAlign w:val="center"/>
            <w:hideMark/>
          </w:tcPr>
          <w:p w14:paraId="36A3D622" w14:textId="77777777" w:rsidR="00176C3F" w:rsidRPr="00176C3F" w:rsidRDefault="00176C3F" w:rsidP="00176C3F">
            <w:pPr>
              <w:widowControl/>
              <w:suppressAutoHyphens w:val="0"/>
              <w:jc w:val="center"/>
              <w:rPr>
                <w:rFonts w:eastAsia="Times New Roman" w:cs="Times New Roman"/>
                <w:b/>
                <w:bCs/>
                <w:color w:val="FFFFFF"/>
                <w:kern w:val="0"/>
                <w:sz w:val="18"/>
                <w:szCs w:val="18"/>
                <w:lang w:eastAsia="en-US" w:bidi="ar-SA"/>
              </w:rPr>
            </w:pPr>
            <w:r w:rsidRPr="00176C3F">
              <w:rPr>
                <w:rFonts w:eastAsia="Times New Roman" w:cs="Times New Roman"/>
                <w:b/>
                <w:bCs/>
                <w:color w:val="FFFFFF"/>
                <w:kern w:val="0"/>
                <w:sz w:val="18"/>
                <w:szCs w:val="18"/>
                <w:lang w:eastAsia="en-US" w:bidi="ar-SA"/>
              </w:rPr>
              <w:t>poznámky</w:t>
            </w:r>
          </w:p>
        </w:tc>
      </w:tr>
      <w:tr w:rsidR="00176C3F" w:rsidRPr="00176C3F" w14:paraId="25303FBA" w14:textId="77777777" w:rsidTr="009074BB">
        <w:trPr>
          <w:trHeight w:val="300"/>
        </w:trPr>
        <w:tc>
          <w:tcPr>
            <w:tcW w:w="3828" w:type="dxa"/>
            <w:tcBorders>
              <w:top w:val="nil"/>
              <w:left w:val="nil"/>
              <w:right w:val="nil"/>
            </w:tcBorders>
            <w:shd w:val="clear" w:color="auto" w:fill="auto"/>
            <w:noWrap/>
            <w:vAlign w:val="center"/>
            <w:hideMark/>
          </w:tcPr>
          <w:p w14:paraId="20C9F21A" w14:textId="77777777" w:rsidR="00176C3F" w:rsidRPr="00176C3F" w:rsidRDefault="00176C3F" w:rsidP="00CC3C85">
            <w:pPr>
              <w:widowControl/>
              <w:suppressAutoHyphens w:val="0"/>
              <w:rPr>
                <w:rFonts w:eastAsia="Times New Roman" w:cs="Times New Roman"/>
                <w:b/>
                <w:bCs/>
                <w:color w:val="000000"/>
                <w:kern w:val="0"/>
                <w:sz w:val="18"/>
                <w:szCs w:val="18"/>
                <w:lang w:eastAsia="en-US" w:bidi="ar-SA"/>
              </w:rPr>
            </w:pPr>
            <w:r w:rsidRPr="00176C3F">
              <w:rPr>
                <w:rFonts w:eastAsia="Times New Roman" w:cs="Times New Roman"/>
                <w:b/>
                <w:bCs/>
                <w:color w:val="000000"/>
                <w:kern w:val="0"/>
                <w:sz w:val="18"/>
                <w:szCs w:val="18"/>
                <w:lang w:eastAsia="en-US" w:bidi="ar-SA"/>
              </w:rPr>
              <w:t>1. Dôchodková reforma</w:t>
            </w:r>
          </w:p>
        </w:tc>
        <w:tc>
          <w:tcPr>
            <w:tcW w:w="992" w:type="dxa"/>
            <w:tcBorders>
              <w:top w:val="nil"/>
              <w:left w:val="nil"/>
              <w:right w:val="nil"/>
            </w:tcBorders>
            <w:shd w:val="clear" w:color="auto" w:fill="auto"/>
            <w:noWrap/>
            <w:vAlign w:val="center"/>
            <w:hideMark/>
          </w:tcPr>
          <w:p w14:paraId="7E59A41C" w14:textId="77777777" w:rsidR="00176C3F" w:rsidRPr="00176C3F" w:rsidRDefault="00176C3F" w:rsidP="00176C3F">
            <w:pPr>
              <w:widowControl/>
              <w:suppressAutoHyphens w:val="0"/>
              <w:jc w:val="center"/>
              <w:rPr>
                <w:rFonts w:eastAsia="Times New Roman" w:cs="Times New Roman"/>
                <w:b/>
                <w:bCs/>
                <w:kern w:val="0"/>
                <w:sz w:val="18"/>
                <w:szCs w:val="18"/>
                <w:lang w:eastAsia="en-US" w:bidi="ar-SA"/>
              </w:rPr>
            </w:pPr>
            <w:r w:rsidRPr="00176C3F">
              <w:rPr>
                <w:rFonts w:eastAsia="Times New Roman" w:cs="Times New Roman"/>
                <w:b/>
                <w:bCs/>
                <w:kern w:val="0"/>
                <w:sz w:val="18"/>
                <w:szCs w:val="18"/>
                <w:lang w:eastAsia="en-US" w:bidi="ar-SA"/>
              </w:rPr>
              <w:t>-1,07</w:t>
            </w:r>
          </w:p>
        </w:tc>
        <w:tc>
          <w:tcPr>
            <w:tcW w:w="992" w:type="dxa"/>
            <w:tcBorders>
              <w:top w:val="nil"/>
              <w:left w:val="nil"/>
              <w:right w:val="nil"/>
            </w:tcBorders>
            <w:shd w:val="clear" w:color="auto" w:fill="auto"/>
            <w:noWrap/>
            <w:vAlign w:val="center"/>
            <w:hideMark/>
          </w:tcPr>
          <w:p w14:paraId="4FF9D01D" w14:textId="77777777" w:rsidR="00176C3F" w:rsidRPr="00176C3F" w:rsidRDefault="00176C3F" w:rsidP="00176C3F">
            <w:pPr>
              <w:widowControl/>
              <w:suppressAutoHyphens w:val="0"/>
              <w:jc w:val="center"/>
              <w:rPr>
                <w:rFonts w:eastAsia="Times New Roman" w:cs="Times New Roman"/>
                <w:b/>
                <w:bCs/>
                <w:kern w:val="0"/>
                <w:sz w:val="18"/>
                <w:szCs w:val="18"/>
                <w:lang w:eastAsia="en-US" w:bidi="ar-SA"/>
              </w:rPr>
            </w:pPr>
          </w:p>
        </w:tc>
        <w:tc>
          <w:tcPr>
            <w:tcW w:w="1278" w:type="dxa"/>
            <w:tcBorders>
              <w:top w:val="nil"/>
              <w:left w:val="nil"/>
              <w:right w:val="nil"/>
            </w:tcBorders>
            <w:shd w:val="clear" w:color="auto" w:fill="auto"/>
            <w:noWrap/>
            <w:vAlign w:val="center"/>
            <w:hideMark/>
          </w:tcPr>
          <w:p w14:paraId="3DB1D1CF" w14:textId="77777777" w:rsidR="00176C3F" w:rsidRPr="00176C3F" w:rsidRDefault="00176C3F" w:rsidP="00176C3F">
            <w:pPr>
              <w:widowControl/>
              <w:suppressAutoHyphens w:val="0"/>
              <w:jc w:val="center"/>
              <w:rPr>
                <w:rFonts w:eastAsia="Times New Roman" w:cs="Times New Roman"/>
                <w:b/>
                <w:bCs/>
                <w:kern w:val="0"/>
                <w:sz w:val="18"/>
                <w:szCs w:val="18"/>
                <w:lang w:eastAsia="en-US" w:bidi="ar-SA"/>
              </w:rPr>
            </w:pPr>
            <w:r w:rsidRPr="00176C3F">
              <w:rPr>
                <w:rFonts w:eastAsia="Times New Roman" w:cs="Times New Roman"/>
                <w:b/>
                <w:bCs/>
                <w:kern w:val="0"/>
                <w:sz w:val="18"/>
                <w:szCs w:val="18"/>
                <w:lang w:eastAsia="en-US" w:bidi="ar-SA"/>
              </w:rPr>
              <w:t>-0,41</w:t>
            </w:r>
          </w:p>
        </w:tc>
        <w:tc>
          <w:tcPr>
            <w:tcW w:w="1982" w:type="dxa"/>
            <w:tcBorders>
              <w:top w:val="nil"/>
              <w:left w:val="nil"/>
              <w:right w:val="nil"/>
            </w:tcBorders>
            <w:shd w:val="clear" w:color="auto" w:fill="auto"/>
            <w:noWrap/>
            <w:vAlign w:val="center"/>
            <w:hideMark/>
          </w:tcPr>
          <w:p w14:paraId="69CAD3E7" w14:textId="77777777" w:rsidR="00176C3F" w:rsidRPr="00176C3F" w:rsidRDefault="00176C3F" w:rsidP="00CC3C85">
            <w:pPr>
              <w:widowControl/>
              <w:suppressAutoHyphens w:val="0"/>
              <w:rPr>
                <w:rFonts w:eastAsia="Times New Roman" w:cs="Times New Roman"/>
                <w:b/>
                <w:bCs/>
                <w:kern w:val="0"/>
                <w:sz w:val="18"/>
                <w:szCs w:val="18"/>
                <w:lang w:eastAsia="en-US" w:bidi="ar-SA"/>
              </w:rPr>
            </w:pPr>
          </w:p>
        </w:tc>
      </w:tr>
      <w:tr w:rsidR="00176C3F" w:rsidRPr="00176C3F" w14:paraId="04F7ED28" w14:textId="77777777" w:rsidTr="009074BB">
        <w:trPr>
          <w:trHeight w:val="300"/>
        </w:trPr>
        <w:tc>
          <w:tcPr>
            <w:tcW w:w="3828" w:type="dxa"/>
            <w:tcBorders>
              <w:left w:val="nil"/>
              <w:right w:val="nil"/>
            </w:tcBorders>
            <w:shd w:val="clear" w:color="auto" w:fill="auto"/>
            <w:noWrap/>
            <w:vAlign w:val="center"/>
            <w:hideMark/>
          </w:tcPr>
          <w:p w14:paraId="4709913F" w14:textId="77777777" w:rsidR="00176C3F" w:rsidRPr="00176C3F" w:rsidRDefault="00176C3F" w:rsidP="00CC3C85">
            <w:pPr>
              <w:widowControl/>
              <w:suppressAutoHyphens w:val="0"/>
              <w:ind w:firstLineChars="100" w:firstLine="180"/>
              <w:rPr>
                <w:rFonts w:eastAsia="Times New Roman" w:cs="Times New Roman"/>
                <w:color w:val="000000"/>
                <w:kern w:val="0"/>
                <w:sz w:val="18"/>
                <w:szCs w:val="18"/>
                <w:lang w:eastAsia="en-US" w:bidi="ar-SA"/>
              </w:rPr>
            </w:pPr>
            <w:r w:rsidRPr="00176C3F">
              <w:rPr>
                <w:rFonts w:eastAsia="Times New Roman" w:cs="Times New Roman"/>
                <w:color w:val="000000"/>
                <w:kern w:val="0"/>
                <w:sz w:val="18"/>
                <w:szCs w:val="18"/>
                <w:lang w:eastAsia="en-US" w:bidi="ar-SA"/>
              </w:rPr>
              <w:t xml:space="preserve"> - dôchodkový vek</w:t>
            </w:r>
          </w:p>
        </w:tc>
        <w:tc>
          <w:tcPr>
            <w:tcW w:w="992" w:type="dxa"/>
            <w:tcBorders>
              <w:left w:val="nil"/>
              <w:right w:val="nil"/>
            </w:tcBorders>
            <w:shd w:val="clear" w:color="auto" w:fill="auto"/>
            <w:noWrap/>
            <w:vAlign w:val="center"/>
            <w:hideMark/>
          </w:tcPr>
          <w:p w14:paraId="5515ED16"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-1,32</w:t>
            </w:r>
          </w:p>
        </w:tc>
        <w:tc>
          <w:tcPr>
            <w:tcW w:w="992" w:type="dxa"/>
            <w:tcBorders>
              <w:left w:val="nil"/>
              <w:right w:val="nil"/>
            </w:tcBorders>
            <w:shd w:val="clear" w:color="auto" w:fill="auto"/>
            <w:noWrap/>
            <w:vAlign w:val="center"/>
            <w:hideMark/>
          </w:tcPr>
          <w:p w14:paraId="45353E9B"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50%</w:t>
            </w:r>
          </w:p>
        </w:tc>
        <w:tc>
          <w:tcPr>
            <w:tcW w:w="1278" w:type="dxa"/>
            <w:tcBorders>
              <w:left w:val="nil"/>
              <w:right w:val="nil"/>
            </w:tcBorders>
            <w:shd w:val="clear" w:color="auto" w:fill="auto"/>
            <w:noWrap/>
            <w:vAlign w:val="center"/>
            <w:hideMark/>
          </w:tcPr>
          <w:p w14:paraId="26AFA371"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-0,66</w:t>
            </w:r>
          </w:p>
        </w:tc>
        <w:tc>
          <w:tcPr>
            <w:tcW w:w="1982" w:type="dxa"/>
            <w:tcBorders>
              <w:left w:val="nil"/>
              <w:right w:val="nil"/>
            </w:tcBorders>
            <w:shd w:val="clear" w:color="auto" w:fill="auto"/>
            <w:noWrap/>
            <w:vAlign w:val="center"/>
            <w:hideMark/>
          </w:tcPr>
          <w:p w14:paraId="3B1DE571" w14:textId="77777777" w:rsidR="00176C3F" w:rsidRPr="00176C3F" w:rsidRDefault="00176C3F" w:rsidP="00CC3C85">
            <w:pPr>
              <w:widowControl/>
              <w:suppressAutoHyphens w:val="0"/>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vplyvy za horizontom volebného obdobia</w:t>
            </w:r>
          </w:p>
        </w:tc>
      </w:tr>
      <w:tr w:rsidR="00176C3F" w:rsidRPr="00176C3F" w14:paraId="474CE909" w14:textId="77777777" w:rsidTr="009074BB">
        <w:trPr>
          <w:trHeight w:val="300"/>
        </w:trPr>
        <w:tc>
          <w:tcPr>
            <w:tcW w:w="3828" w:type="dxa"/>
            <w:tcBorders>
              <w:left w:val="nil"/>
              <w:right w:val="nil"/>
            </w:tcBorders>
            <w:shd w:val="clear" w:color="auto" w:fill="auto"/>
            <w:noWrap/>
            <w:vAlign w:val="center"/>
            <w:hideMark/>
          </w:tcPr>
          <w:p w14:paraId="3651C77C" w14:textId="77777777" w:rsidR="00176C3F" w:rsidRPr="00176C3F" w:rsidRDefault="00176C3F" w:rsidP="00CC3C85">
            <w:pPr>
              <w:widowControl/>
              <w:suppressAutoHyphens w:val="0"/>
              <w:ind w:firstLineChars="100" w:firstLine="180"/>
              <w:rPr>
                <w:rFonts w:eastAsia="Times New Roman" w:cs="Times New Roman"/>
                <w:color w:val="000000"/>
                <w:kern w:val="0"/>
                <w:sz w:val="18"/>
                <w:szCs w:val="18"/>
                <w:lang w:eastAsia="en-US" w:bidi="ar-SA"/>
              </w:rPr>
            </w:pPr>
            <w:r w:rsidRPr="00176C3F">
              <w:rPr>
                <w:rFonts w:eastAsia="Times New Roman" w:cs="Times New Roman"/>
                <w:color w:val="000000"/>
                <w:kern w:val="0"/>
                <w:sz w:val="18"/>
                <w:szCs w:val="18"/>
                <w:lang w:eastAsia="en-US" w:bidi="ar-SA"/>
              </w:rPr>
              <w:t xml:space="preserve"> - aktuálna dôchodková hodnota</w:t>
            </w:r>
          </w:p>
        </w:tc>
        <w:tc>
          <w:tcPr>
            <w:tcW w:w="992" w:type="dxa"/>
            <w:tcBorders>
              <w:left w:val="nil"/>
              <w:right w:val="nil"/>
            </w:tcBorders>
            <w:shd w:val="clear" w:color="auto" w:fill="auto"/>
            <w:noWrap/>
            <w:vAlign w:val="center"/>
            <w:hideMark/>
          </w:tcPr>
          <w:p w14:paraId="7A5EC379"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-0,28</w:t>
            </w:r>
          </w:p>
        </w:tc>
        <w:tc>
          <w:tcPr>
            <w:tcW w:w="992" w:type="dxa"/>
            <w:tcBorders>
              <w:left w:val="nil"/>
              <w:right w:val="nil"/>
            </w:tcBorders>
            <w:shd w:val="clear" w:color="auto" w:fill="auto"/>
            <w:noWrap/>
            <w:vAlign w:val="center"/>
            <w:hideMark/>
          </w:tcPr>
          <w:p w14:paraId="207DFA96"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100%</w:t>
            </w:r>
          </w:p>
        </w:tc>
        <w:tc>
          <w:tcPr>
            <w:tcW w:w="1278" w:type="dxa"/>
            <w:tcBorders>
              <w:left w:val="nil"/>
              <w:right w:val="nil"/>
            </w:tcBorders>
            <w:shd w:val="clear" w:color="auto" w:fill="auto"/>
            <w:noWrap/>
            <w:vAlign w:val="center"/>
            <w:hideMark/>
          </w:tcPr>
          <w:p w14:paraId="1C030943"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-0,28</w:t>
            </w:r>
          </w:p>
        </w:tc>
        <w:tc>
          <w:tcPr>
            <w:tcW w:w="1982" w:type="dxa"/>
            <w:tcBorders>
              <w:left w:val="nil"/>
              <w:right w:val="nil"/>
            </w:tcBorders>
            <w:shd w:val="clear" w:color="auto" w:fill="auto"/>
            <w:noWrap/>
            <w:vAlign w:val="center"/>
            <w:hideMark/>
          </w:tcPr>
          <w:p w14:paraId="3B870EBB" w14:textId="77777777" w:rsidR="00176C3F" w:rsidRPr="00176C3F" w:rsidRDefault="00176C3F" w:rsidP="00CC3C85">
            <w:pPr>
              <w:widowControl/>
              <w:suppressAutoHyphens w:val="0"/>
              <w:rPr>
                <w:rFonts w:eastAsia="Times New Roman" w:cs="Times New Roman"/>
                <w:kern w:val="0"/>
                <w:sz w:val="18"/>
                <w:szCs w:val="18"/>
                <w:lang w:eastAsia="en-US" w:bidi="ar-SA"/>
              </w:rPr>
            </w:pPr>
          </w:p>
        </w:tc>
      </w:tr>
      <w:tr w:rsidR="00176C3F" w:rsidRPr="00176C3F" w14:paraId="696A9E86" w14:textId="77777777" w:rsidTr="009074BB">
        <w:trPr>
          <w:trHeight w:val="300"/>
        </w:trPr>
        <w:tc>
          <w:tcPr>
            <w:tcW w:w="3828" w:type="dxa"/>
            <w:tcBorders>
              <w:left w:val="nil"/>
              <w:right w:val="nil"/>
            </w:tcBorders>
            <w:shd w:val="clear" w:color="auto" w:fill="auto"/>
            <w:noWrap/>
            <w:vAlign w:val="center"/>
            <w:hideMark/>
          </w:tcPr>
          <w:p w14:paraId="6C94D496" w14:textId="77777777" w:rsidR="00176C3F" w:rsidRPr="00176C3F" w:rsidRDefault="00176C3F" w:rsidP="00CC3C85">
            <w:pPr>
              <w:widowControl/>
              <w:suppressAutoHyphens w:val="0"/>
              <w:ind w:firstLineChars="100" w:firstLine="180"/>
              <w:rPr>
                <w:rFonts w:eastAsia="Times New Roman" w:cs="Times New Roman"/>
                <w:color w:val="000000"/>
                <w:kern w:val="0"/>
                <w:sz w:val="18"/>
                <w:szCs w:val="18"/>
                <w:lang w:eastAsia="en-US" w:bidi="ar-SA"/>
              </w:rPr>
            </w:pPr>
            <w:r w:rsidRPr="00176C3F">
              <w:rPr>
                <w:rFonts w:eastAsia="Times New Roman" w:cs="Times New Roman"/>
                <w:color w:val="000000"/>
                <w:kern w:val="0"/>
                <w:sz w:val="18"/>
                <w:szCs w:val="18"/>
                <w:lang w:eastAsia="en-US" w:bidi="ar-SA"/>
              </w:rPr>
              <w:t xml:space="preserve"> - rodičovský dôchodok</w:t>
            </w:r>
          </w:p>
        </w:tc>
        <w:tc>
          <w:tcPr>
            <w:tcW w:w="992" w:type="dxa"/>
            <w:tcBorders>
              <w:left w:val="nil"/>
              <w:right w:val="nil"/>
            </w:tcBorders>
            <w:shd w:val="clear" w:color="auto" w:fill="auto"/>
            <w:noWrap/>
            <w:vAlign w:val="center"/>
            <w:hideMark/>
          </w:tcPr>
          <w:p w14:paraId="24AC61ED"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0,22</w:t>
            </w:r>
          </w:p>
        </w:tc>
        <w:tc>
          <w:tcPr>
            <w:tcW w:w="992" w:type="dxa"/>
            <w:tcBorders>
              <w:left w:val="nil"/>
              <w:right w:val="nil"/>
            </w:tcBorders>
            <w:shd w:val="clear" w:color="auto" w:fill="auto"/>
            <w:noWrap/>
            <w:vAlign w:val="center"/>
            <w:hideMark/>
          </w:tcPr>
          <w:p w14:paraId="04357613"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100%</w:t>
            </w:r>
          </w:p>
        </w:tc>
        <w:tc>
          <w:tcPr>
            <w:tcW w:w="1278" w:type="dxa"/>
            <w:tcBorders>
              <w:left w:val="nil"/>
              <w:right w:val="nil"/>
            </w:tcBorders>
            <w:shd w:val="clear" w:color="auto" w:fill="auto"/>
            <w:noWrap/>
            <w:vAlign w:val="center"/>
            <w:hideMark/>
          </w:tcPr>
          <w:p w14:paraId="11FF7A7E"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0,22</w:t>
            </w:r>
          </w:p>
        </w:tc>
        <w:tc>
          <w:tcPr>
            <w:tcW w:w="1982" w:type="dxa"/>
            <w:tcBorders>
              <w:left w:val="nil"/>
              <w:right w:val="nil"/>
            </w:tcBorders>
            <w:shd w:val="clear" w:color="auto" w:fill="auto"/>
            <w:noWrap/>
            <w:vAlign w:val="center"/>
            <w:hideMark/>
          </w:tcPr>
          <w:p w14:paraId="110AE11C" w14:textId="77777777" w:rsidR="00176C3F" w:rsidRPr="00176C3F" w:rsidRDefault="00176C3F" w:rsidP="00CC3C85">
            <w:pPr>
              <w:widowControl/>
              <w:suppressAutoHyphens w:val="0"/>
              <w:rPr>
                <w:rFonts w:eastAsia="Times New Roman" w:cs="Times New Roman"/>
                <w:kern w:val="0"/>
                <w:sz w:val="18"/>
                <w:szCs w:val="18"/>
                <w:lang w:eastAsia="en-US" w:bidi="ar-SA"/>
              </w:rPr>
            </w:pPr>
          </w:p>
        </w:tc>
      </w:tr>
      <w:tr w:rsidR="00176C3F" w:rsidRPr="00176C3F" w14:paraId="722C81F5" w14:textId="77777777" w:rsidTr="009074BB">
        <w:trPr>
          <w:trHeight w:val="300"/>
        </w:trPr>
        <w:tc>
          <w:tcPr>
            <w:tcW w:w="3828" w:type="dxa"/>
            <w:tcBorders>
              <w:left w:val="nil"/>
              <w:right w:val="nil"/>
            </w:tcBorders>
            <w:shd w:val="clear" w:color="auto" w:fill="auto"/>
            <w:noWrap/>
            <w:vAlign w:val="center"/>
            <w:hideMark/>
          </w:tcPr>
          <w:p w14:paraId="3A507317" w14:textId="77777777" w:rsidR="00176C3F" w:rsidRPr="00176C3F" w:rsidRDefault="00176C3F" w:rsidP="00CC3C85">
            <w:pPr>
              <w:widowControl/>
              <w:suppressAutoHyphens w:val="0"/>
              <w:ind w:firstLineChars="100" w:firstLine="180"/>
              <w:rPr>
                <w:rFonts w:eastAsia="Times New Roman" w:cs="Times New Roman"/>
                <w:color w:val="000000"/>
                <w:kern w:val="0"/>
                <w:sz w:val="18"/>
                <w:szCs w:val="18"/>
                <w:lang w:eastAsia="en-US" w:bidi="ar-SA"/>
              </w:rPr>
            </w:pPr>
            <w:r w:rsidRPr="00176C3F">
              <w:rPr>
                <w:rFonts w:eastAsia="Times New Roman" w:cs="Times New Roman"/>
                <w:color w:val="000000"/>
                <w:kern w:val="0"/>
                <w:sz w:val="18"/>
                <w:szCs w:val="18"/>
                <w:lang w:eastAsia="en-US" w:bidi="ar-SA"/>
              </w:rPr>
              <w:t xml:space="preserve"> - zmeny v II. pilieri</w:t>
            </w:r>
          </w:p>
        </w:tc>
        <w:tc>
          <w:tcPr>
            <w:tcW w:w="992" w:type="dxa"/>
            <w:tcBorders>
              <w:left w:val="nil"/>
              <w:right w:val="nil"/>
            </w:tcBorders>
            <w:shd w:val="clear" w:color="auto" w:fill="auto"/>
            <w:noWrap/>
            <w:vAlign w:val="center"/>
            <w:hideMark/>
          </w:tcPr>
          <w:p w14:paraId="3B5C0F39"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0,00</w:t>
            </w:r>
          </w:p>
        </w:tc>
        <w:tc>
          <w:tcPr>
            <w:tcW w:w="992" w:type="dxa"/>
            <w:tcBorders>
              <w:left w:val="nil"/>
              <w:right w:val="nil"/>
            </w:tcBorders>
            <w:shd w:val="clear" w:color="auto" w:fill="auto"/>
            <w:noWrap/>
            <w:vAlign w:val="center"/>
            <w:hideMark/>
          </w:tcPr>
          <w:p w14:paraId="55C0DDB0"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w:t>
            </w:r>
          </w:p>
        </w:tc>
        <w:tc>
          <w:tcPr>
            <w:tcW w:w="1278" w:type="dxa"/>
            <w:tcBorders>
              <w:left w:val="nil"/>
              <w:right w:val="nil"/>
            </w:tcBorders>
            <w:shd w:val="clear" w:color="auto" w:fill="auto"/>
            <w:noWrap/>
            <w:vAlign w:val="center"/>
            <w:hideMark/>
          </w:tcPr>
          <w:p w14:paraId="63059CED"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0,00</w:t>
            </w:r>
          </w:p>
        </w:tc>
        <w:tc>
          <w:tcPr>
            <w:tcW w:w="1982" w:type="dxa"/>
            <w:tcBorders>
              <w:left w:val="nil"/>
              <w:right w:val="nil"/>
            </w:tcBorders>
            <w:shd w:val="clear" w:color="auto" w:fill="auto"/>
            <w:noWrap/>
            <w:vAlign w:val="center"/>
            <w:hideMark/>
          </w:tcPr>
          <w:p w14:paraId="696210D4" w14:textId="77777777" w:rsidR="00176C3F" w:rsidRPr="00176C3F" w:rsidRDefault="00176C3F" w:rsidP="00CC3C85">
            <w:pPr>
              <w:widowControl/>
              <w:suppressAutoHyphens w:val="0"/>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vplyvy zmien v II. pilieri sa nezohľadňujú</w:t>
            </w:r>
          </w:p>
        </w:tc>
      </w:tr>
      <w:tr w:rsidR="00176C3F" w:rsidRPr="00176C3F" w14:paraId="284F0A64" w14:textId="77777777" w:rsidTr="009074BB">
        <w:trPr>
          <w:trHeight w:val="300"/>
        </w:trPr>
        <w:tc>
          <w:tcPr>
            <w:tcW w:w="3828" w:type="dxa"/>
            <w:tcBorders>
              <w:left w:val="nil"/>
              <w:right w:val="nil"/>
            </w:tcBorders>
            <w:shd w:val="clear" w:color="auto" w:fill="auto"/>
            <w:noWrap/>
            <w:vAlign w:val="center"/>
            <w:hideMark/>
          </w:tcPr>
          <w:p w14:paraId="30829841" w14:textId="77777777" w:rsidR="00176C3F" w:rsidRPr="00176C3F" w:rsidRDefault="00176C3F" w:rsidP="00CC3C85">
            <w:pPr>
              <w:widowControl/>
              <w:suppressAutoHyphens w:val="0"/>
              <w:ind w:firstLineChars="100" w:firstLine="180"/>
              <w:rPr>
                <w:rFonts w:eastAsia="Times New Roman" w:cs="Times New Roman"/>
                <w:color w:val="000000"/>
                <w:kern w:val="0"/>
                <w:sz w:val="18"/>
                <w:szCs w:val="18"/>
                <w:lang w:eastAsia="en-US" w:bidi="ar-SA"/>
              </w:rPr>
            </w:pPr>
            <w:r w:rsidRPr="00176C3F">
              <w:rPr>
                <w:rFonts w:eastAsia="Times New Roman" w:cs="Times New Roman"/>
                <w:color w:val="000000"/>
                <w:kern w:val="0"/>
                <w:sz w:val="18"/>
                <w:szCs w:val="18"/>
                <w:lang w:eastAsia="en-US" w:bidi="ar-SA"/>
              </w:rPr>
              <w:t xml:space="preserve"> - predčasný starobný dôchodok po 40 rokoch</w:t>
            </w:r>
          </w:p>
        </w:tc>
        <w:tc>
          <w:tcPr>
            <w:tcW w:w="992" w:type="dxa"/>
            <w:tcBorders>
              <w:left w:val="nil"/>
              <w:right w:val="nil"/>
            </w:tcBorders>
            <w:shd w:val="clear" w:color="auto" w:fill="auto"/>
            <w:noWrap/>
            <w:vAlign w:val="center"/>
            <w:hideMark/>
          </w:tcPr>
          <w:p w14:paraId="1D17C005"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0,40</w:t>
            </w:r>
          </w:p>
        </w:tc>
        <w:tc>
          <w:tcPr>
            <w:tcW w:w="992" w:type="dxa"/>
            <w:tcBorders>
              <w:left w:val="nil"/>
              <w:right w:val="nil"/>
            </w:tcBorders>
            <w:shd w:val="clear" w:color="auto" w:fill="auto"/>
            <w:noWrap/>
            <w:vAlign w:val="center"/>
            <w:hideMark/>
          </w:tcPr>
          <w:p w14:paraId="332E4174"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100%</w:t>
            </w:r>
          </w:p>
        </w:tc>
        <w:tc>
          <w:tcPr>
            <w:tcW w:w="1278" w:type="dxa"/>
            <w:tcBorders>
              <w:left w:val="nil"/>
              <w:right w:val="nil"/>
            </w:tcBorders>
            <w:shd w:val="clear" w:color="auto" w:fill="auto"/>
            <w:noWrap/>
            <w:vAlign w:val="center"/>
            <w:hideMark/>
          </w:tcPr>
          <w:p w14:paraId="1091DD7B"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0,40</w:t>
            </w:r>
          </w:p>
        </w:tc>
        <w:tc>
          <w:tcPr>
            <w:tcW w:w="1982" w:type="dxa"/>
            <w:tcBorders>
              <w:left w:val="nil"/>
              <w:right w:val="nil"/>
            </w:tcBorders>
            <w:shd w:val="clear" w:color="auto" w:fill="auto"/>
            <w:noWrap/>
            <w:vAlign w:val="center"/>
            <w:hideMark/>
          </w:tcPr>
          <w:p w14:paraId="46EA5F19" w14:textId="77777777" w:rsidR="00176C3F" w:rsidRPr="00176C3F" w:rsidRDefault="00176C3F" w:rsidP="00CC3C85">
            <w:pPr>
              <w:widowControl/>
              <w:suppressAutoHyphens w:val="0"/>
              <w:rPr>
                <w:rFonts w:eastAsia="Times New Roman" w:cs="Times New Roman"/>
                <w:kern w:val="0"/>
                <w:sz w:val="18"/>
                <w:szCs w:val="18"/>
                <w:lang w:eastAsia="en-US" w:bidi="ar-SA"/>
              </w:rPr>
            </w:pPr>
          </w:p>
        </w:tc>
      </w:tr>
      <w:tr w:rsidR="00176C3F" w:rsidRPr="00176C3F" w14:paraId="7632EE17" w14:textId="77777777" w:rsidTr="009074BB">
        <w:trPr>
          <w:trHeight w:val="300"/>
        </w:trPr>
        <w:tc>
          <w:tcPr>
            <w:tcW w:w="3828" w:type="dxa"/>
            <w:tcBorders>
              <w:left w:val="nil"/>
              <w:right w:val="nil"/>
            </w:tcBorders>
            <w:shd w:val="clear" w:color="auto" w:fill="auto"/>
            <w:noWrap/>
            <w:vAlign w:val="center"/>
            <w:hideMark/>
          </w:tcPr>
          <w:p w14:paraId="7B4E5CAA" w14:textId="77777777" w:rsidR="00176C3F" w:rsidRPr="00176C3F" w:rsidRDefault="00176C3F" w:rsidP="00CC3C85">
            <w:pPr>
              <w:widowControl/>
              <w:suppressAutoHyphens w:val="0"/>
              <w:ind w:firstLineChars="100" w:firstLine="180"/>
              <w:rPr>
                <w:rFonts w:eastAsia="Times New Roman" w:cs="Times New Roman"/>
                <w:color w:val="000000"/>
                <w:kern w:val="0"/>
                <w:sz w:val="18"/>
                <w:szCs w:val="18"/>
                <w:lang w:eastAsia="en-US" w:bidi="ar-SA"/>
              </w:rPr>
            </w:pPr>
            <w:r w:rsidRPr="00176C3F">
              <w:rPr>
                <w:rFonts w:eastAsia="Times New Roman" w:cs="Times New Roman"/>
                <w:color w:val="000000"/>
                <w:kern w:val="0"/>
                <w:sz w:val="18"/>
                <w:szCs w:val="18"/>
                <w:lang w:eastAsia="en-US" w:bidi="ar-SA"/>
              </w:rPr>
              <w:t xml:space="preserve"> - vzájomné vplyvy jednotlivých opatrení</w:t>
            </w:r>
          </w:p>
        </w:tc>
        <w:tc>
          <w:tcPr>
            <w:tcW w:w="992" w:type="dxa"/>
            <w:tcBorders>
              <w:left w:val="nil"/>
              <w:right w:val="nil"/>
            </w:tcBorders>
            <w:shd w:val="clear" w:color="auto" w:fill="auto"/>
            <w:noWrap/>
            <w:vAlign w:val="center"/>
            <w:hideMark/>
          </w:tcPr>
          <w:p w14:paraId="0845EAC2"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-0,10</w:t>
            </w:r>
          </w:p>
        </w:tc>
        <w:tc>
          <w:tcPr>
            <w:tcW w:w="992" w:type="dxa"/>
            <w:tcBorders>
              <w:left w:val="nil"/>
              <w:right w:val="nil"/>
            </w:tcBorders>
            <w:shd w:val="clear" w:color="auto" w:fill="auto"/>
            <w:noWrap/>
            <w:vAlign w:val="center"/>
            <w:hideMark/>
          </w:tcPr>
          <w:p w14:paraId="7D4BD7D5"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100%</w:t>
            </w:r>
          </w:p>
        </w:tc>
        <w:tc>
          <w:tcPr>
            <w:tcW w:w="1278" w:type="dxa"/>
            <w:tcBorders>
              <w:left w:val="nil"/>
              <w:right w:val="nil"/>
            </w:tcBorders>
            <w:shd w:val="clear" w:color="auto" w:fill="auto"/>
            <w:noWrap/>
            <w:vAlign w:val="center"/>
            <w:hideMark/>
          </w:tcPr>
          <w:p w14:paraId="61A411E5" w14:textId="77777777" w:rsidR="00176C3F" w:rsidRPr="00176C3F" w:rsidRDefault="00176C3F" w:rsidP="00176C3F">
            <w:pPr>
              <w:widowControl/>
              <w:suppressAutoHyphens w:val="0"/>
              <w:jc w:val="center"/>
              <w:rPr>
                <w:rFonts w:eastAsia="Times New Roman" w:cs="Times New Roman"/>
                <w:kern w:val="0"/>
                <w:sz w:val="18"/>
                <w:szCs w:val="18"/>
                <w:lang w:eastAsia="en-US" w:bidi="ar-SA"/>
              </w:rPr>
            </w:pPr>
            <w:r w:rsidRPr="00176C3F">
              <w:rPr>
                <w:rFonts w:eastAsia="Times New Roman" w:cs="Times New Roman"/>
                <w:kern w:val="0"/>
                <w:sz w:val="18"/>
                <w:szCs w:val="18"/>
                <w:lang w:eastAsia="en-US" w:bidi="ar-SA"/>
              </w:rPr>
              <w:t>-0,10</w:t>
            </w:r>
          </w:p>
        </w:tc>
        <w:tc>
          <w:tcPr>
            <w:tcW w:w="1982" w:type="dxa"/>
            <w:tcBorders>
              <w:left w:val="nil"/>
              <w:right w:val="nil"/>
            </w:tcBorders>
            <w:shd w:val="clear" w:color="auto" w:fill="auto"/>
            <w:noWrap/>
            <w:vAlign w:val="center"/>
            <w:hideMark/>
          </w:tcPr>
          <w:p w14:paraId="6E4F606B" w14:textId="77777777" w:rsidR="00176C3F" w:rsidRPr="00176C3F" w:rsidRDefault="00176C3F" w:rsidP="00CC3C85">
            <w:pPr>
              <w:widowControl/>
              <w:suppressAutoHyphens w:val="0"/>
              <w:rPr>
                <w:rFonts w:eastAsia="Times New Roman" w:cs="Times New Roman"/>
                <w:kern w:val="0"/>
                <w:sz w:val="18"/>
                <w:szCs w:val="18"/>
                <w:lang w:eastAsia="en-US" w:bidi="ar-SA"/>
              </w:rPr>
            </w:pPr>
          </w:p>
        </w:tc>
      </w:tr>
      <w:tr w:rsidR="00176C3F" w:rsidRPr="00176C3F" w14:paraId="1CE5E2A2" w14:textId="77777777" w:rsidTr="009074BB">
        <w:trPr>
          <w:trHeight w:val="300"/>
        </w:trPr>
        <w:tc>
          <w:tcPr>
            <w:tcW w:w="3828" w:type="dxa"/>
            <w:tcBorders>
              <w:left w:val="nil"/>
              <w:right w:val="nil"/>
            </w:tcBorders>
            <w:shd w:val="clear" w:color="auto" w:fill="auto"/>
            <w:noWrap/>
            <w:vAlign w:val="center"/>
            <w:hideMark/>
          </w:tcPr>
          <w:p w14:paraId="1AE4E710" w14:textId="77777777" w:rsidR="00176C3F" w:rsidRPr="00176C3F" w:rsidRDefault="00176C3F" w:rsidP="00CC3C85">
            <w:pPr>
              <w:widowControl/>
              <w:suppressAutoHyphens w:val="0"/>
              <w:rPr>
                <w:rFonts w:eastAsia="Times New Roman" w:cs="Times New Roman"/>
                <w:b/>
                <w:bCs/>
                <w:color w:val="000000"/>
                <w:kern w:val="0"/>
                <w:sz w:val="18"/>
                <w:szCs w:val="18"/>
                <w:lang w:eastAsia="en-US" w:bidi="ar-SA"/>
              </w:rPr>
            </w:pPr>
            <w:r w:rsidRPr="00176C3F">
              <w:rPr>
                <w:rFonts w:eastAsia="Times New Roman" w:cs="Times New Roman"/>
                <w:b/>
                <w:bCs/>
                <w:color w:val="000000"/>
                <w:kern w:val="0"/>
                <w:sz w:val="18"/>
                <w:szCs w:val="18"/>
                <w:lang w:eastAsia="en-US" w:bidi="ar-SA"/>
              </w:rPr>
              <w:t>2. Peňažný príspevok na opatrovanie</w:t>
            </w:r>
          </w:p>
        </w:tc>
        <w:tc>
          <w:tcPr>
            <w:tcW w:w="992" w:type="dxa"/>
            <w:tcBorders>
              <w:left w:val="nil"/>
              <w:right w:val="nil"/>
            </w:tcBorders>
            <w:shd w:val="clear" w:color="auto" w:fill="auto"/>
            <w:noWrap/>
            <w:vAlign w:val="center"/>
            <w:hideMark/>
          </w:tcPr>
          <w:p w14:paraId="5A810A48" w14:textId="77777777" w:rsidR="00176C3F" w:rsidRPr="00176C3F" w:rsidRDefault="00176C3F" w:rsidP="00176C3F">
            <w:pPr>
              <w:widowControl/>
              <w:suppressAutoHyphens w:val="0"/>
              <w:jc w:val="center"/>
              <w:rPr>
                <w:rFonts w:eastAsia="Times New Roman" w:cs="Times New Roman"/>
                <w:b/>
                <w:bCs/>
                <w:kern w:val="0"/>
                <w:sz w:val="18"/>
                <w:szCs w:val="18"/>
                <w:lang w:eastAsia="en-US" w:bidi="ar-SA"/>
              </w:rPr>
            </w:pPr>
            <w:r w:rsidRPr="00176C3F">
              <w:rPr>
                <w:rFonts w:eastAsia="Times New Roman" w:cs="Times New Roman"/>
                <w:b/>
                <w:bCs/>
                <w:kern w:val="0"/>
                <w:sz w:val="18"/>
                <w:szCs w:val="18"/>
                <w:lang w:eastAsia="en-US" w:bidi="ar-SA"/>
              </w:rPr>
              <w:t>0,08</w:t>
            </w:r>
          </w:p>
        </w:tc>
        <w:tc>
          <w:tcPr>
            <w:tcW w:w="992" w:type="dxa"/>
            <w:tcBorders>
              <w:left w:val="nil"/>
              <w:right w:val="nil"/>
            </w:tcBorders>
            <w:shd w:val="clear" w:color="auto" w:fill="auto"/>
            <w:noWrap/>
            <w:vAlign w:val="center"/>
            <w:hideMark/>
          </w:tcPr>
          <w:p w14:paraId="23745236" w14:textId="77777777" w:rsidR="00176C3F" w:rsidRPr="00176C3F" w:rsidRDefault="00176C3F" w:rsidP="00176C3F">
            <w:pPr>
              <w:widowControl/>
              <w:suppressAutoHyphens w:val="0"/>
              <w:jc w:val="center"/>
              <w:rPr>
                <w:rFonts w:eastAsia="Times New Roman" w:cs="Times New Roman"/>
                <w:b/>
                <w:bCs/>
                <w:kern w:val="0"/>
                <w:sz w:val="18"/>
                <w:szCs w:val="18"/>
                <w:lang w:eastAsia="en-US" w:bidi="ar-SA"/>
              </w:rPr>
            </w:pPr>
            <w:r w:rsidRPr="00176C3F">
              <w:rPr>
                <w:rFonts w:eastAsia="Times New Roman" w:cs="Times New Roman"/>
                <w:b/>
                <w:bCs/>
                <w:kern w:val="0"/>
                <w:sz w:val="18"/>
                <w:szCs w:val="18"/>
                <w:lang w:eastAsia="en-US" w:bidi="ar-SA"/>
              </w:rPr>
              <w:t>100%</w:t>
            </w:r>
          </w:p>
        </w:tc>
        <w:tc>
          <w:tcPr>
            <w:tcW w:w="1278" w:type="dxa"/>
            <w:tcBorders>
              <w:left w:val="nil"/>
              <w:right w:val="nil"/>
            </w:tcBorders>
            <w:shd w:val="clear" w:color="auto" w:fill="auto"/>
            <w:noWrap/>
            <w:vAlign w:val="center"/>
            <w:hideMark/>
          </w:tcPr>
          <w:p w14:paraId="4082A43B" w14:textId="77777777" w:rsidR="00176C3F" w:rsidRPr="00176C3F" w:rsidRDefault="00176C3F" w:rsidP="00176C3F">
            <w:pPr>
              <w:widowControl/>
              <w:suppressAutoHyphens w:val="0"/>
              <w:jc w:val="center"/>
              <w:rPr>
                <w:rFonts w:eastAsia="Times New Roman" w:cs="Times New Roman"/>
                <w:b/>
                <w:bCs/>
                <w:kern w:val="0"/>
                <w:sz w:val="18"/>
                <w:szCs w:val="18"/>
                <w:lang w:eastAsia="en-US" w:bidi="ar-SA"/>
              </w:rPr>
            </w:pPr>
            <w:r w:rsidRPr="00176C3F">
              <w:rPr>
                <w:rFonts w:eastAsia="Times New Roman" w:cs="Times New Roman"/>
                <w:b/>
                <w:bCs/>
                <w:kern w:val="0"/>
                <w:sz w:val="18"/>
                <w:szCs w:val="18"/>
                <w:lang w:eastAsia="en-US" w:bidi="ar-SA"/>
              </w:rPr>
              <w:t>0,08</w:t>
            </w:r>
          </w:p>
        </w:tc>
        <w:tc>
          <w:tcPr>
            <w:tcW w:w="1982" w:type="dxa"/>
            <w:tcBorders>
              <w:left w:val="nil"/>
              <w:right w:val="nil"/>
            </w:tcBorders>
            <w:shd w:val="clear" w:color="auto" w:fill="auto"/>
            <w:noWrap/>
            <w:vAlign w:val="bottom"/>
            <w:hideMark/>
          </w:tcPr>
          <w:p w14:paraId="6EE33144" w14:textId="77777777" w:rsidR="00176C3F" w:rsidRPr="00176C3F" w:rsidRDefault="00176C3F" w:rsidP="00176C3F">
            <w:pPr>
              <w:widowControl/>
              <w:suppressAutoHyphens w:val="0"/>
              <w:jc w:val="center"/>
              <w:rPr>
                <w:rFonts w:eastAsia="Times New Roman" w:cs="Times New Roman"/>
                <w:b/>
                <w:bCs/>
                <w:kern w:val="0"/>
                <w:sz w:val="18"/>
                <w:szCs w:val="18"/>
                <w:lang w:eastAsia="en-US" w:bidi="ar-SA"/>
              </w:rPr>
            </w:pPr>
          </w:p>
        </w:tc>
      </w:tr>
      <w:tr w:rsidR="00176C3F" w:rsidRPr="00176C3F" w14:paraId="5B4BA859" w14:textId="77777777" w:rsidTr="009074BB">
        <w:trPr>
          <w:trHeight w:val="300"/>
        </w:trPr>
        <w:tc>
          <w:tcPr>
            <w:tcW w:w="3828" w:type="dxa"/>
            <w:tcBorders>
              <w:top w:val="nil"/>
              <w:left w:val="nil"/>
              <w:bottom w:val="single" w:sz="4" w:space="0" w:color="13B8EF"/>
              <w:right w:val="nil"/>
            </w:tcBorders>
            <w:shd w:val="clear" w:color="auto" w:fill="auto"/>
            <w:noWrap/>
            <w:vAlign w:val="center"/>
            <w:hideMark/>
          </w:tcPr>
          <w:p w14:paraId="3A342E1A" w14:textId="77777777" w:rsidR="00176C3F" w:rsidRPr="00176C3F" w:rsidRDefault="00176C3F" w:rsidP="00CC3C85">
            <w:pPr>
              <w:widowControl/>
              <w:suppressAutoHyphens w:val="0"/>
              <w:rPr>
                <w:rFonts w:eastAsia="Times New Roman" w:cs="Times New Roman"/>
                <w:b/>
                <w:bCs/>
                <w:color w:val="13B5EA"/>
                <w:kern w:val="0"/>
                <w:sz w:val="18"/>
                <w:szCs w:val="18"/>
                <w:lang w:eastAsia="en-US" w:bidi="ar-SA"/>
              </w:rPr>
            </w:pPr>
            <w:r w:rsidRPr="00176C3F">
              <w:rPr>
                <w:rFonts w:eastAsia="Times New Roman" w:cs="Times New Roman"/>
                <w:b/>
                <w:bCs/>
                <w:color w:val="13B5EA"/>
                <w:kern w:val="0"/>
                <w:sz w:val="18"/>
                <w:szCs w:val="18"/>
                <w:lang w:eastAsia="en-US" w:bidi="ar-SA"/>
              </w:rPr>
              <w:t>3. Spolu (1+2)</w:t>
            </w:r>
          </w:p>
        </w:tc>
        <w:tc>
          <w:tcPr>
            <w:tcW w:w="992" w:type="dxa"/>
            <w:tcBorders>
              <w:top w:val="nil"/>
              <w:left w:val="nil"/>
              <w:bottom w:val="single" w:sz="4" w:space="0" w:color="13B8EF"/>
              <w:right w:val="nil"/>
            </w:tcBorders>
            <w:shd w:val="clear" w:color="auto" w:fill="auto"/>
            <w:noWrap/>
            <w:vAlign w:val="center"/>
            <w:hideMark/>
          </w:tcPr>
          <w:p w14:paraId="7ED97FB2" w14:textId="77777777" w:rsidR="00176C3F" w:rsidRPr="00176C3F" w:rsidRDefault="00176C3F" w:rsidP="00176C3F">
            <w:pPr>
              <w:widowControl/>
              <w:suppressAutoHyphens w:val="0"/>
              <w:jc w:val="center"/>
              <w:rPr>
                <w:rFonts w:eastAsia="Times New Roman" w:cs="Times New Roman"/>
                <w:b/>
                <w:bCs/>
                <w:color w:val="13B5EA"/>
                <w:kern w:val="0"/>
                <w:sz w:val="18"/>
                <w:szCs w:val="18"/>
                <w:lang w:eastAsia="en-US" w:bidi="ar-SA"/>
              </w:rPr>
            </w:pPr>
            <w:r w:rsidRPr="00176C3F">
              <w:rPr>
                <w:rFonts w:eastAsia="Times New Roman" w:cs="Times New Roman"/>
                <w:b/>
                <w:bCs/>
                <w:color w:val="13B5EA"/>
                <w:kern w:val="0"/>
                <w:sz w:val="18"/>
                <w:szCs w:val="18"/>
                <w:lang w:eastAsia="en-US" w:bidi="ar-SA"/>
              </w:rPr>
              <w:t>-0,99</w:t>
            </w:r>
          </w:p>
        </w:tc>
        <w:tc>
          <w:tcPr>
            <w:tcW w:w="992" w:type="dxa"/>
            <w:tcBorders>
              <w:top w:val="nil"/>
              <w:left w:val="nil"/>
              <w:bottom w:val="single" w:sz="4" w:space="0" w:color="13B8EF"/>
              <w:right w:val="nil"/>
            </w:tcBorders>
            <w:shd w:val="clear" w:color="auto" w:fill="auto"/>
            <w:noWrap/>
            <w:vAlign w:val="center"/>
            <w:hideMark/>
          </w:tcPr>
          <w:p w14:paraId="7904D136" w14:textId="77777777" w:rsidR="00176C3F" w:rsidRPr="00176C3F" w:rsidRDefault="00176C3F" w:rsidP="00176C3F">
            <w:pPr>
              <w:widowControl/>
              <w:suppressAutoHyphens w:val="0"/>
              <w:jc w:val="center"/>
              <w:rPr>
                <w:rFonts w:eastAsia="Times New Roman" w:cs="Times New Roman"/>
                <w:b/>
                <w:bCs/>
                <w:color w:val="13B5EA"/>
                <w:kern w:val="0"/>
                <w:sz w:val="18"/>
                <w:szCs w:val="18"/>
                <w:lang w:eastAsia="en-US" w:bidi="ar-SA"/>
              </w:rPr>
            </w:pPr>
            <w:r w:rsidRPr="00176C3F">
              <w:rPr>
                <w:rFonts w:eastAsia="Times New Roman" w:cs="Times New Roman"/>
                <w:b/>
                <w:bCs/>
                <w:color w:val="13B5EA"/>
                <w:kern w:val="0"/>
                <w:sz w:val="18"/>
                <w:szCs w:val="18"/>
                <w:lang w:eastAsia="en-US" w:bidi="ar-SA"/>
              </w:rPr>
              <w:t> </w:t>
            </w:r>
          </w:p>
        </w:tc>
        <w:tc>
          <w:tcPr>
            <w:tcW w:w="1278" w:type="dxa"/>
            <w:tcBorders>
              <w:top w:val="nil"/>
              <w:left w:val="nil"/>
              <w:bottom w:val="single" w:sz="4" w:space="0" w:color="13B8EF"/>
              <w:right w:val="nil"/>
            </w:tcBorders>
            <w:shd w:val="clear" w:color="auto" w:fill="auto"/>
            <w:noWrap/>
            <w:vAlign w:val="center"/>
            <w:hideMark/>
          </w:tcPr>
          <w:p w14:paraId="48DB0711" w14:textId="77777777" w:rsidR="00176C3F" w:rsidRPr="00176C3F" w:rsidRDefault="00176C3F" w:rsidP="00176C3F">
            <w:pPr>
              <w:widowControl/>
              <w:suppressAutoHyphens w:val="0"/>
              <w:jc w:val="center"/>
              <w:rPr>
                <w:rFonts w:eastAsia="Times New Roman" w:cs="Times New Roman"/>
                <w:b/>
                <w:bCs/>
                <w:color w:val="13B5EA"/>
                <w:kern w:val="0"/>
                <w:sz w:val="18"/>
                <w:szCs w:val="18"/>
                <w:lang w:eastAsia="en-US" w:bidi="ar-SA"/>
              </w:rPr>
            </w:pPr>
            <w:r w:rsidRPr="00176C3F">
              <w:rPr>
                <w:rFonts w:eastAsia="Times New Roman" w:cs="Times New Roman"/>
                <w:b/>
                <w:bCs/>
                <w:color w:val="13B5EA"/>
                <w:kern w:val="0"/>
                <w:sz w:val="18"/>
                <w:szCs w:val="18"/>
                <w:lang w:eastAsia="en-US" w:bidi="ar-SA"/>
              </w:rPr>
              <w:t>-0,33</w:t>
            </w:r>
          </w:p>
        </w:tc>
        <w:tc>
          <w:tcPr>
            <w:tcW w:w="1982" w:type="dxa"/>
            <w:tcBorders>
              <w:top w:val="nil"/>
              <w:left w:val="nil"/>
              <w:bottom w:val="single" w:sz="4" w:space="0" w:color="13B8EF"/>
              <w:right w:val="nil"/>
            </w:tcBorders>
            <w:shd w:val="clear" w:color="auto" w:fill="auto"/>
            <w:noWrap/>
            <w:vAlign w:val="bottom"/>
            <w:hideMark/>
          </w:tcPr>
          <w:p w14:paraId="15AAFA29" w14:textId="77777777" w:rsidR="00176C3F" w:rsidRPr="00176C3F" w:rsidRDefault="00176C3F" w:rsidP="00176C3F">
            <w:pPr>
              <w:widowControl/>
              <w:suppressAutoHyphens w:val="0"/>
              <w:rPr>
                <w:rFonts w:eastAsia="Times New Roman" w:cs="Times New Roman"/>
                <w:b/>
                <w:bCs/>
                <w:color w:val="13B5EA"/>
                <w:kern w:val="0"/>
                <w:sz w:val="18"/>
                <w:szCs w:val="18"/>
                <w:lang w:eastAsia="en-US" w:bidi="ar-SA"/>
              </w:rPr>
            </w:pPr>
            <w:r w:rsidRPr="00176C3F">
              <w:rPr>
                <w:rFonts w:eastAsia="Times New Roman" w:cs="Times New Roman"/>
                <w:b/>
                <w:bCs/>
                <w:color w:val="13B5EA"/>
                <w:kern w:val="0"/>
                <w:sz w:val="18"/>
                <w:szCs w:val="18"/>
                <w:lang w:eastAsia="en-US" w:bidi="ar-SA"/>
              </w:rPr>
              <w:t> </w:t>
            </w:r>
          </w:p>
        </w:tc>
      </w:tr>
      <w:tr w:rsidR="00176C3F" w:rsidRPr="00176C3F" w14:paraId="4B0FF3C2" w14:textId="77777777" w:rsidTr="009074BB">
        <w:trPr>
          <w:trHeight w:val="300"/>
        </w:trPr>
        <w:tc>
          <w:tcPr>
            <w:tcW w:w="5812" w:type="dxa"/>
            <w:gridSpan w:val="3"/>
            <w:tcBorders>
              <w:top w:val="single" w:sz="4" w:space="0" w:color="13B8EF"/>
              <w:left w:val="nil"/>
              <w:bottom w:val="nil"/>
              <w:right w:val="nil"/>
            </w:tcBorders>
            <w:shd w:val="clear" w:color="auto" w:fill="auto"/>
            <w:noWrap/>
            <w:vAlign w:val="center"/>
            <w:hideMark/>
          </w:tcPr>
          <w:p w14:paraId="008633AE" w14:textId="77777777" w:rsidR="00176C3F" w:rsidRPr="00176C3F" w:rsidRDefault="00176C3F" w:rsidP="00176C3F">
            <w:pPr>
              <w:widowControl/>
              <w:suppressAutoHyphens w:val="0"/>
              <w:rPr>
                <w:rFonts w:eastAsia="Times New Roman" w:cs="Times New Roman"/>
                <w:i/>
                <w:iCs/>
                <w:color w:val="13B5EA"/>
                <w:kern w:val="0"/>
                <w:sz w:val="16"/>
                <w:szCs w:val="16"/>
                <w:lang w:eastAsia="en-US" w:bidi="ar-SA"/>
              </w:rPr>
            </w:pPr>
            <w:r w:rsidRPr="00176C3F">
              <w:rPr>
                <w:rFonts w:eastAsia="Times New Roman" w:cs="Times New Roman"/>
                <w:i/>
                <w:iCs/>
                <w:color w:val="13B5EA"/>
                <w:kern w:val="0"/>
                <w:sz w:val="16"/>
                <w:szCs w:val="16"/>
                <w:lang w:eastAsia="en-US" w:bidi="ar-SA"/>
              </w:rPr>
              <w:t>Pozn.: (+) zhoršuje a (-) zlepšuje ukazovateľ dlhodobej udržateľnosti (UDU)</w:t>
            </w:r>
          </w:p>
        </w:tc>
        <w:tc>
          <w:tcPr>
            <w:tcW w:w="1278" w:type="dxa"/>
            <w:tcBorders>
              <w:top w:val="single" w:sz="4" w:space="0" w:color="13B8EF"/>
              <w:left w:val="nil"/>
              <w:bottom w:val="nil"/>
              <w:right w:val="nil"/>
            </w:tcBorders>
            <w:shd w:val="clear" w:color="auto" w:fill="auto"/>
            <w:noWrap/>
            <w:vAlign w:val="bottom"/>
            <w:hideMark/>
          </w:tcPr>
          <w:p w14:paraId="3779496B" w14:textId="77777777" w:rsidR="00176C3F" w:rsidRPr="00176C3F" w:rsidRDefault="00176C3F" w:rsidP="00176C3F">
            <w:pPr>
              <w:widowControl/>
              <w:suppressAutoHyphens w:val="0"/>
              <w:rPr>
                <w:rFonts w:eastAsia="Times New Roman" w:cs="Times New Roman"/>
                <w:i/>
                <w:iCs/>
                <w:color w:val="13B5EA"/>
                <w:kern w:val="0"/>
                <w:sz w:val="16"/>
                <w:szCs w:val="16"/>
                <w:lang w:eastAsia="en-US" w:bidi="ar-SA"/>
              </w:rPr>
            </w:pPr>
          </w:p>
        </w:tc>
        <w:tc>
          <w:tcPr>
            <w:tcW w:w="1982" w:type="dxa"/>
            <w:tcBorders>
              <w:top w:val="single" w:sz="4" w:space="0" w:color="13B8EF"/>
              <w:left w:val="nil"/>
              <w:bottom w:val="nil"/>
              <w:right w:val="nil"/>
            </w:tcBorders>
            <w:shd w:val="clear" w:color="auto" w:fill="auto"/>
            <w:noWrap/>
            <w:vAlign w:val="center"/>
            <w:hideMark/>
          </w:tcPr>
          <w:p w14:paraId="430251FB" w14:textId="77777777" w:rsidR="00176C3F" w:rsidRPr="00176C3F" w:rsidRDefault="00176C3F" w:rsidP="00176C3F">
            <w:pPr>
              <w:widowControl/>
              <w:suppressAutoHyphens w:val="0"/>
              <w:jc w:val="right"/>
              <w:rPr>
                <w:rFonts w:eastAsia="Times New Roman" w:cs="Times New Roman"/>
                <w:i/>
                <w:iCs/>
                <w:color w:val="13B5EA"/>
                <w:kern w:val="0"/>
                <w:sz w:val="16"/>
                <w:szCs w:val="16"/>
                <w:lang w:eastAsia="en-US" w:bidi="ar-SA"/>
              </w:rPr>
            </w:pPr>
            <w:r w:rsidRPr="00176C3F">
              <w:rPr>
                <w:rFonts w:eastAsia="Times New Roman" w:cs="Times New Roman"/>
                <w:i/>
                <w:iCs/>
                <w:color w:val="13B5EA"/>
                <w:kern w:val="0"/>
                <w:sz w:val="16"/>
                <w:szCs w:val="16"/>
                <w:lang w:eastAsia="en-US" w:bidi="ar-SA"/>
              </w:rPr>
              <w:t>Zdroj: RRZ</w:t>
            </w:r>
          </w:p>
        </w:tc>
      </w:tr>
    </w:tbl>
    <w:p w14:paraId="5B77E48B" w14:textId="77777777" w:rsidR="00176C3F" w:rsidRDefault="00176C3F" w:rsidP="000833C6">
      <w:pPr>
        <w:jc w:val="both"/>
        <w:rPr>
          <w:b/>
          <w:bCs/>
          <w:sz w:val="22"/>
          <w:szCs w:val="22"/>
        </w:rPr>
      </w:pPr>
    </w:p>
    <w:p w14:paraId="2FA86366" w14:textId="77777777" w:rsidR="00022F1F" w:rsidRDefault="00022F1F" w:rsidP="000833C6">
      <w:pPr>
        <w:jc w:val="both"/>
        <w:rPr>
          <w:b/>
          <w:bCs/>
          <w:sz w:val="22"/>
          <w:szCs w:val="22"/>
        </w:rPr>
      </w:pPr>
    </w:p>
    <w:p w14:paraId="6BBC2DB1" w14:textId="0B4D4A89" w:rsidR="000833C6" w:rsidRDefault="000833C6" w:rsidP="000833C6">
      <w:pPr>
        <w:jc w:val="both"/>
      </w:pPr>
      <w:r>
        <w:rPr>
          <w:b/>
          <w:bCs/>
          <w:sz w:val="22"/>
          <w:szCs w:val="22"/>
        </w:rPr>
        <w:lastRenderedPageBreak/>
        <w:t xml:space="preserve">Po zohľadnení všetkých troch relevantných faktorov, plánovaný štrukturálny deficit, na základe ktorého sa vypočíta limit verejných výdavkov, je v roku 2023 na </w:t>
      </w:r>
      <w:r w:rsidRPr="00320F70">
        <w:rPr>
          <w:b/>
          <w:bCs/>
          <w:sz w:val="22"/>
          <w:szCs w:val="22"/>
        </w:rPr>
        <w:t xml:space="preserve">úrovni </w:t>
      </w:r>
      <w:r w:rsidRPr="00114DEE">
        <w:rPr>
          <w:b/>
          <w:sz w:val="22"/>
          <w:szCs w:val="22"/>
        </w:rPr>
        <w:t>3,</w:t>
      </w:r>
      <w:r w:rsidR="00320F70" w:rsidRPr="00114DEE">
        <w:rPr>
          <w:b/>
          <w:bCs/>
          <w:sz w:val="22"/>
          <w:szCs w:val="22"/>
        </w:rPr>
        <w:t>4</w:t>
      </w:r>
      <w:r w:rsidRPr="00320F70">
        <w:rPr>
          <w:b/>
          <w:bCs/>
          <w:sz w:val="22"/>
          <w:szCs w:val="22"/>
        </w:rPr>
        <w:t xml:space="preserve"> % HDP a v roku 2024 na úrovni </w:t>
      </w:r>
      <w:r w:rsidRPr="00114DEE">
        <w:rPr>
          <w:b/>
          <w:sz w:val="22"/>
          <w:szCs w:val="22"/>
        </w:rPr>
        <w:t>3,</w:t>
      </w:r>
      <w:r w:rsidR="00320F70" w:rsidRPr="00114DEE">
        <w:rPr>
          <w:b/>
          <w:bCs/>
          <w:sz w:val="22"/>
          <w:szCs w:val="22"/>
        </w:rPr>
        <w:t>6</w:t>
      </w:r>
      <w:r w:rsidRPr="00320F70">
        <w:rPr>
          <w:b/>
          <w:bCs/>
          <w:sz w:val="22"/>
          <w:szCs w:val="22"/>
        </w:rPr>
        <w:t xml:space="preserve"> % HDP a v roku 2025 na úrovni </w:t>
      </w:r>
      <w:r w:rsidR="00320F70" w:rsidRPr="00114DEE">
        <w:rPr>
          <w:b/>
          <w:sz w:val="22"/>
          <w:szCs w:val="22"/>
        </w:rPr>
        <w:t>3,</w:t>
      </w:r>
      <w:r w:rsidR="00320F70" w:rsidRPr="00114DEE">
        <w:rPr>
          <w:b/>
          <w:bCs/>
          <w:sz w:val="22"/>
          <w:szCs w:val="22"/>
        </w:rPr>
        <w:t>1</w:t>
      </w:r>
      <w:r w:rsidRPr="00320F70">
        <w:rPr>
          <w:b/>
          <w:bCs/>
          <w:sz w:val="22"/>
          <w:szCs w:val="22"/>
        </w:rPr>
        <w:t xml:space="preserve"> % HDP.</w:t>
      </w:r>
      <w:r w:rsidRPr="00320F70">
        <w:rPr>
          <w:sz w:val="22"/>
          <w:szCs w:val="22"/>
        </w:rPr>
        <w:t xml:space="preserve"> Tým by s</w:t>
      </w:r>
      <w:r>
        <w:rPr>
          <w:sz w:val="22"/>
          <w:szCs w:val="22"/>
        </w:rPr>
        <w:t>a pri aktuálnych ekonomických predpokladoch zabezpečilo zlepšenie ukazovateľa dlhodobej udržateľnosti v porovnaní s východiskovým stavom celkovo o </w:t>
      </w:r>
      <w:r w:rsidRPr="00F06D45">
        <w:rPr>
          <w:sz w:val="22"/>
          <w:szCs w:val="22"/>
        </w:rPr>
        <w:t>1,</w:t>
      </w:r>
      <w:r w:rsidR="00320F70">
        <w:rPr>
          <w:sz w:val="22"/>
          <w:szCs w:val="22"/>
        </w:rPr>
        <w:t>2</w:t>
      </w:r>
      <w:r>
        <w:rPr>
          <w:sz w:val="22"/>
          <w:szCs w:val="22"/>
        </w:rPr>
        <w:t xml:space="preserve"> % HDP počas rokov 2023 až 2025.</w:t>
      </w:r>
    </w:p>
    <w:p w14:paraId="75C1F83D" w14:textId="77777777" w:rsidR="000833C6" w:rsidRDefault="000833C6" w:rsidP="000833C6">
      <w:pPr>
        <w:rPr>
          <w:sz w:val="22"/>
          <w:szCs w:val="22"/>
        </w:rPr>
      </w:pPr>
    </w:p>
    <w:tbl>
      <w:tblPr>
        <w:tblW w:w="9214" w:type="dxa"/>
        <w:tblLayout w:type="fixed"/>
        <w:tblCellMar>
          <w:left w:w="10" w:type="dxa"/>
          <w:right w:w="10" w:type="dxa"/>
        </w:tblCellMar>
        <w:tblLook w:val="0000" w:firstRow="0" w:lastRow="0" w:firstColumn="0" w:lastColumn="0" w:noHBand="0" w:noVBand="0"/>
      </w:tblPr>
      <w:tblGrid>
        <w:gridCol w:w="4962"/>
        <w:gridCol w:w="1417"/>
        <w:gridCol w:w="1417"/>
        <w:gridCol w:w="1418"/>
      </w:tblGrid>
      <w:tr w:rsidR="000833C6" w14:paraId="68DF5BC6" w14:textId="77777777" w:rsidTr="00055CDA">
        <w:trPr>
          <w:trHeight w:val="300"/>
        </w:trPr>
        <w:tc>
          <w:tcPr>
            <w:tcW w:w="9214" w:type="dxa"/>
            <w:gridSpan w:val="4"/>
            <w:shd w:val="clear" w:color="auto" w:fill="auto"/>
            <w:vAlign w:val="center"/>
          </w:tcPr>
          <w:p w14:paraId="2D5D219D" w14:textId="6876499E" w:rsidR="000833C6" w:rsidRDefault="000833C6" w:rsidP="00055CDA">
            <w:r w:rsidRPr="00685BF1">
              <w:rPr>
                <w:rFonts w:cs="Calibri"/>
                <w:b/>
                <w:bCs/>
                <w:color w:val="13B5EA"/>
                <w:sz w:val="20"/>
                <w:szCs w:val="20"/>
                <w:lang w:eastAsia="en-US"/>
              </w:rPr>
              <w:t xml:space="preserve">Tab </w:t>
            </w:r>
            <w:r w:rsidR="00CC3C85">
              <w:rPr>
                <w:rFonts w:cs="Calibri"/>
                <w:b/>
                <w:bCs/>
                <w:color w:val="13B5EA"/>
                <w:sz w:val="20"/>
                <w:szCs w:val="20"/>
                <w:lang w:eastAsia="en-US"/>
              </w:rPr>
              <w:t>6</w:t>
            </w:r>
            <w:r w:rsidRPr="00685BF1">
              <w:rPr>
                <w:rFonts w:cs="Calibri"/>
                <w:b/>
                <w:bCs/>
                <w:color w:val="13B5EA"/>
                <w:sz w:val="20"/>
                <w:szCs w:val="20"/>
                <w:lang w:eastAsia="en-US"/>
              </w:rPr>
              <w:t>: Výpočet plánovaného štrukturálneho salda (% HDP)</w:t>
            </w:r>
          </w:p>
        </w:tc>
      </w:tr>
      <w:tr w:rsidR="000833C6" w14:paraId="40270C00" w14:textId="77777777" w:rsidTr="00055CDA">
        <w:trPr>
          <w:trHeight w:val="300"/>
        </w:trPr>
        <w:tc>
          <w:tcPr>
            <w:tcW w:w="4962" w:type="dxa"/>
            <w:shd w:val="clear" w:color="auto" w:fill="13B5EA"/>
            <w:noWrap/>
            <w:tcMar>
              <w:top w:w="0" w:type="dxa"/>
              <w:left w:w="108" w:type="dxa"/>
              <w:bottom w:w="0" w:type="dxa"/>
              <w:right w:w="108" w:type="dxa"/>
            </w:tcMar>
            <w:vAlign w:val="center"/>
          </w:tcPr>
          <w:p w14:paraId="5BD0AFAB" w14:textId="77777777" w:rsidR="000833C6" w:rsidRPr="00320F70" w:rsidRDefault="000833C6" w:rsidP="00055CDA">
            <w:pPr>
              <w:jc w:val="center"/>
              <w:rPr>
                <w:rFonts w:cs="Times New Roman"/>
                <w:b/>
                <w:bCs/>
                <w:color w:val="FFFFFF"/>
                <w:sz w:val="18"/>
                <w:szCs w:val="18"/>
                <w:lang w:eastAsia="en-US"/>
              </w:rPr>
            </w:pPr>
            <w:r w:rsidRPr="00320F70">
              <w:rPr>
                <w:rFonts w:cs="Times New Roman"/>
                <w:b/>
                <w:bCs/>
                <w:color w:val="FFFFFF"/>
                <w:sz w:val="18"/>
                <w:szCs w:val="18"/>
                <w:lang w:eastAsia="en-US"/>
              </w:rPr>
              <w:t> </w:t>
            </w:r>
          </w:p>
        </w:tc>
        <w:tc>
          <w:tcPr>
            <w:tcW w:w="1417" w:type="dxa"/>
            <w:shd w:val="clear" w:color="auto" w:fill="13B5EA"/>
            <w:vAlign w:val="center"/>
          </w:tcPr>
          <w:p w14:paraId="6FF00CCF" w14:textId="77777777" w:rsidR="000833C6" w:rsidRPr="00320F70" w:rsidRDefault="000833C6" w:rsidP="00055CDA">
            <w:pPr>
              <w:jc w:val="center"/>
              <w:rPr>
                <w:rFonts w:cs="Times New Roman"/>
                <w:b/>
                <w:bCs/>
                <w:color w:val="FFFFFF"/>
                <w:sz w:val="18"/>
                <w:szCs w:val="18"/>
                <w:lang w:eastAsia="en-US"/>
              </w:rPr>
            </w:pPr>
            <w:r w:rsidRPr="00320F70">
              <w:rPr>
                <w:rFonts w:cs="Times New Roman"/>
                <w:b/>
                <w:bCs/>
                <w:color w:val="FFFFFF"/>
                <w:sz w:val="18"/>
                <w:szCs w:val="18"/>
                <w:lang w:eastAsia="en-US"/>
              </w:rPr>
              <w:t>2023</w:t>
            </w:r>
          </w:p>
        </w:tc>
        <w:tc>
          <w:tcPr>
            <w:tcW w:w="1417" w:type="dxa"/>
            <w:shd w:val="clear" w:color="auto" w:fill="13B5EA"/>
            <w:noWrap/>
            <w:tcMar>
              <w:top w:w="0" w:type="dxa"/>
              <w:left w:w="108" w:type="dxa"/>
              <w:bottom w:w="0" w:type="dxa"/>
              <w:right w:w="108" w:type="dxa"/>
            </w:tcMar>
            <w:vAlign w:val="center"/>
          </w:tcPr>
          <w:p w14:paraId="67284B4C" w14:textId="77777777" w:rsidR="000833C6" w:rsidRPr="00320F70" w:rsidRDefault="000833C6" w:rsidP="00055CDA">
            <w:pPr>
              <w:jc w:val="center"/>
              <w:rPr>
                <w:rFonts w:cs="Times New Roman"/>
                <w:b/>
                <w:bCs/>
                <w:color w:val="FFFFFF"/>
                <w:sz w:val="18"/>
                <w:szCs w:val="18"/>
                <w:lang w:eastAsia="en-US"/>
              </w:rPr>
            </w:pPr>
            <w:r w:rsidRPr="00320F70">
              <w:rPr>
                <w:rFonts w:cs="Times New Roman"/>
                <w:b/>
                <w:bCs/>
                <w:color w:val="FFFFFF"/>
                <w:sz w:val="18"/>
                <w:szCs w:val="18"/>
                <w:lang w:eastAsia="en-US"/>
              </w:rPr>
              <w:t>2024</w:t>
            </w:r>
          </w:p>
        </w:tc>
        <w:tc>
          <w:tcPr>
            <w:tcW w:w="1418" w:type="dxa"/>
            <w:shd w:val="clear" w:color="auto" w:fill="13B5EA"/>
            <w:noWrap/>
            <w:tcMar>
              <w:top w:w="0" w:type="dxa"/>
              <w:left w:w="108" w:type="dxa"/>
              <w:bottom w:w="0" w:type="dxa"/>
              <w:right w:w="108" w:type="dxa"/>
            </w:tcMar>
            <w:vAlign w:val="center"/>
          </w:tcPr>
          <w:p w14:paraId="0FDD843F" w14:textId="77777777" w:rsidR="000833C6" w:rsidRPr="00320F70" w:rsidRDefault="000833C6" w:rsidP="00055CDA">
            <w:pPr>
              <w:jc w:val="center"/>
              <w:rPr>
                <w:rFonts w:cs="Times New Roman"/>
                <w:b/>
                <w:bCs/>
                <w:color w:val="FFFFFF"/>
                <w:sz w:val="18"/>
                <w:szCs w:val="18"/>
                <w:lang w:eastAsia="en-US"/>
              </w:rPr>
            </w:pPr>
            <w:r w:rsidRPr="00320F70">
              <w:rPr>
                <w:rFonts w:cs="Times New Roman"/>
                <w:b/>
                <w:bCs/>
                <w:color w:val="FFFFFF"/>
                <w:sz w:val="18"/>
                <w:szCs w:val="18"/>
                <w:lang w:eastAsia="en-US"/>
              </w:rPr>
              <w:t>2025</w:t>
            </w:r>
          </w:p>
        </w:tc>
      </w:tr>
      <w:tr w:rsidR="00320F70" w14:paraId="79C18F7B" w14:textId="77777777" w:rsidTr="00564D82">
        <w:trPr>
          <w:trHeight w:val="283"/>
        </w:trPr>
        <w:tc>
          <w:tcPr>
            <w:tcW w:w="4962" w:type="dxa"/>
            <w:shd w:val="clear" w:color="auto" w:fill="auto"/>
            <w:noWrap/>
            <w:tcMar>
              <w:top w:w="0" w:type="dxa"/>
              <w:left w:w="108" w:type="dxa"/>
              <w:bottom w:w="0" w:type="dxa"/>
              <w:right w:w="108" w:type="dxa"/>
            </w:tcMar>
            <w:vAlign w:val="center"/>
          </w:tcPr>
          <w:p w14:paraId="35042ECC" w14:textId="77777777" w:rsidR="00320F70" w:rsidRPr="00320F70" w:rsidRDefault="00320F70" w:rsidP="00320F70">
            <w:pPr>
              <w:rPr>
                <w:rFonts w:cs="Times New Roman"/>
                <w:color w:val="000000"/>
                <w:sz w:val="18"/>
                <w:szCs w:val="18"/>
                <w:lang w:eastAsia="en-US"/>
              </w:rPr>
            </w:pPr>
            <w:r w:rsidRPr="00320F70">
              <w:rPr>
                <w:rFonts w:cs="Times New Roman"/>
                <w:color w:val="000000"/>
                <w:sz w:val="18"/>
                <w:szCs w:val="18"/>
                <w:lang w:eastAsia="en-US"/>
              </w:rPr>
              <w:t>1. Riziko udržateľnosti</w:t>
            </w:r>
          </w:p>
        </w:tc>
        <w:tc>
          <w:tcPr>
            <w:tcW w:w="1417" w:type="dxa"/>
            <w:shd w:val="clear" w:color="auto" w:fill="auto"/>
            <w:vAlign w:val="center"/>
          </w:tcPr>
          <w:p w14:paraId="7C8416EE" w14:textId="4B932E6C"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vysoké</w:t>
            </w:r>
          </w:p>
        </w:tc>
        <w:tc>
          <w:tcPr>
            <w:tcW w:w="1417" w:type="dxa"/>
            <w:shd w:val="clear" w:color="auto" w:fill="auto"/>
            <w:noWrap/>
            <w:tcMar>
              <w:top w:w="0" w:type="dxa"/>
              <w:left w:w="108" w:type="dxa"/>
              <w:bottom w:w="0" w:type="dxa"/>
              <w:right w:w="108" w:type="dxa"/>
            </w:tcMar>
            <w:vAlign w:val="bottom"/>
          </w:tcPr>
          <w:p w14:paraId="7270ABF5" w14:textId="6868CE5B"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stredné</w:t>
            </w:r>
          </w:p>
        </w:tc>
        <w:tc>
          <w:tcPr>
            <w:tcW w:w="1418" w:type="dxa"/>
            <w:shd w:val="clear" w:color="auto" w:fill="auto"/>
            <w:noWrap/>
            <w:tcMar>
              <w:top w:w="0" w:type="dxa"/>
              <w:left w:w="108" w:type="dxa"/>
              <w:bottom w:w="0" w:type="dxa"/>
              <w:right w:w="108" w:type="dxa"/>
            </w:tcMar>
            <w:vAlign w:val="bottom"/>
          </w:tcPr>
          <w:p w14:paraId="6781CDD0" w14:textId="17C17332"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stredné</w:t>
            </w:r>
          </w:p>
        </w:tc>
      </w:tr>
      <w:tr w:rsidR="00320F70" w14:paraId="40FFD56F" w14:textId="77777777" w:rsidTr="00564D82">
        <w:trPr>
          <w:trHeight w:val="283"/>
        </w:trPr>
        <w:tc>
          <w:tcPr>
            <w:tcW w:w="4962" w:type="dxa"/>
            <w:shd w:val="clear" w:color="auto" w:fill="auto"/>
            <w:noWrap/>
            <w:tcMar>
              <w:top w:w="0" w:type="dxa"/>
              <w:left w:w="108" w:type="dxa"/>
              <w:bottom w:w="0" w:type="dxa"/>
              <w:right w:w="108" w:type="dxa"/>
            </w:tcMar>
            <w:vAlign w:val="center"/>
          </w:tcPr>
          <w:p w14:paraId="11AA699B" w14:textId="77777777" w:rsidR="00320F70" w:rsidRPr="00320F70" w:rsidRDefault="00320F70" w:rsidP="00320F70">
            <w:pPr>
              <w:rPr>
                <w:rFonts w:cs="Times New Roman"/>
                <w:color w:val="000000"/>
                <w:sz w:val="18"/>
                <w:szCs w:val="18"/>
                <w:lang w:eastAsia="en-US"/>
              </w:rPr>
            </w:pPr>
            <w:r w:rsidRPr="00320F70">
              <w:rPr>
                <w:rFonts w:cs="Times New Roman"/>
                <w:color w:val="000000"/>
                <w:sz w:val="18"/>
                <w:szCs w:val="18"/>
                <w:lang w:eastAsia="en-US"/>
              </w:rPr>
              <w:t xml:space="preserve"> - zmena štrukturálneho salda voči základnému scenáru (medziročne)</w:t>
            </w:r>
          </w:p>
        </w:tc>
        <w:tc>
          <w:tcPr>
            <w:tcW w:w="1417" w:type="dxa"/>
            <w:shd w:val="clear" w:color="auto" w:fill="auto"/>
            <w:vAlign w:val="center"/>
          </w:tcPr>
          <w:p w14:paraId="51A225F7" w14:textId="736CFB7C"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0,5</w:t>
            </w:r>
          </w:p>
        </w:tc>
        <w:tc>
          <w:tcPr>
            <w:tcW w:w="1417" w:type="dxa"/>
            <w:shd w:val="clear" w:color="auto" w:fill="auto"/>
            <w:noWrap/>
            <w:tcMar>
              <w:top w:w="0" w:type="dxa"/>
              <w:left w:w="108" w:type="dxa"/>
              <w:bottom w:w="0" w:type="dxa"/>
              <w:right w:w="108" w:type="dxa"/>
            </w:tcMar>
            <w:vAlign w:val="bottom"/>
          </w:tcPr>
          <w:p w14:paraId="54975995" w14:textId="36F8B856"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0,5</w:t>
            </w:r>
          </w:p>
        </w:tc>
        <w:tc>
          <w:tcPr>
            <w:tcW w:w="1418" w:type="dxa"/>
            <w:shd w:val="clear" w:color="auto" w:fill="auto"/>
            <w:noWrap/>
            <w:tcMar>
              <w:top w:w="0" w:type="dxa"/>
              <w:left w:w="108" w:type="dxa"/>
              <w:bottom w:w="0" w:type="dxa"/>
              <w:right w:w="108" w:type="dxa"/>
            </w:tcMar>
            <w:vAlign w:val="bottom"/>
          </w:tcPr>
          <w:p w14:paraId="4D5495B3" w14:textId="7EC4917B"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0,5</w:t>
            </w:r>
          </w:p>
        </w:tc>
      </w:tr>
      <w:tr w:rsidR="00320F70" w14:paraId="4098F914" w14:textId="77777777" w:rsidTr="00564D82">
        <w:trPr>
          <w:trHeight w:val="283"/>
        </w:trPr>
        <w:tc>
          <w:tcPr>
            <w:tcW w:w="4962" w:type="dxa"/>
            <w:shd w:val="clear" w:color="auto" w:fill="auto"/>
            <w:noWrap/>
            <w:tcMar>
              <w:top w:w="0" w:type="dxa"/>
              <w:left w:w="108" w:type="dxa"/>
              <w:bottom w:w="0" w:type="dxa"/>
              <w:right w:w="108" w:type="dxa"/>
            </w:tcMar>
            <w:vAlign w:val="center"/>
          </w:tcPr>
          <w:p w14:paraId="31ABE242" w14:textId="77777777" w:rsidR="00320F70" w:rsidRPr="00320F70" w:rsidRDefault="00320F70" w:rsidP="00320F70">
            <w:pPr>
              <w:rPr>
                <w:rFonts w:cs="Times New Roman"/>
                <w:color w:val="000000"/>
                <w:sz w:val="18"/>
                <w:szCs w:val="18"/>
                <w:lang w:eastAsia="en-US"/>
              </w:rPr>
            </w:pPr>
            <w:r w:rsidRPr="00320F70">
              <w:rPr>
                <w:rFonts w:cs="Times New Roman"/>
                <w:color w:val="000000"/>
                <w:sz w:val="18"/>
                <w:szCs w:val="18"/>
                <w:lang w:eastAsia="en-US"/>
              </w:rPr>
              <w:t>2. Sankcie dlhovej brzdy (hrubý dlh za rok t-2)</w:t>
            </w:r>
          </w:p>
        </w:tc>
        <w:tc>
          <w:tcPr>
            <w:tcW w:w="1417" w:type="dxa"/>
            <w:shd w:val="clear" w:color="auto" w:fill="auto"/>
            <w:vAlign w:val="bottom"/>
          </w:tcPr>
          <w:p w14:paraId="2A13DD23" w14:textId="76B540C2" w:rsidR="00320F70" w:rsidRPr="00320F70" w:rsidRDefault="00320F70" w:rsidP="00320F70">
            <w:pPr>
              <w:jc w:val="center"/>
              <w:rPr>
                <w:rFonts w:cs="Times New Roman"/>
                <w:color w:val="000000"/>
                <w:sz w:val="18"/>
                <w:szCs w:val="18"/>
                <w:lang w:eastAsia="en-US"/>
              </w:rPr>
            </w:pPr>
            <w:r w:rsidRPr="00114DEE">
              <w:rPr>
                <w:rFonts w:cs="Times New Roman"/>
                <w:sz w:val="18"/>
                <w:szCs w:val="18"/>
              </w:rPr>
              <w:t>2. sankčné pásmo</w:t>
            </w:r>
            <w:r w:rsidRPr="00320F70">
              <w:rPr>
                <w:rFonts w:cs="Times New Roman"/>
                <w:i/>
                <w:iCs/>
                <w:color w:val="13B5EA"/>
                <w:sz w:val="16"/>
                <w:szCs w:val="16"/>
                <w:lang w:eastAsia="en-US"/>
              </w:rPr>
              <w:t>*</w:t>
            </w:r>
          </w:p>
        </w:tc>
        <w:tc>
          <w:tcPr>
            <w:tcW w:w="1417" w:type="dxa"/>
            <w:shd w:val="clear" w:color="auto" w:fill="auto"/>
            <w:noWrap/>
            <w:tcMar>
              <w:top w:w="0" w:type="dxa"/>
              <w:left w:w="108" w:type="dxa"/>
              <w:bottom w:w="0" w:type="dxa"/>
              <w:right w:w="108" w:type="dxa"/>
            </w:tcMar>
            <w:vAlign w:val="bottom"/>
          </w:tcPr>
          <w:p w14:paraId="5717556A" w14:textId="22824305" w:rsidR="00320F70" w:rsidRPr="00320F70" w:rsidRDefault="00320F70" w:rsidP="00320F70">
            <w:pPr>
              <w:jc w:val="center"/>
              <w:rPr>
                <w:rFonts w:cs="Times New Roman"/>
              </w:rPr>
            </w:pPr>
            <w:r w:rsidRPr="00114DEE" w:rsidDel="009B06A8">
              <w:rPr>
                <w:rFonts w:cs="Times New Roman"/>
                <w:sz w:val="18"/>
                <w:szCs w:val="18"/>
              </w:rPr>
              <w:t>-</w:t>
            </w:r>
          </w:p>
        </w:tc>
        <w:tc>
          <w:tcPr>
            <w:tcW w:w="1418" w:type="dxa"/>
            <w:shd w:val="clear" w:color="auto" w:fill="auto"/>
            <w:noWrap/>
            <w:tcMar>
              <w:top w:w="0" w:type="dxa"/>
              <w:left w:w="108" w:type="dxa"/>
              <w:bottom w:w="0" w:type="dxa"/>
              <w:right w:w="108" w:type="dxa"/>
            </w:tcMar>
            <w:vAlign w:val="bottom"/>
          </w:tcPr>
          <w:p w14:paraId="3534AB36" w14:textId="7A51EA0F"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w:t>
            </w:r>
          </w:p>
        </w:tc>
      </w:tr>
      <w:tr w:rsidR="00320F70" w14:paraId="3B0A9283" w14:textId="77777777" w:rsidTr="00564D82">
        <w:trPr>
          <w:trHeight w:val="283"/>
        </w:trPr>
        <w:tc>
          <w:tcPr>
            <w:tcW w:w="4962" w:type="dxa"/>
            <w:shd w:val="clear" w:color="auto" w:fill="auto"/>
            <w:noWrap/>
            <w:tcMar>
              <w:top w:w="0" w:type="dxa"/>
              <w:left w:w="108" w:type="dxa"/>
              <w:bottom w:w="0" w:type="dxa"/>
              <w:right w:w="108" w:type="dxa"/>
            </w:tcMar>
            <w:vAlign w:val="center"/>
          </w:tcPr>
          <w:p w14:paraId="47985286" w14:textId="77777777" w:rsidR="00320F70" w:rsidRPr="00320F70" w:rsidRDefault="00320F70" w:rsidP="00320F70">
            <w:pPr>
              <w:rPr>
                <w:rFonts w:cs="Times New Roman"/>
                <w:color w:val="000000"/>
                <w:sz w:val="18"/>
                <w:szCs w:val="18"/>
                <w:lang w:eastAsia="en-US"/>
              </w:rPr>
            </w:pPr>
            <w:r w:rsidRPr="00320F70">
              <w:rPr>
                <w:rFonts w:cs="Times New Roman"/>
                <w:color w:val="000000"/>
                <w:sz w:val="18"/>
                <w:szCs w:val="18"/>
                <w:lang w:eastAsia="en-US"/>
              </w:rPr>
              <w:t xml:space="preserve"> - požiadavka na zmenu štrukturálneho salda</w:t>
            </w:r>
          </w:p>
        </w:tc>
        <w:tc>
          <w:tcPr>
            <w:tcW w:w="1417" w:type="dxa"/>
            <w:shd w:val="clear" w:color="auto" w:fill="auto"/>
            <w:vAlign w:val="center"/>
          </w:tcPr>
          <w:p w14:paraId="39A2CBDA" w14:textId="338D3A16"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0,0</w:t>
            </w:r>
          </w:p>
        </w:tc>
        <w:tc>
          <w:tcPr>
            <w:tcW w:w="1417" w:type="dxa"/>
            <w:shd w:val="clear" w:color="auto" w:fill="auto"/>
            <w:noWrap/>
            <w:tcMar>
              <w:top w:w="0" w:type="dxa"/>
              <w:left w:w="108" w:type="dxa"/>
              <w:bottom w:w="0" w:type="dxa"/>
              <w:right w:w="108" w:type="dxa"/>
            </w:tcMar>
            <w:vAlign w:val="center"/>
          </w:tcPr>
          <w:p w14:paraId="357336A0" w14:textId="4BFA228D"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0,0</w:t>
            </w:r>
          </w:p>
        </w:tc>
        <w:tc>
          <w:tcPr>
            <w:tcW w:w="1418" w:type="dxa"/>
            <w:shd w:val="clear" w:color="auto" w:fill="auto"/>
            <w:noWrap/>
            <w:tcMar>
              <w:top w:w="0" w:type="dxa"/>
              <w:left w:w="108" w:type="dxa"/>
              <w:bottom w:w="0" w:type="dxa"/>
              <w:right w:w="108" w:type="dxa"/>
            </w:tcMar>
            <w:vAlign w:val="center"/>
          </w:tcPr>
          <w:p w14:paraId="20035618" w14:textId="560C5CC7"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0,0</w:t>
            </w:r>
          </w:p>
        </w:tc>
      </w:tr>
      <w:tr w:rsidR="00320F70" w14:paraId="47ED9FE9" w14:textId="77777777" w:rsidTr="00564D82">
        <w:trPr>
          <w:trHeight w:val="283"/>
        </w:trPr>
        <w:tc>
          <w:tcPr>
            <w:tcW w:w="4962" w:type="dxa"/>
            <w:tcBorders>
              <w:bottom w:val="single" w:sz="4" w:space="0" w:color="13B5EA"/>
            </w:tcBorders>
            <w:shd w:val="clear" w:color="auto" w:fill="auto"/>
            <w:noWrap/>
            <w:tcMar>
              <w:top w:w="0" w:type="dxa"/>
              <w:left w:w="108" w:type="dxa"/>
              <w:bottom w:w="0" w:type="dxa"/>
              <w:right w:w="108" w:type="dxa"/>
            </w:tcMar>
            <w:vAlign w:val="center"/>
          </w:tcPr>
          <w:p w14:paraId="1FA3837C" w14:textId="030067B1" w:rsidR="00320F70" w:rsidRPr="00320F70" w:rsidRDefault="00320F70" w:rsidP="00320F70">
            <w:pPr>
              <w:rPr>
                <w:rFonts w:cs="Times New Roman"/>
                <w:color w:val="000000"/>
                <w:sz w:val="18"/>
                <w:szCs w:val="18"/>
                <w:lang w:eastAsia="en-US"/>
              </w:rPr>
            </w:pPr>
            <w:r w:rsidRPr="00320F70">
              <w:rPr>
                <w:rFonts w:cs="Times New Roman"/>
                <w:color w:val="000000"/>
                <w:sz w:val="18"/>
                <w:szCs w:val="18"/>
                <w:lang w:eastAsia="en-US"/>
              </w:rPr>
              <w:t>3. Zohľadnenie legislatívn</w:t>
            </w:r>
            <w:r w:rsidR="00562DC8">
              <w:rPr>
                <w:rFonts w:cs="Times New Roman"/>
                <w:color w:val="000000"/>
                <w:sz w:val="18"/>
                <w:szCs w:val="18"/>
                <w:lang w:eastAsia="en-US"/>
              </w:rPr>
              <w:t>ych</w:t>
            </w:r>
            <w:r w:rsidRPr="00320F70">
              <w:rPr>
                <w:rFonts w:cs="Times New Roman"/>
                <w:color w:val="000000"/>
                <w:sz w:val="18"/>
                <w:szCs w:val="18"/>
                <w:lang w:eastAsia="en-US"/>
              </w:rPr>
              <w:t xml:space="preserve"> zm</w:t>
            </w:r>
            <w:r w:rsidR="00562DC8">
              <w:rPr>
                <w:rFonts w:cs="Times New Roman"/>
                <w:color w:val="000000"/>
                <w:sz w:val="18"/>
                <w:szCs w:val="18"/>
                <w:lang w:eastAsia="en-US"/>
              </w:rPr>
              <w:t>i</w:t>
            </w:r>
            <w:r w:rsidRPr="00320F70">
              <w:rPr>
                <w:rFonts w:cs="Times New Roman"/>
                <w:color w:val="000000"/>
                <w:sz w:val="18"/>
                <w:szCs w:val="18"/>
                <w:lang w:eastAsia="en-US"/>
              </w:rPr>
              <w:t>en ovplyvňujúc</w:t>
            </w:r>
            <w:r w:rsidR="00562DC8">
              <w:rPr>
                <w:rFonts w:cs="Times New Roman"/>
                <w:color w:val="000000"/>
                <w:sz w:val="18"/>
                <w:szCs w:val="18"/>
                <w:lang w:eastAsia="en-US"/>
              </w:rPr>
              <w:t>ich</w:t>
            </w:r>
            <w:r w:rsidRPr="00320F70">
              <w:rPr>
                <w:rFonts w:cs="Times New Roman"/>
                <w:color w:val="000000"/>
                <w:sz w:val="18"/>
                <w:szCs w:val="18"/>
                <w:lang w:eastAsia="en-US"/>
              </w:rPr>
              <w:t xml:space="preserve"> dlhodobú udržateľnosť</w:t>
            </w:r>
            <w:r w:rsidR="00562DC8">
              <w:rPr>
                <w:rFonts w:cs="Times New Roman"/>
                <w:color w:val="000000"/>
                <w:sz w:val="18"/>
                <w:szCs w:val="18"/>
                <w:lang w:eastAsia="en-US"/>
              </w:rPr>
              <w:t xml:space="preserve"> </w:t>
            </w:r>
            <w:r w:rsidR="00562DC8">
              <w:rPr>
                <w:rFonts w:cs="Times New Roman"/>
                <w:color w:val="000000"/>
                <w:sz w:val="18"/>
                <w:szCs w:val="18"/>
              </w:rPr>
              <w:t xml:space="preserve">(viď </w:t>
            </w:r>
            <w:r w:rsidR="00562DC8" w:rsidRPr="00B20F85">
              <w:rPr>
                <w:rFonts w:cs="Times New Roman"/>
                <w:color w:val="13B5EA"/>
                <w:sz w:val="18"/>
                <w:szCs w:val="18"/>
              </w:rPr>
              <w:t xml:space="preserve">Tab. </w:t>
            </w:r>
            <w:r w:rsidR="00562DC8">
              <w:rPr>
                <w:rFonts w:cs="Times New Roman"/>
                <w:color w:val="13B5EA"/>
                <w:sz w:val="18"/>
                <w:szCs w:val="18"/>
              </w:rPr>
              <w:t>5</w:t>
            </w:r>
            <w:r w:rsidR="00562DC8">
              <w:rPr>
                <w:rFonts w:cs="Times New Roman"/>
                <w:color w:val="000000"/>
                <w:sz w:val="18"/>
                <w:szCs w:val="18"/>
              </w:rPr>
              <w:t>)</w:t>
            </w:r>
          </w:p>
        </w:tc>
        <w:tc>
          <w:tcPr>
            <w:tcW w:w="1417" w:type="dxa"/>
            <w:tcBorders>
              <w:bottom w:val="single" w:sz="4" w:space="0" w:color="13B5EA"/>
            </w:tcBorders>
            <w:shd w:val="clear" w:color="auto" w:fill="auto"/>
            <w:vAlign w:val="center"/>
          </w:tcPr>
          <w:p w14:paraId="5EF7E1FE" w14:textId="33502B2A" w:rsidR="00320F70" w:rsidRPr="00320F70" w:rsidRDefault="00320F70" w:rsidP="00320F70">
            <w:pPr>
              <w:jc w:val="center"/>
              <w:rPr>
                <w:rFonts w:cs="Times New Roman"/>
                <w:color w:val="000000"/>
                <w:sz w:val="18"/>
                <w:szCs w:val="18"/>
                <w:lang w:eastAsia="en-US"/>
              </w:rPr>
            </w:pPr>
            <w:r w:rsidRPr="00D459B9" w:rsidDel="009B06A8">
              <w:rPr>
                <w:rFonts w:cs="Times New Roman"/>
                <w:sz w:val="18"/>
                <w:szCs w:val="18"/>
              </w:rPr>
              <w:t>-0,3</w:t>
            </w:r>
          </w:p>
        </w:tc>
        <w:tc>
          <w:tcPr>
            <w:tcW w:w="1417" w:type="dxa"/>
            <w:tcBorders>
              <w:bottom w:val="single" w:sz="4" w:space="0" w:color="13B5EA"/>
            </w:tcBorders>
            <w:shd w:val="clear" w:color="auto" w:fill="auto"/>
            <w:noWrap/>
            <w:tcMar>
              <w:top w:w="0" w:type="dxa"/>
              <w:left w:w="108" w:type="dxa"/>
              <w:bottom w:w="0" w:type="dxa"/>
              <w:right w:w="108" w:type="dxa"/>
            </w:tcMar>
            <w:vAlign w:val="center"/>
          </w:tcPr>
          <w:p w14:paraId="66A5C515" w14:textId="2594C12D"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0,0</w:t>
            </w:r>
          </w:p>
        </w:tc>
        <w:tc>
          <w:tcPr>
            <w:tcW w:w="1418" w:type="dxa"/>
            <w:tcBorders>
              <w:bottom w:val="single" w:sz="4" w:space="0" w:color="13B5EA"/>
            </w:tcBorders>
            <w:shd w:val="clear" w:color="auto" w:fill="auto"/>
            <w:noWrap/>
            <w:tcMar>
              <w:top w:w="0" w:type="dxa"/>
              <w:left w:w="108" w:type="dxa"/>
              <w:bottom w:w="0" w:type="dxa"/>
              <w:right w:w="108" w:type="dxa"/>
            </w:tcMar>
            <w:vAlign w:val="center"/>
          </w:tcPr>
          <w:p w14:paraId="0086A17B" w14:textId="56C3A9CC" w:rsidR="00320F70" w:rsidRPr="00320F70" w:rsidRDefault="00320F70" w:rsidP="00320F70">
            <w:pPr>
              <w:jc w:val="center"/>
              <w:rPr>
                <w:rFonts w:cs="Times New Roman"/>
                <w:color w:val="000000"/>
                <w:sz w:val="18"/>
                <w:szCs w:val="18"/>
                <w:lang w:eastAsia="en-US"/>
              </w:rPr>
            </w:pPr>
            <w:r w:rsidRPr="00114DEE" w:rsidDel="009B06A8">
              <w:rPr>
                <w:rFonts w:cs="Times New Roman"/>
                <w:sz w:val="18"/>
                <w:szCs w:val="18"/>
              </w:rPr>
              <w:t>0,0</w:t>
            </w:r>
          </w:p>
        </w:tc>
      </w:tr>
      <w:tr w:rsidR="00320F70" w14:paraId="5C256E58" w14:textId="77777777" w:rsidTr="00564D82">
        <w:trPr>
          <w:trHeight w:val="283"/>
        </w:trPr>
        <w:tc>
          <w:tcPr>
            <w:tcW w:w="4962" w:type="dxa"/>
            <w:shd w:val="clear" w:color="auto" w:fill="auto"/>
            <w:noWrap/>
            <w:tcMar>
              <w:top w:w="0" w:type="dxa"/>
              <w:left w:w="108" w:type="dxa"/>
              <w:bottom w:w="0" w:type="dxa"/>
              <w:right w:w="108" w:type="dxa"/>
            </w:tcMar>
            <w:vAlign w:val="bottom"/>
          </w:tcPr>
          <w:p w14:paraId="021C7847" w14:textId="706EE285" w:rsidR="00320F70" w:rsidRPr="00320F70" w:rsidRDefault="00320F70" w:rsidP="00320F70">
            <w:pPr>
              <w:rPr>
                <w:rFonts w:cs="Times New Roman"/>
                <w:b/>
                <w:bCs/>
                <w:color w:val="000000"/>
                <w:sz w:val="18"/>
                <w:szCs w:val="18"/>
                <w:lang w:eastAsia="en-US"/>
              </w:rPr>
            </w:pPr>
            <w:r w:rsidRPr="00114DEE">
              <w:rPr>
                <w:rFonts w:cs="Times New Roman"/>
                <w:color w:val="000000"/>
                <w:sz w:val="18"/>
                <w:szCs w:val="18"/>
              </w:rPr>
              <w:t>4. Požiadavka na konsolidáciu voči základnému scenáru (kumulatívne)</w:t>
            </w:r>
          </w:p>
        </w:tc>
        <w:tc>
          <w:tcPr>
            <w:tcW w:w="1417" w:type="dxa"/>
            <w:shd w:val="clear" w:color="auto" w:fill="auto"/>
            <w:vAlign w:val="center"/>
          </w:tcPr>
          <w:p w14:paraId="193EF770" w14:textId="2B55D7C5" w:rsidR="00320F70" w:rsidRPr="00320F70" w:rsidRDefault="00320F70" w:rsidP="00320F70">
            <w:pPr>
              <w:jc w:val="center"/>
              <w:rPr>
                <w:rFonts w:cs="Times New Roman"/>
                <w:b/>
                <w:bCs/>
                <w:color w:val="000000"/>
                <w:sz w:val="18"/>
                <w:szCs w:val="18"/>
                <w:lang w:eastAsia="en-US"/>
              </w:rPr>
            </w:pPr>
            <w:r w:rsidRPr="00114DEE" w:rsidDel="009B06A8">
              <w:rPr>
                <w:rFonts w:cs="Times New Roman"/>
                <w:color w:val="000000"/>
                <w:sz w:val="18"/>
                <w:szCs w:val="18"/>
              </w:rPr>
              <w:t>0,2</w:t>
            </w:r>
          </w:p>
        </w:tc>
        <w:tc>
          <w:tcPr>
            <w:tcW w:w="1417" w:type="dxa"/>
            <w:shd w:val="clear" w:color="auto" w:fill="auto"/>
            <w:noWrap/>
            <w:tcMar>
              <w:top w:w="0" w:type="dxa"/>
              <w:left w:w="108" w:type="dxa"/>
              <w:bottom w:w="0" w:type="dxa"/>
              <w:right w:w="108" w:type="dxa"/>
            </w:tcMar>
            <w:vAlign w:val="center"/>
          </w:tcPr>
          <w:p w14:paraId="1FA74DA5" w14:textId="1743602F" w:rsidR="00320F70" w:rsidRPr="00320F70" w:rsidRDefault="00320F70" w:rsidP="00320F70">
            <w:pPr>
              <w:jc w:val="center"/>
              <w:rPr>
                <w:rFonts w:cs="Times New Roman"/>
                <w:b/>
                <w:bCs/>
                <w:color w:val="000000"/>
                <w:sz w:val="18"/>
                <w:szCs w:val="18"/>
                <w:lang w:eastAsia="en-US"/>
              </w:rPr>
            </w:pPr>
            <w:r w:rsidRPr="00114DEE" w:rsidDel="009B06A8">
              <w:rPr>
                <w:rFonts w:cs="Times New Roman"/>
                <w:color w:val="000000"/>
                <w:sz w:val="18"/>
                <w:szCs w:val="18"/>
              </w:rPr>
              <w:t>0,7</w:t>
            </w:r>
          </w:p>
        </w:tc>
        <w:tc>
          <w:tcPr>
            <w:tcW w:w="1418" w:type="dxa"/>
            <w:shd w:val="clear" w:color="auto" w:fill="auto"/>
            <w:noWrap/>
            <w:tcMar>
              <w:top w:w="0" w:type="dxa"/>
              <w:left w:w="108" w:type="dxa"/>
              <w:bottom w:w="0" w:type="dxa"/>
              <w:right w:w="108" w:type="dxa"/>
            </w:tcMar>
            <w:vAlign w:val="center"/>
          </w:tcPr>
          <w:p w14:paraId="705A8822" w14:textId="0ECDA6B8" w:rsidR="00320F70" w:rsidRPr="00320F70" w:rsidRDefault="00320F70" w:rsidP="00320F70">
            <w:pPr>
              <w:jc w:val="center"/>
              <w:rPr>
                <w:rFonts w:cs="Times New Roman"/>
                <w:b/>
                <w:bCs/>
                <w:color w:val="000000"/>
                <w:sz w:val="18"/>
                <w:szCs w:val="18"/>
                <w:lang w:eastAsia="en-US"/>
              </w:rPr>
            </w:pPr>
            <w:r w:rsidRPr="00114DEE" w:rsidDel="009B06A8">
              <w:rPr>
                <w:rFonts w:cs="Times New Roman"/>
                <w:color w:val="000000"/>
                <w:sz w:val="18"/>
                <w:szCs w:val="18"/>
              </w:rPr>
              <w:t>1,2</w:t>
            </w:r>
          </w:p>
        </w:tc>
      </w:tr>
      <w:tr w:rsidR="00320F70" w14:paraId="6BEEBE33" w14:textId="77777777" w:rsidTr="00564D82">
        <w:trPr>
          <w:trHeight w:val="283"/>
        </w:trPr>
        <w:tc>
          <w:tcPr>
            <w:tcW w:w="4962" w:type="dxa"/>
            <w:shd w:val="clear" w:color="auto" w:fill="auto"/>
            <w:noWrap/>
            <w:tcMar>
              <w:top w:w="0" w:type="dxa"/>
              <w:left w:w="108" w:type="dxa"/>
              <w:bottom w:w="0" w:type="dxa"/>
              <w:right w:w="108" w:type="dxa"/>
            </w:tcMar>
            <w:vAlign w:val="bottom"/>
          </w:tcPr>
          <w:p w14:paraId="230718B0" w14:textId="4CB070FA" w:rsidR="00320F70" w:rsidRPr="00320F70" w:rsidRDefault="00320F70" w:rsidP="00320F70">
            <w:pPr>
              <w:rPr>
                <w:rFonts w:cs="Times New Roman"/>
                <w:color w:val="000000"/>
                <w:sz w:val="18"/>
                <w:szCs w:val="18"/>
                <w:lang w:eastAsia="en-US"/>
              </w:rPr>
            </w:pPr>
            <w:r w:rsidRPr="00114DEE">
              <w:rPr>
                <w:rFonts w:cs="Times New Roman"/>
                <w:color w:val="000000"/>
                <w:sz w:val="18"/>
                <w:szCs w:val="18"/>
              </w:rPr>
              <w:t>5. Štrukturálne saldo v základnom scenári RRZ</w:t>
            </w:r>
          </w:p>
        </w:tc>
        <w:tc>
          <w:tcPr>
            <w:tcW w:w="1417" w:type="dxa"/>
            <w:shd w:val="clear" w:color="auto" w:fill="auto"/>
            <w:vAlign w:val="center"/>
          </w:tcPr>
          <w:p w14:paraId="624ACEEF" w14:textId="0281AACD" w:rsidR="00320F70" w:rsidRPr="00320F70" w:rsidRDefault="00320F70" w:rsidP="00320F70">
            <w:pPr>
              <w:jc w:val="center"/>
              <w:rPr>
                <w:rFonts w:cs="Times New Roman"/>
                <w:color w:val="000000"/>
                <w:sz w:val="18"/>
                <w:szCs w:val="18"/>
                <w:lang w:eastAsia="en-US"/>
              </w:rPr>
            </w:pPr>
            <w:r w:rsidRPr="00114DEE">
              <w:rPr>
                <w:rFonts w:cs="Times New Roman"/>
                <w:color w:val="000000"/>
                <w:sz w:val="18"/>
                <w:szCs w:val="18"/>
              </w:rPr>
              <w:t>-3,4</w:t>
            </w:r>
          </w:p>
        </w:tc>
        <w:tc>
          <w:tcPr>
            <w:tcW w:w="1417" w:type="dxa"/>
            <w:shd w:val="clear" w:color="auto" w:fill="auto"/>
            <w:noWrap/>
            <w:tcMar>
              <w:top w:w="0" w:type="dxa"/>
              <w:left w:w="108" w:type="dxa"/>
              <w:bottom w:w="0" w:type="dxa"/>
              <w:right w:w="108" w:type="dxa"/>
            </w:tcMar>
            <w:vAlign w:val="center"/>
          </w:tcPr>
          <w:p w14:paraId="6AF18D19" w14:textId="438238AA" w:rsidR="00320F70" w:rsidRPr="00320F70" w:rsidRDefault="00320F70" w:rsidP="00320F70">
            <w:pPr>
              <w:jc w:val="center"/>
              <w:rPr>
                <w:rFonts w:cs="Times New Roman"/>
                <w:color w:val="000000"/>
                <w:sz w:val="18"/>
                <w:szCs w:val="18"/>
                <w:lang w:eastAsia="en-US"/>
              </w:rPr>
            </w:pPr>
            <w:r w:rsidRPr="00114DEE">
              <w:rPr>
                <w:rFonts w:cs="Times New Roman"/>
                <w:color w:val="000000"/>
                <w:sz w:val="18"/>
                <w:szCs w:val="18"/>
              </w:rPr>
              <w:t>-4,0</w:t>
            </w:r>
          </w:p>
        </w:tc>
        <w:tc>
          <w:tcPr>
            <w:tcW w:w="1418" w:type="dxa"/>
            <w:shd w:val="clear" w:color="auto" w:fill="auto"/>
            <w:noWrap/>
            <w:tcMar>
              <w:top w:w="0" w:type="dxa"/>
              <w:left w:w="108" w:type="dxa"/>
              <w:bottom w:w="0" w:type="dxa"/>
              <w:right w:w="108" w:type="dxa"/>
            </w:tcMar>
            <w:vAlign w:val="center"/>
          </w:tcPr>
          <w:p w14:paraId="4FBEF5F6" w14:textId="75C4A274" w:rsidR="00320F70" w:rsidRPr="00320F70" w:rsidRDefault="00320F70" w:rsidP="00320F70">
            <w:pPr>
              <w:jc w:val="center"/>
              <w:rPr>
                <w:rFonts w:cs="Times New Roman"/>
                <w:color w:val="000000"/>
                <w:sz w:val="18"/>
                <w:szCs w:val="18"/>
                <w:lang w:eastAsia="en-US"/>
              </w:rPr>
            </w:pPr>
            <w:r w:rsidRPr="00114DEE">
              <w:rPr>
                <w:rFonts w:cs="Times New Roman"/>
                <w:color w:val="000000"/>
                <w:sz w:val="18"/>
                <w:szCs w:val="18"/>
              </w:rPr>
              <w:t>-3,9</w:t>
            </w:r>
          </w:p>
        </w:tc>
      </w:tr>
      <w:tr w:rsidR="00320F70" w14:paraId="5441C389" w14:textId="77777777" w:rsidTr="00564D82">
        <w:trPr>
          <w:trHeight w:val="283"/>
        </w:trPr>
        <w:tc>
          <w:tcPr>
            <w:tcW w:w="4962" w:type="dxa"/>
            <w:shd w:val="clear" w:color="auto" w:fill="auto"/>
            <w:noWrap/>
            <w:tcMar>
              <w:top w:w="0" w:type="dxa"/>
              <w:left w:w="108" w:type="dxa"/>
              <w:bottom w:w="0" w:type="dxa"/>
              <w:right w:w="108" w:type="dxa"/>
            </w:tcMar>
            <w:vAlign w:val="bottom"/>
          </w:tcPr>
          <w:p w14:paraId="7C8F5728" w14:textId="4196A23B" w:rsidR="00320F70" w:rsidRPr="00320F70" w:rsidRDefault="00320F70" w:rsidP="00320F70">
            <w:pPr>
              <w:rPr>
                <w:rFonts w:cs="Times New Roman"/>
                <w:color w:val="000000"/>
                <w:sz w:val="18"/>
                <w:szCs w:val="18"/>
                <w:lang w:eastAsia="en-US"/>
              </w:rPr>
            </w:pPr>
            <w:r w:rsidRPr="00114DEE">
              <w:rPr>
                <w:rFonts w:cs="Times New Roman"/>
                <w:color w:val="000000"/>
                <w:sz w:val="18"/>
                <w:szCs w:val="18"/>
              </w:rPr>
              <w:t>6. Štrukturálne saldo upravené o strednodobé vplyvy dlhodobých opatrení</w:t>
            </w:r>
            <w:r w:rsidR="006C678A">
              <w:rPr>
                <w:rFonts w:cs="Times New Roman"/>
                <w:color w:val="000000"/>
                <w:sz w:val="18"/>
                <w:szCs w:val="18"/>
              </w:rPr>
              <w:t xml:space="preserve"> (viď</w:t>
            </w:r>
            <w:r w:rsidR="00251303">
              <w:rPr>
                <w:rFonts w:cs="Times New Roman"/>
                <w:color w:val="000000"/>
                <w:sz w:val="18"/>
                <w:szCs w:val="18"/>
              </w:rPr>
              <w:t xml:space="preserve"> </w:t>
            </w:r>
            <w:r w:rsidR="00562DC8" w:rsidRPr="00733CDE">
              <w:rPr>
                <w:rFonts w:cs="Times New Roman"/>
                <w:color w:val="13B5EA"/>
                <w:sz w:val="18"/>
                <w:szCs w:val="18"/>
              </w:rPr>
              <w:t>T</w:t>
            </w:r>
            <w:r w:rsidR="00251303" w:rsidRPr="00733CDE">
              <w:rPr>
                <w:rFonts w:cs="Times New Roman"/>
                <w:color w:val="13B5EA"/>
                <w:sz w:val="18"/>
                <w:szCs w:val="18"/>
              </w:rPr>
              <w:t>ab. 4</w:t>
            </w:r>
            <w:r w:rsidR="00251303">
              <w:rPr>
                <w:rFonts w:cs="Times New Roman"/>
                <w:color w:val="000000"/>
                <w:sz w:val="18"/>
                <w:szCs w:val="18"/>
              </w:rPr>
              <w:t>)</w:t>
            </w:r>
          </w:p>
        </w:tc>
        <w:tc>
          <w:tcPr>
            <w:tcW w:w="1417" w:type="dxa"/>
            <w:shd w:val="clear" w:color="auto" w:fill="auto"/>
            <w:vAlign w:val="center"/>
          </w:tcPr>
          <w:p w14:paraId="220FA6D9" w14:textId="1399450A" w:rsidR="00320F70" w:rsidRPr="00320F70" w:rsidRDefault="00320F70" w:rsidP="00320F70">
            <w:pPr>
              <w:jc w:val="center"/>
              <w:rPr>
                <w:rFonts w:cs="Times New Roman"/>
                <w:color w:val="000000"/>
                <w:sz w:val="18"/>
                <w:szCs w:val="18"/>
                <w:lang w:eastAsia="en-US"/>
              </w:rPr>
            </w:pPr>
            <w:r w:rsidRPr="00114DEE">
              <w:rPr>
                <w:rFonts w:cs="Times New Roman"/>
                <w:color w:val="000000"/>
                <w:sz w:val="18"/>
                <w:szCs w:val="18"/>
              </w:rPr>
              <w:t>-3,6</w:t>
            </w:r>
          </w:p>
        </w:tc>
        <w:tc>
          <w:tcPr>
            <w:tcW w:w="1417" w:type="dxa"/>
            <w:shd w:val="clear" w:color="auto" w:fill="auto"/>
            <w:noWrap/>
            <w:tcMar>
              <w:top w:w="0" w:type="dxa"/>
              <w:left w:w="108" w:type="dxa"/>
              <w:bottom w:w="0" w:type="dxa"/>
              <w:right w:w="108" w:type="dxa"/>
            </w:tcMar>
            <w:vAlign w:val="center"/>
          </w:tcPr>
          <w:p w14:paraId="4D809C7C" w14:textId="79FA3EB6" w:rsidR="00320F70" w:rsidRPr="00320F70" w:rsidRDefault="00320F70" w:rsidP="00320F70">
            <w:pPr>
              <w:jc w:val="center"/>
              <w:rPr>
                <w:rFonts w:cs="Times New Roman"/>
                <w:color w:val="000000"/>
                <w:sz w:val="18"/>
                <w:szCs w:val="18"/>
                <w:lang w:eastAsia="en-US"/>
              </w:rPr>
            </w:pPr>
            <w:r w:rsidRPr="00114DEE">
              <w:rPr>
                <w:rFonts w:cs="Times New Roman"/>
                <w:color w:val="000000"/>
                <w:sz w:val="18"/>
                <w:szCs w:val="18"/>
              </w:rPr>
              <w:t>-4,3</w:t>
            </w:r>
          </w:p>
        </w:tc>
        <w:tc>
          <w:tcPr>
            <w:tcW w:w="1418" w:type="dxa"/>
            <w:shd w:val="clear" w:color="auto" w:fill="auto"/>
            <w:noWrap/>
            <w:tcMar>
              <w:top w:w="0" w:type="dxa"/>
              <w:left w:w="108" w:type="dxa"/>
              <w:bottom w:w="0" w:type="dxa"/>
              <w:right w:w="108" w:type="dxa"/>
            </w:tcMar>
            <w:vAlign w:val="center"/>
          </w:tcPr>
          <w:p w14:paraId="5A003017" w14:textId="1044C129" w:rsidR="00320F70" w:rsidRPr="00320F70" w:rsidRDefault="00320F70" w:rsidP="00320F70">
            <w:pPr>
              <w:jc w:val="center"/>
              <w:rPr>
                <w:rFonts w:cs="Times New Roman"/>
                <w:color w:val="000000"/>
                <w:sz w:val="18"/>
                <w:szCs w:val="18"/>
                <w:lang w:eastAsia="en-US"/>
              </w:rPr>
            </w:pPr>
            <w:r w:rsidRPr="00114DEE">
              <w:rPr>
                <w:rFonts w:cs="Times New Roman"/>
                <w:color w:val="000000"/>
                <w:sz w:val="18"/>
                <w:szCs w:val="18"/>
              </w:rPr>
              <w:t>-4,3</w:t>
            </w:r>
          </w:p>
        </w:tc>
      </w:tr>
      <w:tr w:rsidR="00320F70" w14:paraId="1CDF2AD8" w14:textId="77777777" w:rsidTr="007A320B">
        <w:trPr>
          <w:trHeight w:val="283"/>
        </w:trPr>
        <w:tc>
          <w:tcPr>
            <w:tcW w:w="4962" w:type="dxa"/>
            <w:shd w:val="clear" w:color="auto" w:fill="auto"/>
            <w:noWrap/>
            <w:tcMar>
              <w:top w:w="0" w:type="dxa"/>
              <w:left w:w="108" w:type="dxa"/>
              <w:bottom w:w="0" w:type="dxa"/>
              <w:right w:w="108" w:type="dxa"/>
            </w:tcMar>
            <w:vAlign w:val="center"/>
          </w:tcPr>
          <w:p w14:paraId="4D266FAA" w14:textId="1CF99A2C" w:rsidR="00320F70" w:rsidRPr="00320F70" w:rsidRDefault="00320F70" w:rsidP="007A320B">
            <w:pPr>
              <w:rPr>
                <w:rFonts w:cs="Times New Roman"/>
                <w:color w:val="000000"/>
                <w:sz w:val="18"/>
                <w:szCs w:val="18"/>
                <w:lang w:eastAsia="en-US"/>
              </w:rPr>
            </w:pPr>
            <w:r w:rsidRPr="00114DEE">
              <w:rPr>
                <w:rFonts w:cs="Times New Roman"/>
                <w:color w:val="000000"/>
                <w:sz w:val="18"/>
                <w:szCs w:val="18"/>
              </w:rPr>
              <w:t xml:space="preserve"> - medziročná zmena upraveného štrukturálneho salda</w:t>
            </w:r>
          </w:p>
        </w:tc>
        <w:tc>
          <w:tcPr>
            <w:tcW w:w="1417" w:type="dxa"/>
            <w:shd w:val="clear" w:color="auto" w:fill="auto"/>
            <w:vAlign w:val="center"/>
          </w:tcPr>
          <w:p w14:paraId="5696AEC3" w14:textId="38B2EAE2" w:rsidR="00320F70" w:rsidRPr="00320F70" w:rsidRDefault="00320F70" w:rsidP="00320F70">
            <w:pPr>
              <w:jc w:val="center"/>
              <w:rPr>
                <w:rFonts w:cs="Times New Roman"/>
                <w:color w:val="000000"/>
                <w:sz w:val="18"/>
                <w:szCs w:val="18"/>
                <w:lang w:eastAsia="en-US"/>
              </w:rPr>
            </w:pPr>
            <w:r w:rsidRPr="00114DEE">
              <w:rPr>
                <w:rFonts w:cs="Times New Roman"/>
                <w:color w:val="000000"/>
                <w:sz w:val="18"/>
                <w:szCs w:val="18"/>
              </w:rPr>
              <w:t>-1,0</w:t>
            </w:r>
          </w:p>
        </w:tc>
        <w:tc>
          <w:tcPr>
            <w:tcW w:w="1417" w:type="dxa"/>
            <w:shd w:val="clear" w:color="auto" w:fill="auto"/>
            <w:noWrap/>
            <w:tcMar>
              <w:top w:w="0" w:type="dxa"/>
              <w:left w:w="108" w:type="dxa"/>
              <w:bottom w:w="0" w:type="dxa"/>
              <w:right w:w="108" w:type="dxa"/>
            </w:tcMar>
            <w:vAlign w:val="center"/>
          </w:tcPr>
          <w:p w14:paraId="6DBB5F28" w14:textId="42E9A14A" w:rsidR="00320F70" w:rsidRPr="00320F70" w:rsidRDefault="00320F70" w:rsidP="00320F70">
            <w:pPr>
              <w:jc w:val="center"/>
              <w:rPr>
                <w:rFonts w:cs="Times New Roman"/>
                <w:color w:val="000000"/>
                <w:sz w:val="18"/>
                <w:szCs w:val="18"/>
                <w:lang w:eastAsia="en-US"/>
              </w:rPr>
            </w:pPr>
            <w:r w:rsidRPr="00114DEE" w:rsidDel="009B06A8">
              <w:rPr>
                <w:rFonts w:cs="Times New Roman"/>
                <w:color w:val="000000"/>
                <w:sz w:val="18"/>
                <w:szCs w:val="18"/>
              </w:rPr>
              <w:t>-0,7</w:t>
            </w:r>
          </w:p>
        </w:tc>
        <w:tc>
          <w:tcPr>
            <w:tcW w:w="1418" w:type="dxa"/>
            <w:shd w:val="clear" w:color="auto" w:fill="auto"/>
            <w:noWrap/>
            <w:tcMar>
              <w:top w:w="0" w:type="dxa"/>
              <w:left w:w="108" w:type="dxa"/>
              <w:bottom w:w="0" w:type="dxa"/>
              <w:right w:w="108" w:type="dxa"/>
            </w:tcMar>
            <w:vAlign w:val="center"/>
          </w:tcPr>
          <w:p w14:paraId="483E6616" w14:textId="17DD6EC6" w:rsidR="00320F70" w:rsidRPr="00320F70" w:rsidRDefault="00320F70" w:rsidP="00320F70">
            <w:pPr>
              <w:jc w:val="center"/>
              <w:rPr>
                <w:rFonts w:cs="Times New Roman"/>
                <w:color w:val="000000"/>
                <w:sz w:val="18"/>
                <w:szCs w:val="18"/>
                <w:lang w:eastAsia="en-US"/>
              </w:rPr>
            </w:pPr>
            <w:r w:rsidRPr="00114DEE">
              <w:rPr>
                <w:rFonts w:cs="Times New Roman"/>
                <w:color w:val="000000"/>
                <w:sz w:val="18"/>
                <w:szCs w:val="18"/>
              </w:rPr>
              <w:t>0,0</w:t>
            </w:r>
          </w:p>
        </w:tc>
      </w:tr>
      <w:tr w:rsidR="00320F70" w14:paraId="6836F2FD" w14:textId="77777777" w:rsidTr="00564D82">
        <w:trPr>
          <w:trHeight w:val="283"/>
        </w:trPr>
        <w:tc>
          <w:tcPr>
            <w:tcW w:w="4962" w:type="dxa"/>
            <w:shd w:val="clear" w:color="auto" w:fill="auto"/>
            <w:noWrap/>
            <w:tcMar>
              <w:top w:w="0" w:type="dxa"/>
              <w:left w:w="108" w:type="dxa"/>
              <w:bottom w:w="0" w:type="dxa"/>
              <w:right w:w="108" w:type="dxa"/>
            </w:tcMar>
            <w:vAlign w:val="bottom"/>
          </w:tcPr>
          <w:p w14:paraId="41039094" w14:textId="446B88F1" w:rsidR="00320F70" w:rsidRPr="00320F70" w:rsidRDefault="00320F70" w:rsidP="00320F70">
            <w:pPr>
              <w:rPr>
                <w:rFonts w:cs="Times New Roman"/>
                <w:b/>
                <w:bCs/>
                <w:color w:val="000000"/>
                <w:sz w:val="18"/>
                <w:szCs w:val="18"/>
                <w:lang w:eastAsia="en-US"/>
              </w:rPr>
            </w:pPr>
            <w:r w:rsidRPr="00114DEE">
              <w:rPr>
                <w:rFonts w:cs="Times New Roman"/>
                <w:b/>
                <w:color w:val="000000"/>
                <w:sz w:val="18"/>
                <w:szCs w:val="18"/>
              </w:rPr>
              <w:t>7. Plánované štrukturálne saldo (4+6)</w:t>
            </w:r>
          </w:p>
        </w:tc>
        <w:tc>
          <w:tcPr>
            <w:tcW w:w="1417" w:type="dxa"/>
            <w:shd w:val="clear" w:color="auto" w:fill="auto"/>
            <w:vAlign w:val="center"/>
          </w:tcPr>
          <w:p w14:paraId="40CE66E4" w14:textId="0E92129A" w:rsidR="00320F70" w:rsidRPr="00320F70" w:rsidRDefault="00320F70" w:rsidP="00320F70">
            <w:pPr>
              <w:jc w:val="center"/>
              <w:rPr>
                <w:rFonts w:cs="Times New Roman"/>
                <w:b/>
                <w:bCs/>
                <w:color w:val="000000"/>
                <w:sz w:val="18"/>
                <w:szCs w:val="18"/>
                <w:lang w:eastAsia="en-US"/>
              </w:rPr>
            </w:pPr>
            <w:r w:rsidRPr="00114DEE">
              <w:rPr>
                <w:rFonts w:cs="Times New Roman"/>
                <w:b/>
                <w:color w:val="000000"/>
                <w:sz w:val="18"/>
                <w:szCs w:val="18"/>
              </w:rPr>
              <w:t>-3,4</w:t>
            </w:r>
          </w:p>
        </w:tc>
        <w:tc>
          <w:tcPr>
            <w:tcW w:w="1417" w:type="dxa"/>
            <w:shd w:val="clear" w:color="auto" w:fill="auto"/>
            <w:noWrap/>
            <w:tcMar>
              <w:top w:w="0" w:type="dxa"/>
              <w:left w:w="108" w:type="dxa"/>
              <w:bottom w:w="0" w:type="dxa"/>
              <w:right w:w="108" w:type="dxa"/>
            </w:tcMar>
            <w:vAlign w:val="center"/>
          </w:tcPr>
          <w:p w14:paraId="494E0C99" w14:textId="14E04B0E" w:rsidR="00320F70" w:rsidRPr="00320F70" w:rsidRDefault="00320F70" w:rsidP="00320F70">
            <w:pPr>
              <w:jc w:val="center"/>
              <w:rPr>
                <w:rFonts w:cs="Times New Roman"/>
                <w:b/>
                <w:bCs/>
                <w:color w:val="000000"/>
                <w:sz w:val="18"/>
                <w:szCs w:val="18"/>
                <w:lang w:eastAsia="en-US"/>
              </w:rPr>
            </w:pPr>
            <w:r w:rsidRPr="00114DEE">
              <w:rPr>
                <w:rFonts w:cs="Times New Roman"/>
                <w:b/>
                <w:color w:val="000000"/>
                <w:sz w:val="18"/>
                <w:szCs w:val="18"/>
              </w:rPr>
              <w:t>-3,6</w:t>
            </w:r>
          </w:p>
        </w:tc>
        <w:tc>
          <w:tcPr>
            <w:tcW w:w="1418" w:type="dxa"/>
            <w:shd w:val="clear" w:color="auto" w:fill="auto"/>
            <w:noWrap/>
            <w:tcMar>
              <w:top w:w="0" w:type="dxa"/>
              <w:left w:w="108" w:type="dxa"/>
              <w:bottom w:w="0" w:type="dxa"/>
              <w:right w:w="108" w:type="dxa"/>
            </w:tcMar>
            <w:vAlign w:val="center"/>
          </w:tcPr>
          <w:p w14:paraId="52462644" w14:textId="7BAC18E5" w:rsidR="00320F70" w:rsidRPr="00320F70" w:rsidRDefault="00320F70" w:rsidP="00320F70">
            <w:pPr>
              <w:jc w:val="center"/>
              <w:rPr>
                <w:rFonts w:cs="Times New Roman"/>
                <w:b/>
                <w:bCs/>
                <w:color w:val="000000"/>
                <w:sz w:val="18"/>
                <w:szCs w:val="18"/>
                <w:lang w:eastAsia="en-US"/>
              </w:rPr>
            </w:pPr>
            <w:r w:rsidRPr="00114DEE">
              <w:rPr>
                <w:rFonts w:cs="Times New Roman"/>
                <w:b/>
                <w:color w:val="000000"/>
                <w:sz w:val="18"/>
                <w:szCs w:val="18"/>
              </w:rPr>
              <w:t>-3,1</w:t>
            </w:r>
          </w:p>
        </w:tc>
      </w:tr>
      <w:tr w:rsidR="00320F70" w14:paraId="6DA7A388" w14:textId="77777777" w:rsidTr="00564D82">
        <w:trPr>
          <w:trHeight w:val="283"/>
        </w:trPr>
        <w:tc>
          <w:tcPr>
            <w:tcW w:w="4962" w:type="dxa"/>
            <w:tcBorders>
              <w:bottom w:val="single" w:sz="4" w:space="0" w:color="13B5EA"/>
            </w:tcBorders>
            <w:shd w:val="clear" w:color="auto" w:fill="auto"/>
            <w:noWrap/>
            <w:tcMar>
              <w:top w:w="0" w:type="dxa"/>
              <w:left w:w="108" w:type="dxa"/>
              <w:bottom w:w="0" w:type="dxa"/>
              <w:right w:w="108" w:type="dxa"/>
            </w:tcMar>
            <w:vAlign w:val="bottom"/>
          </w:tcPr>
          <w:p w14:paraId="1F14D085" w14:textId="2C4E1469" w:rsidR="00320F70" w:rsidRPr="00320F70" w:rsidRDefault="00320F70" w:rsidP="00320F70">
            <w:pPr>
              <w:rPr>
                <w:rFonts w:cs="Times New Roman"/>
              </w:rPr>
            </w:pPr>
            <w:r w:rsidRPr="00114DEE">
              <w:rPr>
                <w:rFonts w:cs="Times New Roman"/>
                <w:b/>
                <w:color w:val="000000"/>
                <w:sz w:val="18"/>
                <w:szCs w:val="18"/>
              </w:rPr>
              <w:t xml:space="preserve"> - v eur</w:t>
            </w:r>
          </w:p>
        </w:tc>
        <w:tc>
          <w:tcPr>
            <w:tcW w:w="1417" w:type="dxa"/>
            <w:tcBorders>
              <w:bottom w:val="single" w:sz="4" w:space="0" w:color="13B5EA"/>
            </w:tcBorders>
            <w:shd w:val="clear" w:color="auto" w:fill="auto"/>
            <w:vAlign w:val="center"/>
          </w:tcPr>
          <w:p w14:paraId="7C903469" w14:textId="14440DF8" w:rsidR="00320F70" w:rsidRPr="00320F70" w:rsidRDefault="00320F70" w:rsidP="00320F70">
            <w:pPr>
              <w:jc w:val="center"/>
              <w:rPr>
                <w:rFonts w:cs="Times New Roman"/>
                <w:b/>
                <w:bCs/>
                <w:color w:val="000000"/>
                <w:sz w:val="18"/>
                <w:szCs w:val="18"/>
              </w:rPr>
            </w:pPr>
            <w:r w:rsidRPr="00114DEE">
              <w:rPr>
                <w:rFonts w:cs="Times New Roman"/>
                <w:b/>
                <w:color w:val="000000"/>
                <w:sz w:val="18"/>
                <w:szCs w:val="18"/>
              </w:rPr>
              <w:t>-4 203 641 795</w:t>
            </w:r>
          </w:p>
        </w:tc>
        <w:tc>
          <w:tcPr>
            <w:tcW w:w="1417" w:type="dxa"/>
            <w:tcBorders>
              <w:bottom w:val="single" w:sz="4" w:space="0" w:color="13B5EA"/>
            </w:tcBorders>
            <w:shd w:val="clear" w:color="auto" w:fill="auto"/>
            <w:noWrap/>
            <w:tcMar>
              <w:top w:w="0" w:type="dxa"/>
              <w:left w:w="108" w:type="dxa"/>
              <w:bottom w:w="0" w:type="dxa"/>
              <w:right w:w="108" w:type="dxa"/>
            </w:tcMar>
            <w:vAlign w:val="center"/>
          </w:tcPr>
          <w:p w14:paraId="4337A5E4" w14:textId="11D8917A" w:rsidR="00320F70" w:rsidRPr="00320F70" w:rsidRDefault="00320F70" w:rsidP="00320F70">
            <w:pPr>
              <w:jc w:val="center"/>
              <w:rPr>
                <w:rFonts w:cs="Times New Roman"/>
              </w:rPr>
            </w:pPr>
            <w:r w:rsidRPr="00114DEE">
              <w:rPr>
                <w:rFonts w:cs="Times New Roman"/>
                <w:b/>
                <w:color w:val="000000"/>
                <w:sz w:val="18"/>
                <w:szCs w:val="18"/>
              </w:rPr>
              <w:t>-4 728 602 743</w:t>
            </w:r>
          </w:p>
        </w:tc>
        <w:tc>
          <w:tcPr>
            <w:tcW w:w="1418" w:type="dxa"/>
            <w:tcBorders>
              <w:bottom w:val="single" w:sz="4" w:space="0" w:color="13B5EA"/>
            </w:tcBorders>
            <w:shd w:val="clear" w:color="auto" w:fill="auto"/>
            <w:noWrap/>
            <w:tcMar>
              <w:top w:w="0" w:type="dxa"/>
              <w:left w:w="108" w:type="dxa"/>
              <w:bottom w:w="0" w:type="dxa"/>
              <w:right w:w="108" w:type="dxa"/>
            </w:tcMar>
            <w:vAlign w:val="center"/>
          </w:tcPr>
          <w:p w14:paraId="48E3FE82" w14:textId="3C51B981" w:rsidR="00320F70" w:rsidRPr="00320F70" w:rsidRDefault="00320F70" w:rsidP="00320F70">
            <w:pPr>
              <w:jc w:val="center"/>
              <w:rPr>
                <w:rFonts w:cs="Times New Roman"/>
              </w:rPr>
            </w:pPr>
            <w:r w:rsidRPr="00114DEE">
              <w:rPr>
                <w:rFonts w:cs="Times New Roman"/>
                <w:b/>
                <w:color w:val="000000"/>
                <w:sz w:val="18"/>
                <w:szCs w:val="18"/>
              </w:rPr>
              <w:t>-4 315 331 350</w:t>
            </w:r>
          </w:p>
        </w:tc>
      </w:tr>
      <w:tr w:rsidR="000833C6" w14:paraId="5FAC97F1" w14:textId="77777777" w:rsidTr="00055CDA">
        <w:trPr>
          <w:trHeight w:val="300"/>
        </w:trPr>
        <w:tc>
          <w:tcPr>
            <w:tcW w:w="9214" w:type="dxa"/>
            <w:gridSpan w:val="4"/>
            <w:vAlign w:val="center"/>
          </w:tcPr>
          <w:p w14:paraId="53397E3C" w14:textId="77777777" w:rsidR="000833C6" w:rsidRDefault="000833C6" w:rsidP="00055CDA">
            <w:pPr>
              <w:rPr>
                <w:rFonts w:cs="Calibri"/>
                <w:i/>
                <w:iCs/>
                <w:color w:val="13B5EA"/>
                <w:sz w:val="16"/>
                <w:szCs w:val="16"/>
                <w:lang w:eastAsia="en-US"/>
              </w:rPr>
            </w:pPr>
            <w:r>
              <w:rPr>
                <w:rFonts w:cs="Calibri"/>
                <w:i/>
                <w:iCs/>
                <w:color w:val="13B5EA"/>
                <w:sz w:val="16"/>
                <w:szCs w:val="16"/>
                <w:lang w:eastAsia="en-US"/>
              </w:rPr>
              <w:t>* Hrubý dlh za rok 2021 bol nad najvyšším sankčným pásmom, ale z dôvodu 24 mesačnej výnimky od schválenia programového vyhlásenia novej vlády sa uplatnia len sankcie druhého sankčného pásma (predloženie zdôvodnenia nárastu dlhu a návrhu opatrení na zníženie dlhu vládou na rokovanie NR SR a zmrazenie platov členov vlády).                                                                                                          Zdroj: RRZ</w:t>
            </w:r>
          </w:p>
        </w:tc>
      </w:tr>
    </w:tbl>
    <w:p w14:paraId="7B4DD1B6" w14:textId="77777777" w:rsidR="000833C6" w:rsidRPr="00321634" w:rsidRDefault="000833C6" w:rsidP="000833C6">
      <w:pPr>
        <w:rPr>
          <w:sz w:val="22"/>
          <w:szCs w:val="22"/>
        </w:rPr>
      </w:pPr>
    </w:p>
    <w:p w14:paraId="73733929" w14:textId="61BB786E" w:rsidR="000833C6" w:rsidRDefault="000833C6" w:rsidP="000833C6">
      <w:pPr>
        <w:jc w:val="both"/>
      </w:pPr>
      <w:r>
        <w:rPr>
          <w:sz w:val="22"/>
          <w:szCs w:val="22"/>
        </w:rPr>
        <w:t>Na základe stanoveného plánovaného štrukturálneho salda v rokoch 2023 až 2025 a dodatočných údajov z ministerstva financií a Výboru pre daňové prognózy</w:t>
      </w:r>
      <w:r>
        <w:rPr>
          <w:rStyle w:val="FootnoteReference"/>
          <w:sz w:val="22"/>
          <w:szCs w:val="22"/>
        </w:rPr>
        <w:footnoteReference w:id="15"/>
      </w:r>
      <w:r>
        <w:rPr>
          <w:sz w:val="22"/>
          <w:szCs w:val="22"/>
        </w:rPr>
        <w:t xml:space="preserve"> Rada vypočítala limit verejných výdavkov na roky 2023 až 2025 (</w:t>
      </w:r>
      <w:r w:rsidR="00820152">
        <w:rPr>
          <w:color w:val="13B5EA"/>
          <w:sz w:val="22"/>
          <w:szCs w:val="22"/>
        </w:rPr>
        <w:t>Tab</w:t>
      </w:r>
      <w:r w:rsidRPr="006B6810">
        <w:rPr>
          <w:color w:val="13B5EA"/>
          <w:sz w:val="22"/>
          <w:szCs w:val="22"/>
        </w:rPr>
        <w:t xml:space="preserve"> </w:t>
      </w:r>
      <w:r w:rsidR="00CC3C85">
        <w:rPr>
          <w:color w:val="13B5EA"/>
          <w:sz w:val="22"/>
          <w:szCs w:val="22"/>
        </w:rPr>
        <w:t>7</w:t>
      </w:r>
      <w:r>
        <w:rPr>
          <w:sz w:val="22"/>
          <w:szCs w:val="22"/>
        </w:rPr>
        <w:t>).</w:t>
      </w:r>
    </w:p>
    <w:p w14:paraId="0405F838" w14:textId="354B0B27" w:rsidR="000833C6" w:rsidRDefault="000833C6" w:rsidP="000833C6"/>
    <w:tbl>
      <w:tblPr>
        <w:tblW w:w="9072" w:type="dxa"/>
        <w:tblLook w:val="04A0" w:firstRow="1" w:lastRow="0" w:firstColumn="1" w:lastColumn="0" w:noHBand="0" w:noVBand="1"/>
      </w:tblPr>
      <w:tblGrid>
        <w:gridCol w:w="4883"/>
        <w:gridCol w:w="1396"/>
        <w:gridCol w:w="1397"/>
        <w:gridCol w:w="1396"/>
      </w:tblGrid>
      <w:tr w:rsidR="00320F70" w:rsidRPr="00320F70" w14:paraId="6C8408C1" w14:textId="77777777" w:rsidTr="00114DEE">
        <w:trPr>
          <w:trHeight w:val="300"/>
        </w:trPr>
        <w:tc>
          <w:tcPr>
            <w:tcW w:w="9217" w:type="dxa"/>
            <w:gridSpan w:val="4"/>
            <w:tcBorders>
              <w:top w:val="nil"/>
              <w:left w:val="nil"/>
              <w:bottom w:val="nil"/>
              <w:right w:val="nil"/>
            </w:tcBorders>
            <w:shd w:val="clear" w:color="auto" w:fill="auto"/>
            <w:noWrap/>
            <w:vAlign w:val="center"/>
            <w:hideMark/>
          </w:tcPr>
          <w:p w14:paraId="3934CAB2" w14:textId="3DC3381F" w:rsidR="00320F70" w:rsidRPr="00114DEE" w:rsidRDefault="00320F70" w:rsidP="00320F70">
            <w:pPr>
              <w:widowControl/>
              <w:suppressAutoHyphens w:val="0"/>
              <w:rPr>
                <w:rFonts w:eastAsia="Times New Roman" w:cs="Times New Roman"/>
                <w:b/>
                <w:color w:val="13B5EA"/>
                <w:kern w:val="0"/>
                <w:sz w:val="20"/>
                <w:szCs w:val="20"/>
                <w:lang w:eastAsia="en-US" w:bidi="ar-SA"/>
              </w:rPr>
            </w:pPr>
            <w:r w:rsidRPr="00114DEE">
              <w:rPr>
                <w:rFonts w:eastAsia="Times New Roman" w:cs="Times New Roman"/>
                <w:b/>
                <w:color w:val="13B5EA"/>
                <w:kern w:val="0"/>
                <w:sz w:val="20"/>
                <w:szCs w:val="20"/>
                <w:lang w:eastAsia="en-US" w:bidi="ar-SA"/>
              </w:rPr>
              <w:t xml:space="preserve">Tab </w:t>
            </w:r>
            <w:r w:rsidR="00CC3C85">
              <w:rPr>
                <w:rFonts w:eastAsia="Times New Roman" w:cs="Times New Roman"/>
                <w:b/>
                <w:color w:val="13B5EA"/>
                <w:kern w:val="0"/>
                <w:sz w:val="20"/>
                <w:szCs w:val="20"/>
                <w:lang w:eastAsia="en-US" w:bidi="ar-SA"/>
              </w:rPr>
              <w:t>7</w:t>
            </w:r>
            <w:r w:rsidRPr="00114DEE">
              <w:rPr>
                <w:rFonts w:eastAsia="Times New Roman" w:cs="Times New Roman"/>
                <w:b/>
                <w:color w:val="13B5EA"/>
                <w:kern w:val="0"/>
                <w:sz w:val="20"/>
                <w:szCs w:val="20"/>
                <w:lang w:eastAsia="en-US" w:bidi="ar-SA"/>
              </w:rPr>
              <w:t>: Výpočet limitu verejných výdavkov na roky 2023 až 2025 (eur, ESA 2010)</w:t>
            </w:r>
          </w:p>
        </w:tc>
      </w:tr>
      <w:tr w:rsidR="00320F70" w:rsidRPr="00320F70" w14:paraId="0FCBC0CF" w14:textId="77777777" w:rsidTr="002D5732">
        <w:trPr>
          <w:trHeight w:val="300"/>
        </w:trPr>
        <w:tc>
          <w:tcPr>
            <w:tcW w:w="4965" w:type="dxa"/>
            <w:tcBorders>
              <w:top w:val="nil"/>
              <w:left w:val="nil"/>
              <w:right w:val="nil"/>
            </w:tcBorders>
            <w:shd w:val="clear" w:color="000000" w:fill="13B5EA"/>
            <w:noWrap/>
            <w:vAlign w:val="center"/>
            <w:hideMark/>
          </w:tcPr>
          <w:p w14:paraId="3A6F30BE" w14:textId="77777777" w:rsidR="00320F70" w:rsidRPr="00114DEE" w:rsidRDefault="00320F70" w:rsidP="00320F70">
            <w:pPr>
              <w:widowControl/>
              <w:suppressAutoHyphens w:val="0"/>
              <w:rPr>
                <w:rFonts w:eastAsia="Times New Roman" w:cs="Times New Roman"/>
                <w:b/>
                <w:color w:val="FFFFFF"/>
                <w:kern w:val="0"/>
                <w:sz w:val="18"/>
                <w:szCs w:val="18"/>
                <w:lang w:eastAsia="en-US" w:bidi="ar-SA"/>
              </w:rPr>
            </w:pPr>
            <w:r w:rsidRPr="00114DEE">
              <w:rPr>
                <w:rFonts w:eastAsia="Times New Roman" w:cs="Times New Roman"/>
                <w:b/>
                <w:color w:val="FFFFFF"/>
                <w:kern w:val="0"/>
                <w:sz w:val="18"/>
                <w:szCs w:val="18"/>
                <w:lang w:eastAsia="en-US" w:bidi="ar-SA"/>
              </w:rPr>
              <w:t> </w:t>
            </w:r>
          </w:p>
        </w:tc>
        <w:tc>
          <w:tcPr>
            <w:tcW w:w="1417" w:type="dxa"/>
            <w:tcBorders>
              <w:top w:val="nil"/>
              <w:left w:val="nil"/>
              <w:right w:val="nil"/>
            </w:tcBorders>
            <w:shd w:val="clear" w:color="000000" w:fill="13B5EA"/>
            <w:noWrap/>
            <w:vAlign w:val="center"/>
            <w:hideMark/>
          </w:tcPr>
          <w:p w14:paraId="56ADADE2" w14:textId="77777777" w:rsidR="00320F70" w:rsidRPr="00114DEE" w:rsidRDefault="00320F70" w:rsidP="00320F70">
            <w:pPr>
              <w:widowControl/>
              <w:suppressAutoHyphens w:val="0"/>
              <w:jc w:val="right"/>
              <w:rPr>
                <w:rFonts w:eastAsia="Times New Roman" w:cs="Times New Roman"/>
                <w:b/>
                <w:color w:val="FFFFFF"/>
                <w:kern w:val="0"/>
                <w:sz w:val="18"/>
                <w:szCs w:val="18"/>
                <w:lang w:eastAsia="en-US" w:bidi="ar-SA"/>
              </w:rPr>
            </w:pPr>
            <w:r w:rsidRPr="00114DEE">
              <w:rPr>
                <w:rFonts w:eastAsia="Times New Roman" w:cs="Times New Roman"/>
                <w:b/>
                <w:color w:val="FFFFFF"/>
                <w:kern w:val="0"/>
                <w:sz w:val="18"/>
                <w:szCs w:val="18"/>
                <w:lang w:eastAsia="en-US" w:bidi="ar-SA"/>
              </w:rPr>
              <w:t>2023</w:t>
            </w:r>
          </w:p>
        </w:tc>
        <w:tc>
          <w:tcPr>
            <w:tcW w:w="1418" w:type="dxa"/>
            <w:tcBorders>
              <w:top w:val="nil"/>
              <w:left w:val="nil"/>
              <w:right w:val="nil"/>
            </w:tcBorders>
            <w:shd w:val="clear" w:color="000000" w:fill="13B5EA"/>
            <w:noWrap/>
            <w:vAlign w:val="center"/>
            <w:hideMark/>
          </w:tcPr>
          <w:p w14:paraId="5FF48E2B" w14:textId="77777777" w:rsidR="00320F70" w:rsidRPr="00114DEE" w:rsidRDefault="00320F70" w:rsidP="00320F70">
            <w:pPr>
              <w:widowControl/>
              <w:suppressAutoHyphens w:val="0"/>
              <w:jc w:val="right"/>
              <w:rPr>
                <w:rFonts w:eastAsia="Times New Roman" w:cs="Times New Roman"/>
                <w:b/>
                <w:color w:val="FFFFFF"/>
                <w:kern w:val="0"/>
                <w:sz w:val="18"/>
                <w:szCs w:val="18"/>
                <w:lang w:eastAsia="en-US" w:bidi="ar-SA"/>
              </w:rPr>
            </w:pPr>
            <w:r w:rsidRPr="00114DEE">
              <w:rPr>
                <w:rFonts w:eastAsia="Times New Roman" w:cs="Times New Roman"/>
                <w:b/>
                <w:color w:val="FFFFFF"/>
                <w:kern w:val="0"/>
                <w:sz w:val="18"/>
                <w:szCs w:val="18"/>
                <w:lang w:eastAsia="en-US" w:bidi="ar-SA"/>
              </w:rPr>
              <w:t>2024</w:t>
            </w:r>
          </w:p>
        </w:tc>
        <w:tc>
          <w:tcPr>
            <w:tcW w:w="1417" w:type="dxa"/>
            <w:tcBorders>
              <w:top w:val="nil"/>
              <w:left w:val="nil"/>
              <w:right w:val="nil"/>
            </w:tcBorders>
            <w:shd w:val="clear" w:color="000000" w:fill="13B5EA"/>
            <w:noWrap/>
            <w:vAlign w:val="center"/>
            <w:hideMark/>
          </w:tcPr>
          <w:p w14:paraId="43FEE402" w14:textId="77777777" w:rsidR="00320F70" w:rsidRPr="00114DEE" w:rsidRDefault="00320F70" w:rsidP="00320F70">
            <w:pPr>
              <w:widowControl/>
              <w:suppressAutoHyphens w:val="0"/>
              <w:jc w:val="right"/>
              <w:rPr>
                <w:rFonts w:eastAsia="Times New Roman" w:cs="Times New Roman"/>
                <w:b/>
                <w:color w:val="FFFFFF"/>
                <w:kern w:val="0"/>
                <w:sz w:val="18"/>
                <w:szCs w:val="18"/>
                <w:lang w:eastAsia="en-US" w:bidi="ar-SA"/>
              </w:rPr>
            </w:pPr>
            <w:r w:rsidRPr="00114DEE">
              <w:rPr>
                <w:rFonts w:eastAsia="Times New Roman" w:cs="Times New Roman"/>
                <w:b/>
                <w:color w:val="FFFFFF"/>
                <w:kern w:val="0"/>
                <w:sz w:val="18"/>
                <w:szCs w:val="18"/>
                <w:lang w:eastAsia="en-US" w:bidi="ar-SA"/>
              </w:rPr>
              <w:t>2025</w:t>
            </w:r>
          </w:p>
        </w:tc>
      </w:tr>
      <w:tr w:rsidR="00320F70" w:rsidRPr="00320F70" w14:paraId="27EEA4C3" w14:textId="77777777" w:rsidTr="002D5732">
        <w:trPr>
          <w:trHeight w:val="300"/>
        </w:trPr>
        <w:tc>
          <w:tcPr>
            <w:tcW w:w="4965" w:type="dxa"/>
            <w:tcBorders>
              <w:top w:val="nil"/>
              <w:bottom w:val="nil"/>
              <w:right w:val="nil"/>
            </w:tcBorders>
            <w:shd w:val="clear" w:color="auto" w:fill="auto"/>
            <w:noWrap/>
            <w:vAlign w:val="center"/>
            <w:hideMark/>
          </w:tcPr>
          <w:p w14:paraId="16B079CD" w14:textId="77777777" w:rsidR="00320F70" w:rsidRPr="00114DEE" w:rsidRDefault="00320F70" w:rsidP="00320F7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Plánované štrukturálne saldo VS</w:t>
            </w:r>
          </w:p>
        </w:tc>
        <w:tc>
          <w:tcPr>
            <w:tcW w:w="1417" w:type="dxa"/>
            <w:tcBorders>
              <w:top w:val="nil"/>
              <w:left w:val="nil"/>
              <w:bottom w:val="nil"/>
              <w:right w:val="nil"/>
            </w:tcBorders>
            <w:shd w:val="clear" w:color="auto" w:fill="auto"/>
            <w:noWrap/>
            <w:vAlign w:val="center"/>
            <w:hideMark/>
          </w:tcPr>
          <w:p w14:paraId="0B3D7495"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-4 203 641 795</w:t>
            </w:r>
          </w:p>
        </w:tc>
        <w:tc>
          <w:tcPr>
            <w:tcW w:w="1418" w:type="dxa"/>
            <w:tcBorders>
              <w:top w:val="nil"/>
              <w:left w:val="nil"/>
              <w:bottom w:val="nil"/>
              <w:right w:val="nil"/>
            </w:tcBorders>
            <w:shd w:val="clear" w:color="auto" w:fill="auto"/>
            <w:noWrap/>
            <w:vAlign w:val="center"/>
            <w:hideMark/>
          </w:tcPr>
          <w:p w14:paraId="4FAE3A11"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-4 728 602 743</w:t>
            </w:r>
          </w:p>
        </w:tc>
        <w:tc>
          <w:tcPr>
            <w:tcW w:w="1417" w:type="dxa"/>
            <w:tcBorders>
              <w:top w:val="nil"/>
              <w:left w:val="nil"/>
              <w:bottom w:val="nil"/>
              <w:right w:val="nil"/>
            </w:tcBorders>
            <w:shd w:val="clear" w:color="auto" w:fill="auto"/>
            <w:noWrap/>
            <w:vAlign w:val="center"/>
            <w:hideMark/>
          </w:tcPr>
          <w:p w14:paraId="69F67205"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-4 315 331 350</w:t>
            </w:r>
          </w:p>
        </w:tc>
      </w:tr>
      <w:tr w:rsidR="00320F70" w:rsidRPr="00320F70" w14:paraId="1FAEAEFD" w14:textId="77777777" w:rsidTr="002D5732">
        <w:trPr>
          <w:trHeight w:val="300"/>
        </w:trPr>
        <w:tc>
          <w:tcPr>
            <w:tcW w:w="4965" w:type="dxa"/>
            <w:tcBorders>
              <w:top w:val="nil"/>
              <w:bottom w:val="nil"/>
              <w:right w:val="nil"/>
            </w:tcBorders>
            <w:shd w:val="clear" w:color="auto" w:fill="auto"/>
            <w:noWrap/>
            <w:vAlign w:val="center"/>
            <w:hideMark/>
          </w:tcPr>
          <w:p w14:paraId="0933A376" w14:textId="77777777" w:rsidR="00320F70" w:rsidRPr="00114DEE" w:rsidRDefault="00320F70" w:rsidP="00320F7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Konsolidované výdavky na správu dlhu VS</w:t>
            </w:r>
          </w:p>
        </w:tc>
        <w:tc>
          <w:tcPr>
            <w:tcW w:w="1417" w:type="dxa"/>
            <w:tcBorders>
              <w:top w:val="nil"/>
              <w:left w:val="nil"/>
              <w:bottom w:val="nil"/>
              <w:right w:val="nil"/>
            </w:tcBorders>
            <w:shd w:val="clear" w:color="auto" w:fill="auto"/>
            <w:noWrap/>
            <w:vAlign w:val="center"/>
            <w:hideMark/>
          </w:tcPr>
          <w:p w14:paraId="1D129872"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1 304 966 774</w:t>
            </w:r>
          </w:p>
        </w:tc>
        <w:tc>
          <w:tcPr>
            <w:tcW w:w="1418" w:type="dxa"/>
            <w:tcBorders>
              <w:top w:val="nil"/>
              <w:left w:val="nil"/>
              <w:bottom w:val="nil"/>
              <w:right w:val="nil"/>
            </w:tcBorders>
            <w:shd w:val="clear" w:color="auto" w:fill="auto"/>
            <w:noWrap/>
            <w:vAlign w:val="center"/>
            <w:hideMark/>
          </w:tcPr>
          <w:p w14:paraId="6D6F1831"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1 645 060 256</w:t>
            </w:r>
          </w:p>
        </w:tc>
        <w:tc>
          <w:tcPr>
            <w:tcW w:w="1417" w:type="dxa"/>
            <w:tcBorders>
              <w:top w:val="nil"/>
              <w:left w:val="nil"/>
              <w:bottom w:val="nil"/>
              <w:right w:val="nil"/>
            </w:tcBorders>
            <w:shd w:val="clear" w:color="auto" w:fill="auto"/>
            <w:noWrap/>
            <w:vAlign w:val="center"/>
            <w:hideMark/>
          </w:tcPr>
          <w:p w14:paraId="59FFF447"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1 906 490 285</w:t>
            </w:r>
          </w:p>
        </w:tc>
      </w:tr>
      <w:tr w:rsidR="00320F70" w:rsidRPr="00320F70" w14:paraId="59BA38C7" w14:textId="77777777" w:rsidTr="00114DEE">
        <w:trPr>
          <w:trHeight w:val="300"/>
        </w:trPr>
        <w:tc>
          <w:tcPr>
            <w:tcW w:w="4965" w:type="dxa"/>
            <w:tcBorders>
              <w:top w:val="nil"/>
              <w:left w:val="nil"/>
              <w:bottom w:val="nil"/>
              <w:right w:val="nil"/>
            </w:tcBorders>
            <w:shd w:val="clear" w:color="auto" w:fill="auto"/>
            <w:noWrap/>
            <w:vAlign w:val="center"/>
            <w:hideMark/>
          </w:tcPr>
          <w:p w14:paraId="0B7BD27E" w14:textId="77777777" w:rsidR="00320F70" w:rsidRPr="00114DEE" w:rsidRDefault="00320F70" w:rsidP="00320F7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Výdavky zo štátneho rozpočtu na spolufinancovanie</w:t>
            </w:r>
            <w:r w:rsidRPr="00114DEE">
              <w:rPr>
                <w:rFonts w:eastAsia="Times New Roman" w:cs="Times New Roman"/>
                <w:color w:val="13B5EA"/>
                <w:kern w:val="0"/>
                <w:sz w:val="18"/>
                <w:szCs w:val="18"/>
                <w:lang w:eastAsia="en-US" w:bidi="ar-SA"/>
              </w:rPr>
              <w:t>*</w:t>
            </w:r>
          </w:p>
        </w:tc>
        <w:tc>
          <w:tcPr>
            <w:tcW w:w="1417" w:type="dxa"/>
            <w:tcBorders>
              <w:top w:val="nil"/>
              <w:left w:val="nil"/>
              <w:bottom w:val="nil"/>
              <w:right w:val="nil"/>
            </w:tcBorders>
            <w:shd w:val="clear" w:color="auto" w:fill="auto"/>
            <w:noWrap/>
            <w:vAlign w:val="center"/>
            <w:hideMark/>
          </w:tcPr>
          <w:p w14:paraId="2846D031"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1 302 592 333</w:t>
            </w:r>
          </w:p>
        </w:tc>
        <w:tc>
          <w:tcPr>
            <w:tcW w:w="1418" w:type="dxa"/>
            <w:tcBorders>
              <w:top w:val="nil"/>
              <w:left w:val="nil"/>
              <w:bottom w:val="nil"/>
              <w:right w:val="nil"/>
            </w:tcBorders>
            <w:shd w:val="clear" w:color="auto" w:fill="auto"/>
            <w:noWrap/>
            <w:vAlign w:val="center"/>
            <w:hideMark/>
          </w:tcPr>
          <w:p w14:paraId="3FADA5EB"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700 243 922</w:t>
            </w:r>
          </w:p>
        </w:tc>
        <w:tc>
          <w:tcPr>
            <w:tcW w:w="1417" w:type="dxa"/>
            <w:tcBorders>
              <w:top w:val="nil"/>
              <w:left w:val="nil"/>
              <w:bottom w:val="nil"/>
              <w:right w:val="nil"/>
            </w:tcBorders>
            <w:shd w:val="clear" w:color="auto" w:fill="auto"/>
            <w:noWrap/>
            <w:vAlign w:val="center"/>
            <w:hideMark/>
          </w:tcPr>
          <w:p w14:paraId="03C2F21B"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804 072 045</w:t>
            </w:r>
          </w:p>
        </w:tc>
      </w:tr>
      <w:tr w:rsidR="00320F70" w:rsidRPr="00320F70" w14:paraId="2E537998" w14:textId="77777777" w:rsidTr="00114DEE">
        <w:trPr>
          <w:trHeight w:val="300"/>
        </w:trPr>
        <w:tc>
          <w:tcPr>
            <w:tcW w:w="4965" w:type="dxa"/>
            <w:tcBorders>
              <w:top w:val="nil"/>
              <w:left w:val="nil"/>
              <w:bottom w:val="nil"/>
              <w:right w:val="nil"/>
            </w:tcBorders>
            <w:shd w:val="clear" w:color="auto" w:fill="auto"/>
            <w:noWrap/>
            <w:vAlign w:val="center"/>
            <w:hideMark/>
          </w:tcPr>
          <w:p w14:paraId="58211B0F" w14:textId="77777777" w:rsidR="00320F70" w:rsidRPr="00114DEE" w:rsidRDefault="00320F70" w:rsidP="00320F7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Odvody Európskej únii</w:t>
            </w:r>
          </w:p>
        </w:tc>
        <w:tc>
          <w:tcPr>
            <w:tcW w:w="1417" w:type="dxa"/>
            <w:tcBorders>
              <w:top w:val="nil"/>
              <w:left w:val="nil"/>
              <w:bottom w:val="nil"/>
              <w:right w:val="nil"/>
            </w:tcBorders>
            <w:shd w:val="clear" w:color="auto" w:fill="auto"/>
            <w:noWrap/>
            <w:vAlign w:val="center"/>
            <w:hideMark/>
          </w:tcPr>
          <w:p w14:paraId="0917F674"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1 027 581 000</w:t>
            </w:r>
          </w:p>
        </w:tc>
        <w:tc>
          <w:tcPr>
            <w:tcW w:w="1418" w:type="dxa"/>
            <w:tcBorders>
              <w:top w:val="nil"/>
              <w:left w:val="nil"/>
              <w:bottom w:val="nil"/>
              <w:right w:val="nil"/>
            </w:tcBorders>
            <w:shd w:val="clear" w:color="auto" w:fill="auto"/>
            <w:noWrap/>
            <w:vAlign w:val="center"/>
            <w:hideMark/>
          </w:tcPr>
          <w:p w14:paraId="7756781C"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1 049 205 000</w:t>
            </w:r>
          </w:p>
        </w:tc>
        <w:tc>
          <w:tcPr>
            <w:tcW w:w="1417" w:type="dxa"/>
            <w:tcBorders>
              <w:top w:val="nil"/>
              <w:left w:val="nil"/>
              <w:bottom w:val="nil"/>
              <w:right w:val="nil"/>
            </w:tcBorders>
            <w:shd w:val="clear" w:color="auto" w:fill="auto"/>
            <w:noWrap/>
            <w:vAlign w:val="center"/>
            <w:hideMark/>
          </w:tcPr>
          <w:p w14:paraId="4B4ABE4F"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1 098 920 000</w:t>
            </w:r>
          </w:p>
        </w:tc>
      </w:tr>
      <w:tr w:rsidR="00320F70" w:rsidRPr="00320F70" w14:paraId="21ED9EF0" w14:textId="77777777" w:rsidTr="002D5732">
        <w:trPr>
          <w:trHeight w:val="300"/>
        </w:trPr>
        <w:tc>
          <w:tcPr>
            <w:tcW w:w="4965" w:type="dxa"/>
            <w:tcBorders>
              <w:top w:val="nil"/>
              <w:bottom w:val="nil"/>
              <w:right w:val="nil"/>
            </w:tcBorders>
            <w:shd w:val="clear" w:color="auto" w:fill="auto"/>
            <w:noWrap/>
            <w:vAlign w:val="center"/>
            <w:hideMark/>
          </w:tcPr>
          <w:p w14:paraId="536C929C" w14:textId="77777777" w:rsidR="00320F70" w:rsidRPr="00114DEE" w:rsidRDefault="00320F70" w:rsidP="00320F7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Predpokladaný výsledok hospodárenia územnej samosprávy</w:t>
            </w:r>
          </w:p>
        </w:tc>
        <w:tc>
          <w:tcPr>
            <w:tcW w:w="1417" w:type="dxa"/>
            <w:tcBorders>
              <w:top w:val="nil"/>
              <w:left w:val="nil"/>
              <w:bottom w:val="nil"/>
              <w:right w:val="nil"/>
            </w:tcBorders>
            <w:shd w:val="clear" w:color="auto" w:fill="auto"/>
            <w:noWrap/>
            <w:vAlign w:val="center"/>
            <w:hideMark/>
          </w:tcPr>
          <w:p w14:paraId="07415513"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-113 378 927</w:t>
            </w:r>
          </w:p>
        </w:tc>
        <w:tc>
          <w:tcPr>
            <w:tcW w:w="1418" w:type="dxa"/>
            <w:tcBorders>
              <w:top w:val="nil"/>
              <w:left w:val="nil"/>
              <w:bottom w:val="nil"/>
              <w:right w:val="nil"/>
            </w:tcBorders>
            <w:shd w:val="clear" w:color="auto" w:fill="auto"/>
            <w:noWrap/>
            <w:vAlign w:val="center"/>
            <w:hideMark/>
          </w:tcPr>
          <w:p w14:paraId="70696AAE"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-266 092 226</w:t>
            </w:r>
          </w:p>
        </w:tc>
        <w:tc>
          <w:tcPr>
            <w:tcW w:w="1417" w:type="dxa"/>
            <w:tcBorders>
              <w:top w:val="nil"/>
              <w:left w:val="nil"/>
              <w:bottom w:val="nil"/>
              <w:right w:val="nil"/>
            </w:tcBorders>
            <w:shd w:val="clear" w:color="auto" w:fill="auto"/>
            <w:noWrap/>
            <w:vAlign w:val="center"/>
            <w:hideMark/>
          </w:tcPr>
          <w:p w14:paraId="172E7892"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-44 024 680</w:t>
            </w:r>
          </w:p>
        </w:tc>
      </w:tr>
      <w:tr w:rsidR="00320F70" w:rsidRPr="00320F70" w14:paraId="1B787396" w14:textId="77777777" w:rsidTr="00114DEE">
        <w:trPr>
          <w:trHeight w:val="300"/>
        </w:trPr>
        <w:tc>
          <w:tcPr>
            <w:tcW w:w="4965" w:type="dxa"/>
            <w:tcBorders>
              <w:top w:val="nil"/>
              <w:left w:val="nil"/>
              <w:bottom w:val="nil"/>
              <w:right w:val="nil"/>
            </w:tcBorders>
            <w:shd w:val="clear" w:color="auto" w:fill="auto"/>
            <w:noWrap/>
            <w:vAlign w:val="center"/>
            <w:hideMark/>
          </w:tcPr>
          <w:p w14:paraId="33F72C8A" w14:textId="77777777" w:rsidR="00320F70" w:rsidRPr="00114DEE" w:rsidRDefault="00320F70" w:rsidP="00320F7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Predpokladané konsolidované daňové príjmy bez jednorazových, cyklu a samospráv</w:t>
            </w:r>
          </w:p>
        </w:tc>
        <w:tc>
          <w:tcPr>
            <w:tcW w:w="1417" w:type="dxa"/>
            <w:tcBorders>
              <w:top w:val="nil"/>
              <w:left w:val="nil"/>
              <w:right w:val="nil"/>
            </w:tcBorders>
            <w:shd w:val="clear" w:color="auto" w:fill="auto"/>
            <w:noWrap/>
            <w:vAlign w:val="center"/>
            <w:hideMark/>
          </w:tcPr>
          <w:p w14:paraId="2C746B52"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37 758 057 838</w:t>
            </w:r>
          </w:p>
        </w:tc>
        <w:tc>
          <w:tcPr>
            <w:tcW w:w="1418" w:type="dxa"/>
            <w:tcBorders>
              <w:top w:val="nil"/>
              <w:left w:val="nil"/>
              <w:right w:val="nil"/>
            </w:tcBorders>
            <w:shd w:val="clear" w:color="auto" w:fill="auto"/>
            <w:noWrap/>
            <w:vAlign w:val="center"/>
            <w:hideMark/>
          </w:tcPr>
          <w:p w14:paraId="094603AE"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40 241 810 335</w:t>
            </w:r>
          </w:p>
        </w:tc>
        <w:tc>
          <w:tcPr>
            <w:tcW w:w="1417" w:type="dxa"/>
            <w:tcBorders>
              <w:top w:val="nil"/>
              <w:left w:val="nil"/>
              <w:right w:val="nil"/>
            </w:tcBorders>
            <w:shd w:val="clear" w:color="auto" w:fill="auto"/>
            <w:noWrap/>
            <w:vAlign w:val="center"/>
            <w:hideMark/>
          </w:tcPr>
          <w:p w14:paraId="5E07EA59"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42 113 745 137</w:t>
            </w:r>
          </w:p>
        </w:tc>
      </w:tr>
      <w:tr w:rsidR="00320F70" w:rsidRPr="00320F70" w14:paraId="7D29373C" w14:textId="77777777" w:rsidTr="00114DEE">
        <w:trPr>
          <w:trHeight w:val="300"/>
        </w:trPr>
        <w:tc>
          <w:tcPr>
            <w:tcW w:w="4965" w:type="dxa"/>
            <w:tcBorders>
              <w:top w:val="nil"/>
              <w:left w:val="nil"/>
              <w:bottom w:val="nil"/>
            </w:tcBorders>
            <w:shd w:val="clear" w:color="auto" w:fill="auto"/>
            <w:noWrap/>
            <w:vAlign w:val="center"/>
            <w:hideMark/>
          </w:tcPr>
          <w:p w14:paraId="76F70274" w14:textId="77777777" w:rsidR="00320F70" w:rsidRPr="00114DEE" w:rsidRDefault="00320F70" w:rsidP="00320F70">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Predpokladané konsolidované nedaňové príjmy bez jednorazových, EU fondov, POO a samospráv</w:t>
            </w:r>
          </w:p>
        </w:tc>
        <w:tc>
          <w:tcPr>
            <w:tcW w:w="1417" w:type="dxa"/>
            <w:tcBorders>
              <w:top w:val="nil"/>
              <w:bottom w:val="nil"/>
              <w:right w:val="nil"/>
            </w:tcBorders>
            <w:shd w:val="clear" w:color="auto" w:fill="auto"/>
            <w:vAlign w:val="center"/>
          </w:tcPr>
          <w:p w14:paraId="4513A85A" w14:textId="6FF6F2BB" w:rsidR="00320F70" w:rsidRPr="00320F70" w:rsidRDefault="00320F70" w:rsidP="00114DEE">
            <w:pPr>
              <w:widowControl/>
              <w:suppressAutoHyphens w:val="0"/>
              <w:jc w:val="right"/>
              <w:rPr>
                <w:rFonts w:eastAsia="Times New Roman" w:cs="Times New Roman"/>
                <w:color w:val="000000"/>
                <w:kern w:val="0"/>
                <w:sz w:val="18"/>
                <w:szCs w:val="18"/>
                <w:lang w:eastAsia="en-US" w:bidi="ar-SA"/>
              </w:rPr>
            </w:pPr>
            <w:r w:rsidRPr="00114DEE">
              <w:rPr>
                <w:rFonts w:cs="Times New Roman"/>
                <w:color w:val="000000"/>
                <w:sz w:val="18"/>
                <w:szCs w:val="18"/>
              </w:rPr>
              <w:t>3 107 974 342</w:t>
            </w:r>
          </w:p>
        </w:tc>
        <w:tc>
          <w:tcPr>
            <w:tcW w:w="1418" w:type="dxa"/>
            <w:tcBorders>
              <w:top w:val="nil"/>
              <w:left w:val="nil"/>
              <w:bottom w:val="nil"/>
              <w:right w:val="nil"/>
            </w:tcBorders>
            <w:shd w:val="clear" w:color="auto" w:fill="auto"/>
            <w:noWrap/>
            <w:vAlign w:val="center"/>
          </w:tcPr>
          <w:p w14:paraId="7D26087C" w14:textId="6FCAD3E3"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cs="Times New Roman"/>
                <w:color w:val="000000"/>
                <w:sz w:val="18"/>
                <w:szCs w:val="18"/>
              </w:rPr>
              <w:t>2 999 288 088</w:t>
            </w:r>
          </w:p>
        </w:tc>
        <w:tc>
          <w:tcPr>
            <w:tcW w:w="1417" w:type="dxa"/>
            <w:tcBorders>
              <w:top w:val="nil"/>
              <w:left w:val="nil"/>
              <w:bottom w:val="nil"/>
              <w:right w:val="nil"/>
            </w:tcBorders>
            <w:shd w:val="clear" w:color="auto" w:fill="auto"/>
            <w:noWrap/>
            <w:vAlign w:val="center"/>
          </w:tcPr>
          <w:p w14:paraId="37207010" w14:textId="532F914B"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cs="Times New Roman"/>
                <w:color w:val="000000"/>
                <w:sz w:val="18"/>
                <w:szCs w:val="18"/>
              </w:rPr>
              <w:t>3 045 913 454</w:t>
            </w:r>
          </w:p>
        </w:tc>
      </w:tr>
      <w:tr w:rsidR="00320F70" w:rsidRPr="00320F70" w14:paraId="4D936B24" w14:textId="77777777" w:rsidTr="00114DEE">
        <w:trPr>
          <w:trHeight w:val="300"/>
        </w:trPr>
        <w:tc>
          <w:tcPr>
            <w:tcW w:w="4965" w:type="dxa"/>
            <w:tcBorders>
              <w:top w:val="nil"/>
              <w:left w:val="nil"/>
              <w:bottom w:val="single" w:sz="4" w:space="0" w:color="13B5EA"/>
              <w:right w:val="nil"/>
            </w:tcBorders>
            <w:shd w:val="clear" w:color="auto" w:fill="auto"/>
            <w:noWrap/>
            <w:vAlign w:val="center"/>
            <w:hideMark/>
          </w:tcPr>
          <w:p w14:paraId="3138F434" w14:textId="7DEE7C00" w:rsidR="00320F70" w:rsidRPr="00114DEE" w:rsidRDefault="00320F70" w:rsidP="00320F70">
            <w:pPr>
              <w:widowControl/>
              <w:suppressAutoHyphens w:val="0"/>
              <w:rPr>
                <w:rFonts w:eastAsia="Times New Roman" w:cs="Times New Roman"/>
                <w:b/>
                <w:color w:val="13B5EA"/>
                <w:kern w:val="0"/>
                <w:sz w:val="18"/>
                <w:szCs w:val="18"/>
                <w:lang w:eastAsia="en-US" w:bidi="ar-SA"/>
              </w:rPr>
            </w:pPr>
            <w:r w:rsidRPr="00114DEE">
              <w:rPr>
                <w:rFonts w:eastAsia="Times New Roman" w:cs="Times New Roman"/>
                <w:b/>
                <w:color w:val="13B5EA"/>
                <w:kern w:val="0"/>
                <w:sz w:val="18"/>
                <w:szCs w:val="18"/>
                <w:lang w:eastAsia="en-US" w:bidi="ar-SA"/>
              </w:rPr>
              <w:t xml:space="preserve">Limit verejných výdavkov (podľa </w:t>
            </w:r>
            <w:r w:rsidR="002075A2">
              <w:rPr>
                <w:rFonts w:eastAsia="Times New Roman" w:cs="Times New Roman"/>
                <w:b/>
                <w:color w:val="13B5EA"/>
                <w:kern w:val="0"/>
                <w:sz w:val="18"/>
                <w:szCs w:val="18"/>
                <w:lang w:eastAsia="en-US" w:bidi="ar-SA"/>
              </w:rPr>
              <w:t xml:space="preserve">§30aa, </w:t>
            </w:r>
            <w:r w:rsidRPr="00114DEE">
              <w:rPr>
                <w:rFonts w:eastAsia="Times New Roman" w:cs="Times New Roman"/>
                <w:b/>
                <w:color w:val="13B5EA"/>
                <w:kern w:val="0"/>
                <w:sz w:val="18"/>
                <w:szCs w:val="18"/>
                <w:lang w:eastAsia="en-US" w:bidi="ar-SA"/>
              </w:rPr>
              <w:t>ods. 3)</w:t>
            </w:r>
          </w:p>
        </w:tc>
        <w:tc>
          <w:tcPr>
            <w:tcW w:w="1417" w:type="dxa"/>
            <w:tcBorders>
              <w:top w:val="nil"/>
              <w:left w:val="nil"/>
              <w:bottom w:val="single" w:sz="4" w:space="0" w:color="13B5EA"/>
              <w:right w:val="nil"/>
            </w:tcBorders>
            <w:shd w:val="clear" w:color="auto" w:fill="auto"/>
            <w:noWrap/>
            <w:vAlign w:val="center"/>
            <w:hideMark/>
          </w:tcPr>
          <w:p w14:paraId="70FD4F05" w14:textId="77777777" w:rsidR="00320F70" w:rsidRPr="00114DEE" w:rsidRDefault="00320F70" w:rsidP="00320F70">
            <w:pPr>
              <w:widowControl/>
              <w:suppressAutoHyphens w:val="0"/>
              <w:jc w:val="right"/>
              <w:rPr>
                <w:rFonts w:eastAsia="Times New Roman" w:cs="Times New Roman"/>
                <w:b/>
                <w:color w:val="13B5EA"/>
                <w:kern w:val="0"/>
                <w:sz w:val="18"/>
                <w:szCs w:val="18"/>
                <w:lang w:eastAsia="en-US" w:bidi="ar-SA"/>
              </w:rPr>
            </w:pPr>
            <w:r w:rsidRPr="00114DEE">
              <w:rPr>
                <w:rFonts w:eastAsia="Times New Roman" w:cs="Times New Roman"/>
                <w:b/>
                <w:color w:val="13B5EA"/>
                <w:kern w:val="0"/>
                <w:sz w:val="18"/>
                <w:szCs w:val="18"/>
                <w:lang w:eastAsia="en-US" w:bidi="ar-SA"/>
              </w:rPr>
              <w:t>41 321 154 940</w:t>
            </w:r>
          </w:p>
        </w:tc>
        <w:tc>
          <w:tcPr>
            <w:tcW w:w="1418" w:type="dxa"/>
            <w:tcBorders>
              <w:top w:val="nil"/>
              <w:left w:val="nil"/>
              <w:bottom w:val="single" w:sz="4" w:space="0" w:color="13B5EA"/>
              <w:right w:val="nil"/>
            </w:tcBorders>
            <w:shd w:val="clear" w:color="auto" w:fill="auto"/>
            <w:noWrap/>
            <w:vAlign w:val="center"/>
            <w:hideMark/>
          </w:tcPr>
          <w:p w14:paraId="40CD74BE" w14:textId="77777777" w:rsidR="00320F70" w:rsidRPr="00114DEE" w:rsidRDefault="00320F70" w:rsidP="00320F70">
            <w:pPr>
              <w:widowControl/>
              <w:suppressAutoHyphens w:val="0"/>
              <w:jc w:val="right"/>
              <w:rPr>
                <w:rFonts w:eastAsia="Times New Roman" w:cs="Times New Roman"/>
                <w:b/>
                <w:color w:val="13B5EA"/>
                <w:kern w:val="0"/>
                <w:sz w:val="18"/>
                <w:szCs w:val="18"/>
                <w:lang w:eastAsia="en-US" w:bidi="ar-SA"/>
              </w:rPr>
            </w:pPr>
            <w:r w:rsidRPr="00114DEE">
              <w:rPr>
                <w:rFonts w:eastAsia="Times New Roman" w:cs="Times New Roman"/>
                <w:b/>
                <w:color w:val="13B5EA"/>
                <w:kern w:val="0"/>
                <w:sz w:val="18"/>
                <w:szCs w:val="18"/>
                <w:lang w:eastAsia="en-US" w:bidi="ar-SA"/>
              </w:rPr>
              <w:t>44 309 099 762</w:t>
            </w:r>
          </w:p>
        </w:tc>
        <w:tc>
          <w:tcPr>
            <w:tcW w:w="1417" w:type="dxa"/>
            <w:tcBorders>
              <w:top w:val="nil"/>
              <w:left w:val="nil"/>
              <w:bottom w:val="single" w:sz="4" w:space="0" w:color="13B5EA"/>
              <w:right w:val="nil"/>
            </w:tcBorders>
            <w:shd w:val="clear" w:color="auto" w:fill="auto"/>
            <w:noWrap/>
            <w:vAlign w:val="center"/>
            <w:hideMark/>
          </w:tcPr>
          <w:p w14:paraId="250475AA" w14:textId="77777777" w:rsidR="00320F70" w:rsidRPr="00114DEE" w:rsidRDefault="00320F70" w:rsidP="00320F70">
            <w:pPr>
              <w:widowControl/>
              <w:suppressAutoHyphens w:val="0"/>
              <w:jc w:val="right"/>
              <w:rPr>
                <w:rFonts w:eastAsia="Times New Roman" w:cs="Times New Roman"/>
                <w:b/>
                <w:color w:val="13B5EA"/>
                <w:kern w:val="0"/>
                <w:sz w:val="18"/>
                <w:szCs w:val="18"/>
                <w:lang w:eastAsia="en-US" w:bidi="ar-SA"/>
              </w:rPr>
            </w:pPr>
            <w:r w:rsidRPr="00114DEE">
              <w:rPr>
                <w:rFonts w:eastAsia="Times New Roman" w:cs="Times New Roman"/>
                <w:b/>
                <w:color w:val="13B5EA"/>
                <w:kern w:val="0"/>
                <w:sz w:val="18"/>
                <w:szCs w:val="18"/>
                <w:lang w:eastAsia="en-US" w:bidi="ar-SA"/>
              </w:rPr>
              <w:t>45 621 482 931</w:t>
            </w:r>
          </w:p>
        </w:tc>
      </w:tr>
      <w:tr w:rsidR="00320F70" w:rsidRPr="00320F70" w14:paraId="0A2AA0A7" w14:textId="77777777" w:rsidTr="00114DEE">
        <w:trPr>
          <w:trHeight w:val="300"/>
        </w:trPr>
        <w:tc>
          <w:tcPr>
            <w:tcW w:w="4965" w:type="dxa"/>
            <w:tcBorders>
              <w:top w:val="nil"/>
              <w:left w:val="nil"/>
              <w:bottom w:val="nil"/>
              <w:right w:val="nil"/>
            </w:tcBorders>
            <w:shd w:val="clear" w:color="auto" w:fill="auto"/>
            <w:noWrap/>
            <w:vAlign w:val="center"/>
            <w:hideMark/>
          </w:tcPr>
          <w:p w14:paraId="2B8232AD" w14:textId="77777777" w:rsidR="00320F70" w:rsidRPr="00114DEE" w:rsidRDefault="00320F70" w:rsidP="00320F70">
            <w:pPr>
              <w:widowControl/>
              <w:suppressAutoHyphens w:val="0"/>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Jednorazové výdavky mimo limitu zahrnuté v podkladových údajoch</w:t>
            </w:r>
          </w:p>
        </w:tc>
        <w:tc>
          <w:tcPr>
            <w:tcW w:w="1417" w:type="dxa"/>
            <w:tcBorders>
              <w:top w:val="nil"/>
              <w:left w:val="nil"/>
              <w:bottom w:val="nil"/>
              <w:right w:val="nil"/>
            </w:tcBorders>
            <w:shd w:val="clear" w:color="auto" w:fill="auto"/>
            <w:noWrap/>
            <w:vAlign w:val="center"/>
            <w:hideMark/>
          </w:tcPr>
          <w:p w14:paraId="3CDECE38" w14:textId="77777777" w:rsidR="00320F70" w:rsidRPr="00114DEE" w:rsidRDefault="00320F70" w:rsidP="00320F7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3 762 232 059</w:t>
            </w:r>
          </w:p>
        </w:tc>
        <w:tc>
          <w:tcPr>
            <w:tcW w:w="1418" w:type="dxa"/>
            <w:tcBorders>
              <w:top w:val="nil"/>
              <w:left w:val="nil"/>
              <w:bottom w:val="nil"/>
              <w:right w:val="nil"/>
            </w:tcBorders>
            <w:shd w:val="clear" w:color="auto" w:fill="auto"/>
            <w:noWrap/>
            <w:vAlign w:val="center"/>
            <w:hideMark/>
          </w:tcPr>
          <w:p w14:paraId="4A9A1D19" w14:textId="77777777" w:rsidR="00320F70" w:rsidRPr="00114DEE" w:rsidRDefault="00320F70" w:rsidP="00320F7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12 232 059</w:t>
            </w:r>
          </w:p>
        </w:tc>
        <w:tc>
          <w:tcPr>
            <w:tcW w:w="1417" w:type="dxa"/>
            <w:tcBorders>
              <w:top w:val="nil"/>
              <w:left w:val="nil"/>
              <w:bottom w:val="nil"/>
              <w:right w:val="nil"/>
            </w:tcBorders>
            <w:shd w:val="clear" w:color="auto" w:fill="auto"/>
            <w:noWrap/>
            <w:vAlign w:val="center"/>
            <w:hideMark/>
          </w:tcPr>
          <w:p w14:paraId="155B315C" w14:textId="77777777" w:rsidR="00320F70" w:rsidRPr="00114DEE" w:rsidRDefault="00320F70" w:rsidP="00320F70">
            <w:pPr>
              <w:widowControl/>
              <w:suppressAutoHyphens w:val="0"/>
              <w:jc w:val="right"/>
              <w:rPr>
                <w:rFonts w:eastAsia="Times New Roman" w:cs="Times New Roman"/>
                <w:b/>
                <w:color w:val="000000"/>
                <w:kern w:val="0"/>
                <w:sz w:val="18"/>
                <w:szCs w:val="18"/>
                <w:lang w:eastAsia="en-US" w:bidi="ar-SA"/>
              </w:rPr>
            </w:pPr>
            <w:r w:rsidRPr="00114DEE">
              <w:rPr>
                <w:rFonts w:eastAsia="Times New Roman" w:cs="Times New Roman"/>
                <w:b/>
                <w:color w:val="000000"/>
                <w:kern w:val="0"/>
                <w:sz w:val="18"/>
                <w:szCs w:val="18"/>
                <w:lang w:eastAsia="en-US" w:bidi="ar-SA"/>
              </w:rPr>
              <w:t>12 232 059</w:t>
            </w:r>
          </w:p>
        </w:tc>
      </w:tr>
      <w:tr w:rsidR="00320F70" w:rsidRPr="00320F70" w14:paraId="3AC72433" w14:textId="77777777" w:rsidTr="00114DEE">
        <w:trPr>
          <w:trHeight w:val="300"/>
        </w:trPr>
        <w:tc>
          <w:tcPr>
            <w:tcW w:w="4965" w:type="dxa"/>
            <w:tcBorders>
              <w:top w:val="nil"/>
              <w:left w:val="nil"/>
              <w:bottom w:val="nil"/>
              <w:right w:val="nil"/>
            </w:tcBorders>
            <w:shd w:val="clear" w:color="auto" w:fill="auto"/>
            <w:noWrap/>
            <w:vAlign w:val="center"/>
            <w:hideMark/>
          </w:tcPr>
          <w:p w14:paraId="2061CEFB" w14:textId="77777777" w:rsidR="00320F70" w:rsidRPr="00114DEE" w:rsidRDefault="00320F70" w:rsidP="00114DEE">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xml:space="preserve"> - výdavky súvisiace s pandémiou</w:t>
            </w:r>
          </w:p>
        </w:tc>
        <w:tc>
          <w:tcPr>
            <w:tcW w:w="1417" w:type="dxa"/>
            <w:tcBorders>
              <w:top w:val="nil"/>
              <w:left w:val="nil"/>
              <w:bottom w:val="nil"/>
              <w:right w:val="nil"/>
            </w:tcBorders>
            <w:shd w:val="clear" w:color="auto" w:fill="auto"/>
            <w:noWrap/>
            <w:vAlign w:val="center"/>
            <w:hideMark/>
          </w:tcPr>
          <w:p w14:paraId="634E4262"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250 000 000</w:t>
            </w:r>
          </w:p>
        </w:tc>
        <w:tc>
          <w:tcPr>
            <w:tcW w:w="1418" w:type="dxa"/>
            <w:tcBorders>
              <w:top w:val="nil"/>
              <w:left w:val="nil"/>
              <w:bottom w:val="nil"/>
              <w:right w:val="nil"/>
            </w:tcBorders>
            <w:shd w:val="clear" w:color="auto" w:fill="auto"/>
            <w:noWrap/>
            <w:vAlign w:val="center"/>
            <w:hideMark/>
          </w:tcPr>
          <w:p w14:paraId="4C558337"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0</w:t>
            </w:r>
          </w:p>
        </w:tc>
        <w:tc>
          <w:tcPr>
            <w:tcW w:w="1417" w:type="dxa"/>
            <w:tcBorders>
              <w:top w:val="nil"/>
              <w:left w:val="nil"/>
              <w:bottom w:val="nil"/>
              <w:right w:val="nil"/>
            </w:tcBorders>
            <w:shd w:val="clear" w:color="auto" w:fill="auto"/>
            <w:noWrap/>
            <w:vAlign w:val="center"/>
            <w:hideMark/>
          </w:tcPr>
          <w:p w14:paraId="0797B81D"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0</w:t>
            </w:r>
          </w:p>
        </w:tc>
      </w:tr>
      <w:tr w:rsidR="00320F70" w:rsidRPr="00320F70" w14:paraId="31F5155F" w14:textId="77777777" w:rsidTr="00114DEE">
        <w:trPr>
          <w:trHeight w:val="300"/>
        </w:trPr>
        <w:tc>
          <w:tcPr>
            <w:tcW w:w="4965" w:type="dxa"/>
            <w:tcBorders>
              <w:top w:val="nil"/>
              <w:left w:val="nil"/>
              <w:bottom w:val="nil"/>
              <w:right w:val="nil"/>
            </w:tcBorders>
            <w:shd w:val="clear" w:color="auto" w:fill="auto"/>
            <w:noWrap/>
            <w:vAlign w:val="center"/>
            <w:hideMark/>
          </w:tcPr>
          <w:p w14:paraId="04C48ED9" w14:textId="77777777" w:rsidR="00320F70" w:rsidRPr="00114DEE" w:rsidRDefault="00320F70" w:rsidP="00114DEE">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xml:space="preserve"> - výdavky súvisiace s pomocou Ukrajine</w:t>
            </w:r>
          </w:p>
        </w:tc>
        <w:tc>
          <w:tcPr>
            <w:tcW w:w="1417" w:type="dxa"/>
            <w:tcBorders>
              <w:top w:val="nil"/>
              <w:left w:val="nil"/>
              <w:bottom w:val="nil"/>
              <w:right w:val="nil"/>
            </w:tcBorders>
            <w:shd w:val="clear" w:color="auto" w:fill="auto"/>
            <w:noWrap/>
            <w:vAlign w:val="center"/>
            <w:hideMark/>
          </w:tcPr>
          <w:p w14:paraId="03A8D7E7"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100 000 000</w:t>
            </w:r>
          </w:p>
        </w:tc>
        <w:tc>
          <w:tcPr>
            <w:tcW w:w="1418" w:type="dxa"/>
            <w:tcBorders>
              <w:top w:val="nil"/>
              <w:left w:val="nil"/>
              <w:bottom w:val="nil"/>
              <w:right w:val="nil"/>
            </w:tcBorders>
            <w:shd w:val="clear" w:color="auto" w:fill="auto"/>
            <w:noWrap/>
            <w:vAlign w:val="center"/>
            <w:hideMark/>
          </w:tcPr>
          <w:p w14:paraId="7F6F6DD0"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0</w:t>
            </w:r>
          </w:p>
        </w:tc>
        <w:tc>
          <w:tcPr>
            <w:tcW w:w="1417" w:type="dxa"/>
            <w:tcBorders>
              <w:top w:val="nil"/>
              <w:left w:val="nil"/>
              <w:bottom w:val="nil"/>
              <w:right w:val="nil"/>
            </w:tcBorders>
            <w:shd w:val="clear" w:color="auto" w:fill="auto"/>
            <w:noWrap/>
            <w:vAlign w:val="center"/>
            <w:hideMark/>
          </w:tcPr>
          <w:p w14:paraId="70D4CDE7"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0</w:t>
            </w:r>
          </w:p>
        </w:tc>
      </w:tr>
      <w:tr w:rsidR="00320F70" w:rsidRPr="00320F70" w14:paraId="706DD41A" w14:textId="77777777" w:rsidTr="00114DEE">
        <w:trPr>
          <w:trHeight w:val="300"/>
        </w:trPr>
        <w:tc>
          <w:tcPr>
            <w:tcW w:w="4965" w:type="dxa"/>
            <w:tcBorders>
              <w:top w:val="nil"/>
              <w:left w:val="nil"/>
              <w:bottom w:val="nil"/>
              <w:right w:val="nil"/>
            </w:tcBorders>
            <w:shd w:val="clear" w:color="auto" w:fill="auto"/>
            <w:noWrap/>
            <w:vAlign w:val="center"/>
            <w:hideMark/>
          </w:tcPr>
          <w:p w14:paraId="2241B5EE" w14:textId="77777777" w:rsidR="00320F70" w:rsidRPr="00114DEE" w:rsidRDefault="00320F70" w:rsidP="00114DEE">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xml:space="preserve"> - výdavky súvisiace s energetickou krízou</w:t>
            </w:r>
          </w:p>
        </w:tc>
        <w:tc>
          <w:tcPr>
            <w:tcW w:w="1417" w:type="dxa"/>
            <w:tcBorders>
              <w:top w:val="nil"/>
              <w:left w:val="nil"/>
              <w:bottom w:val="nil"/>
              <w:right w:val="nil"/>
            </w:tcBorders>
            <w:shd w:val="clear" w:color="auto" w:fill="auto"/>
            <w:noWrap/>
            <w:vAlign w:val="center"/>
            <w:hideMark/>
          </w:tcPr>
          <w:p w14:paraId="4DED2BD3"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3 400 000 000</w:t>
            </w:r>
          </w:p>
        </w:tc>
        <w:tc>
          <w:tcPr>
            <w:tcW w:w="1418" w:type="dxa"/>
            <w:tcBorders>
              <w:top w:val="nil"/>
              <w:left w:val="nil"/>
              <w:bottom w:val="nil"/>
              <w:right w:val="nil"/>
            </w:tcBorders>
            <w:shd w:val="clear" w:color="auto" w:fill="auto"/>
            <w:noWrap/>
            <w:vAlign w:val="center"/>
            <w:hideMark/>
          </w:tcPr>
          <w:p w14:paraId="1EB7189E"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0</w:t>
            </w:r>
          </w:p>
        </w:tc>
        <w:tc>
          <w:tcPr>
            <w:tcW w:w="1417" w:type="dxa"/>
            <w:tcBorders>
              <w:top w:val="nil"/>
              <w:left w:val="nil"/>
              <w:bottom w:val="nil"/>
              <w:right w:val="nil"/>
            </w:tcBorders>
            <w:shd w:val="clear" w:color="auto" w:fill="auto"/>
            <w:noWrap/>
            <w:vAlign w:val="center"/>
            <w:hideMark/>
          </w:tcPr>
          <w:p w14:paraId="71382C81"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0</w:t>
            </w:r>
          </w:p>
        </w:tc>
      </w:tr>
      <w:tr w:rsidR="00320F70" w:rsidRPr="00320F70" w14:paraId="16111ADA" w14:textId="77777777" w:rsidTr="00114DEE">
        <w:trPr>
          <w:trHeight w:val="300"/>
        </w:trPr>
        <w:tc>
          <w:tcPr>
            <w:tcW w:w="4965" w:type="dxa"/>
            <w:tcBorders>
              <w:top w:val="nil"/>
              <w:left w:val="nil"/>
              <w:bottom w:val="single" w:sz="4" w:space="0" w:color="13B5EA"/>
              <w:right w:val="nil"/>
            </w:tcBorders>
            <w:shd w:val="clear" w:color="auto" w:fill="auto"/>
            <w:noWrap/>
            <w:vAlign w:val="center"/>
            <w:hideMark/>
          </w:tcPr>
          <w:p w14:paraId="406ECD1A" w14:textId="61BE0FAE" w:rsidR="00320F70" w:rsidRPr="00114DEE" w:rsidRDefault="00320F70" w:rsidP="00114DEE">
            <w:pPr>
              <w:widowControl/>
              <w:suppressAutoHyphens w:val="0"/>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 xml:space="preserve"> - imputácia pomernej časti DPH </w:t>
            </w:r>
            <w:r>
              <w:rPr>
                <w:rFonts w:eastAsia="Times New Roman" w:cs="Times New Roman"/>
                <w:color w:val="000000"/>
                <w:kern w:val="0"/>
                <w:sz w:val="18"/>
                <w:szCs w:val="18"/>
                <w:lang w:eastAsia="en-US" w:bidi="ar-SA"/>
              </w:rPr>
              <w:t xml:space="preserve">za </w:t>
            </w:r>
            <w:r w:rsidRPr="00114DEE">
              <w:rPr>
                <w:rFonts w:eastAsia="Times New Roman" w:cs="Times New Roman"/>
                <w:color w:val="000000"/>
                <w:kern w:val="0"/>
                <w:sz w:val="18"/>
                <w:szCs w:val="18"/>
                <w:lang w:eastAsia="en-US" w:bidi="ar-SA"/>
              </w:rPr>
              <w:t>PPP projekt</w:t>
            </w:r>
            <w:r>
              <w:rPr>
                <w:rFonts w:eastAsia="Times New Roman" w:cs="Times New Roman"/>
                <w:color w:val="000000"/>
                <w:kern w:val="0"/>
                <w:sz w:val="18"/>
                <w:szCs w:val="18"/>
                <w:lang w:eastAsia="en-US" w:bidi="ar-SA"/>
              </w:rPr>
              <w:t>y</w:t>
            </w:r>
            <w:r w:rsidRPr="00114DEE">
              <w:rPr>
                <w:rFonts w:eastAsia="Times New Roman" w:cs="Times New Roman"/>
                <w:color w:val="000000"/>
                <w:kern w:val="0"/>
                <w:sz w:val="18"/>
                <w:szCs w:val="18"/>
                <w:lang w:eastAsia="en-US" w:bidi="ar-SA"/>
              </w:rPr>
              <w:t xml:space="preserve"> (R1, D4/R7)</w:t>
            </w:r>
          </w:p>
        </w:tc>
        <w:tc>
          <w:tcPr>
            <w:tcW w:w="1417" w:type="dxa"/>
            <w:tcBorders>
              <w:top w:val="nil"/>
              <w:left w:val="nil"/>
              <w:bottom w:val="single" w:sz="4" w:space="0" w:color="13B5EA"/>
              <w:right w:val="nil"/>
            </w:tcBorders>
            <w:shd w:val="clear" w:color="auto" w:fill="auto"/>
            <w:noWrap/>
            <w:vAlign w:val="center"/>
            <w:hideMark/>
          </w:tcPr>
          <w:p w14:paraId="75BF2866"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12 232 059</w:t>
            </w:r>
          </w:p>
        </w:tc>
        <w:tc>
          <w:tcPr>
            <w:tcW w:w="1418" w:type="dxa"/>
            <w:tcBorders>
              <w:top w:val="nil"/>
              <w:left w:val="nil"/>
              <w:bottom w:val="single" w:sz="4" w:space="0" w:color="13B5EA"/>
              <w:right w:val="nil"/>
            </w:tcBorders>
            <w:shd w:val="clear" w:color="auto" w:fill="auto"/>
            <w:noWrap/>
            <w:vAlign w:val="center"/>
            <w:hideMark/>
          </w:tcPr>
          <w:p w14:paraId="417DB59C"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12 232 059</w:t>
            </w:r>
          </w:p>
        </w:tc>
        <w:tc>
          <w:tcPr>
            <w:tcW w:w="1417" w:type="dxa"/>
            <w:tcBorders>
              <w:top w:val="nil"/>
              <w:left w:val="nil"/>
              <w:bottom w:val="single" w:sz="4" w:space="0" w:color="13B5EA"/>
              <w:right w:val="nil"/>
            </w:tcBorders>
            <w:shd w:val="clear" w:color="auto" w:fill="auto"/>
            <w:noWrap/>
            <w:vAlign w:val="center"/>
            <w:hideMark/>
          </w:tcPr>
          <w:p w14:paraId="0EACF286" w14:textId="77777777" w:rsidR="00320F70" w:rsidRPr="00114DEE" w:rsidRDefault="00320F70" w:rsidP="00320F70">
            <w:pPr>
              <w:widowControl/>
              <w:suppressAutoHyphens w:val="0"/>
              <w:jc w:val="right"/>
              <w:rPr>
                <w:rFonts w:eastAsia="Times New Roman" w:cs="Times New Roman"/>
                <w:color w:val="000000"/>
                <w:kern w:val="0"/>
                <w:sz w:val="18"/>
                <w:szCs w:val="18"/>
                <w:lang w:eastAsia="en-US" w:bidi="ar-SA"/>
              </w:rPr>
            </w:pPr>
            <w:r w:rsidRPr="00114DEE">
              <w:rPr>
                <w:rFonts w:eastAsia="Times New Roman" w:cs="Times New Roman"/>
                <w:color w:val="000000"/>
                <w:kern w:val="0"/>
                <w:sz w:val="18"/>
                <w:szCs w:val="18"/>
                <w:lang w:eastAsia="en-US" w:bidi="ar-SA"/>
              </w:rPr>
              <w:t>12 232 059</w:t>
            </w:r>
          </w:p>
        </w:tc>
      </w:tr>
      <w:tr w:rsidR="00320F70" w:rsidRPr="00320F70" w14:paraId="7CE52D60" w14:textId="77777777" w:rsidTr="00114DEE">
        <w:trPr>
          <w:trHeight w:val="300"/>
        </w:trPr>
        <w:tc>
          <w:tcPr>
            <w:tcW w:w="4965" w:type="dxa"/>
            <w:tcBorders>
              <w:top w:val="nil"/>
              <w:left w:val="nil"/>
              <w:bottom w:val="nil"/>
              <w:right w:val="nil"/>
            </w:tcBorders>
            <w:shd w:val="clear" w:color="auto" w:fill="auto"/>
            <w:noWrap/>
            <w:vAlign w:val="center"/>
            <w:hideMark/>
          </w:tcPr>
          <w:p w14:paraId="293FE4D4" w14:textId="77777777" w:rsidR="00320F70" w:rsidRPr="00114DEE" w:rsidRDefault="00320F70" w:rsidP="00320F70">
            <w:pPr>
              <w:widowControl/>
              <w:suppressAutoHyphens w:val="0"/>
              <w:rPr>
                <w:rFonts w:eastAsia="Times New Roman" w:cs="Times New Roman"/>
                <w:i/>
                <w:color w:val="13B5EA"/>
                <w:kern w:val="0"/>
                <w:sz w:val="16"/>
                <w:szCs w:val="16"/>
                <w:lang w:eastAsia="en-US" w:bidi="ar-SA"/>
              </w:rPr>
            </w:pPr>
            <w:r w:rsidRPr="00114DEE">
              <w:rPr>
                <w:rFonts w:eastAsia="Times New Roman" w:cs="Times New Roman"/>
                <w:i/>
                <w:color w:val="13B5EA"/>
                <w:kern w:val="0"/>
                <w:sz w:val="16"/>
                <w:szCs w:val="16"/>
                <w:lang w:eastAsia="en-US" w:bidi="ar-SA"/>
              </w:rPr>
              <w:t>* vrátane úhrady DPH na projekty Plánu obnovy a odolnosti (POO)</w:t>
            </w:r>
          </w:p>
        </w:tc>
        <w:tc>
          <w:tcPr>
            <w:tcW w:w="1417" w:type="dxa"/>
            <w:tcBorders>
              <w:top w:val="nil"/>
              <w:left w:val="nil"/>
              <w:bottom w:val="nil"/>
              <w:right w:val="nil"/>
            </w:tcBorders>
            <w:shd w:val="clear" w:color="auto" w:fill="auto"/>
            <w:noWrap/>
            <w:vAlign w:val="center"/>
            <w:hideMark/>
          </w:tcPr>
          <w:p w14:paraId="133A655F" w14:textId="77777777" w:rsidR="00320F70" w:rsidRPr="00114DEE" w:rsidRDefault="00320F70" w:rsidP="00320F70">
            <w:pPr>
              <w:widowControl/>
              <w:suppressAutoHyphens w:val="0"/>
              <w:rPr>
                <w:rFonts w:eastAsia="Times New Roman" w:cs="Times New Roman"/>
                <w:i/>
                <w:color w:val="13B5EA"/>
                <w:kern w:val="0"/>
                <w:sz w:val="16"/>
                <w:szCs w:val="16"/>
                <w:lang w:eastAsia="en-US" w:bidi="ar-SA"/>
              </w:rPr>
            </w:pPr>
          </w:p>
        </w:tc>
        <w:tc>
          <w:tcPr>
            <w:tcW w:w="2835" w:type="dxa"/>
            <w:gridSpan w:val="2"/>
            <w:tcBorders>
              <w:top w:val="single" w:sz="4" w:space="0" w:color="13B5EA"/>
              <w:left w:val="nil"/>
              <w:bottom w:val="nil"/>
              <w:right w:val="nil"/>
            </w:tcBorders>
            <w:shd w:val="clear" w:color="auto" w:fill="auto"/>
            <w:noWrap/>
            <w:vAlign w:val="center"/>
            <w:hideMark/>
          </w:tcPr>
          <w:p w14:paraId="424FA482" w14:textId="77777777" w:rsidR="00320F70" w:rsidRPr="00114DEE" w:rsidRDefault="00320F70" w:rsidP="00320F70">
            <w:pPr>
              <w:widowControl/>
              <w:suppressAutoHyphens w:val="0"/>
              <w:jc w:val="right"/>
              <w:rPr>
                <w:rFonts w:eastAsia="Times New Roman" w:cs="Times New Roman"/>
                <w:i/>
                <w:color w:val="13B5EA"/>
                <w:kern w:val="0"/>
                <w:sz w:val="16"/>
                <w:szCs w:val="16"/>
                <w:lang w:eastAsia="en-US" w:bidi="ar-SA"/>
              </w:rPr>
            </w:pPr>
            <w:r w:rsidRPr="00320F70">
              <w:rPr>
                <w:rFonts w:eastAsia="Times New Roman" w:cs="Times New Roman"/>
                <w:i/>
                <w:iCs/>
                <w:color w:val="13B5EA"/>
                <w:kern w:val="0"/>
                <w:sz w:val="16"/>
                <w:szCs w:val="16"/>
                <w:lang w:eastAsia="en-US" w:bidi="ar-SA"/>
              </w:rPr>
              <w:t>Zdroj: MF SR, RRZ</w:t>
            </w:r>
          </w:p>
        </w:tc>
      </w:tr>
    </w:tbl>
    <w:p w14:paraId="4C56D44D" w14:textId="77777777" w:rsidR="00A30150" w:rsidRDefault="00A30150" w:rsidP="000833C6">
      <w:pPr>
        <w:jc w:val="both"/>
        <w:rPr>
          <w:rFonts w:eastAsia="Times New Roman" w:cs="Times New Roman"/>
          <w:b/>
          <w:color w:val="000000"/>
          <w:lang w:eastAsia="sk-SK"/>
        </w:rPr>
      </w:pPr>
    </w:p>
    <w:p w14:paraId="74103656" w14:textId="1F4244D1" w:rsidR="000833C6" w:rsidRPr="00160B15" w:rsidRDefault="00BB179B" w:rsidP="000833C6">
      <w:pPr>
        <w:jc w:val="both"/>
        <w:rPr>
          <w:rFonts w:eastAsia="Times New Roman" w:cs="Times New Roman"/>
          <w:b/>
          <w:color w:val="000000"/>
          <w:lang w:eastAsia="sk-SK"/>
        </w:rPr>
      </w:pPr>
      <w:r>
        <w:rPr>
          <w:rFonts w:eastAsia="Times New Roman" w:cs="Times New Roman"/>
          <w:b/>
          <w:color w:val="000000"/>
          <w:lang w:eastAsia="sk-SK"/>
        </w:rPr>
        <w:lastRenderedPageBreak/>
        <w:t>Príloha</w:t>
      </w:r>
      <w:r w:rsidR="003A04DD">
        <w:rPr>
          <w:rFonts w:eastAsia="Times New Roman" w:cs="Times New Roman"/>
          <w:b/>
          <w:color w:val="000000"/>
          <w:lang w:eastAsia="sk-SK"/>
        </w:rPr>
        <w:t xml:space="preserve"> – Základný scenár vychádzajúci z odhadu roku 2022</w:t>
      </w:r>
    </w:p>
    <w:p w14:paraId="77AA7790" w14:textId="765C1DE9" w:rsidR="000833C6" w:rsidRDefault="000833C6" w:rsidP="006F209A">
      <w:pPr>
        <w:jc w:val="both"/>
        <w:rPr>
          <w:rFonts w:eastAsia="Times New Roman" w:cs="Times New Roman"/>
          <w:color w:val="000000"/>
          <w:lang w:eastAsia="sk-SK"/>
        </w:rPr>
      </w:pPr>
    </w:p>
    <w:tbl>
      <w:tblPr>
        <w:tblW w:w="9242" w:type="dxa"/>
        <w:jc w:val="center"/>
        <w:tblLayout w:type="fixed"/>
        <w:tblCellMar>
          <w:left w:w="70" w:type="dxa"/>
          <w:right w:w="70" w:type="dxa"/>
        </w:tblCellMar>
        <w:tblLook w:val="04A0" w:firstRow="1" w:lastRow="0" w:firstColumn="1" w:lastColumn="0" w:noHBand="0" w:noVBand="1"/>
      </w:tblPr>
      <w:tblGrid>
        <w:gridCol w:w="3402"/>
        <w:gridCol w:w="648"/>
        <w:gridCol w:w="61"/>
        <w:gridCol w:w="458"/>
        <w:gridCol w:w="130"/>
        <w:gridCol w:w="436"/>
        <w:gridCol w:w="213"/>
        <w:gridCol w:w="606"/>
        <w:gridCol w:w="43"/>
        <w:gridCol w:w="649"/>
        <w:gridCol w:w="187"/>
        <w:gridCol w:w="462"/>
        <w:gridCol w:w="104"/>
        <w:gridCol w:w="545"/>
        <w:gridCol w:w="649"/>
        <w:gridCol w:w="649"/>
      </w:tblGrid>
      <w:tr w:rsidR="003A04DD" w:rsidRPr="00B14658" w14:paraId="4FDA9D2C" w14:textId="77777777" w:rsidTr="009F6E88">
        <w:trPr>
          <w:trHeight w:hRule="exact" w:val="255"/>
          <w:jc w:val="center"/>
        </w:trPr>
        <w:tc>
          <w:tcPr>
            <w:tcW w:w="9242" w:type="dxa"/>
            <w:gridSpan w:val="16"/>
            <w:noWrap/>
            <w:vAlign w:val="center"/>
            <w:hideMark/>
          </w:tcPr>
          <w:p w14:paraId="2D667D1D" w14:textId="7046992E" w:rsidR="003A04DD" w:rsidRPr="00004879" w:rsidRDefault="003A04DD" w:rsidP="009F6E88">
            <w:pPr>
              <w:pStyle w:val="tab"/>
              <w:rPr>
                <w:rFonts w:ascii="Times New Roman" w:hAnsi="Times New Roman"/>
                <w:color w:val="1F497D" w:themeColor="text2"/>
                <w:sz w:val="18"/>
              </w:rPr>
            </w:pPr>
            <w:bookmarkStart w:id="8" w:name="_Toc102145967"/>
            <w:r w:rsidRPr="00004879">
              <w:rPr>
                <w:rFonts w:ascii="Times New Roman" w:hAnsi="Times New Roman"/>
              </w:rPr>
              <w:t>Tab</w:t>
            </w:r>
            <w:r w:rsidR="00004879">
              <w:rPr>
                <w:rFonts w:ascii="Times New Roman" w:hAnsi="Times New Roman"/>
              </w:rPr>
              <w:t xml:space="preserve"> </w:t>
            </w:r>
            <w:r w:rsidR="00CC3C85">
              <w:rPr>
                <w:rFonts w:ascii="Times New Roman" w:hAnsi="Times New Roman"/>
              </w:rPr>
              <w:t>8</w:t>
            </w:r>
            <w:r w:rsidRPr="00004879">
              <w:rPr>
                <w:rFonts w:ascii="Times New Roman" w:hAnsi="Times New Roman"/>
              </w:rPr>
              <w:t xml:space="preserve">: Základný scenár vývoja verejných financií – odhadované saldo v roku 2022 </w:t>
            </w:r>
            <w:r w:rsidRPr="00004879">
              <w:rPr>
                <w:rFonts w:ascii="Times New Roman" w:hAnsi="Times New Roman"/>
                <w:szCs w:val="20"/>
                <w:lang w:eastAsia="en-US"/>
              </w:rPr>
              <w:t>(% HDP)</w:t>
            </w:r>
            <w:bookmarkEnd w:id="8"/>
          </w:p>
        </w:tc>
      </w:tr>
      <w:tr w:rsidR="003A04DD" w:rsidRPr="00B14658" w14:paraId="19AE92A3" w14:textId="77777777" w:rsidTr="009F6E88">
        <w:trPr>
          <w:trHeight w:hRule="exact" w:val="255"/>
          <w:jc w:val="center"/>
        </w:trPr>
        <w:tc>
          <w:tcPr>
            <w:tcW w:w="3402" w:type="dxa"/>
            <w:shd w:val="clear" w:color="auto" w:fill="13B5EA"/>
            <w:noWrap/>
            <w:vAlign w:val="center"/>
            <w:hideMark/>
          </w:tcPr>
          <w:p w14:paraId="10CC8072" w14:textId="77777777" w:rsidR="003A04DD" w:rsidRPr="00004879" w:rsidRDefault="003A04DD" w:rsidP="009F6E88">
            <w:pPr>
              <w:rPr>
                <w:rFonts w:cs="Times New Roman"/>
                <w:color w:val="000000"/>
                <w:sz w:val="18"/>
                <w:szCs w:val="18"/>
                <w:lang w:eastAsia="en-US"/>
              </w:rPr>
            </w:pPr>
            <w:r w:rsidRPr="00004879">
              <w:rPr>
                <w:rFonts w:cs="Times New Roman"/>
                <w:color w:val="000000" w:themeColor="text1"/>
                <w:sz w:val="18"/>
                <w:szCs w:val="18"/>
                <w:lang w:eastAsia="en-US"/>
              </w:rPr>
              <w:t> </w:t>
            </w:r>
          </w:p>
        </w:tc>
        <w:tc>
          <w:tcPr>
            <w:tcW w:w="648" w:type="dxa"/>
            <w:tcBorders>
              <w:top w:val="nil"/>
              <w:left w:val="single" w:sz="8" w:space="0" w:color="FFFFFF" w:themeColor="background1"/>
              <w:bottom w:val="nil"/>
              <w:right w:val="single" w:sz="8" w:space="0" w:color="FFFFFF" w:themeColor="background1"/>
            </w:tcBorders>
            <w:shd w:val="clear" w:color="auto" w:fill="13B5EA"/>
            <w:noWrap/>
            <w:vAlign w:val="center"/>
          </w:tcPr>
          <w:p w14:paraId="106858A1" w14:textId="77777777" w:rsidR="003A04DD" w:rsidRPr="00004879" w:rsidRDefault="003A04DD" w:rsidP="009F6E88">
            <w:pPr>
              <w:jc w:val="center"/>
              <w:rPr>
                <w:rFonts w:cs="Times New Roman"/>
                <w:b/>
                <w:color w:val="FFFFFF"/>
                <w:sz w:val="18"/>
                <w:szCs w:val="18"/>
                <w:lang w:eastAsia="en-US"/>
              </w:rPr>
            </w:pPr>
          </w:p>
        </w:tc>
        <w:tc>
          <w:tcPr>
            <w:tcW w:w="1947" w:type="dxa"/>
            <w:gridSpan w:val="7"/>
            <w:tcBorders>
              <w:right w:val="single" w:sz="8" w:space="0" w:color="FFFFFF" w:themeColor="background1"/>
            </w:tcBorders>
            <w:shd w:val="clear" w:color="auto" w:fill="13B5EA"/>
            <w:noWrap/>
            <w:vAlign w:val="center"/>
          </w:tcPr>
          <w:p w14:paraId="0E1CC958" w14:textId="77777777" w:rsidR="003A04DD" w:rsidRPr="00004879" w:rsidRDefault="003A04DD" w:rsidP="009F6E88">
            <w:pPr>
              <w:jc w:val="center"/>
              <w:rPr>
                <w:rFonts w:cs="Times New Roman"/>
                <w:b/>
                <w:color w:val="FFFFFF"/>
                <w:sz w:val="18"/>
                <w:szCs w:val="18"/>
                <w:lang w:eastAsia="en-US"/>
              </w:rPr>
            </w:pPr>
            <w:r w:rsidRPr="00004879">
              <w:rPr>
                <w:rFonts w:cs="Times New Roman"/>
                <w:b/>
                <w:color w:val="FFFFFF" w:themeColor="background1"/>
                <w:sz w:val="18"/>
                <w:szCs w:val="18"/>
                <w:lang w:eastAsia="en-US"/>
              </w:rPr>
              <w:t>Strednodobý scenár</w:t>
            </w:r>
          </w:p>
        </w:tc>
        <w:tc>
          <w:tcPr>
            <w:tcW w:w="3245" w:type="dxa"/>
            <w:gridSpan w:val="7"/>
            <w:shd w:val="clear" w:color="auto" w:fill="13B5EA"/>
            <w:noWrap/>
            <w:vAlign w:val="center"/>
          </w:tcPr>
          <w:p w14:paraId="0164F8EF" w14:textId="77777777" w:rsidR="003A04DD" w:rsidRPr="00004879" w:rsidRDefault="003A04DD" w:rsidP="009F6E88">
            <w:pPr>
              <w:jc w:val="center"/>
              <w:rPr>
                <w:rFonts w:cs="Times New Roman"/>
                <w:b/>
                <w:color w:val="FFFFFF"/>
                <w:sz w:val="18"/>
                <w:szCs w:val="18"/>
                <w:lang w:eastAsia="en-US"/>
              </w:rPr>
            </w:pPr>
            <w:r w:rsidRPr="00004879">
              <w:rPr>
                <w:rFonts w:cs="Times New Roman"/>
                <w:b/>
                <w:color w:val="FFFFFF" w:themeColor="background1"/>
                <w:sz w:val="18"/>
                <w:szCs w:val="18"/>
                <w:lang w:eastAsia="en-US"/>
              </w:rPr>
              <w:t>Dlhodobé projekcie</w:t>
            </w:r>
          </w:p>
        </w:tc>
      </w:tr>
      <w:tr w:rsidR="003A04DD" w:rsidRPr="00B14658" w14:paraId="09F29A72" w14:textId="77777777" w:rsidTr="009F6E88">
        <w:trPr>
          <w:trHeight w:hRule="exact" w:val="255"/>
          <w:jc w:val="center"/>
        </w:trPr>
        <w:tc>
          <w:tcPr>
            <w:tcW w:w="3402" w:type="dxa"/>
            <w:shd w:val="clear" w:color="auto" w:fill="13B5EA"/>
            <w:noWrap/>
            <w:vAlign w:val="center"/>
          </w:tcPr>
          <w:p w14:paraId="593C3854" w14:textId="77777777" w:rsidR="003A04DD" w:rsidRPr="00004879" w:rsidRDefault="003A04DD" w:rsidP="009F6E88">
            <w:pPr>
              <w:rPr>
                <w:rFonts w:cs="Times New Roman"/>
                <w:color w:val="000000" w:themeColor="text1"/>
                <w:sz w:val="18"/>
                <w:szCs w:val="18"/>
                <w:lang w:eastAsia="en-US"/>
              </w:rPr>
            </w:pPr>
          </w:p>
        </w:tc>
        <w:tc>
          <w:tcPr>
            <w:tcW w:w="648" w:type="dxa"/>
            <w:tcBorders>
              <w:top w:val="nil"/>
              <w:left w:val="single" w:sz="8" w:space="0" w:color="FFFFFF" w:themeColor="background1"/>
              <w:bottom w:val="nil"/>
              <w:right w:val="single" w:sz="8" w:space="0" w:color="FFFFFF" w:themeColor="background1"/>
            </w:tcBorders>
            <w:shd w:val="clear" w:color="auto" w:fill="13B5EA"/>
            <w:noWrap/>
            <w:vAlign w:val="center"/>
          </w:tcPr>
          <w:p w14:paraId="7649CDEF" w14:textId="77777777" w:rsidR="003A04DD" w:rsidRPr="00004879" w:rsidRDefault="003A04DD" w:rsidP="009F6E88">
            <w:pPr>
              <w:jc w:val="center"/>
              <w:rPr>
                <w:rFonts w:cs="Times New Roman"/>
                <w:b/>
                <w:color w:val="FFFFFF" w:themeColor="background1"/>
                <w:sz w:val="18"/>
                <w:szCs w:val="18"/>
                <w:lang w:eastAsia="en-US"/>
              </w:rPr>
            </w:pPr>
            <w:r w:rsidRPr="00004879">
              <w:rPr>
                <w:rFonts w:cs="Times New Roman"/>
                <w:b/>
                <w:color w:val="FFFFFF" w:themeColor="background1"/>
                <w:sz w:val="18"/>
                <w:szCs w:val="18"/>
                <w:lang w:eastAsia="en-US"/>
              </w:rPr>
              <w:t>2022</w:t>
            </w:r>
          </w:p>
        </w:tc>
        <w:tc>
          <w:tcPr>
            <w:tcW w:w="649" w:type="dxa"/>
            <w:gridSpan w:val="3"/>
            <w:shd w:val="clear" w:color="auto" w:fill="13B5EA"/>
            <w:noWrap/>
            <w:vAlign w:val="center"/>
          </w:tcPr>
          <w:p w14:paraId="086E4310" w14:textId="77777777" w:rsidR="003A04DD" w:rsidRPr="00004879" w:rsidRDefault="003A04DD" w:rsidP="009F6E88">
            <w:pPr>
              <w:jc w:val="center"/>
              <w:rPr>
                <w:rFonts w:cs="Times New Roman"/>
                <w:b/>
                <w:color w:val="FFFFFF" w:themeColor="background1"/>
                <w:sz w:val="18"/>
                <w:szCs w:val="18"/>
                <w:lang w:eastAsia="en-US"/>
              </w:rPr>
            </w:pPr>
            <w:r w:rsidRPr="00004879">
              <w:rPr>
                <w:rFonts w:cs="Times New Roman"/>
                <w:b/>
                <w:color w:val="FFFFFF" w:themeColor="background1"/>
                <w:sz w:val="18"/>
                <w:szCs w:val="18"/>
                <w:lang w:eastAsia="en-US"/>
              </w:rPr>
              <w:t>2023</w:t>
            </w:r>
          </w:p>
        </w:tc>
        <w:tc>
          <w:tcPr>
            <w:tcW w:w="649" w:type="dxa"/>
            <w:gridSpan w:val="2"/>
            <w:shd w:val="clear" w:color="auto" w:fill="13B5EA"/>
            <w:noWrap/>
            <w:vAlign w:val="center"/>
          </w:tcPr>
          <w:p w14:paraId="090F6C65" w14:textId="77777777" w:rsidR="003A04DD" w:rsidRPr="00004879" w:rsidRDefault="003A04DD" w:rsidP="009F6E88">
            <w:pPr>
              <w:jc w:val="center"/>
              <w:rPr>
                <w:rFonts w:cs="Times New Roman"/>
                <w:b/>
                <w:color w:val="FFFFFF" w:themeColor="background1"/>
                <w:sz w:val="18"/>
                <w:szCs w:val="18"/>
                <w:lang w:eastAsia="en-US"/>
              </w:rPr>
            </w:pPr>
            <w:r w:rsidRPr="00004879">
              <w:rPr>
                <w:rFonts w:cs="Times New Roman"/>
                <w:b/>
                <w:color w:val="FFFFFF" w:themeColor="background1"/>
                <w:sz w:val="18"/>
                <w:szCs w:val="18"/>
                <w:lang w:eastAsia="en-US"/>
              </w:rPr>
              <w:t>2024</w:t>
            </w:r>
          </w:p>
        </w:tc>
        <w:tc>
          <w:tcPr>
            <w:tcW w:w="649" w:type="dxa"/>
            <w:gridSpan w:val="2"/>
            <w:tcBorders>
              <w:right w:val="single" w:sz="8" w:space="0" w:color="FFFFFF" w:themeColor="background1"/>
            </w:tcBorders>
            <w:shd w:val="clear" w:color="auto" w:fill="13B5EA"/>
            <w:noWrap/>
            <w:vAlign w:val="center"/>
          </w:tcPr>
          <w:p w14:paraId="2FBE1F48" w14:textId="77777777" w:rsidR="003A04DD" w:rsidRPr="00004879" w:rsidRDefault="003A04DD" w:rsidP="009F6E88">
            <w:pPr>
              <w:jc w:val="center"/>
              <w:rPr>
                <w:rFonts w:cs="Times New Roman"/>
                <w:b/>
                <w:color w:val="FFFFFF" w:themeColor="background1"/>
                <w:sz w:val="18"/>
                <w:szCs w:val="18"/>
                <w:lang w:eastAsia="en-US"/>
              </w:rPr>
            </w:pPr>
            <w:r w:rsidRPr="00004879">
              <w:rPr>
                <w:rFonts w:cs="Times New Roman"/>
                <w:b/>
                <w:color w:val="FFFFFF" w:themeColor="background1"/>
                <w:sz w:val="18"/>
                <w:szCs w:val="18"/>
                <w:lang w:eastAsia="en-US"/>
              </w:rPr>
              <w:t>2025</w:t>
            </w:r>
          </w:p>
        </w:tc>
        <w:tc>
          <w:tcPr>
            <w:tcW w:w="649" w:type="dxa"/>
            <w:shd w:val="clear" w:color="auto" w:fill="13B5EA"/>
            <w:noWrap/>
            <w:vAlign w:val="center"/>
          </w:tcPr>
          <w:p w14:paraId="2BC2D6AA" w14:textId="77777777" w:rsidR="003A04DD" w:rsidRPr="00004879" w:rsidRDefault="003A04DD" w:rsidP="009F6E88">
            <w:pPr>
              <w:jc w:val="center"/>
              <w:rPr>
                <w:rFonts w:cs="Times New Roman"/>
                <w:b/>
                <w:color w:val="FFFFFF" w:themeColor="background1"/>
                <w:sz w:val="18"/>
                <w:szCs w:val="18"/>
                <w:lang w:eastAsia="en-US"/>
              </w:rPr>
            </w:pPr>
            <w:r w:rsidRPr="00004879">
              <w:rPr>
                <w:rFonts w:cs="Times New Roman"/>
                <w:b/>
                <w:color w:val="FFFFFF" w:themeColor="background1"/>
                <w:sz w:val="18"/>
                <w:szCs w:val="18"/>
                <w:lang w:eastAsia="en-US"/>
              </w:rPr>
              <w:t>2030</w:t>
            </w:r>
          </w:p>
        </w:tc>
        <w:tc>
          <w:tcPr>
            <w:tcW w:w="649" w:type="dxa"/>
            <w:gridSpan w:val="2"/>
            <w:shd w:val="clear" w:color="auto" w:fill="13B5EA"/>
            <w:noWrap/>
            <w:vAlign w:val="center"/>
          </w:tcPr>
          <w:p w14:paraId="6CB1F280" w14:textId="77777777" w:rsidR="003A04DD" w:rsidRPr="00004879" w:rsidRDefault="003A04DD" w:rsidP="009F6E88">
            <w:pPr>
              <w:jc w:val="center"/>
              <w:rPr>
                <w:rFonts w:cs="Times New Roman"/>
                <w:b/>
                <w:color w:val="FFFFFF" w:themeColor="background1"/>
                <w:sz w:val="18"/>
                <w:szCs w:val="18"/>
                <w:lang w:eastAsia="en-US"/>
              </w:rPr>
            </w:pPr>
            <w:r w:rsidRPr="00004879">
              <w:rPr>
                <w:rFonts w:cs="Times New Roman"/>
                <w:b/>
                <w:color w:val="FFFFFF" w:themeColor="background1"/>
                <w:sz w:val="18"/>
                <w:szCs w:val="18"/>
                <w:lang w:eastAsia="en-US"/>
              </w:rPr>
              <w:t>2040</w:t>
            </w:r>
          </w:p>
        </w:tc>
        <w:tc>
          <w:tcPr>
            <w:tcW w:w="649" w:type="dxa"/>
            <w:gridSpan w:val="2"/>
            <w:shd w:val="clear" w:color="auto" w:fill="13B5EA"/>
            <w:noWrap/>
            <w:vAlign w:val="center"/>
          </w:tcPr>
          <w:p w14:paraId="01B101EE" w14:textId="77777777" w:rsidR="003A04DD" w:rsidRPr="00004879" w:rsidRDefault="003A04DD" w:rsidP="009F6E88">
            <w:pPr>
              <w:jc w:val="center"/>
              <w:rPr>
                <w:rFonts w:cs="Times New Roman"/>
                <w:b/>
                <w:color w:val="FFFFFF" w:themeColor="background1"/>
                <w:sz w:val="18"/>
                <w:szCs w:val="18"/>
                <w:lang w:eastAsia="en-US"/>
              </w:rPr>
            </w:pPr>
            <w:r w:rsidRPr="00004879">
              <w:rPr>
                <w:rFonts w:cs="Times New Roman"/>
                <w:b/>
                <w:color w:val="FFFFFF" w:themeColor="background1"/>
                <w:sz w:val="18"/>
                <w:szCs w:val="18"/>
                <w:lang w:eastAsia="en-US"/>
              </w:rPr>
              <w:t>2050</w:t>
            </w:r>
          </w:p>
        </w:tc>
        <w:tc>
          <w:tcPr>
            <w:tcW w:w="649" w:type="dxa"/>
            <w:shd w:val="clear" w:color="auto" w:fill="13B5EA"/>
            <w:noWrap/>
            <w:vAlign w:val="center"/>
          </w:tcPr>
          <w:p w14:paraId="7EA3AA73" w14:textId="77777777" w:rsidR="003A04DD" w:rsidRPr="00004879" w:rsidRDefault="003A04DD" w:rsidP="009F6E88">
            <w:pPr>
              <w:jc w:val="center"/>
              <w:rPr>
                <w:rFonts w:cs="Times New Roman"/>
                <w:b/>
                <w:color w:val="FFFFFF" w:themeColor="background1"/>
                <w:sz w:val="18"/>
                <w:szCs w:val="18"/>
                <w:lang w:eastAsia="en-US"/>
              </w:rPr>
            </w:pPr>
            <w:r w:rsidRPr="00004879">
              <w:rPr>
                <w:rFonts w:cs="Times New Roman"/>
                <w:b/>
                <w:color w:val="FFFFFF" w:themeColor="background1"/>
                <w:sz w:val="18"/>
                <w:szCs w:val="18"/>
                <w:lang w:eastAsia="en-US"/>
              </w:rPr>
              <w:t>2060</w:t>
            </w:r>
          </w:p>
        </w:tc>
        <w:tc>
          <w:tcPr>
            <w:tcW w:w="649" w:type="dxa"/>
            <w:shd w:val="clear" w:color="auto" w:fill="13B5EA"/>
            <w:noWrap/>
            <w:vAlign w:val="center"/>
          </w:tcPr>
          <w:p w14:paraId="67CEF750" w14:textId="77777777" w:rsidR="003A04DD" w:rsidRPr="00004879" w:rsidRDefault="003A04DD" w:rsidP="009F6E88">
            <w:pPr>
              <w:jc w:val="center"/>
              <w:rPr>
                <w:rFonts w:cs="Times New Roman"/>
                <w:b/>
                <w:color w:val="FFFFFF" w:themeColor="background1"/>
                <w:sz w:val="18"/>
                <w:szCs w:val="18"/>
                <w:lang w:eastAsia="en-US"/>
              </w:rPr>
            </w:pPr>
            <w:r w:rsidRPr="00004879">
              <w:rPr>
                <w:rFonts w:cs="Times New Roman"/>
                <w:b/>
                <w:color w:val="FFFFFF" w:themeColor="background1"/>
                <w:sz w:val="18"/>
                <w:szCs w:val="18"/>
                <w:lang w:eastAsia="en-US"/>
              </w:rPr>
              <w:t>2072</w:t>
            </w:r>
          </w:p>
        </w:tc>
      </w:tr>
      <w:tr w:rsidR="00E672A0" w:rsidRPr="00B14658" w14:paraId="2520F550" w14:textId="77777777" w:rsidTr="00004879">
        <w:trPr>
          <w:trHeight w:val="255"/>
          <w:jc w:val="center"/>
        </w:trPr>
        <w:tc>
          <w:tcPr>
            <w:tcW w:w="3402" w:type="dxa"/>
            <w:noWrap/>
            <w:vAlign w:val="center"/>
            <w:hideMark/>
          </w:tcPr>
          <w:p w14:paraId="3B1BCDD9" w14:textId="77777777" w:rsidR="003A04DD" w:rsidRPr="00004879" w:rsidRDefault="003A04DD" w:rsidP="009F6E88">
            <w:pPr>
              <w:rPr>
                <w:rFonts w:cs="Times New Roman"/>
                <w:b/>
                <w:color w:val="000000"/>
                <w:sz w:val="18"/>
                <w:szCs w:val="18"/>
              </w:rPr>
            </w:pPr>
            <w:r w:rsidRPr="00004879">
              <w:rPr>
                <w:rFonts w:cs="Times New Roman"/>
                <w:b/>
                <w:color w:val="000000" w:themeColor="text1"/>
                <w:sz w:val="18"/>
                <w:szCs w:val="18"/>
                <w:lang w:eastAsia="en-US"/>
              </w:rPr>
              <w:t>Príjmy</w:t>
            </w:r>
          </w:p>
        </w:tc>
        <w:tc>
          <w:tcPr>
            <w:tcW w:w="648" w:type="dxa"/>
            <w:tcBorders>
              <w:top w:val="nil"/>
              <w:left w:val="single" w:sz="8" w:space="0" w:color="13B5EA"/>
              <w:bottom w:val="nil"/>
              <w:right w:val="single" w:sz="8" w:space="0" w:color="13B5EA"/>
            </w:tcBorders>
            <w:shd w:val="clear" w:color="auto" w:fill="auto"/>
            <w:noWrap/>
            <w:vAlign w:val="center"/>
          </w:tcPr>
          <w:p w14:paraId="34B4CDC8" w14:textId="2D4F4B3B"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40,8</w:t>
            </w:r>
          </w:p>
        </w:tc>
        <w:tc>
          <w:tcPr>
            <w:tcW w:w="649" w:type="dxa"/>
            <w:gridSpan w:val="3"/>
            <w:shd w:val="clear" w:color="auto" w:fill="auto"/>
            <w:noWrap/>
            <w:vAlign w:val="center"/>
          </w:tcPr>
          <w:p w14:paraId="1747443B" w14:textId="69A4589A"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40,9</w:t>
            </w:r>
          </w:p>
        </w:tc>
        <w:tc>
          <w:tcPr>
            <w:tcW w:w="649" w:type="dxa"/>
            <w:gridSpan w:val="2"/>
            <w:shd w:val="clear" w:color="auto" w:fill="auto"/>
            <w:noWrap/>
            <w:vAlign w:val="center"/>
          </w:tcPr>
          <w:p w14:paraId="2411455B" w14:textId="60E7FC7C"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39,5</w:t>
            </w:r>
          </w:p>
        </w:tc>
        <w:tc>
          <w:tcPr>
            <w:tcW w:w="649" w:type="dxa"/>
            <w:gridSpan w:val="2"/>
            <w:tcBorders>
              <w:right w:val="single" w:sz="8" w:space="0" w:color="13B5EA"/>
            </w:tcBorders>
            <w:shd w:val="clear" w:color="auto" w:fill="auto"/>
            <w:noWrap/>
            <w:vAlign w:val="center"/>
          </w:tcPr>
          <w:p w14:paraId="459E7732" w14:textId="3ECE1A82"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38,8</w:t>
            </w:r>
          </w:p>
        </w:tc>
        <w:tc>
          <w:tcPr>
            <w:tcW w:w="649" w:type="dxa"/>
            <w:shd w:val="clear" w:color="auto" w:fill="auto"/>
            <w:noWrap/>
            <w:vAlign w:val="center"/>
          </w:tcPr>
          <w:p w14:paraId="6B4F8969" w14:textId="03DBB191"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38,8</w:t>
            </w:r>
          </w:p>
        </w:tc>
        <w:tc>
          <w:tcPr>
            <w:tcW w:w="649" w:type="dxa"/>
            <w:gridSpan w:val="2"/>
            <w:shd w:val="clear" w:color="auto" w:fill="auto"/>
            <w:noWrap/>
            <w:vAlign w:val="center"/>
          </w:tcPr>
          <w:p w14:paraId="65576F96" w14:textId="1E37ADF7"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39,0</w:t>
            </w:r>
          </w:p>
        </w:tc>
        <w:tc>
          <w:tcPr>
            <w:tcW w:w="649" w:type="dxa"/>
            <w:gridSpan w:val="2"/>
            <w:shd w:val="clear" w:color="auto" w:fill="auto"/>
            <w:noWrap/>
            <w:vAlign w:val="center"/>
          </w:tcPr>
          <w:p w14:paraId="6660C3CD" w14:textId="5919AF9A"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39,4</w:t>
            </w:r>
          </w:p>
        </w:tc>
        <w:tc>
          <w:tcPr>
            <w:tcW w:w="649" w:type="dxa"/>
            <w:shd w:val="clear" w:color="auto" w:fill="auto"/>
            <w:noWrap/>
            <w:vAlign w:val="center"/>
          </w:tcPr>
          <w:p w14:paraId="29448869" w14:textId="49727CBD"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39,6</w:t>
            </w:r>
          </w:p>
        </w:tc>
        <w:tc>
          <w:tcPr>
            <w:tcW w:w="649" w:type="dxa"/>
            <w:shd w:val="clear" w:color="auto" w:fill="auto"/>
            <w:noWrap/>
            <w:vAlign w:val="center"/>
          </w:tcPr>
          <w:p w14:paraId="4531DE10" w14:textId="482837AD" w:rsidR="003A04DD" w:rsidRPr="00004879" w:rsidRDefault="00F758E8" w:rsidP="00004879">
            <w:pPr>
              <w:jc w:val="center"/>
              <w:rPr>
                <w:rFonts w:cs="Times New Roman"/>
                <w:b/>
                <w:color w:val="000000"/>
                <w:sz w:val="18"/>
                <w:szCs w:val="18"/>
                <w:lang w:eastAsia="en-US"/>
              </w:rPr>
            </w:pPr>
            <w:r w:rsidRPr="00004879">
              <w:rPr>
                <w:rFonts w:cs="Times New Roman"/>
                <w:b/>
                <w:color w:val="000000" w:themeColor="text1"/>
                <w:sz w:val="18"/>
                <w:szCs w:val="18"/>
              </w:rPr>
              <w:t>39,6</w:t>
            </w:r>
          </w:p>
        </w:tc>
      </w:tr>
      <w:tr w:rsidR="00E672A0" w:rsidRPr="00B14658" w14:paraId="6B3B227C" w14:textId="77777777" w:rsidTr="00004879">
        <w:trPr>
          <w:trHeight w:hRule="exact" w:val="255"/>
          <w:jc w:val="center"/>
        </w:trPr>
        <w:tc>
          <w:tcPr>
            <w:tcW w:w="3402" w:type="dxa"/>
            <w:noWrap/>
            <w:vAlign w:val="bottom"/>
            <w:hideMark/>
          </w:tcPr>
          <w:p w14:paraId="7C6FCE4F" w14:textId="77777777" w:rsidR="003A04DD" w:rsidRPr="00004879" w:rsidRDefault="003A04DD" w:rsidP="009F6E88">
            <w:pPr>
              <w:ind w:firstLineChars="100" w:firstLine="180"/>
              <w:rPr>
                <w:rFonts w:cs="Times New Roman"/>
                <w:color w:val="000000"/>
                <w:sz w:val="18"/>
                <w:szCs w:val="18"/>
              </w:rPr>
            </w:pPr>
            <w:r w:rsidRPr="00004879">
              <w:rPr>
                <w:rFonts w:cs="Times New Roman"/>
                <w:color w:val="000000"/>
                <w:sz w:val="18"/>
                <w:szCs w:val="18"/>
              </w:rPr>
              <w:t>Daňové príjm</w:t>
            </w:r>
            <w:r w:rsidRPr="00004879">
              <w:rPr>
                <w:rFonts w:cs="Times New Roman"/>
                <w:color w:val="000000"/>
                <w:sz w:val="18"/>
                <w:szCs w:val="18"/>
                <w:lang w:eastAsia="en-US"/>
              </w:rPr>
              <w:t>y</w:t>
            </w:r>
          </w:p>
        </w:tc>
        <w:tc>
          <w:tcPr>
            <w:tcW w:w="648" w:type="dxa"/>
            <w:tcBorders>
              <w:top w:val="nil"/>
              <w:left w:val="single" w:sz="8" w:space="0" w:color="13B5EA"/>
              <w:bottom w:val="nil"/>
              <w:right w:val="single" w:sz="8" w:space="0" w:color="13B5EA"/>
            </w:tcBorders>
            <w:shd w:val="clear" w:color="auto" w:fill="auto"/>
            <w:noWrap/>
            <w:vAlign w:val="center"/>
          </w:tcPr>
          <w:p w14:paraId="684A9B24" w14:textId="49ECB998"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19,9</w:t>
            </w:r>
          </w:p>
        </w:tc>
        <w:tc>
          <w:tcPr>
            <w:tcW w:w="649" w:type="dxa"/>
            <w:gridSpan w:val="3"/>
            <w:shd w:val="clear" w:color="auto" w:fill="auto"/>
            <w:noWrap/>
            <w:vAlign w:val="center"/>
          </w:tcPr>
          <w:p w14:paraId="112EAA65" w14:textId="1998DC94"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19,5</w:t>
            </w:r>
          </w:p>
        </w:tc>
        <w:tc>
          <w:tcPr>
            <w:tcW w:w="649" w:type="dxa"/>
            <w:gridSpan w:val="2"/>
            <w:shd w:val="clear" w:color="auto" w:fill="auto"/>
            <w:noWrap/>
            <w:vAlign w:val="center"/>
          </w:tcPr>
          <w:p w14:paraId="464B90E6" w14:textId="1852E3DF"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19,2</w:t>
            </w:r>
          </w:p>
        </w:tc>
        <w:tc>
          <w:tcPr>
            <w:tcW w:w="649" w:type="dxa"/>
            <w:gridSpan w:val="2"/>
            <w:tcBorders>
              <w:right w:val="single" w:sz="8" w:space="0" w:color="13B5EA"/>
            </w:tcBorders>
            <w:shd w:val="clear" w:color="auto" w:fill="auto"/>
            <w:noWrap/>
            <w:vAlign w:val="center"/>
          </w:tcPr>
          <w:p w14:paraId="5C02A7D6" w14:textId="3EFCAE24"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18,9</w:t>
            </w:r>
          </w:p>
        </w:tc>
        <w:tc>
          <w:tcPr>
            <w:tcW w:w="649" w:type="dxa"/>
            <w:shd w:val="clear" w:color="auto" w:fill="auto"/>
            <w:noWrap/>
            <w:vAlign w:val="center"/>
          </w:tcPr>
          <w:p w14:paraId="6CEDA63D" w14:textId="7EB16388"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19,0</w:t>
            </w:r>
          </w:p>
        </w:tc>
        <w:tc>
          <w:tcPr>
            <w:tcW w:w="649" w:type="dxa"/>
            <w:gridSpan w:val="2"/>
            <w:shd w:val="clear" w:color="auto" w:fill="auto"/>
            <w:noWrap/>
            <w:vAlign w:val="center"/>
          </w:tcPr>
          <w:p w14:paraId="740F68C5" w14:textId="76444B0B"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19,0</w:t>
            </w:r>
          </w:p>
        </w:tc>
        <w:tc>
          <w:tcPr>
            <w:tcW w:w="649" w:type="dxa"/>
            <w:gridSpan w:val="2"/>
            <w:shd w:val="clear" w:color="auto" w:fill="auto"/>
            <w:noWrap/>
            <w:vAlign w:val="center"/>
          </w:tcPr>
          <w:p w14:paraId="0E333C17" w14:textId="34FFE1E7"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19,0</w:t>
            </w:r>
          </w:p>
        </w:tc>
        <w:tc>
          <w:tcPr>
            <w:tcW w:w="649" w:type="dxa"/>
            <w:shd w:val="clear" w:color="auto" w:fill="auto"/>
            <w:noWrap/>
            <w:vAlign w:val="center"/>
          </w:tcPr>
          <w:p w14:paraId="5E94EED5" w14:textId="578A2CF7"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19,0</w:t>
            </w:r>
          </w:p>
        </w:tc>
        <w:tc>
          <w:tcPr>
            <w:tcW w:w="649" w:type="dxa"/>
            <w:shd w:val="clear" w:color="auto" w:fill="auto"/>
            <w:noWrap/>
            <w:vAlign w:val="center"/>
          </w:tcPr>
          <w:p w14:paraId="129B4F3A" w14:textId="6AEBD599"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19,0</w:t>
            </w:r>
          </w:p>
        </w:tc>
      </w:tr>
      <w:tr w:rsidR="00E672A0" w:rsidRPr="00B14658" w14:paraId="49157F0F" w14:textId="77777777" w:rsidTr="00004879">
        <w:trPr>
          <w:trHeight w:hRule="exact" w:val="255"/>
          <w:jc w:val="center"/>
        </w:trPr>
        <w:tc>
          <w:tcPr>
            <w:tcW w:w="3402" w:type="dxa"/>
            <w:noWrap/>
            <w:vAlign w:val="bottom"/>
          </w:tcPr>
          <w:p w14:paraId="56A6D4A6" w14:textId="77777777" w:rsidR="003A04DD" w:rsidRPr="00004879" w:rsidRDefault="003A04DD" w:rsidP="009F6E88">
            <w:pPr>
              <w:ind w:firstLineChars="100" w:firstLine="180"/>
              <w:rPr>
                <w:rFonts w:cs="Times New Roman"/>
                <w:color w:val="000000" w:themeColor="text1"/>
                <w:sz w:val="18"/>
                <w:szCs w:val="18"/>
                <w:lang w:eastAsia="en-US"/>
              </w:rPr>
            </w:pPr>
            <w:r w:rsidRPr="00004879">
              <w:rPr>
                <w:rFonts w:cs="Times New Roman"/>
                <w:color w:val="000000"/>
                <w:sz w:val="18"/>
                <w:szCs w:val="18"/>
              </w:rPr>
              <w:t xml:space="preserve">  - príspevky NJF</w:t>
            </w:r>
          </w:p>
        </w:tc>
        <w:tc>
          <w:tcPr>
            <w:tcW w:w="648" w:type="dxa"/>
            <w:tcBorders>
              <w:top w:val="nil"/>
              <w:left w:val="single" w:sz="8" w:space="0" w:color="13B5EA"/>
              <w:bottom w:val="nil"/>
              <w:right w:val="single" w:sz="8" w:space="0" w:color="13B5EA"/>
            </w:tcBorders>
            <w:shd w:val="clear" w:color="auto" w:fill="auto"/>
            <w:noWrap/>
            <w:vAlign w:val="center"/>
          </w:tcPr>
          <w:p w14:paraId="5938C9D5" w14:textId="746E2E90"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3"/>
            <w:shd w:val="clear" w:color="auto" w:fill="auto"/>
            <w:noWrap/>
            <w:vAlign w:val="center"/>
          </w:tcPr>
          <w:p w14:paraId="72A3CEF0" w14:textId="41FD3E60"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2"/>
            <w:shd w:val="clear" w:color="auto" w:fill="auto"/>
            <w:noWrap/>
            <w:vAlign w:val="center"/>
          </w:tcPr>
          <w:p w14:paraId="1146AFDF" w14:textId="2B4ED0A7"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2"/>
            <w:tcBorders>
              <w:right w:val="single" w:sz="8" w:space="0" w:color="13B5EA"/>
            </w:tcBorders>
            <w:shd w:val="clear" w:color="auto" w:fill="auto"/>
            <w:noWrap/>
            <w:vAlign w:val="center"/>
          </w:tcPr>
          <w:p w14:paraId="5FD5BA07" w14:textId="09A7601A"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shd w:val="clear" w:color="auto" w:fill="auto"/>
            <w:noWrap/>
            <w:vAlign w:val="center"/>
          </w:tcPr>
          <w:p w14:paraId="254E8B57" w14:textId="751E7938"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2"/>
            <w:shd w:val="clear" w:color="auto" w:fill="auto"/>
            <w:noWrap/>
            <w:vAlign w:val="center"/>
          </w:tcPr>
          <w:p w14:paraId="5144588E" w14:textId="2D1D46E4"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gridSpan w:val="2"/>
            <w:shd w:val="clear" w:color="auto" w:fill="auto"/>
            <w:noWrap/>
            <w:vAlign w:val="center"/>
          </w:tcPr>
          <w:p w14:paraId="46061228" w14:textId="573561E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shd w:val="clear" w:color="auto" w:fill="auto"/>
            <w:noWrap/>
            <w:vAlign w:val="center"/>
          </w:tcPr>
          <w:p w14:paraId="71F368D0" w14:textId="35F8F8C3"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shd w:val="clear" w:color="auto" w:fill="auto"/>
            <w:noWrap/>
            <w:vAlign w:val="center"/>
          </w:tcPr>
          <w:p w14:paraId="2208DD10" w14:textId="2B6C2CA1"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r>
      <w:tr w:rsidR="00E672A0" w:rsidRPr="00B14658" w14:paraId="7627B73E" w14:textId="77777777" w:rsidTr="00004879">
        <w:trPr>
          <w:trHeight w:hRule="exact" w:val="255"/>
          <w:jc w:val="center"/>
        </w:trPr>
        <w:tc>
          <w:tcPr>
            <w:tcW w:w="3402" w:type="dxa"/>
            <w:noWrap/>
            <w:vAlign w:val="bottom"/>
            <w:hideMark/>
          </w:tcPr>
          <w:p w14:paraId="58B850E4" w14:textId="77777777" w:rsidR="003A04DD" w:rsidRPr="00004879" w:rsidRDefault="003A04DD" w:rsidP="009F6E88">
            <w:pPr>
              <w:ind w:firstLineChars="100" w:firstLine="180"/>
              <w:rPr>
                <w:rFonts w:cs="Times New Roman"/>
                <w:color w:val="000000"/>
                <w:sz w:val="18"/>
                <w:szCs w:val="18"/>
              </w:rPr>
            </w:pPr>
            <w:r w:rsidRPr="00004879">
              <w:rPr>
                <w:rFonts w:cs="Times New Roman"/>
                <w:color w:val="000000"/>
                <w:sz w:val="18"/>
                <w:szCs w:val="18"/>
              </w:rPr>
              <w:t xml:space="preserve">  - ostatné daňové príjm</w:t>
            </w:r>
            <w:r w:rsidRPr="00004879">
              <w:rPr>
                <w:rFonts w:cs="Times New Roman"/>
                <w:color w:val="000000"/>
                <w:sz w:val="18"/>
                <w:szCs w:val="18"/>
                <w:lang w:eastAsia="en-US"/>
              </w:rPr>
              <w:t>y</w:t>
            </w:r>
          </w:p>
        </w:tc>
        <w:tc>
          <w:tcPr>
            <w:tcW w:w="648" w:type="dxa"/>
            <w:tcBorders>
              <w:top w:val="nil"/>
              <w:left w:val="single" w:sz="8" w:space="0" w:color="13B5EA"/>
              <w:bottom w:val="nil"/>
              <w:right w:val="single" w:sz="8" w:space="0" w:color="13B5EA"/>
            </w:tcBorders>
            <w:shd w:val="clear" w:color="auto" w:fill="auto"/>
            <w:noWrap/>
            <w:vAlign w:val="center"/>
          </w:tcPr>
          <w:p w14:paraId="320430FE" w14:textId="6FF8E385"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19,8</w:t>
            </w:r>
          </w:p>
        </w:tc>
        <w:tc>
          <w:tcPr>
            <w:tcW w:w="649" w:type="dxa"/>
            <w:gridSpan w:val="3"/>
            <w:shd w:val="clear" w:color="auto" w:fill="auto"/>
            <w:noWrap/>
            <w:vAlign w:val="center"/>
          </w:tcPr>
          <w:p w14:paraId="65D844E8" w14:textId="3A3D46A6"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19,4</w:t>
            </w:r>
          </w:p>
        </w:tc>
        <w:tc>
          <w:tcPr>
            <w:tcW w:w="649" w:type="dxa"/>
            <w:gridSpan w:val="2"/>
            <w:shd w:val="clear" w:color="auto" w:fill="auto"/>
            <w:noWrap/>
            <w:vAlign w:val="center"/>
          </w:tcPr>
          <w:p w14:paraId="34D860CF" w14:textId="5BCC2658"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19,2</w:t>
            </w:r>
          </w:p>
        </w:tc>
        <w:tc>
          <w:tcPr>
            <w:tcW w:w="649" w:type="dxa"/>
            <w:gridSpan w:val="2"/>
            <w:tcBorders>
              <w:right w:val="single" w:sz="8" w:space="0" w:color="13B5EA"/>
            </w:tcBorders>
            <w:shd w:val="clear" w:color="auto" w:fill="auto"/>
            <w:noWrap/>
            <w:vAlign w:val="center"/>
          </w:tcPr>
          <w:p w14:paraId="6C06A795" w14:textId="41E7E838"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18,8</w:t>
            </w:r>
          </w:p>
        </w:tc>
        <w:tc>
          <w:tcPr>
            <w:tcW w:w="649" w:type="dxa"/>
            <w:shd w:val="clear" w:color="auto" w:fill="auto"/>
            <w:noWrap/>
            <w:vAlign w:val="center"/>
          </w:tcPr>
          <w:p w14:paraId="5657FCC8" w14:textId="78C4758C"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19,0</w:t>
            </w:r>
          </w:p>
        </w:tc>
        <w:tc>
          <w:tcPr>
            <w:tcW w:w="649" w:type="dxa"/>
            <w:gridSpan w:val="2"/>
            <w:shd w:val="clear" w:color="auto" w:fill="auto"/>
            <w:noWrap/>
            <w:vAlign w:val="center"/>
          </w:tcPr>
          <w:p w14:paraId="08897607" w14:textId="23DE6775"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19,0</w:t>
            </w:r>
          </w:p>
        </w:tc>
        <w:tc>
          <w:tcPr>
            <w:tcW w:w="649" w:type="dxa"/>
            <w:gridSpan w:val="2"/>
            <w:shd w:val="clear" w:color="auto" w:fill="auto"/>
            <w:noWrap/>
            <w:vAlign w:val="center"/>
          </w:tcPr>
          <w:p w14:paraId="1C819734" w14:textId="2633C70D"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19,0</w:t>
            </w:r>
          </w:p>
        </w:tc>
        <w:tc>
          <w:tcPr>
            <w:tcW w:w="649" w:type="dxa"/>
            <w:shd w:val="clear" w:color="auto" w:fill="auto"/>
            <w:noWrap/>
            <w:vAlign w:val="center"/>
          </w:tcPr>
          <w:p w14:paraId="32926342" w14:textId="2B680581"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19,0</w:t>
            </w:r>
          </w:p>
        </w:tc>
        <w:tc>
          <w:tcPr>
            <w:tcW w:w="649" w:type="dxa"/>
            <w:shd w:val="clear" w:color="auto" w:fill="auto"/>
            <w:noWrap/>
            <w:vAlign w:val="center"/>
          </w:tcPr>
          <w:p w14:paraId="34F6ABC0" w14:textId="50A80027"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19,0</w:t>
            </w:r>
          </w:p>
        </w:tc>
      </w:tr>
      <w:tr w:rsidR="00E672A0" w:rsidRPr="00B14658" w14:paraId="44FE68E1" w14:textId="77777777" w:rsidTr="00004879">
        <w:trPr>
          <w:trHeight w:hRule="exact" w:val="255"/>
          <w:jc w:val="center"/>
        </w:trPr>
        <w:tc>
          <w:tcPr>
            <w:tcW w:w="3402" w:type="dxa"/>
            <w:noWrap/>
            <w:vAlign w:val="bottom"/>
            <w:hideMark/>
          </w:tcPr>
          <w:p w14:paraId="6CADC533" w14:textId="77777777" w:rsidR="003A04DD" w:rsidRPr="00004879" w:rsidRDefault="003A04DD" w:rsidP="009F6E88">
            <w:pPr>
              <w:rPr>
                <w:rFonts w:cs="Times New Roman"/>
                <w:color w:val="000000"/>
                <w:sz w:val="18"/>
                <w:szCs w:val="18"/>
              </w:rPr>
            </w:pPr>
            <w:r w:rsidRPr="00004879">
              <w:rPr>
                <w:rFonts w:cs="Times New Roman"/>
                <w:color w:val="000000"/>
                <w:sz w:val="18"/>
                <w:szCs w:val="18"/>
              </w:rPr>
              <w:t xml:space="preserve">    Sociálne a zdravotné odvod</w:t>
            </w:r>
            <w:r w:rsidRPr="00004879">
              <w:rPr>
                <w:rFonts w:cs="Times New Roman"/>
                <w:color w:val="000000"/>
                <w:sz w:val="18"/>
                <w:szCs w:val="18"/>
                <w:lang w:eastAsia="en-US"/>
              </w:rPr>
              <w:t>y</w:t>
            </w:r>
          </w:p>
        </w:tc>
        <w:tc>
          <w:tcPr>
            <w:tcW w:w="648" w:type="dxa"/>
            <w:tcBorders>
              <w:top w:val="nil"/>
              <w:left w:val="single" w:sz="8" w:space="0" w:color="13B5EA"/>
              <w:bottom w:val="nil"/>
              <w:right w:val="single" w:sz="8" w:space="0" w:color="13B5EA"/>
            </w:tcBorders>
            <w:shd w:val="clear" w:color="auto" w:fill="auto"/>
            <w:noWrap/>
            <w:vAlign w:val="center"/>
          </w:tcPr>
          <w:p w14:paraId="61732325" w14:textId="581AAD49"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15,6</w:t>
            </w:r>
          </w:p>
        </w:tc>
        <w:tc>
          <w:tcPr>
            <w:tcW w:w="649" w:type="dxa"/>
            <w:gridSpan w:val="3"/>
            <w:shd w:val="clear" w:color="auto" w:fill="auto"/>
            <w:noWrap/>
            <w:vAlign w:val="center"/>
          </w:tcPr>
          <w:p w14:paraId="191838C2" w14:textId="1276B08D"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15,2</w:t>
            </w:r>
          </w:p>
        </w:tc>
        <w:tc>
          <w:tcPr>
            <w:tcW w:w="649" w:type="dxa"/>
            <w:gridSpan w:val="2"/>
            <w:shd w:val="clear" w:color="auto" w:fill="auto"/>
            <w:noWrap/>
            <w:vAlign w:val="center"/>
          </w:tcPr>
          <w:p w14:paraId="514616AF" w14:textId="6E5FBB54"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15,4</w:t>
            </w:r>
          </w:p>
        </w:tc>
        <w:tc>
          <w:tcPr>
            <w:tcW w:w="649" w:type="dxa"/>
            <w:gridSpan w:val="2"/>
            <w:tcBorders>
              <w:right w:val="single" w:sz="8" w:space="0" w:color="13B5EA"/>
            </w:tcBorders>
            <w:shd w:val="clear" w:color="auto" w:fill="auto"/>
            <w:noWrap/>
            <w:vAlign w:val="center"/>
          </w:tcPr>
          <w:p w14:paraId="08E117DC" w14:textId="69A288DD"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15,4</w:t>
            </w:r>
          </w:p>
        </w:tc>
        <w:tc>
          <w:tcPr>
            <w:tcW w:w="649" w:type="dxa"/>
            <w:shd w:val="clear" w:color="auto" w:fill="auto"/>
            <w:noWrap/>
            <w:vAlign w:val="center"/>
          </w:tcPr>
          <w:p w14:paraId="3E5D160F" w14:textId="1B697029"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15,5</w:t>
            </w:r>
          </w:p>
        </w:tc>
        <w:tc>
          <w:tcPr>
            <w:tcW w:w="649" w:type="dxa"/>
            <w:gridSpan w:val="2"/>
            <w:shd w:val="clear" w:color="auto" w:fill="auto"/>
            <w:noWrap/>
            <w:vAlign w:val="center"/>
          </w:tcPr>
          <w:p w14:paraId="14240DB3" w14:textId="3700A19F"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15,8</w:t>
            </w:r>
          </w:p>
        </w:tc>
        <w:tc>
          <w:tcPr>
            <w:tcW w:w="649" w:type="dxa"/>
            <w:gridSpan w:val="2"/>
            <w:shd w:val="clear" w:color="auto" w:fill="auto"/>
            <w:noWrap/>
            <w:vAlign w:val="center"/>
          </w:tcPr>
          <w:p w14:paraId="462E541C" w14:textId="2E452A9A"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16,2</w:t>
            </w:r>
          </w:p>
        </w:tc>
        <w:tc>
          <w:tcPr>
            <w:tcW w:w="649" w:type="dxa"/>
            <w:shd w:val="clear" w:color="auto" w:fill="auto"/>
            <w:noWrap/>
            <w:vAlign w:val="center"/>
          </w:tcPr>
          <w:p w14:paraId="7A5D85F8" w14:textId="2E80279E"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16,4</w:t>
            </w:r>
          </w:p>
        </w:tc>
        <w:tc>
          <w:tcPr>
            <w:tcW w:w="649" w:type="dxa"/>
            <w:shd w:val="clear" w:color="auto" w:fill="auto"/>
            <w:noWrap/>
            <w:vAlign w:val="center"/>
          </w:tcPr>
          <w:p w14:paraId="70E96617" w14:textId="057CB1CB"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16,4</w:t>
            </w:r>
          </w:p>
        </w:tc>
      </w:tr>
      <w:tr w:rsidR="00E672A0" w:rsidRPr="00B14658" w14:paraId="637D0C19" w14:textId="77777777" w:rsidTr="00004879">
        <w:trPr>
          <w:trHeight w:hRule="exact" w:val="255"/>
          <w:jc w:val="center"/>
        </w:trPr>
        <w:tc>
          <w:tcPr>
            <w:tcW w:w="3402" w:type="dxa"/>
            <w:noWrap/>
            <w:vAlign w:val="bottom"/>
            <w:hideMark/>
          </w:tcPr>
          <w:p w14:paraId="6F0A688F" w14:textId="77777777" w:rsidR="003A04DD" w:rsidRPr="00004879" w:rsidRDefault="003A04DD" w:rsidP="009F6E88">
            <w:pPr>
              <w:rPr>
                <w:rFonts w:cs="Times New Roman"/>
                <w:color w:val="000000"/>
                <w:sz w:val="18"/>
                <w:szCs w:val="18"/>
              </w:rPr>
            </w:pPr>
            <w:r w:rsidRPr="00004879">
              <w:rPr>
                <w:rFonts w:cs="Times New Roman"/>
                <w:color w:val="000000"/>
                <w:sz w:val="18"/>
                <w:szCs w:val="18"/>
              </w:rPr>
              <w:t xml:space="preserve">      - Soc. a zdravotné odvody (celý balík</w:t>
            </w:r>
            <w:r w:rsidRPr="00004879">
              <w:rPr>
                <w:rFonts w:cs="Times New Roman"/>
                <w:color w:val="000000"/>
                <w:sz w:val="18"/>
                <w:szCs w:val="18"/>
                <w:lang w:eastAsia="en-US"/>
              </w:rPr>
              <w:t>)</w:t>
            </w:r>
          </w:p>
        </w:tc>
        <w:tc>
          <w:tcPr>
            <w:tcW w:w="648" w:type="dxa"/>
            <w:tcBorders>
              <w:top w:val="nil"/>
              <w:left w:val="single" w:sz="8" w:space="0" w:color="13B5EA"/>
              <w:bottom w:val="nil"/>
              <w:right w:val="single" w:sz="8" w:space="0" w:color="13B5EA"/>
            </w:tcBorders>
            <w:shd w:val="clear" w:color="auto" w:fill="auto"/>
            <w:noWrap/>
            <w:vAlign w:val="center"/>
          </w:tcPr>
          <w:p w14:paraId="7D5A3A92" w14:textId="1BBD609C"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16,1</w:t>
            </w:r>
          </w:p>
        </w:tc>
        <w:tc>
          <w:tcPr>
            <w:tcW w:w="649" w:type="dxa"/>
            <w:gridSpan w:val="3"/>
            <w:shd w:val="clear" w:color="auto" w:fill="auto"/>
            <w:noWrap/>
            <w:vAlign w:val="center"/>
          </w:tcPr>
          <w:p w14:paraId="0985E05D" w14:textId="4B300C6D"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15,8</w:t>
            </w:r>
          </w:p>
        </w:tc>
        <w:tc>
          <w:tcPr>
            <w:tcW w:w="649" w:type="dxa"/>
            <w:gridSpan w:val="2"/>
            <w:shd w:val="clear" w:color="auto" w:fill="auto"/>
            <w:noWrap/>
            <w:vAlign w:val="center"/>
          </w:tcPr>
          <w:p w14:paraId="6FFD03DC" w14:textId="0D597D94"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16,1</w:t>
            </w:r>
          </w:p>
        </w:tc>
        <w:tc>
          <w:tcPr>
            <w:tcW w:w="649" w:type="dxa"/>
            <w:gridSpan w:val="2"/>
            <w:tcBorders>
              <w:right w:val="single" w:sz="8" w:space="0" w:color="13B5EA"/>
            </w:tcBorders>
            <w:shd w:val="clear" w:color="auto" w:fill="auto"/>
            <w:noWrap/>
            <w:vAlign w:val="center"/>
          </w:tcPr>
          <w:p w14:paraId="5889F1FA" w14:textId="3D335149"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16,1</w:t>
            </w:r>
          </w:p>
        </w:tc>
        <w:tc>
          <w:tcPr>
            <w:tcW w:w="649" w:type="dxa"/>
            <w:shd w:val="clear" w:color="auto" w:fill="auto"/>
            <w:noWrap/>
            <w:vAlign w:val="center"/>
          </w:tcPr>
          <w:p w14:paraId="3F14E2C1" w14:textId="74C23209"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16,2</w:t>
            </w:r>
          </w:p>
        </w:tc>
        <w:tc>
          <w:tcPr>
            <w:tcW w:w="649" w:type="dxa"/>
            <w:gridSpan w:val="2"/>
            <w:shd w:val="clear" w:color="auto" w:fill="auto"/>
            <w:noWrap/>
            <w:vAlign w:val="center"/>
          </w:tcPr>
          <w:p w14:paraId="1F4BE546" w14:textId="59067F46"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16,3</w:t>
            </w:r>
          </w:p>
        </w:tc>
        <w:tc>
          <w:tcPr>
            <w:tcW w:w="649" w:type="dxa"/>
            <w:gridSpan w:val="2"/>
            <w:shd w:val="clear" w:color="auto" w:fill="auto"/>
            <w:noWrap/>
            <w:vAlign w:val="center"/>
          </w:tcPr>
          <w:p w14:paraId="3DA77C21" w14:textId="694D91F2"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16,4</w:t>
            </w:r>
          </w:p>
        </w:tc>
        <w:tc>
          <w:tcPr>
            <w:tcW w:w="649" w:type="dxa"/>
            <w:shd w:val="clear" w:color="auto" w:fill="auto"/>
            <w:noWrap/>
            <w:vAlign w:val="center"/>
          </w:tcPr>
          <w:p w14:paraId="5D51E5B0" w14:textId="5FE4D1DF"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16,4</w:t>
            </w:r>
          </w:p>
        </w:tc>
        <w:tc>
          <w:tcPr>
            <w:tcW w:w="649" w:type="dxa"/>
            <w:shd w:val="clear" w:color="auto" w:fill="auto"/>
            <w:noWrap/>
            <w:vAlign w:val="center"/>
          </w:tcPr>
          <w:p w14:paraId="29E579C4" w14:textId="6854337F"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16,4</w:t>
            </w:r>
          </w:p>
        </w:tc>
      </w:tr>
      <w:tr w:rsidR="00E672A0" w:rsidRPr="00B14658" w14:paraId="6CFCC76B" w14:textId="77777777" w:rsidTr="00004879">
        <w:trPr>
          <w:trHeight w:hRule="exact" w:val="255"/>
          <w:jc w:val="center"/>
        </w:trPr>
        <w:tc>
          <w:tcPr>
            <w:tcW w:w="3402" w:type="dxa"/>
            <w:noWrap/>
            <w:vAlign w:val="bottom"/>
            <w:hideMark/>
          </w:tcPr>
          <w:p w14:paraId="4F460840" w14:textId="77777777" w:rsidR="003A04DD" w:rsidRPr="00004879" w:rsidRDefault="003A04DD" w:rsidP="009F6E88">
            <w:pPr>
              <w:rPr>
                <w:rFonts w:cs="Times New Roman"/>
                <w:color w:val="000000"/>
                <w:sz w:val="18"/>
                <w:szCs w:val="18"/>
              </w:rPr>
            </w:pPr>
            <w:r w:rsidRPr="00004879">
              <w:rPr>
                <w:rFonts w:cs="Times New Roman"/>
                <w:color w:val="000000"/>
                <w:sz w:val="18"/>
                <w:szCs w:val="18"/>
              </w:rPr>
              <w:t xml:space="preserve">       - Výpadok - II. pilie</w:t>
            </w:r>
            <w:r w:rsidRPr="00004879">
              <w:rPr>
                <w:rFonts w:cs="Times New Roman"/>
                <w:color w:val="000000"/>
                <w:sz w:val="18"/>
                <w:szCs w:val="18"/>
                <w:lang w:eastAsia="en-US"/>
              </w:rPr>
              <w:t>r</w:t>
            </w:r>
          </w:p>
        </w:tc>
        <w:tc>
          <w:tcPr>
            <w:tcW w:w="648" w:type="dxa"/>
            <w:tcBorders>
              <w:top w:val="nil"/>
              <w:left w:val="single" w:sz="8" w:space="0" w:color="13B5EA"/>
              <w:bottom w:val="nil"/>
              <w:right w:val="single" w:sz="8" w:space="0" w:color="13B5EA"/>
            </w:tcBorders>
            <w:shd w:val="clear" w:color="auto" w:fill="auto"/>
            <w:noWrap/>
            <w:vAlign w:val="center"/>
          </w:tcPr>
          <w:p w14:paraId="4CB7720A" w14:textId="01488707"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-1,0</w:t>
            </w:r>
          </w:p>
        </w:tc>
        <w:tc>
          <w:tcPr>
            <w:tcW w:w="649" w:type="dxa"/>
            <w:gridSpan w:val="3"/>
            <w:shd w:val="clear" w:color="auto" w:fill="auto"/>
            <w:noWrap/>
            <w:vAlign w:val="center"/>
          </w:tcPr>
          <w:p w14:paraId="349ECDF6" w14:textId="5670BCA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-1,0</w:t>
            </w:r>
          </w:p>
        </w:tc>
        <w:tc>
          <w:tcPr>
            <w:tcW w:w="649" w:type="dxa"/>
            <w:gridSpan w:val="2"/>
            <w:shd w:val="clear" w:color="auto" w:fill="auto"/>
            <w:noWrap/>
            <w:vAlign w:val="center"/>
          </w:tcPr>
          <w:p w14:paraId="4B503886" w14:textId="3E01695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-1,1</w:t>
            </w:r>
          </w:p>
        </w:tc>
        <w:tc>
          <w:tcPr>
            <w:tcW w:w="649" w:type="dxa"/>
            <w:gridSpan w:val="2"/>
            <w:tcBorders>
              <w:right w:val="single" w:sz="8" w:space="0" w:color="13B5EA"/>
            </w:tcBorders>
            <w:shd w:val="clear" w:color="auto" w:fill="auto"/>
            <w:noWrap/>
            <w:vAlign w:val="center"/>
          </w:tcPr>
          <w:p w14:paraId="5F954492" w14:textId="57324541"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-1,1</w:t>
            </w:r>
          </w:p>
        </w:tc>
        <w:tc>
          <w:tcPr>
            <w:tcW w:w="649" w:type="dxa"/>
            <w:shd w:val="clear" w:color="auto" w:fill="auto"/>
            <w:noWrap/>
            <w:vAlign w:val="center"/>
          </w:tcPr>
          <w:p w14:paraId="7C747159" w14:textId="3E97BFFB"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-1,1</w:t>
            </w:r>
          </w:p>
        </w:tc>
        <w:tc>
          <w:tcPr>
            <w:tcW w:w="649" w:type="dxa"/>
            <w:gridSpan w:val="2"/>
            <w:shd w:val="clear" w:color="auto" w:fill="auto"/>
            <w:noWrap/>
            <w:vAlign w:val="center"/>
          </w:tcPr>
          <w:p w14:paraId="1A2D5B25" w14:textId="5EACD334"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-0,9</w:t>
            </w:r>
          </w:p>
        </w:tc>
        <w:tc>
          <w:tcPr>
            <w:tcW w:w="649" w:type="dxa"/>
            <w:gridSpan w:val="2"/>
            <w:shd w:val="clear" w:color="auto" w:fill="auto"/>
            <w:noWrap/>
            <w:vAlign w:val="center"/>
          </w:tcPr>
          <w:p w14:paraId="590E5F00" w14:textId="272F559F"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-0,7</w:t>
            </w:r>
          </w:p>
        </w:tc>
        <w:tc>
          <w:tcPr>
            <w:tcW w:w="649" w:type="dxa"/>
            <w:shd w:val="clear" w:color="auto" w:fill="auto"/>
            <w:noWrap/>
            <w:vAlign w:val="center"/>
          </w:tcPr>
          <w:p w14:paraId="175F648F" w14:textId="5DF48588"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shd w:val="clear" w:color="auto" w:fill="auto"/>
            <w:noWrap/>
            <w:vAlign w:val="center"/>
          </w:tcPr>
          <w:p w14:paraId="41A18875" w14:textId="08B3AB45" w:rsidR="003A04DD" w:rsidRPr="00004879" w:rsidRDefault="003A04DD" w:rsidP="00004879">
            <w:pPr>
              <w:jc w:val="center"/>
              <w:rPr>
                <w:rFonts w:cs="Times New Roman"/>
                <w:color w:val="000000"/>
                <w:sz w:val="18"/>
                <w:szCs w:val="18"/>
                <w:lang w:eastAsia="en-US"/>
              </w:rPr>
            </w:pPr>
            <w:r w:rsidRPr="00004879">
              <w:rPr>
                <w:rFonts w:cs="Times New Roman"/>
                <w:color w:val="000000" w:themeColor="text1"/>
                <w:sz w:val="18"/>
                <w:szCs w:val="18"/>
              </w:rPr>
              <w:t>-0,5</w:t>
            </w:r>
          </w:p>
        </w:tc>
      </w:tr>
      <w:tr w:rsidR="00E672A0" w:rsidRPr="00B14658" w14:paraId="0AE2ECAC" w14:textId="77777777" w:rsidTr="00004879">
        <w:trPr>
          <w:trHeight w:hRule="exact" w:val="255"/>
          <w:jc w:val="center"/>
        </w:trPr>
        <w:tc>
          <w:tcPr>
            <w:tcW w:w="3402" w:type="dxa"/>
            <w:noWrap/>
            <w:vAlign w:val="bottom"/>
            <w:hideMark/>
          </w:tcPr>
          <w:p w14:paraId="387B48AF" w14:textId="77777777" w:rsidR="003A04DD" w:rsidRPr="00004879" w:rsidRDefault="003A04DD" w:rsidP="009F6E88">
            <w:pPr>
              <w:ind w:firstLineChars="100" w:firstLine="180"/>
              <w:rPr>
                <w:rFonts w:cs="Times New Roman"/>
                <w:color w:val="000000"/>
                <w:sz w:val="18"/>
                <w:szCs w:val="18"/>
              </w:rPr>
            </w:pPr>
            <w:r w:rsidRPr="00004879">
              <w:rPr>
                <w:rFonts w:cs="Times New Roman"/>
                <w:color w:val="000000"/>
                <w:sz w:val="18"/>
                <w:szCs w:val="18"/>
              </w:rPr>
              <w:t xml:space="preserve">   - Soc. poistenie ozbrojených zložie</w:t>
            </w:r>
            <w:r w:rsidRPr="00004879">
              <w:rPr>
                <w:rFonts w:cs="Times New Roman"/>
                <w:color w:val="000000"/>
                <w:sz w:val="18"/>
                <w:szCs w:val="18"/>
                <w:lang w:eastAsia="en-US"/>
              </w:rPr>
              <w:t>k</w:t>
            </w:r>
          </w:p>
        </w:tc>
        <w:tc>
          <w:tcPr>
            <w:tcW w:w="648" w:type="dxa"/>
            <w:tcBorders>
              <w:top w:val="nil"/>
              <w:left w:val="single" w:sz="8" w:space="0" w:color="13B5EA"/>
              <w:bottom w:val="nil"/>
              <w:right w:val="single" w:sz="8" w:space="0" w:color="13B5EA"/>
            </w:tcBorders>
            <w:shd w:val="clear" w:color="auto" w:fill="auto"/>
            <w:noWrap/>
            <w:vAlign w:val="center"/>
          </w:tcPr>
          <w:p w14:paraId="6CA0424E" w14:textId="6FBE2904"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0,4</w:t>
            </w:r>
          </w:p>
        </w:tc>
        <w:tc>
          <w:tcPr>
            <w:tcW w:w="649" w:type="dxa"/>
            <w:gridSpan w:val="3"/>
            <w:shd w:val="clear" w:color="auto" w:fill="auto"/>
            <w:noWrap/>
            <w:vAlign w:val="center"/>
          </w:tcPr>
          <w:p w14:paraId="5B1C9748" w14:textId="6D386C1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0,4</w:t>
            </w:r>
          </w:p>
        </w:tc>
        <w:tc>
          <w:tcPr>
            <w:tcW w:w="649" w:type="dxa"/>
            <w:gridSpan w:val="2"/>
            <w:shd w:val="clear" w:color="auto" w:fill="auto"/>
            <w:noWrap/>
            <w:vAlign w:val="center"/>
          </w:tcPr>
          <w:p w14:paraId="72E48330" w14:textId="2896E4DA"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0,4</w:t>
            </w:r>
          </w:p>
        </w:tc>
        <w:tc>
          <w:tcPr>
            <w:tcW w:w="649" w:type="dxa"/>
            <w:gridSpan w:val="2"/>
            <w:tcBorders>
              <w:right w:val="single" w:sz="8" w:space="0" w:color="13B5EA"/>
            </w:tcBorders>
            <w:shd w:val="clear" w:color="auto" w:fill="auto"/>
            <w:noWrap/>
            <w:vAlign w:val="center"/>
          </w:tcPr>
          <w:p w14:paraId="4389C711" w14:textId="3FD651D7"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0,4</w:t>
            </w:r>
          </w:p>
        </w:tc>
        <w:tc>
          <w:tcPr>
            <w:tcW w:w="649" w:type="dxa"/>
            <w:shd w:val="clear" w:color="auto" w:fill="auto"/>
            <w:noWrap/>
            <w:vAlign w:val="center"/>
          </w:tcPr>
          <w:p w14:paraId="17A6B01E" w14:textId="1C0E8C5C"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0,4</w:t>
            </w:r>
          </w:p>
        </w:tc>
        <w:tc>
          <w:tcPr>
            <w:tcW w:w="649" w:type="dxa"/>
            <w:gridSpan w:val="2"/>
            <w:shd w:val="clear" w:color="auto" w:fill="auto"/>
            <w:noWrap/>
            <w:vAlign w:val="center"/>
          </w:tcPr>
          <w:p w14:paraId="70BF39AD" w14:textId="752B646F"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gridSpan w:val="2"/>
            <w:shd w:val="clear" w:color="auto" w:fill="auto"/>
            <w:noWrap/>
            <w:vAlign w:val="center"/>
          </w:tcPr>
          <w:p w14:paraId="73148653" w14:textId="1CB8ED50"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shd w:val="clear" w:color="auto" w:fill="auto"/>
            <w:noWrap/>
            <w:vAlign w:val="center"/>
          </w:tcPr>
          <w:p w14:paraId="75720E51" w14:textId="7D74DA9E"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shd w:val="clear" w:color="auto" w:fill="auto"/>
            <w:noWrap/>
            <w:vAlign w:val="center"/>
          </w:tcPr>
          <w:p w14:paraId="339C367B" w14:textId="06F3E752" w:rsidR="003A04DD" w:rsidRPr="00004879" w:rsidRDefault="003A04DD" w:rsidP="00004879">
            <w:pPr>
              <w:jc w:val="center"/>
              <w:rPr>
                <w:rFonts w:cs="Times New Roman"/>
                <w:color w:val="000000"/>
                <w:sz w:val="18"/>
                <w:szCs w:val="18"/>
                <w:lang w:eastAsia="en-US"/>
              </w:rPr>
            </w:pPr>
            <w:r w:rsidRPr="00004879">
              <w:rPr>
                <w:rFonts w:cs="Times New Roman"/>
                <w:color w:val="000000" w:themeColor="text1"/>
                <w:sz w:val="18"/>
                <w:szCs w:val="18"/>
              </w:rPr>
              <w:t>0,5</w:t>
            </w:r>
          </w:p>
        </w:tc>
      </w:tr>
      <w:tr w:rsidR="00E672A0" w:rsidRPr="00B14658" w14:paraId="2DBF1A1B" w14:textId="77777777" w:rsidTr="00004879">
        <w:trPr>
          <w:trHeight w:hRule="exact" w:val="255"/>
          <w:jc w:val="center"/>
        </w:trPr>
        <w:tc>
          <w:tcPr>
            <w:tcW w:w="3402" w:type="dxa"/>
            <w:noWrap/>
            <w:vAlign w:val="bottom"/>
            <w:hideMark/>
          </w:tcPr>
          <w:p w14:paraId="3E9E29BF" w14:textId="77777777" w:rsidR="003A04DD" w:rsidRPr="00004879" w:rsidRDefault="003A04DD" w:rsidP="009F6E88">
            <w:pPr>
              <w:ind w:firstLineChars="100" w:firstLine="180"/>
              <w:rPr>
                <w:rFonts w:cs="Times New Roman"/>
                <w:color w:val="000000"/>
                <w:sz w:val="18"/>
                <w:szCs w:val="18"/>
              </w:rPr>
            </w:pPr>
            <w:r w:rsidRPr="00004879">
              <w:rPr>
                <w:rFonts w:cs="Times New Roman"/>
                <w:color w:val="000000"/>
                <w:sz w:val="18"/>
                <w:szCs w:val="18"/>
              </w:rPr>
              <w:t>Nedaňové príjm</w:t>
            </w:r>
            <w:r w:rsidRPr="00004879">
              <w:rPr>
                <w:rFonts w:cs="Times New Roman"/>
                <w:color w:val="000000"/>
                <w:sz w:val="18"/>
                <w:szCs w:val="18"/>
                <w:lang w:eastAsia="en-US"/>
              </w:rPr>
              <w:t>y</w:t>
            </w:r>
          </w:p>
        </w:tc>
        <w:tc>
          <w:tcPr>
            <w:tcW w:w="648" w:type="dxa"/>
            <w:tcBorders>
              <w:top w:val="nil"/>
              <w:left w:val="single" w:sz="8" w:space="0" w:color="13B5EA"/>
              <w:bottom w:val="nil"/>
              <w:right w:val="single" w:sz="8" w:space="0" w:color="13B5EA"/>
            </w:tcBorders>
            <w:shd w:val="clear" w:color="auto" w:fill="auto"/>
            <w:noWrap/>
            <w:vAlign w:val="center"/>
          </w:tcPr>
          <w:p w14:paraId="54B4651E" w14:textId="55FDFB72"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5,3</w:t>
            </w:r>
          </w:p>
        </w:tc>
        <w:tc>
          <w:tcPr>
            <w:tcW w:w="649" w:type="dxa"/>
            <w:gridSpan w:val="3"/>
            <w:shd w:val="clear" w:color="auto" w:fill="auto"/>
            <w:noWrap/>
            <w:vAlign w:val="center"/>
          </w:tcPr>
          <w:p w14:paraId="27981CD9" w14:textId="0BA42945"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6,2</w:t>
            </w:r>
          </w:p>
        </w:tc>
        <w:tc>
          <w:tcPr>
            <w:tcW w:w="649" w:type="dxa"/>
            <w:gridSpan w:val="2"/>
            <w:shd w:val="clear" w:color="auto" w:fill="auto"/>
            <w:noWrap/>
            <w:vAlign w:val="center"/>
          </w:tcPr>
          <w:p w14:paraId="1197685B" w14:textId="33D00246"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4,8</w:t>
            </w:r>
          </w:p>
        </w:tc>
        <w:tc>
          <w:tcPr>
            <w:tcW w:w="649" w:type="dxa"/>
            <w:gridSpan w:val="2"/>
            <w:tcBorders>
              <w:right w:val="single" w:sz="8" w:space="0" w:color="13B5EA"/>
            </w:tcBorders>
            <w:shd w:val="clear" w:color="auto" w:fill="auto"/>
            <w:noWrap/>
            <w:vAlign w:val="center"/>
          </w:tcPr>
          <w:p w14:paraId="788B3562" w14:textId="4DF418D6"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4,5</w:t>
            </w:r>
          </w:p>
        </w:tc>
        <w:tc>
          <w:tcPr>
            <w:tcW w:w="649" w:type="dxa"/>
            <w:shd w:val="clear" w:color="auto" w:fill="auto"/>
            <w:noWrap/>
            <w:vAlign w:val="center"/>
          </w:tcPr>
          <w:p w14:paraId="0F8BF800" w14:textId="2869A8AE"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4,2</w:t>
            </w:r>
          </w:p>
        </w:tc>
        <w:tc>
          <w:tcPr>
            <w:tcW w:w="649" w:type="dxa"/>
            <w:gridSpan w:val="2"/>
            <w:shd w:val="clear" w:color="auto" w:fill="auto"/>
            <w:noWrap/>
            <w:vAlign w:val="center"/>
          </w:tcPr>
          <w:p w14:paraId="07B5D42C" w14:textId="7878D401"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4,2</w:t>
            </w:r>
          </w:p>
        </w:tc>
        <w:tc>
          <w:tcPr>
            <w:tcW w:w="649" w:type="dxa"/>
            <w:gridSpan w:val="2"/>
            <w:shd w:val="clear" w:color="auto" w:fill="auto"/>
            <w:noWrap/>
            <w:vAlign w:val="center"/>
          </w:tcPr>
          <w:p w14:paraId="659949FD" w14:textId="4E6A1E6D"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4,2</w:t>
            </w:r>
          </w:p>
        </w:tc>
        <w:tc>
          <w:tcPr>
            <w:tcW w:w="649" w:type="dxa"/>
            <w:shd w:val="clear" w:color="auto" w:fill="auto"/>
            <w:noWrap/>
            <w:vAlign w:val="center"/>
          </w:tcPr>
          <w:p w14:paraId="44B85CFB" w14:textId="581E235F"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4,2</w:t>
            </w:r>
          </w:p>
        </w:tc>
        <w:tc>
          <w:tcPr>
            <w:tcW w:w="649" w:type="dxa"/>
            <w:shd w:val="clear" w:color="auto" w:fill="auto"/>
            <w:noWrap/>
            <w:vAlign w:val="center"/>
          </w:tcPr>
          <w:p w14:paraId="6FD3DC80" w14:textId="173FE34F" w:rsidR="003A04DD" w:rsidRPr="00004879" w:rsidRDefault="003A04DD" w:rsidP="00004879">
            <w:pPr>
              <w:jc w:val="center"/>
              <w:rPr>
                <w:rFonts w:cs="Times New Roman"/>
                <w:color w:val="000000"/>
                <w:sz w:val="18"/>
                <w:szCs w:val="18"/>
                <w:lang w:eastAsia="en-US"/>
              </w:rPr>
            </w:pPr>
            <w:r w:rsidRPr="00004879">
              <w:rPr>
                <w:rFonts w:cs="Times New Roman"/>
                <w:color w:val="000000" w:themeColor="text1"/>
                <w:sz w:val="18"/>
                <w:szCs w:val="18"/>
              </w:rPr>
              <w:t>4,2</w:t>
            </w:r>
          </w:p>
        </w:tc>
      </w:tr>
      <w:tr w:rsidR="00E672A0" w:rsidRPr="00B14658" w14:paraId="62D899D5" w14:textId="77777777" w:rsidTr="00004879">
        <w:trPr>
          <w:trHeight w:hRule="exact" w:val="255"/>
          <w:jc w:val="center"/>
        </w:trPr>
        <w:tc>
          <w:tcPr>
            <w:tcW w:w="3402" w:type="dxa"/>
            <w:noWrap/>
            <w:vAlign w:val="bottom"/>
            <w:hideMark/>
          </w:tcPr>
          <w:p w14:paraId="17593E2D" w14:textId="77777777" w:rsidR="003A04DD" w:rsidRPr="00004879" w:rsidRDefault="003A04DD" w:rsidP="009F6E88">
            <w:pPr>
              <w:rPr>
                <w:rFonts w:cs="Times New Roman"/>
                <w:color w:val="000000"/>
                <w:sz w:val="18"/>
                <w:szCs w:val="18"/>
              </w:rPr>
            </w:pPr>
            <w:r w:rsidRPr="00004879">
              <w:rPr>
                <w:rFonts w:cs="Times New Roman"/>
                <w:color w:val="000000"/>
                <w:sz w:val="18"/>
                <w:szCs w:val="18"/>
              </w:rPr>
              <w:t xml:space="preserve">       - príspevky BIDS</w:t>
            </w:r>
            <w:r w:rsidRPr="00004879">
              <w:rPr>
                <w:rFonts w:cs="Times New Roman"/>
                <w:color w:val="000000"/>
                <w:sz w:val="18"/>
                <w:szCs w:val="18"/>
                <w:lang w:eastAsia="en-US"/>
              </w:rPr>
              <w:t>F</w:t>
            </w:r>
          </w:p>
        </w:tc>
        <w:tc>
          <w:tcPr>
            <w:tcW w:w="648" w:type="dxa"/>
            <w:tcBorders>
              <w:top w:val="nil"/>
              <w:left w:val="single" w:sz="8" w:space="0" w:color="13B5EA"/>
              <w:bottom w:val="nil"/>
              <w:right w:val="single" w:sz="8" w:space="0" w:color="13B5EA"/>
            </w:tcBorders>
            <w:shd w:val="clear" w:color="auto" w:fill="auto"/>
            <w:noWrap/>
            <w:vAlign w:val="center"/>
          </w:tcPr>
          <w:p w14:paraId="55B2F8F2" w14:textId="0900017A"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gridSpan w:val="3"/>
            <w:shd w:val="clear" w:color="auto" w:fill="auto"/>
            <w:noWrap/>
            <w:vAlign w:val="center"/>
          </w:tcPr>
          <w:p w14:paraId="4E054962" w14:textId="60456C80"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gridSpan w:val="2"/>
            <w:shd w:val="clear" w:color="auto" w:fill="auto"/>
            <w:noWrap/>
            <w:vAlign w:val="center"/>
          </w:tcPr>
          <w:p w14:paraId="3BDD1CE7" w14:textId="626059C4"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gridSpan w:val="2"/>
            <w:tcBorders>
              <w:right w:val="single" w:sz="8" w:space="0" w:color="13B5EA"/>
            </w:tcBorders>
            <w:shd w:val="clear" w:color="auto" w:fill="auto"/>
            <w:noWrap/>
            <w:vAlign w:val="center"/>
          </w:tcPr>
          <w:p w14:paraId="2CAA9DC4" w14:textId="2560AA4B"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shd w:val="clear" w:color="auto" w:fill="auto"/>
            <w:noWrap/>
            <w:vAlign w:val="center"/>
          </w:tcPr>
          <w:p w14:paraId="2873257F" w14:textId="0871BCEA"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gridSpan w:val="2"/>
            <w:shd w:val="clear" w:color="auto" w:fill="auto"/>
            <w:noWrap/>
            <w:vAlign w:val="center"/>
          </w:tcPr>
          <w:p w14:paraId="647242F0" w14:textId="0E69234B"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gridSpan w:val="2"/>
            <w:shd w:val="clear" w:color="auto" w:fill="auto"/>
            <w:noWrap/>
            <w:vAlign w:val="center"/>
          </w:tcPr>
          <w:p w14:paraId="0E7EEE2C" w14:textId="727BB641"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shd w:val="clear" w:color="auto" w:fill="auto"/>
            <w:noWrap/>
            <w:vAlign w:val="center"/>
          </w:tcPr>
          <w:p w14:paraId="3683C090" w14:textId="0F0BDCCB"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shd w:val="clear" w:color="auto" w:fill="auto"/>
            <w:noWrap/>
            <w:vAlign w:val="center"/>
          </w:tcPr>
          <w:p w14:paraId="777F1F16" w14:textId="552210EA" w:rsidR="003A04DD" w:rsidRPr="00004879" w:rsidRDefault="003A04DD" w:rsidP="00004879">
            <w:pPr>
              <w:jc w:val="center"/>
              <w:rPr>
                <w:rFonts w:cs="Times New Roman"/>
                <w:color w:val="000000"/>
                <w:sz w:val="18"/>
                <w:szCs w:val="18"/>
                <w:lang w:eastAsia="en-US"/>
              </w:rPr>
            </w:pPr>
            <w:r w:rsidRPr="00004879">
              <w:rPr>
                <w:rFonts w:cs="Times New Roman"/>
                <w:color w:val="000000" w:themeColor="text1"/>
                <w:sz w:val="18"/>
                <w:szCs w:val="18"/>
              </w:rPr>
              <w:t>0,0</w:t>
            </w:r>
          </w:p>
        </w:tc>
      </w:tr>
      <w:tr w:rsidR="00E672A0" w:rsidRPr="00B14658" w14:paraId="7CC587EE" w14:textId="77777777" w:rsidTr="00004879">
        <w:trPr>
          <w:trHeight w:hRule="exact" w:val="255"/>
          <w:jc w:val="center"/>
        </w:trPr>
        <w:tc>
          <w:tcPr>
            <w:tcW w:w="3402" w:type="dxa"/>
            <w:noWrap/>
            <w:vAlign w:val="bottom"/>
            <w:hideMark/>
          </w:tcPr>
          <w:p w14:paraId="2A92708C" w14:textId="77777777" w:rsidR="003A04DD" w:rsidRPr="00004879" w:rsidRDefault="003A04DD" w:rsidP="009F6E88">
            <w:pPr>
              <w:rPr>
                <w:rFonts w:cs="Times New Roman"/>
                <w:color w:val="000000"/>
                <w:sz w:val="18"/>
                <w:szCs w:val="18"/>
              </w:rPr>
            </w:pPr>
            <w:r w:rsidRPr="00004879">
              <w:rPr>
                <w:rFonts w:cs="Times New Roman"/>
                <w:color w:val="000000"/>
                <w:sz w:val="18"/>
                <w:szCs w:val="18"/>
              </w:rPr>
              <w:t xml:space="preserve">       - príjmy z majetk</w:t>
            </w:r>
            <w:r w:rsidRPr="00004879">
              <w:rPr>
                <w:rFonts w:cs="Times New Roman"/>
                <w:color w:val="000000"/>
                <w:sz w:val="18"/>
                <w:szCs w:val="18"/>
                <w:lang w:eastAsia="en-US"/>
              </w:rPr>
              <w:t>u</w:t>
            </w:r>
          </w:p>
        </w:tc>
        <w:tc>
          <w:tcPr>
            <w:tcW w:w="648" w:type="dxa"/>
            <w:tcBorders>
              <w:top w:val="nil"/>
              <w:left w:val="single" w:sz="8" w:space="0" w:color="13B5EA"/>
              <w:bottom w:val="nil"/>
              <w:right w:val="single" w:sz="8" w:space="0" w:color="13B5EA"/>
            </w:tcBorders>
            <w:shd w:val="clear" w:color="auto" w:fill="auto"/>
            <w:noWrap/>
            <w:vAlign w:val="center"/>
          </w:tcPr>
          <w:p w14:paraId="4EF4817A" w14:textId="16EFD18E"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0,6</w:t>
            </w:r>
          </w:p>
        </w:tc>
        <w:tc>
          <w:tcPr>
            <w:tcW w:w="649" w:type="dxa"/>
            <w:gridSpan w:val="3"/>
            <w:shd w:val="clear" w:color="auto" w:fill="auto"/>
            <w:noWrap/>
            <w:vAlign w:val="center"/>
          </w:tcPr>
          <w:p w14:paraId="1517FE43" w14:textId="0946E152"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0,7</w:t>
            </w:r>
          </w:p>
        </w:tc>
        <w:tc>
          <w:tcPr>
            <w:tcW w:w="649" w:type="dxa"/>
            <w:gridSpan w:val="2"/>
            <w:shd w:val="clear" w:color="auto" w:fill="auto"/>
            <w:noWrap/>
            <w:vAlign w:val="center"/>
          </w:tcPr>
          <w:p w14:paraId="54821B1E" w14:textId="7F3ECB1F"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gridSpan w:val="2"/>
            <w:tcBorders>
              <w:right w:val="single" w:sz="8" w:space="0" w:color="13B5EA"/>
            </w:tcBorders>
            <w:shd w:val="clear" w:color="auto" w:fill="auto"/>
            <w:noWrap/>
            <w:vAlign w:val="center"/>
          </w:tcPr>
          <w:p w14:paraId="1E573261" w14:textId="27035747"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shd w:val="clear" w:color="auto" w:fill="auto"/>
            <w:noWrap/>
            <w:vAlign w:val="center"/>
          </w:tcPr>
          <w:p w14:paraId="12347CF9" w14:textId="463811BD"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gridSpan w:val="2"/>
            <w:shd w:val="clear" w:color="auto" w:fill="auto"/>
            <w:noWrap/>
            <w:vAlign w:val="center"/>
          </w:tcPr>
          <w:p w14:paraId="02AB05BF" w14:textId="700D5C6B"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0,4</w:t>
            </w:r>
          </w:p>
        </w:tc>
        <w:tc>
          <w:tcPr>
            <w:tcW w:w="649" w:type="dxa"/>
            <w:gridSpan w:val="2"/>
            <w:shd w:val="clear" w:color="auto" w:fill="auto"/>
            <w:noWrap/>
            <w:vAlign w:val="center"/>
          </w:tcPr>
          <w:p w14:paraId="76082715" w14:textId="4B9F7021"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0,3</w:t>
            </w:r>
          </w:p>
        </w:tc>
        <w:tc>
          <w:tcPr>
            <w:tcW w:w="649" w:type="dxa"/>
            <w:shd w:val="clear" w:color="auto" w:fill="auto"/>
            <w:noWrap/>
            <w:vAlign w:val="center"/>
          </w:tcPr>
          <w:p w14:paraId="31D04166" w14:textId="3E9D742F"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0,3</w:t>
            </w:r>
          </w:p>
        </w:tc>
        <w:tc>
          <w:tcPr>
            <w:tcW w:w="649" w:type="dxa"/>
            <w:shd w:val="clear" w:color="auto" w:fill="auto"/>
            <w:noWrap/>
            <w:vAlign w:val="center"/>
          </w:tcPr>
          <w:p w14:paraId="1D69BEB3" w14:textId="397F12E1"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0,3</w:t>
            </w:r>
          </w:p>
        </w:tc>
      </w:tr>
      <w:tr w:rsidR="00E672A0" w:rsidRPr="00B14658" w14:paraId="7A10A87C" w14:textId="77777777" w:rsidTr="00004879">
        <w:trPr>
          <w:trHeight w:hRule="exact" w:val="284"/>
          <w:jc w:val="center"/>
        </w:trPr>
        <w:tc>
          <w:tcPr>
            <w:tcW w:w="3402" w:type="dxa"/>
            <w:noWrap/>
            <w:vAlign w:val="center"/>
          </w:tcPr>
          <w:p w14:paraId="40FCAA6D" w14:textId="77777777" w:rsidR="003A04DD" w:rsidRPr="00004879" w:rsidRDefault="003A04DD" w:rsidP="009F6E88">
            <w:pPr>
              <w:rPr>
                <w:rFonts w:cs="Times New Roman"/>
                <w:color w:val="000000"/>
                <w:sz w:val="18"/>
                <w:szCs w:val="18"/>
              </w:rPr>
            </w:pPr>
            <w:r w:rsidRPr="00004879">
              <w:rPr>
                <w:rFonts w:cs="Times New Roman"/>
                <w:color w:val="000000"/>
                <w:sz w:val="18"/>
                <w:szCs w:val="18"/>
              </w:rPr>
              <w:t xml:space="preserve">       - príjmy spojené s dlhodobou star.</w:t>
            </w:r>
          </w:p>
        </w:tc>
        <w:tc>
          <w:tcPr>
            <w:tcW w:w="648" w:type="dxa"/>
            <w:tcBorders>
              <w:top w:val="nil"/>
              <w:left w:val="single" w:sz="8" w:space="0" w:color="13B5EA"/>
              <w:bottom w:val="nil"/>
              <w:right w:val="single" w:sz="8" w:space="0" w:color="13B5EA"/>
            </w:tcBorders>
            <w:shd w:val="clear" w:color="auto" w:fill="auto"/>
            <w:noWrap/>
            <w:vAlign w:val="center"/>
          </w:tcPr>
          <w:p w14:paraId="3822DFE7" w14:textId="5B04197A"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3"/>
            <w:shd w:val="clear" w:color="auto" w:fill="auto"/>
            <w:noWrap/>
            <w:vAlign w:val="center"/>
          </w:tcPr>
          <w:p w14:paraId="2CF485A0" w14:textId="4752520F"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2"/>
            <w:shd w:val="clear" w:color="auto" w:fill="auto"/>
            <w:noWrap/>
            <w:vAlign w:val="center"/>
          </w:tcPr>
          <w:p w14:paraId="3BB70366" w14:textId="3C22E324"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2"/>
            <w:tcBorders>
              <w:right w:val="single" w:sz="8" w:space="0" w:color="13B5EA"/>
            </w:tcBorders>
            <w:shd w:val="clear" w:color="auto" w:fill="auto"/>
            <w:noWrap/>
            <w:vAlign w:val="center"/>
          </w:tcPr>
          <w:p w14:paraId="770A2356" w14:textId="21709FD1"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shd w:val="clear" w:color="auto" w:fill="auto"/>
            <w:noWrap/>
            <w:vAlign w:val="center"/>
          </w:tcPr>
          <w:p w14:paraId="5AFA9ECA" w14:textId="78AFD031"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2"/>
            <w:shd w:val="clear" w:color="auto" w:fill="auto"/>
            <w:noWrap/>
            <w:vAlign w:val="center"/>
          </w:tcPr>
          <w:p w14:paraId="5BAA91A9" w14:textId="0BD2DBA5"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0,2</w:t>
            </w:r>
          </w:p>
        </w:tc>
        <w:tc>
          <w:tcPr>
            <w:tcW w:w="649" w:type="dxa"/>
            <w:gridSpan w:val="2"/>
            <w:shd w:val="clear" w:color="auto" w:fill="auto"/>
            <w:noWrap/>
            <w:vAlign w:val="center"/>
          </w:tcPr>
          <w:p w14:paraId="39A2D7E9" w14:textId="3340F586"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0,2</w:t>
            </w:r>
          </w:p>
        </w:tc>
        <w:tc>
          <w:tcPr>
            <w:tcW w:w="649" w:type="dxa"/>
            <w:shd w:val="clear" w:color="auto" w:fill="auto"/>
            <w:noWrap/>
            <w:vAlign w:val="center"/>
          </w:tcPr>
          <w:p w14:paraId="3741E57B" w14:textId="5E17F270"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0,3</w:t>
            </w:r>
          </w:p>
        </w:tc>
        <w:tc>
          <w:tcPr>
            <w:tcW w:w="649" w:type="dxa"/>
            <w:shd w:val="clear" w:color="auto" w:fill="auto"/>
            <w:noWrap/>
            <w:vAlign w:val="center"/>
          </w:tcPr>
          <w:p w14:paraId="760D5F5F" w14:textId="57BCADF2" w:rsidR="003A04DD" w:rsidRPr="00004879" w:rsidRDefault="003A04DD" w:rsidP="00004879">
            <w:pPr>
              <w:jc w:val="center"/>
              <w:rPr>
                <w:rFonts w:cs="Times New Roman"/>
                <w:color w:val="000000"/>
                <w:sz w:val="18"/>
                <w:szCs w:val="18"/>
                <w:lang w:eastAsia="en-US"/>
              </w:rPr>
            </w:pPr>
            <w:r w:rsidRPr="00004879">
              <w:rPr>
                <w:rFonts w:cs="Times New Roman"/>
                <w:color w:val="000000" w:themeColor="text1"/>
                <w:sz w:val="18"/>
                <w:szCs w:val="18"/>
              </w:rPr>
              <w:t>0,3</w:t>
            </w:r>
          </w:p>
        </w:tc>
      </w:tr>
      <w:tr w:rsidR="00E672A0" w:rsidRPr="00B14658" w14:paraId="7C81C0DF" w14:textId="77777777" w:rsidTr="00004879">
        <w:trPr>
          <w:trHeight w:hRule="exact" w:val="255"/>
          <w:jc w:val="center"/>
        </w:trPr>
        <w:tc>
          <w:tcPr>
            <w:tcW w:w="3402" w:type="dxa"/>
            <w:noWrap/>
            <w:vAlign w:val="bottom"/>
            <w:hideMark/>
          </w:tcPr>
          <w:p w14:paraId="6C1C8951" w14:textId="77777777" w:rsidR="003A04DD" w:rsidRPr="00004879" w:rsidRDefault="003A04DD" w:rsidP="009F6E88">
            <w:pPr>
              <w:rPr>
                <w:rFonts w:cs="Times New Roman"/>
                <w:color w:val="000000"/>
                <w:sz w:val="18"/>
                <w:szCs w:val="18"/>
              </w:rPr>
            </w:pPr>
            <w:r w:rsidRPr="00004879">
              <w:rPr>
                <w:rFonts w:cs="Times New Roman"/>
                <w:color w:val="000000"/>
                <w:sz w:val="18"/>
                <w:szCs w:val="18"/>
              </w:rPr>
              <w:t xml:space="preserve">       - ostatné nedaňové príjm</w:t>
            </w:r>
            <w:r w:rsidRPr="00004879">
              <w:rPr>
                <w:rFonts w:cs="Times New Roman"/>
                <w:color w:val="000000"/>
                <w:sz w:val="18"/>
                <w:szCs w:val="18"/>
                <w:lang w:eastAsia="en-US"/>
              </w:rPr>
              <w:t>y</w:t>
            </w:r>
          </w:p>
        </w:tc>
        <w:tc>
          <w:tcPr>
            <w:tcW w:w="648" w:type="dxa"/>
            <w:tcBorders>
              <w:top w:val="nil"/>
              <w:left w:val="single" w:sz="8" w:space="0" w:color="13B5EA"/>
              <w:bottom w:val="nil"/>
              <w:right w:val="single" w:sz="8" w:space="0" w:color="13B5EA"/>
            </w:tcBorders>
            <w:shd w:val="clear" w:color="auto" w:fill="auto"/>
            <w:noWrap/>
            <w:vAlign w:val="center"/>
          </w:tcPr>
          <w:p w14:paraId="1DCCD466" w14:textId="7C69EF08"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4,6</w:t>
            </w:r>
          </w:p>
        </w:tc>
        <w:tc>
          <w:tcPr>
            <w:tcW w:w="649" w:type="dxa"/>
            <w:gridSpan w:val="3"/>
            <w:shd w:val="clear" w:color="auto" w:fill="auto"/>
            <w:noWrap/>
            <w:vAlign w:val="center"/>
          </w:tcPr>
          <w:p w14:paraId="55FD1D27" w14:textId="0704091C"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5,4</w:t>
            </w:r>
          </w:p>
        </w:tc>
        <w:tc>
          <w:tcPr>
            <w:tcW w:w="649" w:type="dxa"/>
            <w:gridSpan w:val="2"/>
            <w:shd w:val="clear" w:color="auto" w:fill="auto"/>
            <w:noWrap/>
            <w:vAlign w:val="center"/>
          </w:tcPr>
          <w:p w14:paraId="6A5441AC" w14:textId="40DE2CBF"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4,2</w:t>
            </w:r>
          </w:p>
        </w:tc>
        <w:tc>
          <w:tcPr>
            <w:tcW w:w="649" w:type="dxa"/>
            <w:gridSpan w:val="2"/>
            <w:tcBorders>
              <w:right w:val="single" w:sz="8" w:space="0" w:color="13B5EA"/>
            </w:tcBorders>
            <w:shd w:val="clear" w:color="auto" w:fill="auto"/>
            <w:noWrap/>
            <w:vAlign w:val="center"/>
          </w:tcPr>
          <w:p w14:paraId="3D6861E4" w14:textId="2667705B"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3,9</w:t>
            </w:r>
          </w:p>
        </w:tc>
        <w:tc>
          <w:tcPr>
            <w:tcW w:w="649" w:type="dxa"/>
            <w:shd w:val="clear" w:color="auto" w:fill="auto"/>
            <w:noWrap/>
            <w:vAlign w:val="center"/>
          </w:tcPr>
          <w:p w14:paraId="68802BB6" w14:textId="694E2C25"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3,6</w:t>
            </w:r>
          </w:p>
        </w:tc>
        <w:tc>
          <w:tcPr>
            <w:tcW w:w="649" w:type="dxa"/>
            <w:gridSpan w:val="2"/>
            <w:shd w:val="clear" w:color="auto" w:fill="auto"/>
            <w:noWrap/>
            <w:vAlign w:val="center"/>
          </w:tcPr>
          <w:p w14:paraId="1819D4B0" w14:textId="77008684"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3,6</w:t>
            </w:r>
          </w:p>
        </w:tc>
        <w:tc>
          <w:tcPr>
            <w:tcW w:w="649" w:type="dxa"/>
            <w:gridSpan w:val="2"/>
            <w:shd w:val="clear" w:color="auto" w:fill="auto"/>
            <w:noWrap/>
            <w:vAlign w:val="center"/>
          </w:tcPr>
          <w:p w14:paraId="3201292C" w14:textId="6A35788D"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3,6</w:t>
            </w:r>
          </w:p>
        </w:tc>
        <w:tc>
          <w:tcPr>
            <w:tcW w:w="649" w:type="dxa"/>
            <w:shd w:val="clear" w:color="auto" w:fill="auto"/>
            <w:noWrap/>
            <w:vAlign w:val="center"/>
          </w:tcPr>
          <w:p w14:paraId="71955087" w14:textId="205EAA24"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3,6</w:t>
            </w:r>
          </w:p>
        </w:tc>
        <w:tc>
          <w:tcPr>
            <w:tcW w:w="649" w:type="dxa"/>
            <w:shd w:val="clear" w:color="auto" w:fill="auto"/>
            <w:noWrap/>
            <w:vAlign w:val="center"/>
          </w:tcPr>
          <w:p w14:paraId="083F3931" w14:textId="6AB1F6A6"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3,6</w:t>
            </w:r>
          </w:p>
        </w:tc>
      </w:tr>
      <w:tr w:rsidR="00E672A0" w:rsidRPr="00B14658" w14:paraId="341F6D79" w14:textId="77777777" w:rsidTr="00004879">
        <w:trPr>
          <w:trHeight w:hRule="exact" w:val="255"/>
          <w:jc w:val="center"/>
        </w:trPr>
        <w:tc>
          <w:tcPr>
            <w:tcW w:w="3402" w:type="dxa"/>
            <w:noWrap/>
            <w:vAlign w:val="center"/>
            <w:hideMark/>
          </w:tcPr>
          <w:p w14:paraId="18D1346F" w14:textId="77777777" w:rsidR="003A04DD" w:rsidRPr="00004879" w:rsidRDefault="003A04DD" w:rsidP="009F6E88">
            <w:pPr>
              <w:rPr>
                <w:rFonts w:cs="Times New Roman"/>
                <w:b/>
                <w:color w:val="000000"/>
                <w:sz w:val="18"/>
                <w:szCs w:val="18"/>
              </w:rPr>
            </w:pPr>
            <w:r w:rsidRPr="00004879">
              <w:rPr>
                <w:rFonts w:cs="Times New Roman"/>
                <w:b/>
                <w:color w:val="000000" w:themeColor="text1"/>
                <w:sz w:val="18"/>
                <w:szCs w:val="18"/>
                <w:lang w:eastAsia="en-US"/>
              </w:rPr>
              <w:t>Výdavky</w:t>
            </w:r>
          </w:p>
        </w:tc>
        <w:tc>
          <w:tcPr>
            <w:tcW w:w="648" w:type="dxa"/>
            <w:tcBorders>
              <w:top w:val="nil"/>
              <w:left w:val="single" w:sz="8" w:space="0" w:color="13B5EA"/>
              <w:bottom w:val="nil"/>
              <w:right w:val="single" w:sz="8" w:space="0" w:color="13B5EA"/>
            </w:tcBorders>
            <w:shd w:val="clear" w:color="auto" w:fill="auto"/>
            <w:noWrap/>
            <w:vAlign w:val="center"/>
          </w:tcPr>
          <w:p w14:paraId="2CD53EE6" w14:textId="48503AC3"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44,9</w:t>
            </w:r>
          </w:p>
        </w:tc>
        <w:tc>
          <w:tcPr>
            <w:tcW w:w="649" w:type="dxa"/>
            <w:gridSpan w:val="3"/>
            <w:shd w:val="clear" w:color="auto" w:fill="auto"/>
            <w:noWrap/>
            <w:vAlign w:val="center"/>
          </w:tcPr>
          <w:p w14:paraId="0BDAB65B" w14:textId="48EB195D"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47,4</w:t>
            </w:r>
          </w:p>
        </w:tc>
        <w:tc>
          <w:tcPr>
            <w:tcW w:w="649" w:type="dxa"/>
            <w:gridSpan w:val="2"/>
            <w:shd w:val="clear" w:color="auto" w:fill="auto"/>
            <w:noWrap/>
            <w:vAlign w:val="center"/>
          </w:tcPr>
          <w:p w14:paraId="60926865" w14:textId="7E38EC68"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43,9</w:t>
            </w:r>
          </w:p>
        </w:tc>
        <w:tc>
          <w:tcPr>
            <w:tcW w:w="649" w:type="dxa"/>
            <w:gridSpan w:val="2"/>
            <w:tcBorders>
              <w:right w:val="single" w:sz="8" w:space="0" w:color="13B5EA"/>
            </w:tcBorders>
            <w:shd w:val="clear" w:color="auto" w:fill="auto"/>
            <w:noWrap/>
            <w:vAlign w:val="center"/>
          </w:tcPr>
          <w:p w14:paraId="6BBBD264" w14:textId="68D25A00"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43,0</w:t>
            </w:r>
          </w:p>
        </w:tc>
        <w:tc>
          <w:tcPr>
            <w:tcW w:w="649" w:type="dxa"/>
            <w:shd w:val="clear" w:color="auto" w:fill="auto"/>
            <w:noWrap/>
            <w:vAlign w:val="center"/>
          </w:tcPr>
          <w:p w14:paraId="1F832F28" w14:textId="68D39487"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44,1</w:t>
            </w:r>
          </w:p>
        </w:tc>
        <w:tc>
          <w:tcPr>
            <w:tcW w:w="649" w:type="dxa"/>
            <w:gridSpan w:val="2"/>
            <w:shd w:val="clear" w:color="auto" w:fill="auto"/>
            <w:noWrap/>
            <w:vAlign w:val="center"/>
          </w:tcPr>
          <w:p w14:paraId="06B4C982" w14:textId="17F5F9C7"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47,5</w:t>
            </w:r>
          </w:p>
        </w:tc>
        <w:tc>
          <w:tcPr>
            <w:tcW w:w="649" w:type="dxa"/>
            <w:gridSpan w:val="2"/>
            <w:shd w:val="clear" w:color="auto" w:fill="auto"/>
            <w:noWrap/>
            <w:vAlign w:val="center"/>
          </w:tcPr>
          <w:p w14:paraId="60A327A3" w14:textId="527C0F00"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52,5</w:t>
            </w:r>
          </w:p>
        </w:tc>
        <w:tc>
          <w:tcPr>
            <w:tcW w:w="649" w:type="dxa"/>
            <w:shd w:val="clear" w:color="auto" w:fill="auto"/>
            <w:noWrap/>
            <w:vAlign w:val="center"/>
          </w:tcPr>
          <w:p w14:paraId="6E3486E2" w14:textId="7C584651"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58,1</w:t>
            </w:r>
          </w:p>
        </w:tc>
        <w:tc>
          <w:tcPr>
            <w:tcW w:w="649" w:type="dxa"/>
            <w:shd w:val="clear" w:color="auto" w:fill="auto"/>
            <w:noWrap/>
            <w:vAlign w:val="center"/>
          </w:tcPr>
          <w:p w14:paraId="702770CD" w14:textId="618E9107" w:rsidR="003A04DD" w:rsidRPr="00004879" w:rsidRDefault="00F758E8" w:rsidP="00004879">
            <w:pPr>
              <w:jc w:val="center"/>
              <w:rPr>
                <w:rFonts w:cs="Times New Roman"/>
                <w:b/>
                <w:color w:val="000000"/>
                <w:sz w:val="18"/>
                <w:szCs w:val="18"/>
                <w:lang w:eastAsia="en-US"/>
              </w:rPr>
            </w:pPr>
            <w:r w:rsidRPr="00004879">
              <w:rPr>
                <w:rFonts w:cs="Times New Roman"/>
                <w:b/>
                <w:color w:val="000000" w:themeColor="text1"/>
                <w:sz w:val="18"/>
                <w:szCs w:val="18"/>
              </w:rPr>
              <w:t>62,1</w:t>
            </w:r>
          </w:p>
        </w:tc>
      </w:tr>
      <w:tr w:rsidR="00E672A0" w:rsidRPr="00B14658" w14:paraId="04A431E6" w14:textId="77777777" w:rsidTr="00004879">
        <w:trPr>
          <w:trHeight w:hRule="exact" w:val="255"/>
          <w:jc w:val="center"/>
        </w:trPr>
        <w:tc>
          <w:tcPr>
            <w:tcW w:w="3402" w:type="dxa"/>
            <w:noWrap/>
            <w:vAlign w:val="center"/>
            <w:hideMark/>
          </w:tcPr>
          <w:p w14:paraId="34B77E52" w14:textId="77777777" w:rsidR="003A04DD" w:rsidRPr="00004879" w:rsidRDefault="003A04DD" w:rsidP="009F6E88">
            <w:pPr>
              <w:ind w:firstLineChars="100" w:firstLine="180"/>
              <w:rPr>
                <w:rFonts w:cs="Times New Roman"/>
                <w:color w:val="000000"/>
                <w:sz w:val="18"/>
                <w:szCs w:val="18"/>
              </w:rPr>
            </w:pPr>
            <w:r w:rsidRPr="00004879">
              <w:rPr>
                <w:rFonts w:cs="Times New Roman"/>
                <w:color w:val="000000" w:themeColor="text1"/>
                <w:sz w:val="18"/>
                <w:szCs w:val="18"/>
                <w:lang w:eastAsia="en-US"/>
              </w:rPr>
              <w:t>Primárne výdavky</w:t>
            </w:r>
          </w:p>
        </w:tc>
        <w:tc>
          <w:tcPr>
            <w:tcW w:w="648" w:type="dxa"/>
            <w:tcBorders>
              <w:top w:val="nil"/>
              <w:left w:val="single" w:sz="8" w:space="0" w:color="13B5EA"/>
              <w:bottom w:val="nil"/>
              <w:right w:val="single" w:sz="8" w:space="0" w:color="13B5EA"/>
            </w:tcBorders>
            <w:shd w:val="clear" w:color="auto" w:fill="auto"/>
            <w:noWrap/>
            <w:vAlign w:val="center"/>
          </w:tcPr>
          <w:p w14:paraId="7E75CE93" w14:textId="355EA045"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43,9</w:t>
            </w:r>
          </w:p>
        </w:tc>
        <w:tc>
          <w:tcPr>
            <w:tcW w:w="649" w:type="dxa"/>
            <w:gridSpan w:val="3"/>
            <w:shd w:val="clear" w:color="auto" w:fill="auto"/>
            <w:noWrap/>
            <w:vAlign w:val="center"/>
          </w:tcPr>
          <w:p w14:paraId="0882E5DA" w14:textId="0A375208"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46,</w:t>
            </w:r>
            <w:r w:rsidR="003A04DD" w:rsidRPr="00004879">
              <w:rPr>
                <w:rFonts w:cs="Times New Roman"/>
                <w:color w:val="000000" w:themeColor="text1"/>
                <w:sz w:val="18"/>
                <w:szCs w:val="18"/>
              </w:rPr>
              <w:t>3</w:t>
            </w:r>
          </w:p>
        </w:tc>
        <w:tc>
          <w:tcPr>
            <w:tcW w:w="649" w:type="dxa"/>
            <w:gridSpan w:val="2"/>
            <w:shd w:val="clear" w:color="auto" w:fill="auto"/>
            <w:noWrap/>
            <w:vAlign w:val="center"/>
          </w:tcPr>
          <w:p w14:paraId="20B886D5" w14:textId="0752C404"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42,6</w:t>
            </w:r>
          </w:p>
        </w:tc>
        <w:tc>
          <w:tcPr>
            <w:tcW w:w="649" w:type="dxa"/>
            <w:gridSpan w:val="2"/>
            <w:tcBorders>
              <w:right w:val="single" w:sz="8" w:space="0" w:color="13B5EA"/>
            </w:tcBorders>
            <w:shd w:val="clear" w:color="auto" w:fill="auto"/>
            <w:noWrap/>
            <w:vAlign w:val="center"/>
          </w:tcPr>
          <w:p w14:paraId="62195A6A" w14:textId="0D368F65"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41,7</w:t>
            </w:r>
          </w:p>
        </w:tc>
        <w:tc>
          <w:tcPr>
            <w:tcW w:w="649" w:type="dxa"/>
            <w:shd w:val="clear" w:color="auto" w:fill="auto"/>
            <w:noWrap/>
            <w:vAlign w:val="center"/>
          </w:tcPr>
          <w:p w14:paraId="01AE87D4" w14:textId="0127C32D"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41,9</w:t>
            </w:r>
          </w:p>
        </w:tc>
        <w:tc>
          <w:tcPr>
            <w:tcW w:w="649" w:type="dxa"/>
            <w:gridSpan w:val="2"/>
            <w:shd w:val="clear" w:color="auto" w:fill="auto"/>
            <w:noWrap/>
            <w:vAlign w:val="center"/>
          </w:tcPr>
          <w:p w14:paraId="1F9D7209" w14:textId="6D7752A3"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43,4</w:t>
            </w:r>
          </w:p>
        </w:tc>
        <w:tc>
          <w:tcPr>
            <w:tcW w:w="649" w:type="dxa"/>
            <w:gridSpan w:val="2"/>
            <w:shd w:val="clear" w:color="auto" w:fill="auto"/>
            <w:noWrap/>
            <w:vAlign w:val="center"/>
          </w:tcPr>
          <w:p w14:paraId="762C8894" w14:textId="15AA2763"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45,8</w:t>
            </w:r>
          </w:p>
        </w:tc>
        <w:tc>
          <w:tcPr>
            <w:tcW w:w="649" w:type="dxa"/>
            <w:shd w:val="clear" w:color="auto" w:fill="auto"/>
            <w:noWrap/>
            <w:vAlign w:val="center"/>
          </w:tcPr>
          <w:p w14:paraId="25808749" w14:textId="3BB5BCD5"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47,6</w:t>
            </w:r>
          </w:p>
        </w:tc>
        <w:tc>
          <w:tcPr>
            <w:tcW w:w="649" w:type="dxa"/>
            <w:shd w:val="clear" w:color="auto" w:fill="auto"/>
            <w:noWrap/>
            <w:vAlign w:val="center"/>
          </w:tcPr>
          <w:p w14:paraId="4ED2B630" w14:textId="461A163D"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46,9</w:t>
            </w:r>
          </w:p>
        </w:tc>
      </w:tr>
      <w:tr w:rsidR="00E672A0" w:rsidRPr="00B14658" w14:paraId="63762967" w14:textId="77777777" w:rsidTr="00004879">
        <w:trPr>
          <w:trHeight w:hRule="exact" w:val="255"/>
          <w:jc w:val="center"/>
        </w:trPr>
        <w:tc>
          <w:tcPr>
            <w:tcW w:w="3402" w:type="dxa"/>
            <w:noWrap/>
            <w:vAlign w:val="center"/>
            <w:hideMark/>
          </w:tcPr>
          <w:p w14:paraId="2A1AEB98" w14:textId="77777777" w:rsidR="003A04DD" w:rsidRPr="00004879" w:rsidRDefault="003A04DD" w:rsidP="009F6E88">
            <w:pPr>
              <w:ind w:firstLineChars="200" w:firstLine="360"/>
              <w:rPr>
                <w:rFonts w:cs="Times New Roman"/>
                <w:color w:val="000000"/>
                <w:sz w:val="18"/>
                <w:szCs w:val="18"/>
                <w:lang w:eastAsia="en-US"/>
              </w:rPr>
            </w:pPr>
            <w:r w:rsidRPr="00004879">
              <w:rPr>
                <w:rFonts w:cs="Times New Roman"/>
                <w:color w:val="000000" w:themeColor="text1"/>
                <w:sz w:val="18"/>
                <w:szCs w:val="18"/>
                <w:lang w:eastAsia="en-US"/>
              </w:rPr>
              <w:t>Fixné v dlhodobej časti</w:t>
            </w:r>
          </w:p>
        </w:tc>
        <w:tc>
          <w:tcPr>
            <w:tcW w:w="648" w:type="dxa"/>
            <w:tcBorders>
              <w:top w:val="nil"/>
              <w:left w:val="single" w:sz="8" w:space="0" w:color="13B5EA"/>
              <w:bottom w:val="nil"/>
              <w:right w:val="single" w:sz="8" w:space="0" w:color="13B5EA"/>
            </w:tcBorders>
            <w:shd w:val="clear" w:color="auto" w:fill="auto"/>
            <w:noWrap/>
            <w:vAlign w:val="center"/>
          </w:tcPr>
          <w:p w14:paraId="65CCF20B" w14:textId="71D3FA59"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21,1</w:t>
            </w:r>
          </w:p>
        </w:tc>
        <w:tc>
          <w:tcPr>
            <w:tcW w:w="649" w:type="dxa"/>
            <w:gridSpan w:val="3"/>
            <w:shd w:val="clear" w:color="auto" w:fill="auto"/>
            <w:noWrap/>
            <w:vAlign w:val="center"/>
          </w:tcPr>
          <w:p w14:paraId="026E894F" w14:textId="6C382084"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22,</w:t>
            </w:r>
            <w:r w:rsidR="003A04DD" w:rsidRPr="00004879">
              <w:rPr>
                <w:rFonts w:cs="Times New Roman"/>
                <w:color w:val="000000" w:themeColor="text1"/>
                <w:sz w:val="18"/>
                <w:szCs w:val="18"/>
              </w:rPr>
              <w:t>8</w:t>
            </w:r>
          </w:p>
        </w:tc>
        <w:tc>
          <w:tcPr>
            <w:tcW w:w="649" w:type="dxa"/>
            <w:gridSpan w:val="2"/>
            <w:shd w:val="clear" w:color="auto" w:fill="auto"/>
            <w:noWrap/>
            <w:vAlign w:val="center"/>
          </w:tcPr>
          <w:p w14:paraId="65965218" w14:textId="40444F48"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18,4</w:t>
            </w:r>
          </w:p>
        </w:tc>
        <w:tc>
          <w:tcPr>
            <w:tcW w:w="649" w:type="dxa"/>
            <w:gridSpan w:val="2"/>
            <w:tcBorders>
              <w:right w:val="single" w:sz="8" w:space="0" w:color="13B5EA"/>
            </w:tcBorders>
            <w:shd w:val="clear" w:color="auto" w:fill="auto"/>
            <w:noWrap/>
            <w:vAlign w:val="center"/>
          </w:tcPr>
          <w:p w14:paraId="52D85DFA" w14:textId="17A24338"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18,0</w:t>
            </w:r>
          </w:p>
        </w:tc>
        <w:tc>
          <w:tcPr>
            <w:tcW w:w="649" w:type="dxa"/>
            <w:shd w:val="clear" w:color="auto" w:fill="auto"/>
            <w:noWrap/>
            <w:vAlign w:val="center"/>
          </w:tcPr>
          <w:p w14:paraId="22219FB0" w14:textId="2E5FD478"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17,8</w:t>
            </w:r>
          </w:p>
        </w:tc>
        <w:tc>
          <w:tcPr>
            <w:tcW w:w="649" w:type="dxa"/>
            <w:gridSpan w:val="2"/>
            <w:shd w:val="clear" w:color="auto" w:fill="auto"/>
            <w:noWrap/>
            <w:vAlign w:val="center"/>
          </w:tcPr>
          <w:p w14:paraId="0556AD45" w14:textId="4464A82B"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17,9</w:t>
            </w:r>
          </w:p>
        </w:tc>
        <w:tc>
          <w:tcPr>
            <w:tcW w:w="649" w:type="dxa"/>
            <w:gridSpan w:val="2"/>
            <w:shd w:val="clear" w:color="auto" w:fill="auto"/>
            <w:noWrap/>
            <w:vAlign w:val="center"/>
          </w:tcPr>
          <w:p w14:paraId="1F392361" w14:textId="12470DBD"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17,9</w:t>
            </w:r>
          </w:p>
        </w:tc>
        <w:tc>
          <w:tcPr>
            <w:tcW w:w="649" w:type="dxa"/>
            <w:shd w:val="clear" w:color="auto" w:fill="auto"/>
            <w:noWrap/>
            <w:vAlign w:val="center"/>
          </w:tcPr>
          <w:p w14:paraId="4F7D3B95" w14:textId="56F180B4"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18,0</w:t>
            </w:r>
          </w:p>
        </w:tc>
        <w:tc>
          <w:tcPr>
            <w:tcW w:w="649" w:type="dxa"/>
            <w:shd w:val="clear" w:color="auto" w:fill="auto"/>
            <w:noWrap/>
            <w:vAlign w:val="center"/>
          </w:tcPr>
          <w:p w14:paraId="12C3252F" w14:textId="6DC762BC"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17,9</w:t>
            </w:r>
          </w:p>
        </w:tc>
      </w:tr>
      <w:tr w:rsidR="00E672A0" w:rsidRPr="00B14658" w14:paraId="412FD937" w14:textId="77777777" w:rsidTr="00004879">
        <w:trPr>
          <w:trHeight w:hRule="exact" w:val="255"/>
          <w:jc w:val="center"/>
        </w:trPr>
        <w:tc>
          <w:tcPr>
            <w:tcW w:w="3402" w:type="dxa"/>
            <w:noWrap/>
            <w:vAlign w:val="center"/>
            <w:hideMark/>
          </w:tcPr>
          <w:p w14:paraId="471F5080" w14:textId="77777777" w:rsidR="003A04DD" w:rsidRPr="00004879" w:rsidRDefault="003A04DD" w:rsidP="009F6E88">
            <w:pPr>
              <w:ind w:firstLineChars="200" w:firstLine="360"/>
              <w:rPr>
                <w:rFonts w:cs="Times New Roman"/>
                <w:color w:val="000000"/>
                <w:sz w:val="18"/>
                <w:szCs w:val="18"/>
              </w:rPr>
            </w:pPr>
            <w:r w:rsidRPr="00004879">
              <w:rPr>
                <w:rFonts w:cs="Times New Roman"/>
                <w:color w:val="000000" w:themeColor="text1"/>
                <w:sz w:val="18"/>
                <w:szCs w:val="18"/>
                <w:lang w:eastAsia="en-US"/>
              </w:rPr>
              <w:t>Výdavky citlivé na demografiu</w:t>
            </w:r>
          </w:p>
        </w:tc>
        <w:tc>
          <w:tcPr>
            <w:tcW w:w="648" w:type="dxa"/>
            <w:tcBorders>
              <w:top w:val="nil"/>
              <w:left w:val="single" w:sz="8" w:space="0" w:color="13B5EA"/>
              <w:bottom w:val="nil"/>
              <w:right w:val="single" w:sz="8" w:space="0" w:color="13B5EA"/>
            </w:tcBorders>
            <w:shd w:val="clear" w:color="auto" w:fill="auto"/>
            <w:noWrap/>
            <w:vAlign w:val="center"/>
          </w:tcPr>
          <w:p w14:paraId="1760108D" w14:textId="1523CA06"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22,5</w:t>
            </w:r>
          </w:p>
        </w:tc>
        <w:tc>
          <w:tcPr>
            <w:tcW w:w="649" w:type="dxa"/>
            <w:gridSpan w:val="3"/>
            <w:shd w:val="clear" w:color="auto" w:fill="auto"/>
            <w:noWrap/>
            <w:vAlign w:val="center"/>
          </w:tcPr>
          <w:p w14:paraId="5B67A0BA" w14:textId="190A083F"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23,3</w:t>
            </w:r>
          </w:p>
        </w:tc>
        <w:tc>
          <w:tcPr>
            <w:tcW w:w="649" w:type="dxa"/>
            <w:gridSpan w:val="2"/>
            <w:shd w:val="clear" w:color="auto" w:fill="auto"/>
            <w:noWrap/>
            <w:vAlign w:val="center"/>
          </w:tcPr>
          <w:p w14:paraId="318DDF8E" w14:textId="30EB17FA"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24,0</w:t>
            </w:r>
          </w:p>
        </w:tc>
        <w:tc>
          <w:tcPr>
            <w:tcW w:w="649" w:type="dxa"/>
            <w:gridSpan w:val="2"/>
            <w:tcBorders>
              <w:right w:val="single" w:sz="8" w:space="0" w:color="13B5EA"/>
            </w:tcBorders>
            <w:shd w:val="clear" w:color="auto" w:fill="auto"/>
            <w:noWrap/>
            <w:vAlign w:val="center"/>
          </w:tcPr>
          <w:p w14:paraId="2AC61837" w14:textId="4603A969"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23,</w:t>
            </w:r>
            <w:r w:rsidR="003A04DD" w:rsidRPr="00004879">
              <w:rPr>
                <w:rFonts w:cs="Times New Roman"/>
                <w:color w:val="000000" w:themeColor="text1"/>
                <w:sz w:val="18"/>
                <w:szCs w:val="18"/>
              </w:rPr>
              <w:t>5</w:t>
            </w:r>
          </w:p>
        </w:tc>
        <w:tc>
          <w:tcPr>
            <w:tcW w:w="649" w:type="dxa"/>
            <w:shd w:val="clear" w:color="auto" w:fill="auto"/>
            <w:noWrap/>
            <w:vAlign w:val="center"/>
          </w:tcPr>
          <w:p w14:paraId="0C9BB05A" w14:textId="158707F3"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24,0</w:t>
            </w:r>
          </w:p>
        </w:tc>
        <w:tc>
          <w:tcPr>
            <w:tcW w:w="649" w:type="dxa"/>
            <w:gridSpan w:val="2"/>
            <w:shd w:val="clear" w:color="auto" w:fill="auto"/>
            <w:noWrap/>
            <w:vAlign w:val="center"/>
          </w:tcPr>
          <w:p w14:paraId="4BC93347" w14:textId="7848B0D8"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25,4</w:t>
            </w:r>
          </w:p>
        </w:tc>
        <w:tc>
          <w:tcPr>
            <w:tcW w:w="649" w:type="dxa"/>
            <w:gridSpan w:val="2"/>
            <w:shd w:val="clear" w:color="auto" w:fill="auto"/>
            <w:noWrap/>
            <w:vAlign w:val="center"/>
          </w:tcPr>
          <w:p w14:paraId="00C108AF" w14:textId="17B537D2"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27,8</w:t>
            </w:r>
          </w:p>
        </w:tc>
        <w:tc>
          <w:tcPr>
            <w:tcW w:w="649" w:type="dxa"/>
            <w:shd w:val="clear" w:color="auto" w:fill="auto"/>
            <w:noWrap/>
            <w:vAlign w:val="center"/>
          </w:tcPr>
          <w:p w14:paraId="0876C58B" w14:textId="1E2B35C1"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29,6</w:t>
            </w:r>
          </w:p>
        </w:tc>
        <w:tc>
          <w:tcPr>
            <w:tcW w:w="649" w:type="dxa"/>
            <w:shd w:val="clear" w:color="auto" w:fill="auto"/>
            <w:noWrap/>
            <w:vAlign w:val="center"/>
          </w:tcPr>
          <w:p w14:paraId="4F85202A" w14:textId="7AB9E502"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29,0</w:t>
            </w:r>
          </w:p>
        </w:tc>
      </w:tr>
      <w:tr w:rsidR="00E672A0" w:rsidRPr="00B14658" w14:paraId="2501F1BD" w14:textId="77777777" w:rsidTr="00004879">
        <w:trPr>
          <w:trHeight w:hRule="exact" w:val="255"/>
          <w:jc w:val="center"/>
        </w:trPr>
        <w:tc>
          <w:tcPr>
            <w:tcW w:w="3402" w:type="dxa"/>
            <w:noWrap/>
            <w:vAlign w:val="center"/>
            <w:hideMark/>
          </w:tcPr>
          <w:p w14:paraId="63ACEEFE" w14:textId="77777777" w:rsidR="003A04DD" w:rsidRPr="00004879" w:rsidRDefault="003A04DD" w:rsidP="009F6E88">
            <w:pPr>
              <w:ind w:firstLineChars="400" w:firstLine="720"/>
              <w:rPr>
                <w:rFonts w:cs="Times New Roman"/>
                <w:color w:val="000000"/>
                <w:sz w:val="18"/>
                <w:szCs w:val="18"/>
              </w:rPr>
            </w:pPr>
            <w:r w:rsidRPr="00004879">
              <w:rPr>
                <w:rFonts w:cs="Times New Roman"/>
                <w:color w:val="000000" w:themeColor="text1"/>
                <w:sz w:val="18"/>
                <w:szCs w:val="18"/>
                <w:lang w:eastAsia="en-US"/>
              </w:rPr>
              <w:t xml:space="preserve"> - Dôchodkové dávky</w:t>
            </w:r>
          </w:p>
        </w:tc>
        <w:tc>
          <w:tcPr>
            <w:tcW w:w="648" w:type="dxa"/>
            <w:tcBorders>
              <w:top w:val="nil"/>
              <w:left w:val="single" w:sz="8" w:space="0" w:color="13B5EA"/>
              <w:bottom w:val="nil"/>
              <w:right w:val="single" w:sz="8" w:space="0" w:color="13B5EA"/>
            </w:tcBorders>
            <w:shd w:val="clear" w:color="auto" w:fill="auto"/>
            <w:noWrap/>
            <w:vAlign w:val="center"/>
          </w:tcPr>
          <w:p w14:paraId="7C596235" w14:textId="48936AE6"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8,0</w:t>
            </w:r>
          </w:p>
        </w:tc>
        <w:tc>
          <w:tcPr>
            <w:tcW w:w="649" w:type="dxa"/>
            <w:gridSpan w:val="3"/>
            <w:shd w:val="clear" w:color="auto" w:fill="auto"/>
            <w:noWrap/>
            <w:vAlign w:val="center"/>
          </w:tcPr>
          <w:p w14:paraId="0C198697" w14:textId="5A78C60E"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7,9</w:t>
            </w:r>
          </w:p>
        </w:tc>
        <w:tc>
          <w:tcPr>
            <w:tcW w:w="649" w:type="dxa"/>
            <w:gridSpan w:val="2"/>
            <w:shd w:val="clear" w:color="auto" w:fill="auto"/>
            <w:noWrap/>
            <w:vAlign w:val="center"/>
          </w:tcPr>
          <w:p w14:paraId="4A4D01BB" w14:textId="6652F262"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8,7</w:t>
            </w:r>
          </w:p>
        </w:tc>
        <w:tc>
          <w:tcPr>
            <w:tcW w:w="649" w:type="dxa"/>
            <w:gridSpan w:val="2"/>
            <w:tcBorders>
              <w:right w:val="single" w:sz="8" w:space="0" w:color="13B5EA"/>
            </w:tcBorders>
            <w:shd w:val="clear" w:color="auto" w:fill="auto"/>
            <w:noWrap/>
            <w:vAlign w:val="center"/>
          </w:tcPr>
          <w:p w14:paraId="07484997" w14:textId="172977A4"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8,6</w:t>
            </w:r>
          </w:p>
        </w:tc>
        <w:tc>
          <w:tcPr>
            <w:tcW w:w="649" w:type="dxa"/>
            <w:shd w:val="clear" w:color="auto" w:fill="auto"/>
            <w:noWrap/>
            <w:vAlign w:val="center"/>
          </w:tcPr>
          <w:p w14:paraId="7B3BD37C" w14:textId="2CDF807B"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8,7</w:t>
            </w:r>
          </w:p>
        </w:tc>
        <w:tc>
          <w:tcPr>
            <w:tcW w:w="649" w:type="dxa"/>
            <w:gridSpan w:val="2"/>
            <w:shd w:val="clear" w:color="auto" w:fill="auto"/>
            <w:noWrap/>
            <w:vAlign w:val="center"/>
          </w:tcPr>
          <w:p w14:paraId="412D2DA3" w14:textId="1550C77A"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9,6</w:t>
            </w:r>
          </w:p>
        </w:tc>
        <w:tc>
          <w:tcPr>
            <w:tcW w:w="649" w:type="dxa"/>
            <w:gridSpan w:val="2"/>
            <w:shd w:val="clear" w:color="auto" w:fill="auto"/>
            <w:noWrap/>
            <w:vAlign w:val="center"/>
          </w:tcPr>
          <w:p w14:paraId="7D3CAE23" w14:textId="57015029"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11,2</w:t>
            </w:r>
          </w:p>
        </w:tc>
        <w:tc>
          <w:tcPr>
            <w:tcW w:w="649" w:type="dxa"/>
            <w:shd w:val="clear" w:color="auto" w:fill="auto"/>
            <w:noWrap/>
            <w:vAlign w:val="center"/>
          </w:tcPr>
          <w:p w14:paraId="1BF17272" w14:textId="686D219D"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12,2</w:t>
            </w:r>
          </w:p>
        </w:tc>
        <w:tc>
          <w:tcPr>
            <w:tcW w:w="649" w:type="dxa"/>
            <w:shd w:val="clear" w:color="auto" w:fill="auto"/>
            <w:noWrap/>
            <w:vAlign w:val="center"/>
          </w:tcPr>
          <w:p w14:paraId="18C05177" w14:textId="3DAF7361"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11,8</w:t>
            </w:r>
          </w:p>
        </w:tc>
      </w:tr>
      <w:tr w:rsidR="00E672A0" w:rsidRPr="00B14658" w14:paraId="1A9F5FB3" w14:textId="77777777" w:rsidTr="00004879">
        <w:trPr>
          <w:trHeight w:hRule="exact" w:val="255"/>
          <w:jc w:val="center"/>
        </w:trPr>
        <w:tc>
          <w:tcPr>
            <w:tcW w:w="3402" w:type="dxa"/>
            <w:noWrap/>
            <w:vAlign w:val="center"/>
            <w:hideMark/>
          </w:tcPr>
          <w:p w14:paraId="56A39947" w14:textId="77777777" w:rsidR="003A04DD" w:rsidRPr="00004879" w:rsidRDefault="003A04DD" w:rsidP="009F6E88">
            <w:pPr>
              <w:ind w:firstLineChars="400" w:firstLine="720"/>
              <w:rPr>
                <w:rFonts w:cs="Times New Roman"/>
                <w:color w:val="000000"/>
                <w:sz w:val="18"/>
                <w:szCs w:val="18"/>
              </w:rPr>
            </w:pPr>
            <w:r w:rsidRPr="00004879">
              <w:rPr>
                <w:rFonts w:cs="Times New Roman"/>
                <w:color w:val="000000" w:themeColor="text1"/>
                <w:sz w:val="18"/>
                <w:szCs w:val="18"/>
                <w:lang w:eastAsia="en-US"/>
              </w:rPr>
              <w:t xml:space="preserve"> - Ozbrojené zložky</w:t>
            </w:r>
          </w:p>
        </w:tc>
        <w:tc>
          <w:tcPr>
            <w:tcW w:w="648" w:type="dxa"/>
            <w:tcBorders>
              <w:top w:val="nil"/>
              <w:left w:val="single" w:sz="8" w:space="0" w:color="13B5EA"/>
              <w:bottom w:val="nil"/>
              <w:right w:val="single" w:sz="8" w:space="0" w:color="13B5EA"/>
            </w:tcBorders>
            <w:shd w:val="clear" w:color="auto" w:fill="auto"/>
            <w:noWrap/>
            <w:vAlign w:val="center"/>
          </w:tcPr>
          <w:p w14:paraId="5D3C2CC8" w14:textId="0EEA26EF"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0,4</w:t>
            </w:r>
          </w:p>
        </w:tc>
        <w:tc>
          <w:tcPr>
            <w:tcW w:w="649" w:type="dxa"/>
            <w:gridSpan w:val="3"/>
            <w:shd w:val="clear" w:color="auto" w:fill="auto"/>
            <w:noWrap/>
            <w:vAlign w:val="center"/>
          </w:tcPr>
          <w:p w14:paraId="688ED563" w14:textId="47E4585E"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0,4</w:t>
            </w:r>
          </w:p>
        </w:tc>
        <w:tc>
          <w:tcPr>
            <w:tcW w:w="649" w:type="dxa"/>
            <w:gridSpan w:val="2"/>
            <w:shd w:val="clear" w:color="auto" w:fill="auto"/>
            <w:noWrap/>
            <w:vAlign w:val="center"/>
          </w:tcPr>
          <w:p w14:paraId="4A9D23E9" w14:textId="1E1EFB2C"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gridSpan w:val="2"/>
            <w:tcBorders>
              <w:right w:val="single" w:sz="8" w:space="0" w:color="13B5EA"/>
            </w:tcBorders>
            <w:shd w:val="clear" w:color="auto" w:fill="auto"/>
            <w:noWrap/>
            <w:vAlign w:val="center"/>
          </w:tcPr>
          <w:p w14:paraId="09777F89" w14:textId="2596857A"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shd w:val="clear" w:color="auto" w:fill="auto"/>
            <w:noWrap/>
            <w:vAlign w:val="center"/>
          </w:tcPr>
          <w:p w14:paraId="48644EBC" w14:textId="1A8B5F88"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gridSpan w:val="2"/>
            <w:shd w:val="clear" w:color="auto" w:fill="auto"/>
            <w:noWrap/>
            <w:vAlign w:val="center"/>
          </w:tcPr>
          <w:p w14:paraId="4B2D6354" w14:textId="6FDC9F7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gridSpan w:val="2"/>
            <w:shd w:val="clear" w:color="auto" w:fill="auto"/>
            <w:noWrap/>
            <w:vAlign w:val="center"/>
          </w:tcPr>
          <w:p w14:paraId="27486FF9" w14:textId="7DDDDDB5"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0,5</w:t>
            </w:r>
          </w:p>
        </w:tc>
        <w:tc>
          <w:tcPr>
            <w:tcW w:w="649" w:type="dxa"/>
            <w:shd w:val="clear" w:color="auto" w:fill="auto"/>
            <w:noWrap/>
            <w:vAlign w:val="center"/>
          </w:tcPr>
          <w:p w14:paraId="20FC70DC" w14:textId="438F6E5A"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0,6</w:t>
            </w:r>
          </w:p>
        </w:tc>
        <w:tc>
          <w:tcPr>
            <w:tcW w:w="649" w:type="dxa"/>
            <w:shd w:val="clear" w:color="auto" w:fill="auto"/>
            <w:noWrap/>
            <w:vAlign w:val="center"/>
          </w:tcPr>
          <w:p w14:paraId="0F8273C1" w14:textId="70894770" w:rsidR="003A04DD" w:rsidRPr="00004879" w:rsidRDefault="003A04DD" w:rsidP="00004879">
            <w:pPr>
              <w:jc w:val="center"/>
              <w:rPr>
                <w:rFonts w:cs="Times New Roman"/>
                <w:color w:val="000000"/>
                <w:sz w:val="18"/>
                <w:szCs w:val="18"/>
                <w:lang w:eastAsia="en-US"/>
              </w:rPr>
            </w:pPr>
            <w:r w:rsidRPr="00004879">
              <w:rPr>
                <w:rFonts w:cs="Times New Roman"/>
                <w:color w:val="000000" w:themeColor="text1"/>
                <w:sz w:val="18"/>
                <w:szCs w:val="18"/>
              </w:rPr>
              <w:t>0,5</w:t>
            </w:r>
          </w:p>
        </w:tc>
      </w:tr>
      <w:tr w:rsidR="00E672A0" w:rsidRPr="00B14658" w14:paraId="6E7318C8" w14:textId="77777777" w:rsidTr="00004879">
        <w:trPr>
          <w:trHeight w:hRule="exact" w:val="255"/>
          <w:jc w:val="center"/>
        </w:trPr>
        <w:tc>
          <w:tcPr>
            <w:tcW w:w="3402" w:type="dxa"/>
            <w:noWrap/>
            <w:vAlign w:val="center"/>
            <w:hideMark/>
          </w:tcPr>
          <w:p w14:paraId="6F270C6C" w14:textId="77777777" w:rsidR="003A04DD" w:rsidRPr="00004879" w:rsidRDefault="003A04DD" w:rsidP="009F6E88">
            <w:pPr>
              <w:ind w:firstLineChars="400" w:firstLine="720"/>
              <w:rPr>
                <w:rFonts w:cs="Times New Roman"/>
                <w:color w:val="000000"/>
                <w:sz w:val="18"/>
                <w:szCs w:val="18"/>
              </w:rPr>
            </w:pPr>
            <w:r w:rsidRPr="00004879">
              <w:rPr>
                <w:rFonts w:cs="Times New Roman"/>
                <w:color w:val="000000" w:themeColor="text1"/>
                <w:sz w:val="18"/>
                <w:szCs w:val="18"/>
                <w:lang w:eastAsia="en-US"/>
              </w:rPr>
              <w:t xml:space="preserve"> - Zdravotná starostlivosť</w:t>
            </w:r>
          </w:p>
        </w:tc>
        <w:tc>
          <w:tcPr>
            <w:tcW w:w="648" w:type="dxa"/>
            <w:tcBorders>
              <w:top w:val="nil"/>
              <w:left w:val="single" w:sz="8" w:space="0" w:color="13B5EA"/>
              <w:bottom w:val="nil"/>
              <w:right w:val="single" w:sz="8" w:space="0" w:color="13B5EA"/>
            </w:tcBorders>
            <w:shd w:val="clear" w:color="auto" w:fill="auto"/>
            <w:noWrap/>
            <w:vAlign w:val="center"/>
          </w:tcPr>
          <w:p w14:paraId="4814867E" w14:textId="5D867E3C"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5,6</w:t>
            </w:r>
          </w:p>
        </w:tc>
        <w:tc>
          <w:tcPr>
            <w:tcW w:w="649" w:type="dxa"/>
            <w:gridSpan w:val="3"/>
            <w:shd w:val="clear" w:color="auto" w:fill="auto"/>
            <w:noWrap/>
            <w:vAlign w:val="center"/>
          </w:tcPr>
          <w:p w14:paraId="567861F8" w14:textId="0BA5A907"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5,7</w:t>
            </w:r>
          </w:p>
        </w:tc>
        <w:tc>
          <w:tcPr>
            <w:tcW w:w="649" w:type="dxa"/>
            <w:gridSpan w:val="2"/>
            <w:shd w:val="clear" w:color="auto" w:fill="auto"/>
            <w:noWrap/>
            <w:vAlign w:val="center"/>
          </w:tcPr>
          <w:p w14:paraId="63534AE5" w14:textId="6D52343A"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5,6</w:t>
            </w:r>
          </w:p>
        </w:tc>
        <w:tc>
          <w:tcPr>
            <w:tcW w:w="649" w:type="dxa"/>
            <w:gridSpan w:val="2"/>
            <w:tcBorders>
              <w:right w:val="single" w:sz="8" w:space="0" w:color="13B5EA"/>
            </w:tcBorders>
            <w:shd w:val="clear" w:color="auto" w:fill="auto"/>
            <w:noWrap/>
            <w:vAlign w:val="center"/>
          </w:tcPr>
          <w:p w14:paraId="0D6D314D" w14:textId="05AA883D"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5,7</w:t>
            </w:r>
          </w:p>
        </w:tc>
        <w:tc>
          <w:tcPr>
            <w:tcW w:w="649" w:type="dxa"/>
            <w:shd w:val="clear" w:color="auto" w:fill="auto"/>
            <w:noWrap/>
            <w:vAlign w:val="center"/>
          </w:tcPr>
          <w:p w14:paraId="3108FEFC" w14:textId="7A3946AD"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5,9</w:t>
            </w:r>
          </w:p>
        </w:tc>
        <w:tc>
          <w:tcPr>
            <w:tcW w:w="649" w:type="dxa"/>
            <w:gridSpan w:val="2"/>
            <w:shd w:val="clear" w:color="auto" w:fill="auto"/>
            <w:noWrap/>
            <w:vAlign w:val="center"/>
          </w:tcPr>
          <w:p w14:paraId="412AE33C" w14:textId="025955BC"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6,2</w:t>
            </w:r>
          </w:p>
        </w:tc>
        <w:tc>
          <w:tcPr>
            <w:tcW w:w="649" w:type="dxa"/>
            <w:gridSpan w:val="2"/>
            <w:shd w:val="clear" w:color="auto" w:fill="auto"/>
            <w:noWrap/>
            <w:vAlign w:val="center"/>
          </w:tcPr>
          <w:p w14:paraId="255C5EE6" w14:textId="383ABC94"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6,5</w:t>
            </w:r>
          </w:p>
        </w:tc>
        <w:tc>
          <w:tcPr>
            <w:tcW w:w="649" w:type="dxa"/>
            <w:shd w:val="clear" w:color="auto" w:fill="auto"/>
            <w:noWrap/>
            <w:vAlign w:val="center"/>
          </w:tcPr>
          <w:p w14:paraId="63B158D2" w14:textId="406144D9"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6,6</w:t>
            </w:r>
          </w:p>
        </w:tc>
        <w:tc>
          <w:tcPr>
            <w:tcW w:w="649" w:type="dxa"/>
            <w:shd w:val="clear" w:color="auto" w:fill="auto"/>
            <w:noWrap/>
            <w:vAlign w:val="center"/>
          </w:tcPr>
          <w:p w14:paraId="25A96421" w14:textId="6E9B0375"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6,4</w:t>
            </w:r>
          </w:p>
        </w:tc>
      </w:tr>
      <w:tr w:rsidR="00E672A0" w:rsidRPr="00B14658" w14:paraId="76766CD3" w14:textId="77777777" w:rsidTr="00004879">
        <w:trPr>
          <w:trHeight w:hRule="exact" w:val="255"/>
          <w:jc w:val="center"/>
        </w:trPr>
        <w:tc>
          <w:tcPr>
            <w:tcW w:w="3402" w:type="dxa"/>
            <w:noWrap/>
            <w:vAlign w:val="center"/>
            <w:hideMark/>
          </w:tcPr>
          <w:p w14:paraId="508AA5D8" w14:textId="77777777" w:rsidR="003A04DD" w:rsidRPr="00004879" w:rsidRDefault="003A04DD" w:rsidP="009F6E88">
            <w:pPr>
              <w:ind w:firstLineChars="400" w:firstLine="720"/>
              <w:rPr>
                <w:rFonts w:cs="Times New Roman"/>
                <w:color w:val="000000"/>
                <w:sz w:val="18"/>
                <w:szCs w:val="18"/>
              </w:rPr>
            </w:pPr>
            <w:r w:rsidRPr="00004879">
              <w:rPr>
                <w:rFonts w:cs="Times New Roman"/>
                <w:color w:val="000000" w:themeColor="text1"/>
                <w:sz w:val="18"/>
                <w:szCs w:val="18"/>
                <w:lang w:eastAsia="en-US"/>
              </w:rPr>
              <w:t xml:space="preserve"> - Dlhodobá starostlivosť</w:t>
            </w:r>
          </w:p>
        </w:tc>
        <w:tc>
          <w:tcPr>
            <w:tcW w:w="648" w:type="dxa"/>
            <w:tcBorders>
              <w:top w:val="nil"/>
              <w:left w:val="single" w:sz="8" w:space="0" w:color="13B5EA"/>
              <w:bottom w:val="nil"/>
              <w:right w:val="single" w:sz="8" w:space="0" w:color="13B5EA"/>
            </w:tcBorders>
            <w:shd w:val="clear" w:color="auto" w:fill="auto"/>
            <w:noWrap/>
            <w:vAlign w:val="center"/>
          </w:tcPr>
          <w:p w14:paraId="72092C9A" w14:textId="4BE09C69"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1,1</w:t>
            </w:r>
          </w:p>
        </w:tc>
        <w:tc>
          <w:tcPr>
            <w:tcW w:w="649" w:type="dxa"/>
            <w:gridSpan w:val="3"/>
            <w:shd w:val="clear" w:color="auto" w:fill="auto"/>
            <w:noWrap/>
            <w:vAlign w:val="center"/>
          </w:tcPr>
          <w:p w14:paraId="650107AE" w14:textId="02DD3A3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1,1</w:t>
            </w:r>
          </w:p>
        </w:tc>
        <w:tc>
          <w:tcPr>
            <w:tcW w:w="649" w:type="dxa"/>
            <w:gridSpan w:val="2"/>
            <w:shd w:val="clear" w:color="auto" w:fill="auto"/>
            <w:noWrap/>
            <w:vAlign w:val="center"/>
          </w:tcPr>
          <w:p w14:paraId="7390823D" w14:textId="7C0E3FAA"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1,1</w:t>
            </w:r>
          </w:p>
        </w:tc>
        <w:tc>
          <w:tcPr>
            <w:tcW w:w="649" w:type="dxa"/>
            <w:gridSpan w:val="2"/>
            <w:tcBorders>
              <w:right w:val="single" w:sz="8" w:space="0" w:color="13B5EA"/>
            </w:tcBorders>
            <w:shd w:val="clear" w:color="auto" w:fill="auto"/>
            <w:noWrap/>
            <w:vAlign w:val="center"/>
          </w:tcPr>
          <w:p w14:paraId="09E14ACF" w14:textId="49AD631B"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1,1</w:t>
            </w:r>
          </w:p>
        </w:tc>
        <w:tc>
          <w:tcPr>
            <w:tcW w:w="649" w:type="dxa"/>
            <w:shd w:val="clear" w:color="auto" w:fill="auto"/>
            <w:noWrap/>
            <w:vAlign w:val="center"/>
          </w:tcPr>
          <w:p w14:paraId="22FFA95D" w14:textId="1BBFE771"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1,2</w:t>
            </w:r>
          </w:p>
        </w:tc>
        <w:tc>
          <w:tcPr>
            <w:tcW w:w="649" w:type="dxa"/>
            <w:gridSpan w:val="2"/>
            <w:shd w:val="clear" w:color="auto" w:fill="auto"/>
            <w:noWrap/>
            <w:vAlign w:val="center"/>
          </w:tcPr>
          <w:p w14:paraId="4511172C" w14:textId="2C1E8B5B"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1,5</w:t>
            </w:r>
          </w:p>
        </w:tc>
        <w:tc>
          <w:tcPr>
            <w:tcW w:w="649" w:type="dxa"/>
            <w:gridSpan w:val="2"/>
            <w:shd w:val="clear" w:color="auto" w:fill="auto"/>
            <w:noWrap/>
            <w:vAlign w:val="center"/>
          </w:tcPr>
          <w:p w14:paraId="3BB2CA47" w14:textId="2AD4E978"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1,8</w:t>
            </w:r>
          </w:p>
        </w:tc>
        <w:tc>
          <w:tcPr>
            <w:tcW w:w="649" w:type="dxa"/>
            <w:shd w:val="clear" w:color="auto" w:fill="auto"/>
            <w:noWrap/>
            <w:vAlign w:val="center"/>
          </w:tcPr>
          <w:p w14:paraId="5506D0B8" w14:textId="450D580A"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2,2</w:t>
            </w:r>
          </w:p>
        </w:tc>
        <w:tc>
          <w:tcPr>
            <w:tcW w:w="649" w:type="dxa"/>
            <w:shd w:val="clear" w:color="auto" w:fill="auto"/>
            <w:noWrap/>
            <w:vAlign w:val="center"/>
          </w:tcPr>
          <w:p w14:paraId="01821543" w14:textId="2BF7615C"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2,4</w:t>
            </w:r>
          </w:p>
        </w:tc>
      </w:tr>
      <w:tr w:rsidR="00E672A0" w:rsidRPr="00B14658" w14:paraId="046DF1A4" w14:textId="77777777" w:rsidTr="00004879">
        <w:trPr>
          <w:trHeight w:hRule="exact" w:val="255"/>
          <w:jc w:val="center"/>
        </w:trPr>
        <w:tc>
          <w:tcPr>
            <w:tcW w:w="3402" w:type="dxa"/>
            <w:noWrap/>
            <w:vAlign w:val="center"/>
            <w:hideMark/>
          </w:tcPr>
          <w:p w14:paraId="3839D16A" w14:textId="77777777" w:rsidR="003A04DD" w:rsidRPr="00004879" w:rsidRDefault="003A04DD" w:rsidP="009F6E88">
            <w:pPr>
              <w:ind w:firstLineChars="400" w:firstLine="720"/>
              <w:rPr>
                <w:rFonts w:cs="Times New Roman"/>
                <w:color w:val="000000"/>
                <w:sz w:val="18"/>
                <w:szCs w:val="18"/>
              </w:rPr>
            </w:pPr>
            <w:r w:rsidRPr="00004879">
              <w:rPr>
                <w:rFonts w:cs="Times New Roman"/>
                <w:color w:val="000000" w:themeColor="text1"/>
                <w:sz w:val="18"/>
                <w:szCs w:val="18"/>
                <w:lang w:eastAsia="en-US"/>
              </w:rPr>
              <w:t xml:space="preserve"> - Školstvo</w:t>
            </w:r>
          </w:p>
        </w:tc>
        <w:tc>
          <w:tcPr>
            <w:tcW w:w="648" w:type="dxa"/>
            <w:tcBorders>
              <w:top w:val="nil"/>
              <w:left w:val="single" w:sz="8" w:space="0" w:color="13B5EA"/>
              <w:bottom w:val="nil"/>
              <w:right w:val="single" w:sz="8" w:space="0" w:color="13B5EA"/>
            </w:tcBorders>
            <w:shd w:val="clear" w:color="auto" w:fill="auto"/>
            <w:noWrap/>
            <w:vAlign w:val="center"/>
          </w:tcPr>
          <w:p w14:paraId="1D23B124" w14:textId="4C5EC536"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4,5</w:t>
            </w:r>
          </w:p>
        </w:tc>
        <w:tc>
          <w:tcPr>
            <w:tcW w:w="649" w:type="dxa"/>
            <w:gridSpan w:val="3"/>
            <w:shd w:val="clear" w:color="auto" w:fill="auto"/>
            <w:noWrap/>
            <w:vAlign w:val="center"/>
          </w:tcPr>
          <w:p w14:paraId="7D4F7F8D" w14:textId="6AC08AB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4,6</w:t>
            </w:r>
          </w:p>
        </w:tc>
        <w:tc>
          <w:tcPr>
            <w:tcW w:w="649" w:type="dxa"/>
            <w:gridSpan w:val="2"/>
            <w:shd w:val="clear" w:color="auto" w:fill="auto"/>
            <w:noWrap/>
            <w:vAlign w:val="center"/>
          </w:tcPr>
          <w:p w14:paraId="6DDD3D61" w14:textId="7795C5F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4,4</w:t>
            </w:r>
          </w:p>
        </w:tc>
        <w:tc>
          <w:tcPr>
            <w:tcW w:w="649" w:type="dxa"/>
            <w:gridSpan w:val="2"/>
            <w:tcBorders>
              <w:right w:val="single" w:sz="8" w:space="0" w:color="13B5EA"/>
            </w:tcBorders>
            <w:shd w:val="clear" w:color="auto" w:fill="auto"/>
            <w:noWrap/>
            <w:vAlign w:val="center"/>
          </w:tcPr>
          <w:p w14:paraId="5B88A780" w14:textId="47D7DBB6"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4,4</w:t>
            </w:r>
          </w:p>
        </w:tc>
        <w:tc>
          <w:tcPr>
            <w:tcW w:w="649" w:type="dxa"/>
            <w:shd w:val="clear" w:color="auto" w:fill="auto"/>
            <w:noWrap/>
            <w:vAlign w:val="center"/>
          </w:tcPr>
          <w:p w14:paraId="248EBDAE" w14:textId="3F14A644"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4,4</w:t>
            </w:r>
          </w:p>
        </w:tc>
        <w:tc>
          <w:tcPr>
            <w:tcW w:w="649" w:type="dxa"/>
            <w:gridSpan w:val="2"/>
            <w:shd w:val="clear" w:color="auto" w:fill="auto"/>
            <w:noWrap/>
            <w:vAlign w:val="center"/>
          </w:tcPr>
          <w:p w14:paraId="130F906F" w14:textId="163B4DAE"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4,2</w:t>
            </w:r>
          </w:p>
        </w:tc>
        <w:tc>
          <w:tcPr>
            <w:tcW w:w="649" w:type="dxa"/>
            <w:gridSpan w:val="2"/>
            <w:shd w:val="clear" w:color="auto" w:fill="auto"/>
            <w:noWrap/>
            <w:vAlign w:val="center"/>
          </w:tcPr>
          <w:p w14:paraId="5724AC18" w14:textId="7C1FD0EB"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4,4</w:t>
            </w:r>
          </w:p>
        </w:tc>
        <w:tc>
          <w:tcPr>
            <w:tcW w:w="649" w:type="dxa"/>
            <w:shd w:val="clear" w:color="auto" w:fill="auto"/>
            <w:noWrap/>
            <w:vAlign w:val="center"/>
          </w:tcPr>
          <w:p w14:paraId="34EAF048" w14:textId="6B9EB6DD"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4,8</w:t>
            </w:r>
          </w:p>
        </w:tc>
        <w:tc>
          <w:tcPr>
            <w:tcW w:w="649" w:type="dxa"/>
            <w:shd w:val="clear" w:color="auto" w:fill="auto"/>
            <w:noWrap/>
            <w:vAlign w:val="center"/>
          </w:tcPr>
          <w:p w14:paraId="3410D2A6" w14:textId="42DA20EA" w:rsidR="003A04DD" w:rsidRPr="00004879" w:rsidRDefault="003A04DD" w:rsidP="00004879">
            <w:pPr>
              <w:jc w:val="center"/>
              <w:rPr>
                <w:rFonts w:cs="Times New Roman"/>
                <w:color w:val="000000"/>
                <w:sz w:val="18"/>
                <w:szCs w:val="18"/>
                <w:lang w:eastAsia="en-US"/>
              </w:rPr>
            </w:pPr>
            <w:r w:rsidRPr="00004879">
              <w:rPr>
                <w:rFonts w:cs="Times New Roman"/>
                <w:color w:val="000000" w:themeColor="text1"/>
                <w:sz w:val="18"/>
                <w:szCs w:val="18"/>
              </w:rPr>
              <w:t>4,6</w:t>
            </w:r>
          </w:p>
        </w:tc>
      </w:tr>
      <w:tr w:rsidR="00E672A0" w:rsidRPr="00B14658" w14:paraId="3E705342" w14:textId="77777777" w:rsidTr="00004879">
        <w:trPr>
          <w:trHeight w:hRule="exact" w:val="255"/>
          <w:jc w:val="center"/>
        </w:trPr>
        <w:tc>
          <w:tcPr>
            <w:tcW w:w="3402" w:type="dxa"/>
            <w:noWrap/>
            <w:vAlign w:val="center"/>
            <w:hideMark/>
          </w:tcPr>
          <w:p w14:paraId="08DBD10F" w14:textId="77777777" w:rsidR="003A04DD" w:rsidRPr="00004879" w:rsidRDefault="003A04DD" w:rsidP="009F6E88">
            <w:pPr>
              <w:ind w:firstLineChars="400" w:firstLine="720"/>
              <w:rPr>
                <w:rFonts w:cs="Times New Roman"/>
                <w:color w:val="000000"/>
                <w:sz w:val="18"/>
                <w:szCs w:val="18"/>
              </w:rPr>
            </w:pPr>
            <w:r w:rsidRPr="00004879">
              <w:rPr>
                <w:rFonts w:cs="Times New Roman"/>
                <w:color w:val="000000" w:themeColor="text1"/>
                <w:sz w:val="18"/>
                <w:szCs w:val="18"/>
                <w:lang w:eastAsia="en-US"/>
              </w:rPr>
              <w:t xml:space="preserve"> - Dávky v nezamestnanosti</w:t>
            </w:r>
          </w:p>
        </w:tc>
        <w:tc>
          <w:tcPr>
            <w:tcW w:w="648" w:type="dxa"/>
            <w:tcBorders>
              <w:top w:val="nil"/>
              <w:left w:val="single" w:sz="8" w:space="0" w:color="13B5EA"/>
              <w:bottom w:val="nil"/>
              <w:right w:val="single" w:sz="8" w:space="0" w:color="13B5EA"/>
            </w:tcBorders>
            <w:shd w:val="clear" w:color="auto" w:fill="auto"/>
            <w:noWrap/>
            <w:vAlign w:val="center"/>
          </w:tcPr>
          <w:p w14:paraId="73EFF3EE" w14:textId="452D88C0"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0,2</w:t>
            </w:r>
          </w:p>
        </w:tc>
        <w:tc>
          <w:tcPr>
            <w:tcW w:w="649" w:type="dxa"/>
            <w:gridSpan w:val="3"/>
            <w:shd w:val="clear" w:color="auto" w:fill="auto"/>
            <w:noWrap/>
            <w:vAlign w:val="center"/>
          </w:tcPr>
          <w:p w14:paraId="576DD63D" w14:textId="7EE3FC1F"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0,2</w:t>
            </w:r>
          </w:p>
        </w:tc>
        <w:tc>
          <w:tcPr>
            <w:tcW w:w="649" w:type="dxa"/>
            <w:gridSpan w:val="2"/>
            <w:shd w:val="clear" w:color="auto" w:fill="auto"/>
            <w:noWrap/>
            <w:vAlign w:val="center"/>
          </w:tcPr>
          <w:p w14:paraId="2BC0C7D7" w14:textId="0B4C3151"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0,2</w:t>
            </w:r>
          </w:p>
        </w:tc>
        <w:tc>
          <w:tcPr>
            <w:tcW w:w="649" w:type="dxa"/>
            <w:gridSpan w:val="2"/>
            <w:tcBorders>
              <w:right w:val="single" w:sz="8" w:space="0" w:color="13B5EA"/>
            </w:tcBorders>
            <w:shd w:val="clear" w:color="auto" w:fill="auto"/>
            <w:noWrap/>
            <w:vAlign w:val="center"/>
          </w:tcPr>
          <w:p w14:paraId="1DBF493E" w14:textId="050CB43D"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0,2</w:t>
            </w:r>
          </w:p>
        </w:tc>
        <w:tc>
          <w:tcPr>
            <w:tcW w:w="649" w:type="dxa"/>
            <w:shd w:val="clear" w:color="auto" w:fill="auto"/>
            <w:noWrap/>
            <w:vAlign w:val="center"/>
          </w:tcPr>
          <w:p w14:paraId="4E698399" w14:textId="536B4A65"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0,3</w:t>
            </w:r>
          </w:p>
        </w:tc>
        <w:tc>
          <w:tcPr>
            <w:tcW w:w="649" w:type="dxa"/>
            <w:gridSpan w:val="2"/>
            <w:shd w:val="clear" w:color="auto" w:fill="auto"/>
            <w:noWrap/>
            <w:vAlign w:val="center"/>
          </w:tcPr>
          <w:p w14:paraId="40EA67A3" w14:textId="5611F469"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0,3</w:t>
            </w:r>
          </w:p>
        </w:tc>
        <w:tc>
          <w:tcPr>
            <w:tcW w:w="649" w:type="dxa"/>
            <w:gridSpan w:val="2"/>
            <w:shd w:val="clear" w:color="auto" w:fill="auto"/>
            <w:noWrap/>
            <w:vAlign w:val="center"/>
          </w:tcPr>
          <w:p w14:paraId="7B96B6FF" w14:textId="09DA3352"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0,3</w:t>
            </w:r>
          </w:p>
        </w:tc>
        <w:tc>
          <w:tcPr>
            <w:tcW w:w="649" w:type="dxa"/>
            <w:shd w:val="clear" w:color="auto" w:fill="auto"/>
            <w:noWrap/>
            <w:vAlign w:val="center"/>
          </w:tcPr>
          <w:p w14:paraId="5FF74C38" w14:textId="12EF75BB"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0,3</w:t>
            </w:r>
          </w:p>
        </w:tc>
        <w:tc>
          <w:tcPr>
            <w:tcW w:w="649" w:type="dxa"/>
            <w:shd w:val="clear" w:color="auto" w:fill="auto"/>
            <w:noWrap/>
            <w:vAlign w:val="center"/>
          </w:tcPr>
          <w:p w14:paraId="2D33FCA7" w14:textId="07844F78"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0,3</w:t>
            </w:r>
          </w:p>
        </w:tc>
      </w:tr>
      <w:tr w:rsidR="00E672A0" w:rsidRPr="00B14658" w14:paraId="32476FE0" w14:textId="77777777" w:rsidTr="00004879">
        <w:trPr>
          <w:trHeight w:hRule="exact" w:val="255"/>
          <w:jc w:val="center"/>
        </w:trPr>
        <w:tc>
          <w:tcPr>
            <w:tcW w:w="3402" w:type="dxa"/>
            <w:noWrap/>
            <w:vAlign w:val="center"/>
          </w:tcPr>
          <w:p w14:paraId="7636D47A" w14:textId="77777777" w:rsidR="003A04DD" w:rsidRPr="00004879" w:rsidRDefault="003A04DD" w:rsidP="009F6E88">
            <w:pPr>
              <w:ind w:firstLineChars="400" w:firstLine="720"/>
              <w:rPr>
                <w:rFonts w:cs="Times New Roman"/>
                <w:color w:val="000000" w:themeColor="text1"/>
                <w:sz w:val="18"/>
                <w:szCs w:val="18"/>
                <w:lang w:eastAsia="en-US"/>
              </w:rPr>
            </w:pPr>
            <w:r w:rsidRPr="00004879">
              <w:rPr>
                <w:rFonts w:cs="Times New Roman"/>
                <w:color w:val="000000"/>
                <w:sz w:val="18"/>
                <w:szCs w:val="18"/>
              </w:rPr>
              <w:t xml:space="preserve"> - Nemocenské a úrazové dávky</w:t>
            </w:r>
          </w:p>
        </w:tc>
        <w:tc>
          <w:tcPr>
            <w:tcW w:w="648" w:type="dxa"/>
            <w:tcBorders>
              <w:top w:val="nil"/>
              <w:left w:val="single" w:sz="8" w:space="0" w:color="13B5EA"/>
              <w:bottom w:val="nil"/>
              <w:right w:val="single" w:sz="8" w:space="0" w:color="13B5EA"/>
            </w:tcBorders>
            <w:shd w:val="clear" w:color="auto" w:fill="auto"/>
            <w:noWrap/>
            <w:vAlign w:val="center"/>
          </w:tcPr>
          <w:p w14:paraId="308253CB" w14:textId="79E95B79"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1,0</w:t>
            </w:r>
          </w:p>
        </w:tc>
        <w:tc>
          <w:tcPr>
            <w:tcW w:w="649" w:type="dxa"/>
            <w:gridSpan w:val="3"/>
            <w:shd w:val="clear" w:color="auto" w:fill="auto"/>
            <w:noWrap/>
            <w:vAlign w:val="center"/>
          </w:tcPr>
          <w:p w14:paraId="12D555CF" w14:textId="08672998"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1,0</w:t>
            </w:r>
          </w:p>
        </w:tc>
        <w:tc>
          <w:tcPr>
            <w:tcW w:w="649" w:type="dxa"/>
            <w:gridSpan w:val="2"/>
            <w:shd w:val="clear" w:color="auto" w:fill="auto"/>
            <w:noWrap/>
            <w:vAlign w:val="center"/>
          </w:tcPr>
          <w:p w14:paraId="1D49AF7B" w14:textId="78B370C6"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1,1</w:t>
            </w:r>
          </w:p>
        </w:tc>
        <w:tc>
          <w:tcPr>
            <w:tcW w:w="649" w:type="dxa"/>
            <w:gridSpan w:val="2"/>
            <w:tcBorders>
              <w:right w:val="single" w:sz="8" w:space="0" w:color="13B5EA"/>
            </w:tcBorders>
            <w:shd w:val="clear" w:color="auto" w:fill="auto"/>
            <w:noWrap/>
            <w:vAlign w:val="center"/>
          </w:tcPr>
          <w:p w14:paraId="2EDDCDE3" w14:textId="16FA63DA"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1,1</w:t>
            </w:r>
          </w:p>
        </w:tc>
        <w:tc>
          <w:tcPr>
            <w:tcW w:w="649" w:type="dxa"/>
            <w:shd w:val="clear" w:color="auto" w:fill="auto"/>
            <w:noWrap/>
            <w:vAlign w:val="center"/>
          </w:tcPr>
          <w:p w14:paraId="0E304CE4" w14:textId="1ED568DB"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1,0</w:t>
            </w:r>
          </w:p>
        </w:tc>
        <w:tc>
          <w:tcPr>
            <w:tcW w:w="649" w:type="dxa"/>
            <w:gridSpan w:val="2"/>
            <w:shd w:val="clear" w:color="auto" w:fill="auto"/>
            <w:noWrap/>
            <w:vAlign w:val="center"/>
          </w:tcPr>
          <w:p w14:paraId="6E028EFB" w14:textId="7C24580C"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1,0</w:t>
            </w:r>
          </w:p>
        </w:tc>
        <w:tc>
          <w:tcPr>
            <w:tcW w:w="649" w:type="dxa"/>
            <w:gridSpan w:val="2"/>
            <w:shd w:val="clear" w:color="auto" w:fill="auto"/>
            <w:noWrap/>
            <w:vAlign w:val="center"/>
          </w:tcPr>
          <w:p w14:paraId="73343050" w14:textId="1952B0EF"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1,0</w:t>
            </w:r>
          </w:p>
        </w:tc>
        <w:tc>
          <w:tcPr>
            <w:tcW w:w="649" w:type="dxa"/>
            <w:shd w:val="clear" w:color="auto" w:fill="auto"/>
            <w:noWrap/>
            <w:vAlign w:val="center"/>
          </w:tcPr>
          <w:p w14:paraId="342E5417" w14:textId="145A7BF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0,9</w:t>
            </w:r>
          </w:p>
        </w:tc>
        <w:tc>
          <w:tcPr>
            <w:tcW w:w="649" w:type="dxa"/>
            <w:shd w:val="clear" w:color="auto" w:fill="auto"/>
            <w:noWrap/>
            <w:vAlign w:val="center"/>
          </w:tcPr>
          <w:p w14:paraId="705CC6E7" w14:textId="6E51B273"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0,9</w:t>
            </w:r>
          </w:p>
        </w:tc>
      </w:tr>
      <w:tr w:rsidR="00E672A0" w:rsidRPr="00B14658" w14:paraId="1ED9EDD5" w14:textId="77777777" w:rsidTr="00004879">
        <w:trPr>
          <w:trHeight w:hRule="exact" w:val="255"/>
          <w:jc w:val="center"/>
        </w:trPr>
        <w:tc>
          <w:tcPr>
            <w:tcW w:w="3402" w:type="dxa"/>
            <w:noWrap/>
            <w:vAlign w:val="center"/>
          </w:tcPr>
          <w:p w14:paraId="799BA3D6" w14:textId="77777777" w:rsidR="003A04DD" w:rsidRPr="00004879" w:rsidRDefault="003A04DD" w:rsidP="009F6E88">
            <w:pPr>
              <w:ind w:firstLine="720"/>
              <w:rPr>
                <w:rFonts w:cs="Times New Roman"/>
                <w:color w:val="000000" w:themeColor="text1"/>
                <w:sz w:val="18"/>
                <w:szCs w:val="18"/>
                <w:lang w:eastAsia="en-US"/>
              </w:rPr>
            </w:pPr>
            <w:r w:rsidRPr="00004879">
              <w:rPr>
                <w:rFonts w:cs="Times New Roman"/>
                <w:color w:val="000000" w:themeColor="text1"/>
                <w:sz w:val="18"/>
                <w:szCs w:val="18"/>
              </w:rPr>
              <w:t xml:space="preserve"> - Ostatné sociálne transfer</w:t>
            </w:r>
            <w:r w:rsidRPr="00004879">
              <w:rPr>
                <w:rFonts w:cs="Times New Roman"/>
                <w:color w:val="000000" w:themeColor="text1"/>
                <w:sz w:val="18"/>
                <w:szCs w:val="18"/>
                <w:lang w:eastAsia="en-US"/>
              </w:rPr>
              <w:t>y</w:t>
            </w:r>
          </w:p>
        </w:tc>
        <w:tc>
          <w:tcPr>
            <w:tcW w:w="648" w:type="dxa"/>
            <w:tcBorders>
              <w:top w:val="nil"/>
              <w:left w:val="single" w:sz="8" w:space="0" w:color="13B5EA"/>
              <w:bottom w:val="nil"/>
              <w:right w:val="single" w:sz="8" w:space="0" w:color="13B5EA"/>
            </w:tcBorders>
            <w:shd w:val="clear" w:color="auto" w:fill="auto"/>
            <w:noWrap/>
            <w:vAlign w:val="center"/>
          </w:tcPr>
          <w:p w14:paraId="62E9432C" w14:textId="4F37E72E"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1,6</w:t>
            </w:r>
          </w:p>
        </w:tc>
        <w:tc>
          <w:tcPr>
            <w:tcW w:w="649" w:type="dxa"/>
            <w:gridSpan w:val="3"/>
            <w:shd w:val="clear" w:color="auto" w:fill="auto"/>
            <w:noWrap/>
            <w:vAlign w:val="center"/>
          </w:tcPr>
          <w:p w14:paraId="29C2E7B2" w14:textId="2EAC9DDD"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2,4</w:t>
            </w:r>
          </w:p>
        </w:tc>
        <w:tc>
          <w:tcPr>
            <w:tcW w:w="649" w:type="dxa"/>
            <w:gridSpan w:val="2"/>
            <w:shd w:val="clear" w:color="auto" w:fill="auto"/>
            <w:noWrap/>
            <w:vAlign w:val="center"/>
          </w:tcPr>
          <w:p w14:paraId="353F630B" w14:textId="2F30EC12"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2,3</w:t>
            </w:r>
          </w:p>
        </w:tc>
        <w:tc>
          <w:tcPr>
            <w:tcW w:w="649" w:type="dxa"/>
            <w:gridSpan w:val="2"/>
            <w:tcBorders>
              <w:right w:val="single" w:sz="8" w:space="0" w:color="13B5EA"/>
            </w:tcBorders>
            <w:shd w:val="clear" w:color="auto" w:fill="auto"/>
            <w:noWrap/>
            <w:vAlign w:val="center"/>
          </w:tcPr>
          <w:p w14:paraId="5BC76C7E" w14:textId="02DD3EA4"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1,9</w:t>
            </w:r>
          </w:p>
        </w:tc>
        <w:tc>
          <w:tcPr>
            <w:tcW w:w="649" w:type="dxa"/>
            <w:shd w:val="clear" w:color="auto" w:fill="auto"/>
            <w:noWrap/>
            <w:vAlign w:val="center"/>
          </w:tcPr>
          <w:p w14:paraId="0C9A1344" w14:textId="7CB8D3B8"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2,0</w:t>
            </w:r>
          </w:p>
        </w:tc>
        <w:tc>
          <w:tcPr>
            <w:tcW w:w="649" w:type="dxa"/>
            <w:gridSpan w:val="2"/>
            <w:shd w:val="clear" w:color="auto" w:fill="auto"/>
            <w:noWrap/>
            <w:vAlign w:val="center"/>
          </w:tcPr>
          <w:p w14:paraId="0DE1C3FD" w14:textId="599F3840"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2,0</w:t>
            </w:r>
          </w:p>
        </w:tc>
        <w:tc>
          <w:tcPr>
            <w:tcW w:w="649" w:type="dxa"/>
            <w:gridSpan w:val="2"/>
            <w:shd w:val="clear" w:color="auto" w:fill="auto"/>
            <w:noWrap/>
            <w:vAlign w:val="center"/>
          </w:tcPr>
          <w:p w14:paraId="292881CD" w14:textId="4C3DCA23"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2,0</w:t>
            </w:r>
          </w:p>
        </w:tc>
        <w:tc>
          <w:tcPr>
            <w:tcW w:w="649" w:type="dxa"/>
            <w:shd w:val="clear" w:color="auto" w:fill="auto"/>
            <w:noWrap/>
            <w:vAlign w:val="center"/>
          </w:tcPr>
          <w:p w14:paraId="1208547E" w14:textId="79808737"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2,1</w:t>
            </w:r>
          </w:p>
        </w:tc>
        <w:tc>
          <w:tcPr>
            <w:tcW w:w="649" w:type="dxa"/>
            <w:shd w:val="clear" w:color="auto" w:fill="auto"/>
            <w:noWrap/>
            <w:vAlign w:val="center"/>
          </w:tcPr>
          <w:p w14:paraId="649E1008" w14:textId="52D03567"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2,0</w:t>
            </w:r>
          </w:p>
        </w:tc>
      </w:tr>
      <w:tr w:rsidR="00E672A0" w:rsidRPr="00B14658" w14:paraId="5707D32F" w14:textId="77777777" w:rsidTr="00004879">
        <w:trPr>
          <w:trHeight w:hRule="exact" w:val="255"/>
          <w:jc w:val="center"/>
        </w:trPr>
        <w:tc>
          <w:tcPr>
            <w:tcW w:w="3402" w:type="dxa"/>
            <w:noWrap/>
            <w:vAlign w:val="center"/>
            <w:hideMark/>
          </w:tcPr>
          <w:p w14:paraId="2985BF93" w14:textId="77777777" w:rsidR="003A04DD" w:rsidRPr="00004879" w:rsidRDefault="003A04DD" w:rsidP="009F6E88">
            <w:pPr>
              <w:ind w:firstLineChars="200" w:firstLine="360"/>
              <w:rPr>
                <w:rFonts w:cs="Times New Roman"/>
                <w:color w:val="000000"/>
                <w:sz w:val="18"/>
                <w:szCs w:val="18"/>
              </w:rPr>
            </w:pPr>
            <w:r w:rsidRPr="00004879">
              <w:rPr>
                <w:rFonts w:cs="Times New Roman"/>
                <w:color w:val="000000" w:themeColor="text1"/>
                <w:sz w:val="18"/>
                <w:szCs w:val="18"/>
                <w:lang w:eastAsia="en-US"/>
              </w:rPr>
              <w:t>Náklady na ukončenie prevádzky JE</w:t>
            </w:r>
          </w:p>
        </w:tc>
        <w:tc>
          <w:tcPr>
            <w:tcW w:w="648" w:type="dxa"/>
            <w:tcBorders>
              <w:top w:val="nil"/>
              <w:left w:val="single" w:sz="8" w:space="0" w:color="13B5EA"/>
              <w:bottom w:val="nil"/>
              <w:right w:val="single" w:sz="8" w:space="0" w:color="13B5EA"/>
            </w:tcBorders>
            <w:shd w:val="clear" w:color="auto" w:fill="auto"/>
            <w:noWrap/>
            <w:vAlign w:val="center"/>
          </w:tcPr>
          <w:p w14:paraId="0B1330EA" w14:textId="189D83F7"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3"/>
            <w:shd w:val="clear" w:color="auto" w:fill="auto"/>
            <w:noWrap/>
            <w:vAlign w:val="center"/>
          </w:tcPr>
          <w:p w14:paraId="7A48318F" w14:textId="6DDC628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2"/>
            <w:shd w:val="clear" w:color="auto" w:fill="auto"/>
            <w:noWrap/>
            <w:vAlign w:val="center"/>
          </w:tcPr>
          <w:p w14:paraId="3EA22FC3" w14:textId="3ABC15E1"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2"/>
            <w:tcBorders>
              <w:right w:val="single" w:sz="8" w:space="0" w:color="13B5EA"/>
            </w:tcBorders>
            <w:shd w:val="clear" w:color="auto" w:fill="auto"/>
            <w:noWrap/>
            <w:vAlign w:val="center"/>
          </w:tcPr>
          <w:p w14:paraId="6F0F2C92" w14:textId="5CA02DEE"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shd w:val="clear" w:color="auto" w:fill="auto"/>
            <w:noWrap/>
            <w:vAlign w:val="center"/>
          </w:tcPr>
          <w:p w14:paraId="342DC9FC" w14:textId="080EF176"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gridSpan w:val="2"/>
            <w:shd w:val="clear" w:color="auto" w:fill="auto"/>
            <w:noWrap/>
            <w:vAlign w:val="center"/>
          </w:tcPr>
          <w:p w14:paraId="5BAAA695" w14:textId="4051E1DB"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gridSpan w:val="2"/>
            <w:shd w:val="clear" w:color="auto" w:fill="auto"/>
            <w:noWrap/>
            <w:vAlign w:val="center"/>
          </w:tcPr>
          <w:p w14:paraId="3CC57A65" w14:textId="20526BEC"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shd w:val="clear" w:color="auto" w:fill="auto"/>
            <w:noWrap/>
            <w:vAlign w:val="center"/>
          </w:tcPr>
          <w:p w14:paraId="7EF54D7A" w14:textId="1502FCA7"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shd w:val="clear" w:color="auto" w:fill="auto"/>
            <w:noWrap/>
            <w:vAlign w:val="center"/>
          </w:tcPr>
          <w:p w14:paraId="23AA4AE4" w14:textId="2EA343D3" w:rsidR="003A04DD" w:rsidRPr="00004879" w:rsidRDefault="003A04DD" w:rsidP="00004879">
            <w:pPr>
              <w:jc w:val="center"/>
              <w:rPr>
                <w:rFonts w:cs="Times New Roman"/>
                <w:color w:val="000000"/>
                <w:sz w:val="18"/>
                <w:szCs w:val="18"/>
                <w:lang w:eastAsia="en-US"/>
              </w:rPr>
            </w:pPr>
            <w:r w:rsidRPr="00004879">
              <w:rPr>
                <w:rFonts w:cs="Times New Roman"/>
                <w:color w:val="000000" w:themeColor="text1"/>
                <w:sz w:val="18"/>
                <w:szCs w:val="18"/>
              </w:rPr>
              <w:t>0,0</w:t>
            </w:r>
          </w:p>
        </w:tc>
      </w:tr>
      <w:tr w:rsidR="00E672A0" w:rsidRPr="00B14658" w14:paraId="5A466284" w14:textId="77777777" w:rsidTr="00004879">
        <w:trPr>
          <w:trHeight w:hRule="exact" w:val="255"/>
          <w:jc w:val="center"/>
        </w:trPr>
        <w:tc>
          <w:tcPr>
            <w:tcW w:w="3402" w:type="dxa"/>
            <w:noWrap/>
            <w:vAlign w:val="center"/>
            <w:hideMark/>
          </w:tcPr>
          <w:p w14:paraId="623DA16A" w14:textId="77777777" w:rsidR="003A04DD" w:rsidRPr="00004879" w:rsidRDefault="003A04DD" w:rsidP="009F6E88">
            <w:pPr>
              <w:ind w:firstLineChars="200" w:firstLine="360"/>
              <w:rPr>
                <w:rFonts w:cs="Times New Roman"/>
                <w:color w:val="000000"/>
                <w:sz w:val="18"/>
                <w:szCs w:val="18"/>
              </w:rPr>
            </w:pPr>
            <w:r w:rsidRPr="00004879">
              <w:rPr>
                <w:rFonts w:cs="Times New Roman"/>
                <w:color w:val="000000" w:themeColor="text1"/>
                <w:sz w:val="18"/>
                <w:szCs w:val="18"/>
                <w:lang w:eastAsia="en-US"/>
              </w:rPr>
              <w:t>PPP projekty a náklady na údržbu</w:t>
            </w:r>
          </w:p>
        </w:tc>
        <w:tc>
          <w:tcPr>
            <w:tcW w:w="648" w:type="dxa"/>
            <w:tcBorders>
              <w:top w:val="nil"/>
              <w:left w:val="single" w:sz="8" w:space="0" w:color="13B5EA"/>
              <w:bottom w:val="nil"/>
              <w:right w:val="single" w:sz="8" w:space="0" w:color="13B5EA"/>
            </w:tcBorders>
            <w:shd w:val="clear" w:color="auto" w:fill="auto"/>
            <w:noWrap/>
            <w:vAlign w:val="center"/>
          </w:tcPr>
          <w:p w14:paraId="71665C8F" w14:textId="486DAF1F"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0,2</w:t>
            </w:r>
          </w:p>
        </w:tc>
        <w:tc>
          <w:tcPr>
            <w:tcW w:w="649" w:type="dxa"/>
            <w:gridSpan w:val="3"/>
            <w:shd w:val="clear" w:color="auto" w:fill="auto"/>
            <w:noWrap/>
            <w:vAlign w:val="center"/>
          </w:tcPr>
          <w:p w14:paraId="7EF9E038" w14:textId="32E41E51"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0,2</w:t>
            </w:r>
          </w:p>
        </w:tc>
        <w:tc>
          <w:tcPr>
            <w:tcW w:w="649" w:type="dxa"/>
            <w:gridSpan w:val="2"/>
            <w:shd w:val="clear" w:color="auto" w:fill="auto"/>
            <w:noWrap/>
            <w:vAlign w:val="center"/>
          </w:tcPr>
          <w:p w14:paraId="531BB15D" w14:textId="746BCC09"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2"/>
            <w:tcBorders>
              <w:right w:val="single" w:sz="8" w:space="0" w:color="13B5EA"/>
            </w:tcBorders>
            <w:shd w:val="clear" w:color="auto" w:fill="auto"/>
            <w:noWrap/>
            <w:vAlign w:val="center"/>
          </w:tcPr>
          <w:p w14:paraId="687021B6" w14:textId="667F6177"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shd w:val="clear" w:color="auto" w:fill="auto"/>
            <w:noWrap/>
            <w:vAlign w:val="center"/>
          </w:tcPr>
          <w:p w14:paraId="30CA36A8" w14:textId="3FCAF729"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2"/>
            <w:shd w:val="clear" w:color="auto" w:fill="auto"/>
            <w:noWrap/>
            <w:vAlign w:val="center"/>
          </w:tcPr>
          <w:p w14:paraId="589FA851" w14:textId="6878AD1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0,1</w:t>
            </w:r>
          </w:p>
        </w:tc>
        <w:tc>
          <w:tcPr>
            <w:tcW w:w="649" w:type="dxa"/>
            <w:gridSpan w:val="2"/>
            <w:shd w:val="clear" w:color="auto" w:fill="auto"/>
            <w:noWrap/>
            <w:vAlign w:val="center"/>
          </w:tcPr>
          <w:p w14:paraId="00090ABD" w14:textId="789468D2"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shd w:val="clear" w:color="auto" w:fill="auto"/>
            <w:noWrap/>
            <w:vAlign w:val="center"/>
          </w:tcPr>
          <w:p w14:paraId="75EDA9EE" w14:textId="708645F5"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0,0</w:t>
            </w:r>
          </w:p>
        </w:tc>
        <w:tc>
          <w:tcPr>
            <w:tcW w:w="649" w:type="dxa"/>
            <w:shd w:val="clear" w:color="auto" w:fill="auto"/>
            <w:noWrap/>
            <w:vAlign w:val="center"/>
          </w:tcPr>
          <w:p w14:paraId="399D1549" w14:textId="6A36CA01" w:rsidR="003A04DD" w:rsidRPr="00004879" w:rsidRDefault="003A04DD" w:rsidP="00004879">
            <w:pPr>
              <w:jc w:val="center"/>
              <w:rPr>
                <w:rFonts w:cs="Times New Roman"/>
                <w:color w:val="000000"/>
                <w:sz w:val="18"/>
                <w:szCs w:val="18"/>
                <w:lang w:eastAsia="en-US"/>
              </w:rPr>
            </w:pPr>
            <w:r w:rsidRPr="00004879">
              <w:rPr>
                <w:rFonts w:cs="Times New Roman"/>
                <w:color w:val="000000" w:themeColor="text1"/>
                <w:sz w:val="18"/>
                <w:szCs w:val="18"/>
              </w:rPr>
              <w:t>0,0</w:t>
            </w:r>
          </w:p>
        </w:tc>
      </w:tr>
      <w:tr w:rsidR="00E672A0" w:rsidRPr="00B14658" w14:paraId="5EC17035" w14:textId="77777777" w:rsidTr="00004879">
        <w:trPr>
          <w:trHeight w:hRule="exact" w:val="255"/>
          <w:jc w:val="center"/>
        </w:trPr>
        <w:tc>
          <w:tcPr>
            <w:tcW w:w="3402" w:type="dxa"/>
            <w:noWrap/>
            <w:vAlign w:val="center"/>
            <w:hideMark/>
          </w:tcPr>
          <w:p w14:paraId="593E495A" w14:textId="77777777" w:rsidR="003A04DD" w:rsidRPr="00004879" w:rsidRDefault="003A04DD" w:rsidP="009F6E88">
            <w:pPr>
              <w:ind w:firstLineChars="200" w:firstLine="360"/>
              <w:rPr>
                <w:rFonts w:cs="Times New Roman"/>
                <w:color w:val="000000"/>
                <w:sz w:val="18"/>
                <w:szCs w:val="18"/>
              </w:rPr>
            </w:pPr>
            <w:r w:rsidRPr="00004879">
              <w:rPr>
                <w:rFonts w:cs="Times New Roman"/>
                <w:color w:val="000000" w:themeColor="text1"/>
                <w:sz w:val="18"/>
                <w:szCs w:val="18"/>
                <w:lang w:eastAsia="en-US"/>
              </w:rPr>
              <w:t>Úroky</w:t>
            </w:r>
          </w:p>
        </w:tc>
        <w:tc>
          <w:tcPr>
            <w:tcW w:w="648" w:type="dxa"/>
            <w:tcBorders>
              <w:top w:val="nil"/>
              <w:left w:val="single" w:sz="8" w:space="0" w:color="13B5EA"/>
              <w:bottom w:val="nil"/>
              <w:right w:val="single" w:sz="8" w:space="0" w:color="13B5EA"/>
            </w:tcBorders>
            <w:shd w:val="clear" w:color="auto" w:fill="auto"/>
            <w:noWrap/>
            <w:vAlign w:val="center"/>
          </w:tcPr>
          <w:p w14:paraId="4590F503" w14:textId="52F067E5" w:rsidR="003A04DD" w:rsidRPr="00004879" w:rsidRDefault="003A04DD" w:rsidP="00004879">
            <w:pPr>
              <w:jc w:val="center"/>
              <w:rPr>
                <w:rFonts w:cs="Times New Roman"/>
                <w:color w:val="000000"/>
                <w:sz w:val="18"/>
                <w:szCs w:val="18"/>
              </w:rPr>
            </w:pPr>
            <w:r w:rsidRPr="00004879">
              <w:rPr>
                <w:rFonts w:cs="Times New Roman"/>
                <w:color w:val="000000" w:themeColor="text1"/>
                <w:sz w:val="18"/>
                <w:szCs w:val="18"/>
              </w:rPr>
              <w:t>1,0</w:t>
            </w:r>
          </w:p>
        </w:tc>
        <w:tc>
          <w:tcPr>
            <w:tcW w:w="649" w:type="dxa"/>
            <w:gridSpan w:val="3"/>
            <w:shd w:val="clear" w:color="auto" w:fill="auto"/>
            <w:noWrap/>
            <w:vAlign w:val="center"/>
          </w:tcPr>
          <w:p w14:paraId="65143C78" w14:textId="6BCEACBB"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1,1</w:t>
            </w:r>
          </w:p>
        </w:tc>
        <w:tc>
          <w:tcPr>
            <w:tcW w:w="649" w:type="dxa"/>
            <w:gridSpan w:val="2"/>
            <w:shd w:val="clear" w:color="auto" w:fill="auto"/>
            <w:noWrap/>
            <w:vAlign w:val="center"/>
          </w:tcPr>
          <w:p w14:paraId="5460B344" w14:textId="72C57B64"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1,3</w:t>
            </w:r>
          </w:p>
        </w:tc>
        <w:tc>
          <w:tcPr>
            <w:tcW w:w="649" w:type="dxa"/>
            <w:gridSpan w:val="2"/>
            <w:tcBorders>
              <w:right w:val="single" w:sz="8" w:space="0" w:color="13B5EA"/>
            </w:tcBorders>
            <w:shd w:val="clear" w:color="auto" w:fill="auto"/>
            <w:noWrap/>
            <w:vAlign w:val="center"/>
          </w:tcPr>
          <w:p w14:paraId="1CCA1238" w14:textId="1D1B961A"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1,4</w:t>
            </w:r>
          </w:p>
        </w:tc>
        <w:tc>
          <w:tcPr>
            <w:tcW w:w="649" w:type="dxa"/>
            <w:shd w:val="clear" w:color="auto" w:fill="auto"/>
            <w:noWrap/>
            <w:vAlign w:val="center"/>
          </w:tcPr>
          <w:p w14:paraId="0F29B202" w14:textId="465A3724"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2,1</w:t>
            </w:r>
          </w:p>
        </w:tc>
        <w:tc>
          <w:tcPr>
            <w:tcW w:w="649" w:type="dxa"/>
            <w:gridSpan w:val="2"/>
            <w:shd w:val="clear" w:color="auto" w:fill="auto"/>
            <w:noWrap/>
            <w:vAlign w:val="center"/>
          </w:tcPr>
          <w:p w14:paraId="4D9EAB07" w14:textId="0E0235CD"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4,1</w:t>
            </w:r>
          </w:p>
        </w:tc>
        <w:tc>
          <w:tcPr>
            <w:tcW w:w="649" w:type="dxa"/>
            <w:gridSpan w:val="2"/>
            <w:shd w:val="clear" w:color="auto" w:fill="auto"/>
            <w:noWrap/>
            <w:vAlign w:val="center"/>
          </w:tcPr>
          <w:p w14:paraId="5B13FD23" w14:textId="05D6A529"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6,7</w:t>
            </w:r>
          </w:p>
        </w:tc>
        <w:tc>
          <w:tcPr>
            <w:tcW w:w="649" w:type="dxa"/>
            <w:shd w:val="clear" w:color="auto" w:fill="auto"/>
            <w:noWrap/>
            <w:vAlign w:val="center"/>
          </w:tcPr>
          <w:p w14:paraId="28E32080" w14:textId="168AC567" w:rsidR="003A04DD" w:rsidRPr="00004879" w:rsidRDefault="00F758E8" w:rsidP="00004879">
            <w:pPr>
              <w:jc w:val="center"/>
              <w:rPr>
                <w:rFonts w:cs="Times New Roman"/>
                <w:color w:val="000000"/>
                <w:sz w:val="18"/>
                <w:szCs w:val="18"/>
              </w:rPr>
            </w:pPr>
            <w:r w:rsidRPr="00004879">
              <w:rPr>
                <w:rFonts w:cs="Times New Roman"/>
                <w:color w:val="000000" w:themeColor="text1"/>
                <w:sz w:val="18"/>
                <w:szCs w:val="18"/>
              </w:rPr>
              <w:t>10,5</w:t>
            </w:r>
          </w:p>
        </w:tc>
        <w:tc>
          <w:tcPr>
            <w:tcW w:w="649" w:type="dxa"/>
            <w:shd w:val="clear" w:color="auto" w:fill="auto"/>
            <w:noWrap/>
            <w:vAlign w:val="center"/>
          </w:tcPr>
          <w:p w14:paraId="2C62A0D9" w14:textId="64C3BA09" w:rsidR="003A04DD" w:rsidRPr="00004879" w:rsidRDefault="00F758E8" w:rsidP="00004879">
            <w:pPr>
              <w:jc w:val="center"/>
              <w:rPr>
                <w:rFonts w:cs="Times New Roman"/>
                <w:color w:val="000000"/>
                <w:sz w:val="18"/>
                <w:szCs w:val="18"/>
                <w:lang w:eastAsia="en-US"/>
              </w:rPr>
            </w:pPr>
            <w:r w:rsidRPr="00004879">
              <w:rPr>
                <w:rFonts w:cs="Times New Roman"/>
                <w:color w:val="000000" w:themeColor="text1"/>
                <w:sz w:val="18"/>
                <w:szCs w:val="18"/>
              </w:rPr>
              <w:t>15,1</w:t>
            </w:r>
          </w:p>
        </w:tc>
      </w:tr>
      <w:tr w:rsidR="00B255E3" w:rsidRPr="00B14658" w14:paraId="0E7B97FB" w14:textId="77777777" w:rsidTr="00004879">
        <w:trPr>
          <w:trHeight w:val="255"/>
          <w:jc w:val="center"/>
        </w:trPr>
        <w:tc>
          <w:tcPr>
            <w:tcW w:w="3402" w:type="dxa"/>
            <w:tcBorders>
              <w:top w:val="nil"/>
              <w:left w:val="nil"/>
              <w:bottom w:val="single" w:sz="4" w:space="0" w:color="13B5EA"/>
              <w:right w:val="single" w:sz="4" w:space="0" w:color="13B5EA"/>
            </w:tcBorders>
            <w:noWrap/>
            <w:vAlign w:val="center"/>
            <w:hideMark/>
          </w:tcPr>
          <w:p w14:paraId="3DFA971E" w14:textId="77777777" w:rsidR="003A04DD" w:rsidRPr="00004879" w:rsidRDefault="003A04DD" w:rsidP="009F6E88">
            <w:pPr>
              <w:ind w:firstLineChars="100" w:firstLine="181"/>
              <w:rPr>
                <w:rFonts w:cs="Times New Roman"/>
                <w:color w:val="000000"/>
                <w:sz w:val="18"/>
                <w:szCs w:val="18"/>
                <w:lang w:eastAsia="en-US"/>
              </w:rPr>
            </w:pPr>
            <w:r w:rsidRPr="00004879">
              <w:rPr>
                <w:rFonts w:cs="Times New Roman"/>
                <w:b/>
                <w:color w:val="000000" w:themeColor="text1"/>
                <w:sz w:val="18"/>
                <w:szCs w:val="18"/>
                <w:lang w:eastAsia="en-US"/>
              </w:rPr>
              <w:t>Saldo VS</w:t>
            </w:r>
          </w:p>
        </w:tc>
        <w:tc>
          <w:tcPr>
            <w:tcW w:w="648" w:type="dxa"/>
            <w:tcBorders>
              <w:top w:val="nil"/>
              <w:left w:val="single" w:sz="4" w:space="0" w:color="13B5EA"/>
              <w:bottom w:val="single" w:sz="4" w:space="0" w:color="13B5EA"/>
              <w:right w:val="single" w:sz="4" w:space="0" w:color="13B5EA"/>
            </w:tcBorders>
            <w:shd w:val="clear" w:color="auto" w:fill="auto"/>
            <w:noWrap/>
            <w:vAlign w:val="center"/>
          </w:tcPr>
          <w:p w14:paraId="51842906" w14:textId="43C4DF42"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-4,1</w:t>
            </w:r>
          </w:p>
        </w:tc>
        <w:tc>
          <w:tcPr>
            <w:tcW w:w="649" w:type="dxa"/>
            <w:gridSpan w:val="3"/>
            <w:tcBorders>
              <w:top w:val="nil"/>
              <w:left w:val="single" w:sz="4" w:space="0" w:color="13B5EA"/>
              <w:bottom w:val="single" w:sz="4" w:space="0" w:color="13B5EA"/>
              <w:right w:val="nil"/>
            </w:tcBorders>
            <w:shd w:val="clear" w:color="auto" w:fill="auto"/>
            <w:noWrap/>
            <w:vAlign w:val="center"/>
          </w:tcPr>
          <w:p w14:paraId="56269DD3" w14:textId="72B5C7B5"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-6,4</w:t>
            </w:r>
          </w:p>
        </w:tc>
        <w:tc>
          <w:tcPr>
            <w:tcW w:w="649" w:type="dxa"/>
            <w:gridSpan w:val="2"/>
            <w:tcBorders>
              <w:top w:val="nil"/>
              <w:left w:val="nil"/>
              <w:bottom w:val="single" w:sz="4" w:space="0" w:color="13B5EA"/>
              <w:right w:val="nil"/>
            </w:tcBorders>
            <w:shd w:val="clear" w:color="auto" w:fill="auto"/>
            <w:noWrap/>
            <w:vAlign w:val="center"/>
          </w:tcPr>
          <w:p w14:paraId="22818EE8" w14:textId="42BB57B3"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-4,4</w:t>
            </w:r>
          </w:p>
        </w:tc>
        <w:tc>
          <w:tcPr>
            <w:tcW w:w="649" w:type="dxa"/>
            <w:gridSpan w:val="2"/>
            <w:tcBorders>
              <w:top w:val="nil"/>
              <w:left w:val="nil"/>
              <w:bottom w:val="single" w:sz="4" w:space="0" w:color="13B5EA"/>
              <w:right w:val="single" w:sz="4" w:space="0" w:color="13B5EA"/>
            </w:tcBorders>
            <w:shd w:val="clear" w:color="auto" w:fill="auto"/>
            <w:noWrap/>
            <w:vAlign w:val="center"/>
          </w:tcPr>
          <w:p w14:paraId="5F54194B" w14:textId="28204C10"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-4,2</w:t>
            </w:r>
          </w:p>
        </w:tc>
        <w:tc>
          <w:tcPr>
            <w:tcW w:w="649" w:type="dxa"/>
            <w:tcBorders>
              <w:top w:val="nil"/>
              <w:left w:val="single" w:sz="4" w:space="0" w:color="13B5EA"/>
              <w:bottom w:val="single" w:sz="4" w:space="0" w:color="13B5EA"/>
              <w:right w:val="nil"/>
            </w:tcBorders>
            <w:shd w:val="clear" w:color="auto" w:fill="auto"/>
            <w:noWrap/>
            <w:vAlign w:val="center"/>
          </w:tcPr>
          <w:p w14:paraId="385B493C" w14:textId="7A12DA13" w:rsidR="003A04DD" w:rsidRPr="00004879" w:rsidRDefault="00F758E8" w:rsidP="00004879">
            <w:pPr>
              <w:jc w:val="center"/>
              <w:rPr>
                <w:rFonts w:cs="Times New Roman"/>
                <w:color w:val="000000"/>
                <w:sz w:val="18"/>
                <w:szCs w:val="18"/>
                <w:lang w:eastAsia="en-US"/>
              </w:rPr>
            </w:pPr>
            <w:r w:rsidRPr="00004879">
              <w:rPr>
                <w:rFonts w:cs="Times New Roman"/>
                <w:b/>
                <w:color w:val="000000" w:themeColor="text1"/>
                <w:sz w:val="18"/>
                <w:szCs w:val="18"/>
              </w:rPr>
              <w:t>-5,2</w:t>
            </w:r>
          </w:p>
        </w:tc>
        <w:tc>
          <w:tcPr>
            <w:tcW w:w="649" w:type="dxa"/>
            <w:gridSpan w:val="2"/>
            <w:tcBorders>
              <w:top w:val="nil"/>
              <w:left w:val="nil"/>
              <w:bottom w:val="single" w:sz="4" w:space="0" w:color="13B5EA"/>
              <w:right w:val="nil"/>
            </w:tcBorders>
            <w:shd w:val="clear" w:color="auto" w:fill="auto"/>
            <w:noWrap/>
            <w:vAlign w:val="center"/>
          </w:tcPr>
          <w:p w14:paraId="2115475C" w14:textId="40450A0E" w:rsidR="003A04DD" w:rsidRPr="00004879" w:rsidRDefault="00F758E8" w:rsidP="00004879">
            <w:pPr>
              <w:jc w:val="center"/>
              <w:rPr>
                <w:rFonts w:cs="Times New Roman"/>
                <w:color w:val="000000"/>
                <w:sz w:val="18"/>
                <w:szCs w:val="18"/>
                <w:lang w:eastAsia="en-US"/>
              </w:rPr>
            </w:pPr>
            <w:r w:rsidRPr="00004879">
              <w:rPr>
                <w:rFonts w:cs="Times New Roman"/>
                <w:b/>
                <w:color w:val="000000" w:themeColor="text1"/>
                <w:sz w:val="18"/>
                <w:szCs w:val="18"/>
              </w:rPr>
              <w:t>-8,4</w:t>
            </w:r>
          </w:p>
        </w:tc>
        <w:tc>
          <w:tcPr>
            <w:tcW w:w="649" w:type="dxa"/>
            <w:gridSpan w:val="2"/>
            <w:tcBorders>
              <w:top w:val="nil"/>
              <w:left w:val="nil"/>
              <w:bottom w:val="single" w:sz="4" w:space="0" w:color="13B5EA"/>
              <w:right w:val="nil"/>
            </w:tcBorders>
            <w:shd w:val="clear" w:color="auto" w:fill="auto"/>
            <w:noWrap/>
            <w:vAlign w:val="center"/>
          </w:tcPr>
          <w:p w14:paraId="485F4F9D" w14:textId="339F9E5E" w:rsidR="003A04DD" w:rsidRPr="00004879" w:rsidRDefault="00F758E8" w:rsidP="00004879">
            <w:pPr>
              <w:jc w:val="center"/>
              <w:rPr>
                <w:rFonts w:cs="Times New Roman"/>
                <w:color w:val="000000"/>
                <w:sz w:val="18"/>
                <w:szCs w:val="18"/>
                <w:lang w:eastAsia="en-US"/>
              </w:rPr>
            </w:pPr>
            <w:r w:rsidRPr="00004879">
              <w:rPr>
                <w:rFonts w:cs="Times New Roman"/>
                <w:b/>
                <w:color w:val="000000" w:themeColor="text1"/>
                <w:sz w:val="18"/>
                <w:szCs w:val="18"/>
              </w:rPr>
              <w:t>-13,1</w:t>
            </w:r>
          </w:p>
        </w:tc>
        <w:tc>
          <w:tcPr>
            <w:tcW w:w="649" w:type="dxa"/>
            <w:tcBorders>
              <w:top w:val="nil"/>
              <w:left w:val="nil"/>
              <w:bottom w:val="single" w:sz="4" w:space="0" w:color="13B5EA"/>
              <w:right w:val="nil"/>
            </w:tcBorders>
            <w:shd w:val="clear" w:color="auto" w:fill="auto"/>
            <w:noWrap/>
            <w:vAlign w:val="center"/>
          </w:tcPr>
          <w:p w14:paraId="0B7E26E9" w14:textId="0D8B497A" w:rsidR="003A04DD" w:rsidRPr="00004879" w:rsidRDefault="00F758E8" w:rsidP="00004879">
            <w:pPr>
              <w:jc w:val="center"/>
              <w:rPr>
                <w:rFonts w:cs="Times New Roman"/>
                <w:color w:val="000000"/>
                <w:sz w:val="18"/>
                <w:szCs w:val="18"/>
                <w:lang w:eastAsia="en-US"/>
              </w:rPr>
            </w:pPr>
            <w:r w:rsidRPr="00004879">
              <w:rPr>
                <w:rFonts w:cs="Times New Roman"/>
                <w:b/>
                <w:color w:val="000000" w:themeColor="text1"/>
                <w:sz w:val="18"/>
                <w:szCs w:val="18"/>
              </w:rPr>
              <w:t>-18,5</w:t>
            </w:r>
          </w:p>
        </w:tc>
        <w:tc>
          <w:tcPr>
            <w:tcW w:w="649" w:type="dxa"/>
            <w:tcBorders>
              <w:top w:val="nil"/>
              <w:left w:val="nil"/>
              <w:bottom w:val="single" w:sz="4" w:space="0" w:color="13B5EA"/>
              <w:right w:val="nil"/>
            </w:tcBorders>
            <w:shd w:val="clear" w:color="auto" w:fill="auto"/>
            <w:noWrap/>
            <w:vAlign w:val="center"/>
          </w:tcPr>
          <w:p w14:paraId="01A76934" w14:textId="338E922E" w:rsidR="003A04DD" w:rsidRPr="00004879" w:rsidRDefault="00F758E8" w:rsidP="00004879">
            <w:pPr>
              <w:jc w:val="center"/>
              <w:rPr>
                <w:rFonts w:cs="Times New Roman"/>
                <w:color w:val="000000"/>
                <w:sz w:val="18"/>
                <w:szCs w:val="18"/>
                <w:lang w:eastAsia="en-US"/>
              </w:rPr>
            </w:pPr>
            <w:r w:rsidRPr="00004879">
              <w:rPr>
                <w:rFonts w:cs="Times New Roman"/>
                <w:b/>
                <w:color w:val="000000" w:themeColor="text1"/>
                <w:sz w:val="18"/>
                <w:szCs w:val="18"/>
              </w:rPr>
              <w:t>-22,5</w:t>
            </w:r>
          </w:p>
        </w:tc>
      </w:tr>
      <w:tr w:rsidR="00B255E3" w:rsidRPr="00B14658" w14:paraId="48780E29" w14:textId="77777777" w:rsidTr="00004879">
        <w:trPr>
          <w:trHeight w:hRule="exact" w:val="255"/>
          <w:jc w:val="center"/>
        </w:trPr>
        <w:tc>
          <w:tcPr>
            <w:tcW w:w="3402" w:type="dxa"/>
            <w:tcBorders>
              <w:top w:val="single" w:sz="4" w:space="0" w:color="13B5EA"/>
              <w:left w:val="nil"/>
              <w:bottom w:val="nil"/>
              <w:right w:val="nil"/>
            </w:tcBorders>
            <w:noWrap/>
            <w:vAlign w:val="center"/>
            <w:hideMark/>
          </w:tcPr>
          <w:p w14:paraId="3682327B" w14:textId="77777777" w:rsidR="003A04DD" w:rsidRPr="00004879" w:rsidRDefault="003A04DD" w:rsidP="009F6E88">
            <w:pPr>
              <w:rPr>
                <w:rFonts w:cs="Times New Roman"/>
                <w:b/>
                <w:color w:val="000000"/>
                <w:sz w:val="18"/>
                <w:szCs w:val="18"/>
              </w:rPr>
            </w:pPr>
            <w:r w:rsidRPr="00004879">
              <w:rPr>
                <w:rFonts w:cs="Times New Roman"/>
                <w:b/>
                <w:sz w:val="18"/>
                <w:szCs w:val="18"/>
                <w:lang w:eastAsia="en-US"/>
              </w:rPr>
              <w:t>Primárne saldo VS</w:t>
            </w:r>
          </w:p>
        </w:tc>
        <w:tc>
          <w:tcPr>
            <w:tcW w:w="648" w:type="dxa"/>
            <w:tcBorders>
              <w:top w:val="single" w:sz="4" w:space="0" w:color="13B5EA"/>
              <w:left w:val="single" w:sz="8" w:space="0" w:color="13B5EA"/>
              <w:bottom w:val="nil"/>
              <w:right w:val="single" w:sz="8" w:space="0" w:color="13B5EA"/>
            </w:tcBorders>
            <w:shd w:val="clear" w:color="auto" w:fill="auto"/>
            <w:noWrap/>
            <w:vAlign w:val="center"/>
          </w:tcPr>
          <w:p w14:paraId="3BD763CD" w14:textId="7F8AC5C6"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-3,1</w:t>
            </w:r>
          </w:p>
        </w:tc>
        <w:tc>
          <w:tcPr>
            <w:tcW w:w="649" w:type="dxa"/>
            <w:gridSpan w:val="3"/>
            <w:tcBorders>
              <w:top w:val="single" w:sz="4" w:space="0" w:color="13B5EA"/>
              <w:left w:val="nil"/>
              <w:bottom w:val="nil"/>
              <w:right w:val="nil"/>
            </w:tcBorders>
            <w:shd w:val="clear" w:color="auto" w:fill="auto"/>
            <w:noWrap/>
            <w:vAlign w:val="center"/>
          </w:tcPr>
          <w:p w14:paraId="511C79CD" w14:textId="09D23FAF"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-5,4</w:t>
            </w:r>
          </w:p>
        </w:tc>
        <w:tc>
          <w:tcPr>
            <w:tcW w:w="649" w:type="dxa"/>
            <w:gridSpan w:val="2"/>
            <w:tcBorders>
              <w:top w:val="single" w:sz="4" w:space="0" w:color="13B5EA"/>
              <w:left w:val="nil"/>
              <w:bottom w:val="nil"/>
              <w:right w:val="nil"/>
            </w:tcBorders>
            <w:shd w:val="clear" w:color="auto" w:fill="auto"/>
            <w:noWrap/>
            <w:vAlign w:val="center"/>
          </w:tcPr>
          <w:p w14:paraId="4C798E81" w14:textId="61E1CEB3"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-3,2</w:t>
            </w:r>
          </w:p>
        </w:tc>
        <w:tc>
          <w:tcPr>
            <w:tcW w:w="649" w:type="dxa"/>
            <w:gridSpan w:val="2"/>
            <w:tcBorders>
              <w:top w:val="single" w:sz="4" w:space="0" w:color="13B5EA"/>
              <w:left w:val="nil"/>
              <w:bottom w:val="nil"/>
              <w:right w:val="single" w:sz="8" w:space="0" w:color="13B5EA"/>
            </w:tcBorders>
            <w:shd w:val="clear" w:color="auto" w:fill="auto"/>
            <w:noWrap/>
            <w:vAlign w:val="center"/>
          </w:tcPr>
          <w:p w14:paraId="6E5CCD51" w14:textId="2EC396B9" w:rsidR="003A04DD" w:rsidRPr="00004879" w:rsidRDefault="003A04DD" w:rsidP="00004879">
            <w:pPr>
              <w:jc w:val="center"/>
              <w:rPr>
                <w:rFonts w:cs="Times New Roman"/>
                <w:b/>
                <w:color w:val="000000"/>
                <w:sz w:val="18"/>
                <w:szCs w:val="18"/>
              </w:rPr>
            </w:pPr>
            <w:r w:rsidRPr="00004879">
              <w:rPr>
                <w:rFonts w:cs="Times New Roman"/>
                <w:b/>
                <w:color w:val="000000" w:themeColor="text1"/>
                <w:sz w:val="18"/>
                <w:szCs w:val="18"/>
              </w:rPr>
              <w:t>-2,8</w:t>
            </w:r>
          </w:p>
        </w:tc>
        <w:tc>
          <w:tcPr>
            <w:tcW w:w="649" w:type="dxa"/>
            <w:tcBorders>
              <w:top w:val="single" w:sz="4" w:space="0" w:color="13B5EA"/>
              <w:left w:val="nil"/>
              <w:bottom w:val="nil"/>
              <w:right w:val="nil"/>
            </w:tcBorders>
            <w:shd w:val="clear" w:color="auto" w:fill="auto"/>
            <w:noWrap/>
            <w:vAlign w:val="center"/>
          </w:tcPr>
          <w:p w14:paraId="793D9030" w14:textId="207A0E0D"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-3,1</w:t>
            </w:r>
          </w:p>
        </w:tc>
        <w:tc>
          <w:tcPr>
            <w:tcW w:w="649" w:type="dxa"/>
            <w:gridSpan w:val="2"/>
            <w:tcBorders>
              <w:top w:val="single" w:sz="4" w:space="0" w:color="13B5EA"/>
              <w:left w:val="nil"/>
              <w:bottom w:val="nil"/>
              <w:right w:val="nil"/>
            </w:tcBorders>
            <w:shd w:val="clear" w:color="auto" w:fill="auto"/>
            <w:noWrap/>
            <w:vAlign w:val="center"/>
          </w:tcPr>
          <w:p w14:paraId="49D173B4" w14:textId="0579D035"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-4,3</w:t>
            </w:r>
          </w:p>
        </w:tc>
        <w:tc>
          <w:tcPr>
            <w:tcW w:w="649" w:type="dxa"/>
            <w:gridSpan w:val="2"/>
            <w:tcBorders>
              <w:top w:val="single" w:sz="4" w:space="0" w:color="13B5EA"/>
              <w:left w:val="nil"/>
              <w:bottom w:val="nil"/>
              <w:right w:val="nil"/>
            </w:tcBorders>
            <w:shd w:val="clear" w:color="auto" w:fill="auto"/>
            <w:noWrap/>
            <w:vAlign w:val="center"/>
          </w:tcPr>
          <w:p w14:paraId="03509A62" w14:textId="2D353FAC"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-6,4</w:t>
            </w:r>
          </w:p>
        </w:tc>
        <w:tc>
          <w:tcPr>
            <w:tcW w:w="649" w:type="dxa"/>
            <w:tcBorders>
              <w:top w:val="single" w:sz="4" w:space="0" w:color="13B5EA"/>
              <w:left w:val="nil"/>
              <w:bottom w:val="nil"/>
              <w:right w:val="nil"/>
            </w:tcBorders>
            <w:shd w:val="clear" w:color="auto" w:fill="auto"/>
            <w:noWrap/>
            <w:vAlign w:val="center"/>
          </w:tcPr>
          <w:p w14:paraId="463F5AD9" w14:textId="6ED868B9"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-8,0</w:t>
            </w:r>
          </w:p>
        </w:tc>
        <w:tc>
          <w:tcPr>
            <w:tcW w:w="649" w:type="dxa"/>
            <w:tcBorders>
              <w:top w:val="single" w:sz="4" w:space="0" w:color="13B5EA"/>
              <w:left w:val="nil"/>
              <w:bottom w:val="nil"/>
              <w:right w:val="nil"/>
            </w:tcBorders>
            <w:shd w:val="clear" w:color="auto" w:fill="auto"/>
            <w:noWrap/>
            <w:vAlign w:val="center"/>
          </w:tcPr>
          <w:p w14:paraId="078D07FC" w14:textId="7F3666BB" w:rsidR="003A04DD" w:rsidRPr="00004879" w:rsidRDefault="00F758E8" w:rsidP="00004879">
            <w:pPr>
              <w:jc w:val="center"/>
              <w:rPr>
                <w:rFonts w:cs="Times New Roman"/>
                <w:b/>
                <w:color w:val="000000"/>
                <w:sz w:val="18"/>
                <w:szCs w:val="18"/>
                <w:lang w:eastAsia="en-US"/>
              </w:rPr>
            </w:pPr>
            <w:r w:rsidRPr="00004879">
              <w:rPr>
                <w:rFonts w:cs="Times New Roman"/>
                <w:b/>
                <w:color w:val="000000" w:themeColor="text1"/>
                <w:sz w:val="18"/>
                <w:szCs w:val="18"/>
              </w:rPr>
              <w:t>-7,4</w:t>
            </w:r>
          </w:p>
        </w:tc>
      </w:tr>
      <w:tr w:rsidR="00E672A0" w:rsidRPr="00B14658" w14:paraId="77D3C618" w14:textId="77777777" w:rsidTr="00004879">
        <w:trPr>
          <w:trHeight w:hRule="exact" w:val="255"/>
          <w:jc w:val="center"/>
        </w:trPr>
        <w:tc>
          <w:tcPr>
            <w:tcW w:w="3402" w:type="dxa"/>
            <w:noWrap/>
            <w:vAlign w:val="center"/>
            <w:hideMark/>
          </w:tcPr>
          <w:p w14:paraId="40C41CE7" w14:textId="77777777" w:rsidR="003A04DD" w:rsidRPr="00004879" w:rsidRDefault="003A04DD" w:rsidP="009F6E88">
            <w:pPr>
              <w:rPr>
                <w:rFonts w:cs="Times New Roman"/>
                <w:b/>
                <w:sz w:val="18"/>
                <w:szCs w:val="18"/>
                <w:lang w:eastAsia="en-US"/>
              </w:rPr>
            </w:pPr>
            <w:r w:rsidRPr="00004879">
              <w:rPr>
                <w:rFonts w:cs="Times New Roman"/>
                <w:b/>
                <w:sz w:val="18"/>
                <w:szCs w:val="18"/>
                <w:lang w:eastAsia="en-US"/>
              </w:rPr>
              <w:t>Štrukturálne saldo VS</w:t>
            </w:r>
          </w:p>
        </w:tc>
        <w:tc>
          <w:tcPr>
            <w:tcW w:w="648" w:type="dxa"/>
            <w:tcBorders>
              <w:top w:val="nil"/>
              <w:left w:val="single" w:sz="8" w:space="0" w:color="13B5EA"/>
              <w:right w:val="single" w:sz="8" w:space="0" w:color="13B5EA"/>
            </w:tcBorders>
            <w:shd w:val="clear" w:color="auto" w:fill="auto"/>
            <w:noWrap/>
            <w:vAlign w:val="center"/>
          </w:tcPr>
          <w:p w14:paraId="3E9593DF" w14:textId="651018EE"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-2,6</w:t>
            </w:r>
          </w:p>
        </w:tc>
        <w:tc>
          <w:tcPr>
            <w:tcW w:w="649" w:type="dxa"/>
            <w:gridSpan w:val="3"/>
            <w:shd w:val="clear" w:color="auto" w:fill="auto"/>
            <w:noWrap/>
            <w:vAlign w:val="center"/>
          </w:tcPr>
          <w:p w14:paraId="0B56B692" w14:textId="35994C30"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-3,4</w:t>
            </w:r>
          </w:p>
        </w:tc>
        <w:tc>
          <w:tcPr>
            <w:tcW w:w="649" w:type="dxa"/>
            <w:gridSpan w:val="2"/>
            <w:shd w:val="clear" w:color="auto" w:fill="auto"/>
            <w:noWrap/>
            <w:vAlign w:val="center"/>
          </w:tcPr>
          <w:p w14:paraId="18A6A960" w14:textId="550C8C3A"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-4,0</w:t>
            </w:r>
          </w:p>
        </w:tc>
        <w:tc>
          <w:tcPr>
            <w:tcW w:w="649" w:type="dxa"/>
            <w:gridSpan w:val="2"/>
            <w:tcBorders>
              <w:right w:val="single" w:sz="8" w:space="0" w:color="13B5EA"/>
            </w:tcBorders>
            <w:shd w:val="clear" w:color="auto" w:fill="auto"/>
            <w:noWrap/>
            <w:vAlign w:val="center"/>
          </w:tcPr>
          <w:p w14:paraId="4CBC9367" w14:textId="5D6C6F26"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-3,9</w:t>
            </w:r>
          </w:p>
        </w:tc>
        <w:tc>
          <w:tcPr>
            <w:tcW w:w="649" w:type="dxa"/>
            <w:shd w:val="clear" w:color="auto" w:fill="auto"/>
            <w:noWrap/>
            <w:vAlign w:val="center"/>
          </w:tcPr>
          <w:p w14:paraId="796FB3DA" w14:textId="23F0FC18"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-5,2</w:t>
            </w:r>
          </w:p>
        </w:tc>
        <w:tc>
          <w:tcPr>
            <w:tcW w:w="649" w:type="dxa"/>
            <w:gridSpan w:val="2"/>
            <w:shd w:val="clear" w:color="auto" w:fill="auto"/>
            <w:noWrap/>
            <w:vAlign w:val="center"/>
          </w:tcPr>
          <w:p w14:paraId="4D539F71" w14:textId="6F03DEC9"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-8,4</w:t>
            </w:r>
          </w:p>
        </w:tc>
        <w:tc>
          <w:tcPr>
            <w:tcW w:w="649" w:type="dxa"/>
            <w:gridSpan w:val="2"/>
            <w:shd w:val="clear" w:color="auto" w:fill="auto"/>
            <w:noWrap/>
            <w:vAlign w:val="center"/>
          </w:tcPr>
          <w:p w14:paraId="1C188599" w14:textId="0286BC76"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-13,1</w:t>
            </w:r>
          </w:p>
        </w:tc>
        <w:tc>
          <w:tcPr>
            <w:tcW w:w="649" w:type="dxa"/>
            <w:shd w:val="clear" w:color="auto" w:fill="auto"/>
            <w:noWrap/>
            <w:vAlign w:val="center"/>
          </w:tcPr>
          <w:p w14:paraId="73CA065C" w14:textId="05F89CAA"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-18,5</w:t>
            </w:r>
          </w:p>
        </w:tc>
        <w:tc>
          <w:tcPr>
            <w:tcW w:w="649" w:type="dxa"/>
            <w:shd w:val="clear" w:color="auto" w:fill="auto"/>
            <w:noWrap/>
            <w:vAlign w:val="center"/>
          </w:tcPr>
          <w:p w14:paraId="2862F813" w14:textId="2D9ED62A" w:rsidR="003A04DD" w:rsidRPr="00004879" w:rsidRDefault="00F758E8" w:rsidP="00004879">
            <w:pPr>
              <w:jc w:val="center"/>
              <w:rPr>
                <w:rFonts w:cs="Times New Roman"/>
                <w:b/>
                <w:color w:val="000000"/>
                <w:sz w:val="18"/>
                <w:szCs w:val="18"/>
                <w:lang w:eastAsia="en-US"/>
              </w:rPr>
            </w:pPr>
            <w:r w:rsidRPr="00004879">
              <w:rPr>
                <w:rFonts w:cs="Times New Roman"/>
                <w:b/>
                <w:color w:val="000000" w:themeColor="text1"/>
                <w:sz w:val="18"/>
                <w:szCs w:val="18"/>
              </w:rPr>
              <w:t>-22,5</w:t>
            </w:r>
          </w:p>
        </w:tc>
      </w:tr>
      <w:tr w:rsidR="00E672A0" w:rsidRPr="00B14658" w14:paraId="7AEA2923" w14:textId="77777777" w:rsidTr="00004879">
        <w:trPr>
          <w:trHeight w:hRule="exact" w:val="255"/>
          <w:jc w:val="center"/>
        </w:trPr>
        <w:tc>
          <w:tcPr>
            <w:tcW w:w="3402" w:type="dxa"/>
            <w:tcBorders>
              <w:bottom w:val="single" w:sz="4" w:space="0" w:color="13B5EA"/>
            </w:tcBorders>
            <w:noWrap/>
            <w:vAlign w:val="center"/>
          </w:tcPr>
          <w:p w14:paraId="126374B7" w14:textId="77777777" w:rsidR="003A04DD" w:rsidRPr="00004879" w:rsidRDefault="003A04DD" w:rsidP="009F6E88">
            <w:pPr>
              <w:rPr>
                <w:rFonts w:cs="Times New Roman"/>
                <w:b/>
                <w:sz w:val="18"/>
                <w:szCs w:val="18"/>
                <w:lang w:eastAsia="en-US"/>
              </w:rPr>
            </w:pPr>
            <w:r w:rsidRPr="00004879">
              <w:rPr>
                <w:rFonts w:cs="Times New Roman"/>
                <w:b/>
                <w:sz w:val="18"/>
                <w:szCs w:val="18"/>
                <w:lang w:eastAsia="en-US"/>
              </w:rPr>
              <w:t>Štrukturálne primárne saldo</w:t>
            </w:r>
          </w:p>
        </w:tc>
        <w:tc>
          <w:tcPr>
            <w:tcW w:w="648" w:type="dxa"/>
            <w:tcBorders>
              <w:top w:val="nil"/>
              <w:left w:val="single" w:sz="8" w:space="0" w:color="13B5EA"/>
              <w:bottom w:val="single" w:sz="4" w:space="0" w:color="13B5EA"/>
              <w:right w:val="single" w:sz="8" w:space="0" w:color="13B5EA"/>
            </w:tcBorders>
            <w:shd w:val="clear" w:color="auto" w:fill="auto"/>
            <w:noWrap/>
            <w:vAlign w:val="center"/>
          </w:tcPr>
          <w:p w14:paraId="0C815CD6" w14:textId="418AE0C4"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-1,5</w:t>
            </w:r>
          </w:p>
        </w:tc>
        <w:tc>
          <w:tcPr>
            <w:tcW w:w="649" w:type="dxa"/>
            <w:gridSpan w:val="3"/>
            <w:tcBorders>
              <w:bottom w:val="single" w:sz="4" w:space="0" w:color="13B5EA"/>
            </w:tcBorders>
            <w:shd w:val="clear" w:color="auto" w:fill="auto"/>
            <w:noWrap/>
            <w:vAlign w:val="center"/>
          </w:tcPr>
          <w:p w14:paraId="59D334BD" w14:textId="07DD8FCB"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-2,3</w:t>
            </w:r>
          </w:p>
        </w:tc>
        <w:tc>
          <w:tcPr>
            <w:tcW w:w="649" w:type="dxa"/>
            <w:gridSpan w:val="2"/>
            <w:tcBorders>
              <w:bottom w:val="single" w:sz="4" w:space="0" w:color="13B5EA"/>
            </w:tcBorders>
            <w:shd w:val="clear" w:color="auto" w:fill="auto"/>
            <w:noWrap/>
            <w:vAlign w:val="center"/>
          </w:tcPr>
          <w:p w14:paraId="169B1CF1" w14:textId="59E20C9A" w:rsidR="003A04DD" w:rsidRPr="00004879" w:rsidRDefault="003A04DD" w:rsidP="00004879">
            <w:pPr>
              <w:jc w:val="center"/>
              <w:rPr>
                <w:rFonts w:cs="Times New Roman"/>
                <w:b/>
                <w:color w:val="000000"/>
                <w:sz w:val="18"/>
                <w:szCs w:val="18"/>
              </w:rPr>
            </w:pPr>
            <w:r w:rsidRPr="00004879">
              <w:rPr>
                <w:rFonts w:cs="Times New Roman"/>
                <w:b/>
                <w:color w:val="000000" w:themeColor="text1"/>
                <w:sz w:val="18"/>
                <w:szCs w:val="18"/>
              </w:rPr>
              <w:t>-2,7</w:t>
            </w:r>
          </w:p>
        </w:tc>
        <w:tc>
          <w:tcPr>
            <w:tcW w:w="649" w:type="dxa"/>
            <w:gridSpan w:val="2"/>
            <w:tcBorders>
              <w:bottom w:val="single" w:sz="4" w:space="0" w:color="13B5EA"/>
              <w:right w:val="single" w:sz="8" w:space="0" w:color="13B5EA"/>
            </w:tcBorders>
            <w:shd w:val="clear" w:color="auto" w:fill="auto"/>
            <w:noWrap/>
            <w:vAlign w:val="center"/>
          </w:tcPr>
          <w:p w14:paraId="57B1FAB4" w14:textId="500A5014"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-2,5</w:t>
            </w:r>
          </w:p>
        </w:tc>
        <w:tc>
          <w:tcPr>
            <w:tcW w:w="649" w:type="dxa"/>
            <w:tcBorders>
              <w:bottom w:val="single" w:sz="4" w:space="0" w:color="13B5EA"/>
            </w:tcBorders>
            <w:shd w:val="clear" w:color="auto" w:fill="auto"/>
            <w:noWrap/>
            <w:vAlign w:val="center"/>
          </w:tcPr>
          <w:p w14:paraId="61EBAB39" w14:textId="36AEEAD4"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-3,1</w:t>
            </w:r>
          </w:p>
        </w:tc>
        <w:tc>
          <w:tcPr>
            <w:tcW w:w="649" w:type="dxa"/>
            <w:gridSpan w:val="2"/>
            <w:tcBorders>
              <w:bottom w:val="single" w:sz="4" w:space="0" w:color="13B5EA"/>
            </w:tcBorders>
            <w:shd w:val="clear" w:color="auto" w:fill="auto"/>
            <w:noWrap/>
            <w:vAlign w:val="center"/>
          </w:tcPr>
          <w:p w14:paraId="29148FC3" w14:textId="6F739F81"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-4,3</w:t>
            </w:r>
          </w:p>
        </w:tc>
        <w:tc>
          <w:tcPr>
            <w:tcW w:w="649" w:type="dxa"/>
            <w:gridSpan w:val="2"/>
            <w:tcBorders>
              <w:bottom w:val="single" w:sz="4" w:space="0" w:color="13B5EA"/>
            </w:tcBorders>
            <w:shd w:val="clear" w:color="auto" w:fill="auto"/>
            <w:noWrap/>
            <w:vAlign w:val="center"/>
          </w:tcPr>
          <w:p w14:paraId="14DBEE74" w14:textId="41BB058F"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-6,4</w:t>
            </w:r>
          </w:p>
        </w:tc>
        <w:tc>
          <w:tcPr>
            <w:tcW w:w="649" w:type="dxa"/>
            <w:tcBorders>
              <w:bottom w:val="single" w:sz="4" w:space="0" w:color="13B5EA"/>
            </w:tcBorders>
            <w:shd w:val="clear" w:color="auto" w:fill="auto"/>
            <w:noWrap/>
            <w:vAlign w:val="center"/>
          </w:tcPr>
          <w:p w14:paraId="54579DF9" w14:textId="3ED115CB"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-8,0</w:t>
            </w:r>
          </w:p>
        </w:tc>
        <w:tc>
          <w:tcPr>
            <w:tcW w:w="649" w:type="dxa"/>
            <w:tcBorders>
              <w:bottom w:val="single" w:sz="4" w:space="0" w:color="13B5EA"/>
            </w:tcBorders>
            <w:shd w:val="clear" w:color="auto" w:fill="auto"/>
            <w:noWrap/>
            <w:vAlign w:val="center"/>
          </w:tcPr>
          <w:p w14:paraId="40543E63" w14:textId="763DD43A" w:rsidR="003A04DD" w:rsidRPr="00004879" w:rsidRDefault="00F758E8" w:rsidP="00004879">
            <w:pPr>
              <w:jc w:val="center"/>
              <w:rPr>
                <w:rFonts w:cs="Times New Roman"/>
                <w:b/>
                <w:color w:val="000000"/>
                <w:sz w:val="18"/>
                <w:szCs w:val="18"/>
                <w:lang w:eastAsia="en-US"/>
              </w:rPr>
            </w:pPr>
            <w:r w:rsidRPr="00004879">
              <w:rPr>
                <w:rFonts w:cs="Times New Roman"/>
                <w:b/>
                <w:color w:val="000000" w:themeColor="text1"/>
                <w:sz w:val="18"/>
                <w:szCs w:val="18"/>
              </w:rPr>
              <w:t>-7,4</w:t>
            </w:r>
          </w:p>
        </w:tc>
      </w:tr>
      <w:tr w:rsidR="00B255E3" w:rsidRPr="00B14658" w14:paraId="54C8E1FB" w14:textId="77777777" w:rsidTr="00004879">
        <w:trPr>
          <w:trHeight w:hRule="exact" w:val="255"/>
          <w:jc w:val="center"/>
        </w:trPr>
        <w:tc>
          <w:tcPr>
            <w:tcW w:w="3402" w:type="dxa"/>
            <w:tcBorders>
              <w:top w:val="single" w:sz="4" w:space="0" w:color="13B5EA"/>
              <w:left w:val="nil"/>
              <w:bottom w:val="single" w:sz="4" w:space="0" w:color="13B5EA"/>
              <w:right w:val="nil"/>
            </w:tcBorders>
            <w:noWrap/>
            <w:vAlign w:val="center"/>
            <w:hideMark/>
          </w:tcPr>
          <w:p w14:paraId="0439275E" w14:textId="77777777" w:rsidR="003A04DD" w:rsidRPr="00004879" w:rsidRDefault="003A04DD" w:rsidP="009F6E88">
            <w:pPr>
              <w:rPr>
                <w:rFonts w:cs="Times New Roman"/>
                <w:b/>
                <w:sz w:val="18"/>
                <w:szCs w:val="18"/>
                <w:lang w:eastAsia="en-US"/>
              </w:rPr>
            </w:pPr>
            <w:r w:rsidRPr="00004879">
              <w:rPr>
                <w:rFonts w:cs="Times New Roman"/>
                <w:b/>
                <w:color w:val="000000" w:themeColor="text1"/>
                <w:sz w:val="18"/>
                <w:szCs w:val="18"/>
                <w:lang w:eastAsia="en-US"/>
              </w:rPr>
              <w:t>Hrubý dlh VS</w:t>
            </w:r>
          </w:p>
        </w:tc>
        <w:tc>
          <w:tcPr>
            <w:tcW w:w="648" w:type="dxa"/>
            <w:tcBorders>
              <w:top w:val="single" w:sz="4" w:space="0" w:color="13B5EA"/>
              <w:left w:val="single" w:sz="8" w:space="0" w:color="13B5EA"/>
              <w:bottom w:val="single" w:sz="4" w:space="0" w:color="13B5EA"/>
              <w:right w:val="single" w:sz="8" w:space="0" w:color="13B5EA"/>
            </w:tcBorders>
            <w:shd w:val="clear" w:color="auto" w:fill="auto"/>
            <w:noWrap/>
            <w:vAlign w:val="center"/>
          </w:tcPr>
          <w:p w14:paraId="1FA7FA2C" w14:textId="3D0399D9"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58,9</w:t>
            </w:r>
          </w:p>
        </w:tc>
        <w:tc>
          <w:tcPr>
            <w:tcW w:w="649" w:type="dxa"/>
            <w:gridSpan w:val="3"/>
            <w:tcBorders>
              <w:top w:val="single" w:sz="4" w:space="0" w:color="13B5EA"/>
              <w:left w:val="nil"/>
              <w:bottom w:val="single" w:sz="4" w:space="0" w:color="13B5EA"/>
              <w:right w:val="nil"/>
            </w:tcBorders>
            <w:shd w:val="clear" w:color="auto" w:fill="auto"/>
            <w:noWrap/>
            <w:vAlign w:val="center"/>
          </w:tcPr>
          <w:p w14:paraId="0A35263B" w14:textId="4E31FF82"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58,3</w:t>
            </w:r>
          </w:p>
        </w:tc>
        <w:tc>
          <w:tcPr>
            <w:tcW w:w="649" w:type="dxa"/>
            <w:gridSpan w:val="2"/>
            <w:tcBorders>
              <w:top w:val="single" w:sz="4" w:space="0" w:color="13B5EA"/>
              <w:left w:val="nil"/>
              <w:bottom w:val="single" w:sz="4" w:space="0" w:color="13B5EA"/>
              <w:right w:val="nil"/>
            </w:tcBorders>
            <w:shd w:val="clear" w:color="auto" w:fill="auto"/>
            <w:noWrap/>
            <w:vAlign w:val="center"/>
          </w:tcPr>
          <w:p w14:paraId="34085A69" w14:textId="6F240AB8"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59,1</w:t>
            </w:r>
          </w:p>
        </w:tc>
        <w:tc>
          <w:tcPr>
            <w:tcW w:w="649" w:type="dxa"/>
            <w:gridSpan w:val="2"/>
            <w:tcBorders>
              <w:top w:val="single" w:sz="4" w:space="0" w:color="13B5EA"/>
              <w:left w:val="nil"/>
              <w:bottom w:val="single" w:sz="4" w:space="0" w:color="13B5EA"/>
              <w:right w:val="single" w:sz="8" w:space="0" w:color="13B5EA"/>
            </w:tcBorders>
            <w:shd w:val="clear" w:color="auto" w:fill="auto"/>
            <w:noWrap/>
            <w:vAlign w:val="center"/>
          </w:tcPr>
          <w:p w14:paraId="3F8131BB" w14:textId="54BC35A5"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58,9</w:t>
            </w:r>
          </w:p>
        </w:tc>
        <w:tc>
          <w:tcPr>
            <w:tcW w:w="649" w:type="dxa"/>
            <w:tcBorders>
              <w:top w:val="single" w:sz="4" w:space="0" w:color="13B5EA"/>
              <w:left w:val="nil"/>
              <w:bottom w:val="single" w:sz="4" w:space="0" w:color="13B5EA"/>
              <w:right w:val="nil"/>
            </w:tcBorders>
            <w:shd w:val="clear" w:color="auto" w:fill="auto"/>
            <w:noWrap/>
            <w:vAlign w:val="center"/>
          </w:tcPr>
          <w:p w14:paraId="5A5DA6A1" w14:textId="5362DE12"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69,3</w:t>
            </w:r>
          </w:p>
        </w:tc>
        <w:tc>
          <w:tcPr>
            <w:tcW w:w="649" w:type="dxa"/>
            <w:gridSpan w:val="2"/>
            <w:tcBorders>
              <w:top w:val="single" w:sz="4" w:space="0" w:color="13B5EA"/>
              <w:left w:val="nil"/>
              <w:bottom w:val="single" w:sz="4" w:space="0" w:color="13B5EA"/>
              <w:right w:val="nil"/>
            </w:tcBorders>
            <w:shd w:val="clear" w:color="auto" w:fill="auto"/>
            <w:noWrap/>
            <w:vAlign w:val="center"/>
          </w:tcPr>
          <w:p w14:paraId="55CE4435" w14:textId="12EE3E4B"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105,9</w:t>
            </w:r>
          </w:p>
        </w:tc>
        <w:tc>
          <w:tcPr>
            <w:tcW w:w="649" w:type="dxa"/>
            <w:gridSpan w:val="2"/>
            <w:tcBorders>
              <w:top w:val="single" w:sz="4" w:space="0" w:color="13B5EA"/>
              <w:left w:val="nil"/>
              <w:bottom w:val="single" w:sz="4" w:space="0" w:color="13B5EA"/>
              <w:right w:val="nil"/>
            </w:tcBorders>
            <w:shd w:val="clear" w:color="auto" w:fill="auto"/>
            <w:noWrap/>
            <w:vAlign w:val="center"/>
          </w:tcPr>
          <w:p w14:paraId="651B774C" w14:textId="58D89059"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172,5</w:t>
            </w:r>
          </w:p>
        </w:tc>
        <w:tc>
          <w:tcPr>
            <w:tcW w:w="649" w:type="dxa"/>
            <w:tcBorders>
              <w:top w:val="single" w:sz="4" w:space="0" w:color="13B5EA"/>
              <w:left w:val="nil"/>
              <w:bottom w:val="single" w:sz="4" w:space="0" w:color="13B5EA"/>
              <w:right w:val="nil"/>
            </w:tcBorders>
            <w:shd w:val="clear" w:color="auto" w:fill="auto"/>
            <w:noWrap/>
            <w:vAlign w:val="center"/>
          </w:tcPr>
          <w:p w14:paraId="69BC9AD7" w14:textId="07267CA7" w:rsidR="003A04DD" w:rsidRPr="00004879" w:rsidRDefault="00F758E8" w:rsidP="00004879">
            <w:pPr>
              <w:jc w:val="center"/>
              <w:rPr>
                <w:rFonts w:cs="Times New Roman"/>
                <w:b/>
                <w:color w:val="000000"/>
                <w:sz w:val="18"/>
                <w:szCs w:val="18"/>
              </w:rPr>
            </w:pPr>
            <w:r w:rsidRPr="00004879">
              <w:rPr>
                <w:rFonts w:cs="Times New Roman"/>
                <w:b/>
                <w:color w:val="000000" w:themeColor="text1"/>
                <w:sz w:val="18"/>
                <w:szCs w:val="18"/>
              </w:rPr>
              <w:t>268,0</w:t>
            </w:r>
          </w:p>
        </w:tc>
        <w:tc>
          <w:tcPr>
            <w:tcW w:w="649" w:type="dxa"/>
            <w:tcBorders>
              <w:top w:val="single" w:sz="4" w:space="0" w:color="13B5EA"/>
              <w:left w:val="nil"/>
              <w:bottom w:val="single" w:sz="4" w:space="0" w:color="13B5EA"/>
              <w:right w:val="nil"/>
            </w:tcBorders>
            <w:shd w:val="clear" w:color="auto" w:fill="auto"/>
            <w:noWrap/>
            <w:vAlign w:val="center"/>
          </w:tcPr>
          <w:p w14:paraId="038D0A18" w14:textId="6A88CFBB" w:rsidR="003A04DD" w:rsidRPr="00004879" w:rsidRDefault="00F758E8" w:rsidP="00004879">
            <w:pPr>
              <w:jc w:val="center"/>
              <w:rPr>
                <w:rFonts w:cs="Times New Roman"/>
                <w:b/>
                <w:color w:val="000000"/>
                <w:sz w:val="18"/>
                <w:szCs w:val="18"/>
                <w:lang w:eastAsia="en-US"/>
              </w:rPr>
            </w:pPr>
            <w:r w:rsidRPr="00004879">
              <w:rPr>
                <w:rFonts w:cs="Times New Roman"/>
                <w:b/>
                <w:color w:val="000000" w:themeColor="text1"/>
                <w:sz w:val="18"/>
                <w:szCs w:val="18"/>
              </w:rPr>
              <w:t>385,3</w:t>
            </w:r>
          </w:p>
        </w:tc>
      </w:tr>
      <w:tr w:rsidR="003A04DD" w:rsidRPr="00B14658" w14:paraId="105E0179" w14:textId="77777777" w:rsidTr="009F6E88">
        <w:trPr>
          <w:trHeight w:hRule="exact" w:val="255"/>
          <w:jc w:val="center"/>
        </w:trPr>
        <w:tc>
          <w:tcPr>
            <w:tcW w:w="3402" w:type="dxa"/>
            <w:tcBorders>
              <w:top w:val="single" w:sz="4" w:space="0" w:color="13B5EA"/>
              <w:left w:val="nil"/>
              <w:bottom w:val="nil"/>
              <w:right w:val="nil"/>
            </w:tcBorders>
            <w:noWrap/>
            <w:vAlign w:val="center"/>
            <w:hideMark/>
          </w:tcPr>
          <w:p w14:paraId="39923AEB" w14:textId="77777777" w:rsidR="003A04DD" w:rsidRPr="00004879" w:rsidRDefault="003A04DD" w:rsidP="009F6E88">
            <w:pPr>
              <w:rPr>
                <w:rFonts w:cs="Times New Roman"/>
                <w:b/>
                <w:i/>
                <w:color w:val="13B5EA"/>
                <w:sz w:val="18"/>
                <w:szCs w:val="18"/>
                <w:lang w:eastAsia="en-US"/>
              </w:rPr>
            </w:pPr>
          </w:p>
        </w:tc>
        <w:tc>
          <w:tcPr>
            <w:tcW w:w="709" w:type="dxa"/>
            <w:gridSpan w:val="2"/>
            <w:tcBorders>
              <w:top w:val="single" w:sz="4" w:space="0" w:color="13B5EA"/>
              <w:left w:val="nil"/>
              <w:bottom w:val="nil"/>
              <w:right w:val="nil"/>
            </w:tcBorders>
            <w:noWrap/>
            <w:vAlign w:val="bottom"/>
            <w:hideMark/>
          </w:tcPr>
          <w:p w14:paraId="39EB0FF4" w14:textId="77777777" w:rsidR="003A04DD" w:rsidRPr="00004879" w:rsidRDefault="003A04DD" w:rsidP="009F6E88">
            <w:pPr>
              <w:rPr>
                <w:rFonts w:cs="Times New Roman"/>
                <w:b/>
                <w:i/>
                <w:color w:val="13B5EA"/>
                <w:sz w:val="18"/>
                <w:szCs w:val="18"/>
                <w:lang w:eastAsia="en-US"/>
              </w:rPr>
            </w:pPr>
          </w:p>
        </w:tc>
        <w:tc>
          <w:tcPr>
            <w:tcW w:w="458" w:type="dxa"/>
            <w:tcBorders>
              <w:top w:val="single" w:sz="4" w:space="0" w:color="13B5EA"/>
              <w:left w:val="nil"/>
              <w:bottom w:val="nil"/>
              <w:right w:val="nil"/>
            </w:tcBorders>
            <w:noWrap/>
            <w:vAlign w:val="bottom"/>
            <w:hideMark/>
          </w:tcPr>
          <w:p w14:paraId="09CFE188" w14:textId="77777777" w:rsidR="003A04DD" w:rsidRPr="00004879" w:rsidRDefault="003A04DD" w:rsidP="009F6E88">
            <w:pPr>
              <w:rPr>
                <w:rFonts w:cs="Times New Roman"/>
                <w:sz w:val="20"/>
                <w:szCs w:val="20"/>
              </w:rPr>
            </w:pPr>
          </w:p>
        </w:tc>
        <w:tc>
          <w:tcPr>
            <w:tcW w:w="566" w:type="dxa"/>
            <w:gridSpan w:val="2"/>
            <w:tcBorders>
              <w:top w:val="single" w:sz="4" w:space="0" w:color="13B5EA"/>
              <w:left w:val="nil"/>
              <w:bottom w:val="nil"/>
              <w:right w:val="nil"/>
            </w:tcBorders>
            <w:noWrap/>
            <w:vAlign w:val="bottom"/>
            <w:hideMark/>
          </w:tcPr>
          <w:p w14:paraId="070BC260" w14:textId="77777777" w:rsidR="003A04DD" w:rsidRPr="00004879" w:rsidRDefault="003A04DD" w:rsidP="009F6E88">
            <w:pPr>
              <w:rPr>
                <w:rFonts w:cs="Times New Roman"/>
                <w:sz w:val="20"/>
                <w:szCs w:val="20"/>
              </w:rPr>
            </w:pPr>
          </w:p>
        </w:tc>
        <w:tc>
          <w:tcPr>
            <w:tcW w:w="819" w:type="dxa"/>
            <w:gridSpan w:val="2"/>
            <w:tcBorders>
              <w:top w:val="single" w:sz="4" w:space="0" w:color="13B5EA"/>
              <w:left w:val="nil"/>
              <w:bottom w:val="nil"/>
              <w:right w:val="nil"/>
            </w:tcBorders>
            <w:noWrap/>
            <w:vAlign w:val="bottom"/>
            <w:hideMark/>
          </w:tcPr>
          <w:p w14:paraId="692C978B" w14:textId="77777777" w:rsidR="003A04DD" w:rsidRPr="00004879" w:rsidRDefault="003A04DD" w:rsidP="009F6E88">
            <w:pPr>
              <w:rPr>
                <w:rFonts w:cs="Times New Roman"/>
                <w:sz w:val="20"/>
                <w:szCs w:val="20"/>
              </w:rPr>
            </w:pPr>
          </w:p>
        </w:tc>
        <w:tc>
          <w:tcPr>
            <w:tcW w:w="879" w:type="dxa"/>
            <w:gridSpan w:val="3"/>
            <w:tcBorders>
              <w:top w:val="single" w:sz="4" w:space="0" w:color="13B5EA"/>
              <w:left w:val="nil"/>
              <w:bottom w:val="nil"/>
              <w:right w:val="nil"/>
            </w:tcBorders>
            <w:noWrap/>
            <w:vAlign w:val="bottom"/>
            <w:hideMark/>
          </w:tcPr>
          <w:p w14:paraId="6EBE91F3" w14:textId="77777777" w:rsidR="003A04DD" w:rsidRPr="00004879" w:rsidRDefault="003A04DD" w:rsidP="009F6E88">
            <w:pPr>
              <w:rPr>
                <w:rFonts w:cs="Times New Roman"/>
                <w:sz w:val="20"/>
                <w:szCs w:val="20"/>
              </w:rPr>
            </w:pPr>
          </w:p>
        </w:tc>
        <w:tc>
          <w:tcPr>
            <w:tcW w:w="566" w:type="dxa"/>
            <w:gridSpan w:val="2"/>
            <w:tcBorders>
              <w:top w:val="single" w:sz="4" w:space="0" w:color="13B5EA"/>
              <w:left w:val="nil"/>
              <w:bottom w:val="nil"/>
              <w:right w:val="nil"/>
            </w:tcBorders>
            <w:noWrap/>
            <w:vAlign w:val="bottom"/>
            <w:hideMark/>
          </w:tcPr>
          <w:p w14:paraId="1FF20B0B" w14:textId="77777777" w:rsidR="003A04DD" w:rsidRPr="00004879" w:rsidRDefault="003A04DD" w:rsidP="009F6E88">
            <w:pPr>
              <w:rPr>
                <w:rFonts w:cs="Times New Roman"/>
                <w:sz w:val="20"/>
                <w:szCs w:val="20"/>
              </w:rPr>
            </w:pPr>
          </w:p>
        </w:tc>
        <w:tc>
          <w:tcPr>
            <w:tcW w:w="1843" w:type="dxa"/>
            <w:gridSpan w:val="3"/>
            <w:tcBorders>
              <w:top w:val="single" w:sz="4" w:space="0" w:color="13B5EA"/>
              <w:left w:val="nil"/>
              <w:bottom w:val="nil"/>
              <w:right w:val="nil"/>
            </w:tcBorders>
            <w:noWrap/>
            <w:vAlign w:val="center"/>
            <w:hideMark/>
          </w:tcPr>
          <w:p w14:paraId="239E70E7" w14:textId="77777777" w:rsidR="003A04DD" w:rsidRPr="00004879" w:rsidRDefault="003A04DD" w:rsidP="009F6E88">
            <w:pPr>
              <w:keepNext/>
              <w:jc w:val="right"/>
              <w:rPr>
                <w:rFonts w:cs="Times New Roman"/>
                <w:i/>
                <w:color w:val="13B5EA"/>
                <w:sz w:val="18"/>
                <w:szCs w:val="18"/>
                <w:lang w:eastAsia="en-US"/>
              </w:rPr>
            </w:pPr>
            <w:r w:rsidRPr="00004879">
              <w:rPr>
                <w:rFonts w:cs="Times New Roman"/>
                <w:i/>
                <w:color w:val="13B5EA"/>
                <w:sz w:val="16"/>
                <w:szCs w:val="16"/>
                <w:lang w:eastAsia="en-US"/>
              </w:rPr>
              <w:t>Zdroj: RRZ</w:t>
            </w:r>
          </w:p>
        </w:tc>
      </w:tr>
    </w:tbl>
    <w:p w14:paraId="3E10E5FE" w14:textId="77777777" w:rsidR="003A04DD" w:rsidRPr="006F209A" w:rsidRDefault="003A04DD" w:rsidP="006F209A">
      <w:pPr>
        <w:jc w:val="both"/>
        <w:rPr>
          <w:rFonts w:eastAsia="Times New Roman" w:cs="Times New Roman"/>
          <w:color w:val="000000"/>
          <w:lang w:eastAsia="sk-SK"/>
        </w:rPr>
      </w:pPr>
    </w:p>
    <w:sectPr w:rsidR="003A04DD" w:rsidRPr="006F209A" w:rsidSect="000C478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A731" w14:textId="77777777" w:rsidR="00396CB2" w:rsidRDefault="00396CB2" w:rsidP="0090548E">
      <w:r>
        <w:separator/>
      </w:r>
    </w:p>
  </w:endnote>
  <w:endnote w:type="continuationSeparator" w:id="0">
    <w:p w14:paraId="6362130F" w14:textId="77777777" w:rsidR="00396CB2" w:rsidRDefault="00396CB2" w:rsidP="0090548E">
      <w:r>
        <w:continuationSeparator/>
      </w:r>
    </w:p>
  </w:endnote>
  <w:endnote w:type="continuationNotice" w:id="1">
    <w:p w14:paraId="4D2647F7" w14:textId="77777777" w:rsidR="00396CB2" w:rsidRDefault="00396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964736"/>
      <w:docPartObj>
        <w:docPartGallery w:val="Page Numbers (Bottom of Page)"/>
        <w:docPartUnique/>
      </w:docPartObj>
    </w:sdtPr>
    <w:sdtEndPr>
      <w:rPr>
        <w:noProof/>
      </w:rPr>
    </w:sdtEndPr>
    <w:sdtContent>
      <w:p w14:paraId="653AF711" w14:textId="217FB45F" w:rsidR="00AB01C0" w:rsidRDefault="00AB01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5C18D" w14:textId="77777777" w:rsidR="0013518D" w:rsidRDefault="0013518D" w:rsidP="004B0F8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7E5D" w14:textId="77777777" w:rsidR="00396CB2" w:rsidRDefault="00396CB2" w:rsidP="0090548E">
      <w:r>
        <w:separator/>
      </w:r>
    </w:p>
  </w:footnote>
  <w:footnote w:type="continuationSeparator" w:id="0">
    <w:p w14:paraId="2A8069BC" w14:textId="77777777" w:rsidR="00396CB2" w:rsidRDefault="00396CB2" w:rsidP="0090548E">
      <w:r>
        <w:continuationSeparator/>
      </w:r>
    </w:p>
  </w:footnote>
  <w:footnote w:type="continuationNotice" w:id="1">
    <w:p w14:paraId="11350669" w14:textId="77777777" w:rsidR="00396CB2" w:rsidRDefault="00396CB2"/>
  </w:footnote>
  <w:footnote w:id="2">
    <w:p w14:paraId="2D0171B6" w14:textId="2C73700B" w:rsidR="000833C6" w:rsidRPr="00055CDA" w:rsidRDefault="000833C6" w:rsidP="000833C6">
      <w:pPr>
        <w:pStyle w:val="FootnoteText"/>
        <w:ind w:left="284" w:hanging="284"/>
        <w:jc w:val="both"/>
        <w:rPr>
          <w:sz w:val="18"/>
          <w:szCs w:val="18"/>
        </w:rPr>
      </w:pPr>
      <w:r w:rsidRPr="00055CDA">
        <w:rPr>
          <w:rStyle w:val="FootnoteReference"/>
          <w:rFonts w:eastAsia="SimSun"/>
          <w:sz w:val="18"/>
          <w:szCs w:val="18"/>
        </w:rPr>
        <w:footnoteRef/>
      </w:r>
      <w:r w:rsidRPr="007E2CA4">
        <w:rPr>
          <w:sz w:val="18"/>
          <w:szCs w:val="18"/>
        </w:rPr>
        <w:t xml:space="preserve"> </w:t>
      </w:r>
      <w:r w:rsidRPr="007E2CA4">
        <w:rPr>
          <w:sz w:val="18"/>
          <w:szCs w:val="18"/>
        </w:rPr>
        <w:tab/>
        <w:t xml:space="preserve">RRZ je povinná podľa §37m zákona č. 523/2004 Z.z. o rozpočtových pravidlách verejnej správy vypočítať a predložiť na rokovanie NR SR do 75 dní po zverejnení správy o dlhodobej udržateľnosti podľa čl 4, ods 1, písm. a) ústavného zákona č. 493/2011 Z.z. o rozpočtovej zodpovednosti (správu Rada zverejnila 30. apríla 2022) limit verejných výdavkov na roky 2023 až 2025 postupom podľa zákona na základe metodiky vypracovanej Radou po dohode s MF SR a zverejnenou Radou. </w:t>
      </w:r>
      <w:r w:rsidR="000D7D75" w:rsidRPr="000D7D75">
        <w:rPr>
          <w:sz w:val="18"/>
          <w:szCs w:val="18"/>
        </w:rPr>
        <w:t xml:space="preserve">Uvedená  lehota nebola splnená vzhľadom na to, že v danom termíne nedošlo k dohode na metodike. RRZ </w:t>
      </w:r>
      <w:r w:rsidR="000D7D75">
        <w:rPr>
          <w:sz w:val="18"/>
          <w:szCs w:val="18"/>
        </w:rPr>
        <w:t xml:space="preserve">preto </w:t>
      </w:r>
      <w:r w:rsidR="000D7D75" w:rsidRPr="000D7D75">
        <w:rPr>
          <w:sz w:val="18"/>
          <w:szCs w:val="18"/>
        </w:rPr>
        <w:t>vypočíta</w:t>
      </w:r>
      <w:r w:rsidR="000D7D75">
        <w:rPr>
          <w:sz w:val="18"/>
          <w:szCs w:val="18"/>
        </w:rPr>
        <w:t>la</w:t>
      </w:r>
      <w:r w:rsidR="000D7D75" w:rsidRPr="000D7D75">
        <w:rPr>
          <w:sz w:val="18"/>
          <w:szCs w:val="18"/>
        </w:rPr>
        <w:t xml:space="preserve"> limity bezprostredne po dosiahnutí dohody s MF SR na metodike.</w:t>
      </w:r>
    </w:p>
  </w:footnote>
  <w:footnote w:id="3">
    <w:p w14:paraId="2B741F52" w14:textId="77777777" w:rsidR="000833C6" w:rsidRPr="00055CDA" w:rsidRDefault="000833C6" w:rsidP="004A7F29">
      <w:pPr>
        <w:pStyle w:val="FootnoteText"/>
        <w:ind w:left="284" w:hanging="284"/>
        <w:jc w:val="both"/>
        <w:rPr>
          <w:sz w:val="18"/>
          <w:szCs w:val="18"/>
        </w:rPr>
      </w:pPr>
      <w:r w:rsidRPr="00055CDA">
        <w:rPr>
          <w:rStyle w:val="FootnoteReference"/>
          <w:rFonts w:eastAsia="SimSun"/>
          <w:sz w:val="18"/>
          <w:szCs w:val="18"/>
        </w:rPr>
        <w:footnoteRef/>
      </w:r>
      <w:r w:rsidRPr="007E2CA4">
        <w:rPr>
          <w:sz w:val="18"/>
          <w:szCs w:val="18"/>
        </w:rPr>
        <w:t xml:space="preserve"> </w:t>
      </w:r>
      <w:r w:rsidRPr="007E2CA4">
        <w:rPr>
          <w:sz w:val="18"/>
          <w:szCs w:val="18"/>
        </w:rPr>
        <w:tab/>
        <w:t>Spôsob výpočtu limitu verejných výdavkov je uvedený v §30aa v odsekoch 3, 4, 6 a 7.</w:t>
      </w:r>
    </w:p>
  </w:footnote>
  <w:footnote w:id="4">
    <w:p w14:paraId="6470F715" w14:textId="37155FF7" w:rsidR="003D17BC" w:rsidRPr="00114DEE" w:rsidRDefault="003D17BC" w:rsidP="00114DEE">
      <w:pPr>
        <w:pStyle w:val="FootnoteText"/>
        <w:ind w:left="284" w:hanging="284"/>
        <w:jc w:val="both"/>
        <w:rPr>
          <w:sz w:val="18"/>
          <w:szCs w:val="18"/>
        </w:rPr>
      </w:pPr>
      <w:r w:rsidRPr="00114DEE">
        <w:rPr>
          <w:rStyle w:val="FootnoteReference"/>
          <w:sz w:val="18"/>
          <w:szCs w:val="18"/>
        </w:rPr>
        <w:footnoteRef/>
      </w:r>
      <w:r w:rsidRPr="00114DEE">
        <w:rPr>
          <w:sz w:val="18"/>
          <w:szCs w:val="18"/>
        </w:rPr>
        <w:t xml:space="preserve"> </w:t>
      </w:r>
      <w:r>
        <w:rPr>
          <w:sz w:val="18"/>
          <w:szCs w:val="18"/>
        </w:rPr>
        <w:tab/>
      </w:r>
      <w:r w:rsidR="00A30150">
        <w:rPr>
          <w:sz w:val="18"/>
          <w:szCs w:val="18"/>
        </w:rPr>
        <w:t xml:space="preserve">RRZ, </w:t>
      </w:r>
      <w:hyperlink r:id="rId1" w:history="1">
        <w:r w:rsidR="00A30150" w:rsidRPr="00A30150">
          <w:rPr>
            <w:rStyle w:val="Hyperlink"/>
            <w:color w:val="13B5EA"/>
            <w:sz w:val="18"/>
            <w:szCs w:val="18"/>
          </w:rPr>
          <w:t>Metodika výpočtu, aktualizácie a hodnotenia plnenia limitov verejných výdavkov – Verzia 2</w:t>
        </w:r>
      </w:hyperlink>
      <w:r w:rsidR="00A30150">
        <w:rPr>
          <w:sz w:val="18"/>
          <w:szCs w:val="18"/>
        </w:rPr>
        <w:t>, 2</w:t>
      </w:r>
      <w:r w:rsidR="004D2186">
        <w:rPr>
          <w:sz w:val="18"/>
          <w:szCs w:val="18"/>
        </w:rPr>
        <w:t>2</w:t>
      </w:r>
      <w:r w:rsidR="00A30150">
        <w:rPr>
          <w:sz w:val="18"/>
          <w:szCs w:val="18"/>
        </w:rPr>
        <w:t>. decemb</w:t>
      </w:r>
      <w:r w:rsidR="00A30150" w:rsidRPr="00A30150">
        <w:rPr>
          <w:sz w:val="18"/>
          <w:szCs w:val="18"/>
        </w:rPr>
        <w:t>ra 2022</w:t>
      </w:r>
      <w:r w:rsidRPr="00A30150">
        <w:rPr>
          <w:sz w:val="18"/>
          <w:szCs w:val="18"/>
        </w:rPr>
        <w:t>.</w:t>
      </w:r>
    </w:p>
  </w:footnote>
  <w:footnote w:id="5">
    <w:p w14:paraId="0E23122A" w14:textId="77777777" w:rsidR="005D4168" w:rsidRDefault="005D4168" w:rsidP="005D4168">
      <w:pPr>
        <w:pStyle w:val="FootnoteText"/>
        <w:ind w:left="284" w:hanging="284"/>
        <w:jc w:val="both"/>
      </w:pPr>
      <w:r>
        <w:rPr>
          <w:rStyle w:val="FootnoteReference"/>
          <w:rFonts w:eastAsia="SimSun"/>
        </w:rPr>
        <w:footnoteRef/>
      </w:r>
      <w:r>
        <w:rPr>
          <w:sz w:val="18"/>
          <w:szCs w:val="18"/>
        </w:rPr>
        <w:t xml:space="preserve"> </w:t>
      </w:r>
      <w:r>
        <w:rPr>
          <w:sz w:val="18"/>
          <w:szCs w:val="18"/>
        </w:rPr>
        <w:tab/>
        <w:t>Podľa §30aa ods. 6 zákona o rozpočtových pravidlách verejnej správy.</w:t>
      </w:r>
    </w:p>
  </w:footnote>
  <w:footnote w:id="6">
    <w:p w14:paraId="727C7D31" w14:textId="77777777" w:rsidR="005D4168" w:rsidRDefault="005D4168" w:rsidP="005D4168">
      <w:pPr>
        <w:pStyle w:val="FootnoteText"/>
        <w:ind w:left="284" w:hanging="284"/>
        <w:jc w:val="both"/>
      </w:pPr>
      <w:r>
        <w:rPr>
          <w:rStyle w:val="FootnoteReference"/>
          <w:rFonts w:eastAsia="SimSun"/>
        </w:rPr>
        <w:footnoteRef/>
      </w:r>
      <w:r>
        <w:rPr>
          <w:sz w:val="18"/>
          <w:szCs w:val="18"/>
        </w:rPr>
        <w:t xml:space="preserve"> </w:t>
      </w:r>
      <w:r>
        <w:rPr>
          <w:sz w:val="18"/>
          <w:szCs w:val="18"/>
        </w:rPr>
        <w:tab/>
        <w:t>Pri vysokom a strednom riziku v súvislosti s dlhodobou udržateľnosťou (hodnota ukazovateľa nad 1 % HDP) sa plánovaná hodnota štrukturálneho salda určí tak, aby sa voči základnému scenáru zlepšil ukazovateľ dlhodobej udržateľnosti o 0,5 % HDP a pri nízkom riziku zlepšil ukazovateľ dlhodobej udržateľnosti o 0,25 % HDP. Ak je hospodárenie Slovenskej republiky dlhodobo udržateľné (hodnota ukazovateľa je záporná), RRZ vypočíta hodnotu plánovaného štrukturálneho salda tak, aby ukazovateľ dosahoval v každom roku nulovú hodnotu. Pri výpočte sa zohľadňujú aj aktuálne platné sankcie dlhovej brzdy (čl. 5 a 12 ústavného zákona č. 493/2011 Z.z. o rozpočtovej zodpovednosti).</w:t>
      </w:r>
    </w:p>
  </w:footnote>
  <w:footnote w:id="7">
    <w:p w14:paraId="79184F18" w14:textId="4F462386" w:rsidR="00166D8B" w:rsidRPr="00114DEE" w:rsidRDefault="00166D8B" w:rsidP="00114DEE">
      <w:pPr>
        <w:pStyle w:val="FootnoteText"/>
        <w:ind w:left="284" w:hanging="284"/>
        <w:jc w:val="both"/>
        <w:rPr>
          <w:sz w:val="18"/>
          <w:szCs w:val="18"/>
        </w:rPr>
      </w:pPr>
      <w:r w:rsidRPr="00114DEE">
        <w:rPr>
          <w:rStyle w:val="FootnoteReference"/>
          <w:sz w:val="18"/>
          <w:szCs w:val="18"/>
        </w:rPr>
        <w:footnoteRef/>
      </w:r>
      <w:r w:rsidRPr="00114DEE">
        <w:rPr>
          <w:sz w:val="18"/>
          <w:szCs w:val="18"/>
        </w:rPr>
        <w:t xml:space="preserve"> </w:t>
      </w:r>
      <w:r w:rsidR="004A7F29">
        <w:rPr>
          <w:sz w:val="18"/>
          <w:szCs w:val="18"/>
        </w:rPr>
        <w:tab/>
      </w:r>
      <w:r w:rsidRPr="00114DEE">
        <w:rPr>
          <w:sz w:val="18"/>
          <w:szCs w:val="18"/>
        </w:rPr>
        <w:t xml:space="preserve">RRZ, </w:t>
      </w:r>
      <w:hyperlink r:id="rId2" w:history="1">
        <w:r w:rsidRPr="00114DEE">
          <w:rPr>
            <w:rStyle w:val="Hyperlink"/>
            <w:color w:val="13B5EA"/>
            <w:sz w:val="18"/>
            <w:szCs w:val="18"/>
          </w:rPr>
          <w:t>Správa o dlhodobej udržateľnosti verejných financií za rok 202</w:t>
        </w:r>
      </w:hyperlink>
      <w:r w:rsidRPr="00114DEE">
        <w:rPr>
          <w:rStyle w:val="Hyperlink"/>
          <w:color w:val="13B5EA"/>
          <w:sz w:val="18"/>
          <w:szCs w:val="18"/>
        </w:rPr>
        <w:t>2</w:t>
      </w:r>
      <w:r w:rsidRPr="00114DEE">
        <w:rPr>
          <w:rStyle w:val="Hyperlink"/>
          <w:color w:val="auto"/>
          <w:sz w:val="18"/>
          <w:szCs w:val="18"/>
          <w:u w:val="none"/>
        </w:rPr>
        <w:t>, apríl 2022, kapitola 7</w:t>
      </w:r>
      <w:r w:rsidR="004A7F29">
        <w:rPr>
          <w:rStyle w:val="Hyperlink"/>
          <w:color w:val="auto"/>
          <w:sz w:val="18"/>
          <w:szCs w:val="18"/>
          <w:u w:val="none"/>
        </w:rPr>
        <w:t xml:space="preserve">. </w:t>
      </w:r>
      <w:r w:rsidR="004A7F29" w:rsidRPr="00055CDA">
        <w:rPr>
          <w:sz w:val="18"/>
          <w:szCs w:val="18"/>
        </w:rPr>
        <w:t>Ústavný zákon č. 493/2011 Z.z. o rozpočtovej zodpovednosti Čl. 4 (Pôsobnosť rady), ods. (1) písmeno a) Rada vypracováva a zverejňuje správu o dlhodobej udržateľnosti vrátane základného scenára a určenia ukazovateľa dlhodobej udržateľnosti každoročne k 30. aprílu a vždy do 30 dní po prerokovaní programového vyhlásenia vlády a vyslovení dôvery vláde</w:t>
      </w:r>
      <w:r w:rsidR="004A7F29" w:rsidRPr="007E2CA4">
        <w:rPr>
          <w:sz w:val="18"/>
          <w:szCs w:val="18"/>
        </w:rPr>
        <w:t>.</w:t>
      </w:r>
    </w:p>
  </w:footnote>
  <w:footnote w:id="8">
    <w:p w14:paraId="6CDD2859" w14:textId="77777777" w:rsidR="009A4823" w:rsidRDefault="009A4823" w:rsidP="00114DEE">
      <w:pPr>
        <w:pStyle w:val="FootnoteText"/>
        <w:ind w:left="284" w:hanging="284"/>
        <w:jc w:val="both"/>
      </w:pPr>
      <w:r>
        <w:rPr>
          <w:rStyle w:val="FootnoteReference"/>
          <w:rFonts w:eastAsia="SimSun"/>
        </w:rPr>
        <w:footnoteRef/>
      </w:r>
      <w:r>
        <w:rPr>
          <w:sz w:val="18"/>
          <w:szCs w:val="18"/>
        </w:rPr>
        <w:t xml:space="preserve"> </w:t>
      </w:r>
      <w:r>
        <w:rPr>
          <w:sz w:val="18"/>
          <w:szCs w:val="18"/>
        </w:rPr>
        <w:tab/>
        <w:t>Pri každom ďalšom štandardnom výpočte limitov na začiatku volebného obdobia by mala byť situácia odlišná v tom, že na bežný rok by existoval parlamentom schválený limit verejných výdavkov z predchádzajúceho volebného obdobia. Súčasťou odhadu východiskového roka by malo byť posúdenie realistickosti splnenia resp. nesplnenia daného limitu novou vládou v bežnom roku.</w:t>
      </w:r>
    </w:p>
  </w:footnote>
  <w:footnote w:id="9">
    <w:p w14:paraId="1EAC9496" w14:textId="78EBE252" w:rsidR="00461441" w:rsidRPr="00461441" w:rsidRDefault="00461441" w:rsidP="00461441">
      <w:pPr>
        <w:pStyle w:val="FootnoteText"/>
        <w:ind w:left="284" w:hanging="284"/>
        <w:jc w:val="both"/>
        <w:rPr>
          <w:sz w:val="18"/>
          <w:szCs w:val="18"/>
        </w:rPr>
      </w:pPr>
      <w:r w:rsidRPr="00461441">
        <w:rPr>
          <w:rStyle w:val="FootnoteReference"/>
          <w:sz w:val="18"/>
          <w:szCs w:val="18"/>
        </w:rPr>
        <w:footnoteRef/>
      </w:r>
      <w:r w:rsidRPr="00461441">
        <w:rPr>
          <w:sz w:val="18"/>
          <w:szCs w:val="18"/>
        </w:rPr>
        <w:t xml:space="preserve"> </w:t>
      </w:r>
      <w:r>
        <w:rPr>
          <w:sz w:val="18"/>
          <w:szCs w:val="18"/>
        </w:rPr>
        <w:tab/>
      </w:r>
      <w:r w:rsidRPr="00461441">
        <w:rPr>
          <w:sz w:val="18"/>
          <w:szCs w:val="18"/>
        </w:rPr>
        <w:t>V základnom scenári vychádzajúcom zo skutočnosti</w:t>
      </w:r>
      <w:r>
        <w:rPr>
          <w:sz w:val="18"/>
          <w:szCs w:val="18"/>
        </w:rPr>
        <w:t xml:space="preserve"> (t.j. na účely každoročného vyhodnotenia udržateľnosti ex-post za predchádzajúci rok)</w:t>
      </w:r>
      <w:r w:rsidRPr="00461441">
        <w:rPr>
          <w:sz w:val="18"/>
          <w:szCs w:val="18"/>
        </w:rPr>
        <w:t xml:space="preserve"> sa výdavky takisto indexujú tempom rastu HDP, ale nad rámec tohto sa pridávajú aj už zazmluvnené mimoriadne investície v rezorte obrany (RRZ za také považuje nákup stíhačiek). Aby nedošlo ku skresleniu hodnoty štrukturálneho salda a ukazovateľa dlhodobej udržateľnosti, tieto mimoriadne výdavky sa následne očisťujú v rámci jednorazových vplyvov.</w:t>
      </w:r>
    </w:p>
  </w:footnote>
  <w:footnote w:id="10">
    <w:p w14:paraId="3CCC332C" w14:textId="3AE1DED7" w:rsidR="009A4823" w:rsidRPr="006B5E05" w:rsidRDefault="009A4823" w:rsidP="00114DEE">
      <w:pPr>
        <w:pStyle w:val="FootnoteText"/>
        <w:ind w:left="284" w:hanging="284"/>
        <w:jc w:val="both"/>
        <w:rPr>
          <w:sz w:val="18"/>
          <w:szCs w:val="18"/>
        </w:rPr>
      </w:pPr>
      <w:r w:rsidRPr="006B5E05">
        <w:rPr>
          <w:rStyle w:val="FootnoteReference"/>
          <w:rFonts w:eastAsia="SimSun"/>
          <w:sz w:val="18"/>
          <w:szCs w:val="18"/>
        </w:rPr>
        <w:footnoteRef/>
      </w:r>
      <w:r w:rsidRPr="006B5E05">
        <w:rPr>
          <w:sz w:val="18"/>
          <w:szCs w:val="18"/>
        </w:rPr>
        <w:t xml:space="preserve"> </w:t>
      </w:r>
      <w:r>
        <w:rPr>
          <w:sz w:val="18"/>
          <w:szCs w:val="18"/>
        </w:rPr>
        <w:tab/>
        <w:t xml:space="preserve">Bilancia príjmov a výdavkov celého základného scenára je uvedená v prílohe 1. </w:t>
      </w:r>
    </w:p>
  </w:footnote>
  <w:footnote w:id="11">
    <w:p w14:paraId="330A7890" w14:textId="77777777" w:rsidR="000833C6" w:rsidRDefault="000833C6" w:rsidP="000833C6">
      <w:pPr>
        <w:pStyle w:val="FootnoteText"/>
        <w:ind w:left="284" w:hanging="284"/>
        <w:jc w:val="both"/>
      </w:pPr>
      <w:r w:rsidRPr="00055CDA">
        <w:rPr>
          <w:rStyle w:val="FootnoteReference"/>
          <w:rFonts w:eastAsia="SimSun"/>
          <w:sz w:val="18"/>
          <w:szCs w:val="18"/>
        </w:rPr>
        <w:footnoteRef/>
      </w:r>
      <w:r w:rsidRPr="007E2CA4">
        <w:rPr>
          <w:sz w:val="18"/>
          <w:szCs w:val="18"/>
        </w:rPr>
        <w:t xml:space="preserve"> </w:t>
      </w:r>
      <w:r w:rsidRPr="007E2CA4">
        <w:rPr>
          <w:sz w:val="18"/>
          <w:szCs w:val="18"/>
        </w:rPr>
        <w:tab/>
        <w:t>Ukazovateľ do hodnoty 1 % HDP považuje Rada za miernu odchýlku od dlhodobej udržateľnosti s nízkou mierou rizika. Ukazovateľ vo výške medzi 1 – 5 % HDP predstavuje podľa Rady stredné riziká. Ukazovateľ nad 5 % HDP považuje Rada za vysoké riziko pre dlhodobú udržateľnosť verejných financií.</w:t>
      </w:r>
    </w:p>
  </w:footnote>
  <w:footnote w:id="12">
    <w:p w14:paraId="33BFEEDA" w14:textId="77777777" w:rsidR="000833C6" w:rsidRDefault="000833C6" w:rsidP="000833C6">
      <w:pPr>
        <w:pStyle w:val="FootnoteText"/>
        <w:ind w:left="284" w:hanging="284"/>
        <w:jc w:val="both"/>
      </w:pPr>
      <w:r>
        <w:rPr>
          <w:rStyle w:val="FootnoteReference"/>
          <w:rFonts w:eastAsia="SimSun"/>
        </w:rPr>
        <w:footnoteRef/>
      </w:r>
      <w:r>
        <w:rPr>
          <w:sz w:val="18"/>
          <w:szCs w:val="18"/>
        </w:rPr>
        <w:t xml:space="preserve"> </w:t>
      </w:r>
      <w:r>
        <w:rPr>
          <w:sz w:val="18"/>
          <w:szCs w:val="18"/>
        </w:rPr>
        <w:tab/>
        <w:t>Zákon nerozlišuje medzi vysokými a strednými rizikami spojenými s dlhodobou udržateľnosťou pri stanovení požiadaviek na zlepšenie štrukturálneho salda voči základnému scenáru (v oboch prípadoch je požiadavka vo výške 0,5 % HDP).</w:t>
      </w:r>
    </w:p>
  </w:footnote>
  <w:footnote w:id="13">
    <w:p w14:paraId="653AE00F" w14:textId="77777777" w:rsidR="000833C6" w:rsidRDefault="000833C6" w:rsidP="000833C6">
      <w:pPr>
        <w:pStyle w:val="FootnoteText"/>
        <w:ind w:left="284" w:hanging="284"/>
        <w:jc w:val="both"/>
      </w:pPr>
      <w:r>
        <w:rPr>
          <w:rStyle w:val="FootnoteReference"/>
          <w:rFonts w:eastAsia="SimSun"/>
        </w:rPr>
        <w:footnoteRef/>
      </w:r>
      <w:r>
        <w:rPr>
          <w:sz w:val="18"/>
          <w:szCs w:val="18"/>
        </w:rPr>
        <w:t xml:space="preserve"> </w:t>
      </w:r>
      <w:r>
        <w:rPr>
          <w:sz w:val="18"/>
          <w:szCs w:val="18"/>
        </w:rPr>
        <w:tab/>
      </w:r>
      <w:r w:rsidRPr="00114DEE">
        <w:rPr>
          <w:sz w:val="18"/>
          <w:szCs w:val="18"/>
        </w:rPr>
        <w:t>V zmysle zákona sa zohľadňuje iba požiadavka na zostavenie návrhu rozpočtu s nerastúcimi výdavkami (uplatňuje sa pri prekročení 3. sankčného pásma) a vyrovnaného rozpočtu verejnej správy (uplatňuje sa pri prekročení 4. sankčného pásma). Dôvodom je to, že tieto sankcie obsahujú numerické pravidlo, ktoré je možné aplikovať pri výpočte limitu. Ostatné sankcie dlhovej brzdy nie sú numericky stanovené alebo sa týkajú len úzkeho okruhu výdavkov prípadne výdavkov, ktoré nespadajú pod limit.</w:t>
      </w:r>
    </w:p>
  </w:footnote>
  <w:footnote w:id="14">
    <w:p w14:paraId="7BB84F41" w14:textId="409579E0" w:rsidR="00130E3F" w:rsidRPr="00130E3F" w:rsidRDefault="00130E3F" w:rsidP="00130E3F">
      <w:pPr>
        <w:pStyle w:val="FootnoteText"/>
        <w:ind w:left="284" w:hanging="284"/>
        <w:jc w:val="both"/>
        <w:rPr>
          <w:sz w:val="18"/>
          <w:szCs w:val="18"/>
        </w:rPr>
      </w:pPr>
      <w:r w:rsidRPr="00130E3F">
        <w:rPr>
          <w:rStyle w:val="FootnoteReference"/>
          <w:sz w:val="18"/>
          <w:szCs w:val="18"/>
        </w:rPr>
        <w:footnoteRef/>
      </w:r>
      <w:r w:rsidRPr="00130E3F">
        <w:rPr>
          <w:sz w:val="18"/>
          <w:szCs w:val="18"/>
        </w:rPr>
        <w:t xml:space="preserve"> </w:t>
      </w:r>
      <w:r>
        <w:rPr>
          <w:sz w:val="18"/>
          <w:szCs w:val="18"/>
        </w:rPr>
        <w:tab/>
      </w:r>
      <w:r w:rsidRPr="00130E3F">
        <w:rPr>
          <w:sz w:val="18"/>
          <w:szCs w:val="18"/>
        </w:rPr>
        <w:t>Úľava z tempa konsolidácie dosahuje</w:t>
      </w:r>
      <w:r>
        <w:rPr>
          <w:sz w:val="18"/>
          <w:szCs w:val="18"/>
        </w:rPr>
        <w:t xml:space="preserve"> </w:t>
      </w:r>
      <w:r w:rsidRPr="00130E3F">
        <w:rPr>
          <w:sz w:val="18"/>
          <w:szCs w:val="18"/>
        </w:rPr>
        <w:t>0,3 % HDP</w:t>
      </w:r>
      <w:r>
        <w:rPr>
          <w:sz w:val="18"/>
          <w:szCs w:val="18"/>
        </w:rPr>
        <w:t xml:space="preserve"> v roku 2023</w:t>
      </w:r>
      <w:r w:rsidRPr="00130E3F">
        <w:rPr>
          <w:sz w:val="18"/>
          <w:szCs w:val="18"/>
        </w:rPr>
        <w:t>, pričom v</w:t>
      </w:r>
      <w:r>
        <w:rPr>
          <w:sz w:val="18"/>
          <w:szCs w:val="18"/>
        </w:rPr>
        <w:t> </w:t>
      </w:r>
      <w:r w:rsidRPr="00130E3F">
        <w:rPr>
          <w:sz w:val="18"/>
          <w:szCs w:val="18"/>
        </w:rPr>
        <w:t>čase</w:t>
      </w:r>
      <w:r>
        <w:rPr>
          <w:sz w:val="18"/>
          <w:szCs w:val="18"/>
        </w:rPr>
        <w:t>,</w:t>
      </w:r>
      <w:r w:rsidRPr="00130E3F">
        <w:rPr>
          <w:sz w:val="18"/>
          <w:szCs w:val="18"/>
        </w:rPr>
        <w:t xml:space="preserve"> keď sa dlh nachádza nad sankčnými pásmami dlhovej brzdy, </w:t>
      </w:r>
      <w:r>
        <w:rPr>
          <w:sz w:val="18"/>
          <w:szCs w:val="18"/>
        </w:rPr>
        <w:t xml:space="preserve">by </w:t>
      </w:r>
      <w:r w:rsidRPr="00130E3F">
        <w:rPr>
          <w:sz w:val="18"/>
          <w:szCs w:val="18"/>
        </w:rPr>
        <w:t>m</w:t>
      </w:r>
      <w:r>
        <w:rPr>
          <w:sz w:val="18"/>
          <w:szCs w:val="18"/>
        </w:rPr>
        <w:t>ohla</w:t>
      </w:r>
      <w:r w:rsidRPr="00130E3F">
        <w:rPr>
          <w:sz w:val="18"/>
          <w:szCs w:val="18"/>
        </w:rPr>
        <w:t xml:space="preserve"> maximálne dosiahnuť 0,5 % HDP počas jedného volebného obdobia.</w:t>
      </w:r>
    </w:p>
  </w:footnote>
  <w:footnote w:id="15">
    <w:p w14:paraId="1EB28880" w14:textId="0614EEF8" w:rsidR="000833C6" w:rsidRDefault="000833C6" w:rsidP="000833C6">
      <w:pPr>
        <w:pStyle w:val="FootnoteText"/>
        <w:ind w:left="284" w:hanging="284"/>
        <w:jc w:val="both"/>
      </w:pPr>
      <w:r>
        <w:rPr>
          <w:rStyle w:val="FootnoteReference"/>
          <w:rFonts w:eastAsia="SimSun"/>
        </w:rPr>
        <w:footnoteRef/>
      </w:r>
      <w:r>
        <w:rPr>
          <w:sz w:val="18"/>
          <w:szCs w:val="18"/>
        </w:rPr>
        <w:t xml:space="preserve"> </w:t>
      </w:r>
      <w:r>
        <w:rPr>
          <w:sz w:val="18"/>
          <w:szCs w:val="18"/>
        </w:rPr>
        <w:tab/>
        <w:t>Zdrojom údajov boli prognózy Výboru pre daňové prognózy z</w:t>
      </w:r>
      <w:r w:rsidR="004C7BC3">
        <w:rPr>
          <w:sz w:val="18"/>
          <w:szCs w:val="18"/>
        </w:rPr>
        <w:t>o septembra</w:t>
      </w:r>
      <w:r>
        <w:rPr>
          <w:sz w:val="18"/>
          <w:szCs w:val="18"/>
        </w:rPr>
        <w:t xml:space="preserve"> 2022 (vybrané daňové a nedaňové príjmy), </w:t>
      </w:r>
      <w:r w:rsidRPr="00114DEE">
        <w:rPr>
          <w:sz w:val="18"/>
          <w:szCs w:val="18"/>
        </w:rPr>
        <w:t>ostatné údaje poskytlo MF SR z</w:t>
      </w:r>
      <w:r w:rsidR="004C7BC3" w:rsidRPr="00114DEE">
        <w:rPr>
          <w:sz w:val="18"/>
          <w:szCs w:val="18"/>
        </w:rPr>
        <w:t> vládou schváleného návrhu</w:t>
      </w:r>
      <w:r w:rsidRPr="00114DEE">
        <w:rPr>
          <w:sz w:val="18"/>
          <w:szCs w:val="18"/>
        </w:rPr>
        <w:t xml:space="preserve"> Rozpočtu verejnej správy na roky 202</w:t>
      </w:r>
      <w:r w:rsidR="004C7BC3" w:rsidRPr="00114DEE">
        <w:rPr>
          <w:sz w:val="18"/>
          <w:szCs w:val="18"/>
        </w:rPr>
        <w:t>3</w:t>
      </w:r>
      <w:r w:rsidRPr="00114DEE">
        <w:rPr>
          <w:sz w:val="18"/>
          <w:szCs w:val="18"/>
        </w:rPr>
        <w:t xml:space="preserve"> až 202</w:t>
      </w:r>
      <w:r w:rsidR="004C7BC3" w:rsidRPr="00114DEE">
        <w:rPr>
          <w:sz w:val="18"/>
          <w:szCs w:val="18"/>
        </w:rPr>
        <w:t>5</w:t>
      </w:r>
      <w:r w:rsidRPr="00114DEE">
        <w:rPr>
          <w:sz w:val="18"/>
          <w:szCs w:val="18"/>
        </w:rPr>
        <w:t>. Konsolidované výdavky na správu dlhu sú z odhadu RRZ zo základného scenára.</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17AED"/>
    <w:multiLevelType w:val="hybridMultilevel"/>
    <w:tmpl w:val="50A2A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263A0E"/>
    <w:multiLevelType w:val="hybridMultilevel"/>
    <w:tmpl w:val="CB26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D2F37"/>
    <w:multiLevelType w:val="hybridMultilevel"/>
    <w:tmpl w:val="1FC8A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2B1BD7"/>
    <w:multiLevelType w:val="hybridMultilevel"/>
    <w:tmpl w:val="48488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F5E9B"/>
    <w:multiLevelType w:val="hybridMultilevel"/>
    <w:tmpl w:val="52D0773E"/>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2D096FDC"/>
    <w:multiLevelType w:val="multilevel"/>
    <w:tmpl w:val="5108F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4755D6"/>
    <w:multiLevelType w:val="hybridMultilevel"/>
    <w:tmpl w:val="07C0AC82"/>
    <w:lvl w:ilvl="0" w:tplc="6192B6C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5077D4"/>
    <w:multiLevelType w:val="hybridMultilevel"/>
    <w:tmpl w:val="8F5E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74F1B"/>
    <w:multiLevelType w:val="hybridMultilevel"/>
    <w:tmpl w:val="5AF281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52C05365"/>
    <w:multiLevelType w:val="hybridMultilevel"/>
    <w:tmpl w:val="F238D6E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A287CB6"/>
    <w:multiLevelType w:val="hybridMultilevel"/>
    <w:tmpl w:val="DE32C372"/>
    <w:lvl w:ilvl="0" w:tplc="FFEA7B40">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5ED96876"/>
    <w:multiLevelType w:val="hybridMultilevel"/>
    <w:tmpl w:val="A7CAA3D4"/>
    <w:lvl w:ilvl="0" w:tplc="85765FC6">
      <w:numFmt w:val="bullet"/>
      <w:lvlText w:val="–"/>
      <w:lvlJc w:val="left"/>
      <w:pPr>
        <w:ind w:left="360" w:hanging="360"/>
      </w:pPr>
      <w:rPr>
        <w:rFonts w:ascii="Courier" w:eastAsia="Courier" w:hAnsi="Courier" w:cs="Courier"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628C6D55"/>
    <w:multiLevelType w:val="hybridMultilevel"/>
    <w:tmpl w:val="5A7221F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5A533E5"/>
    <w:multiLevelType w:val="hybridMultilevel"/>
    <w:tmpl w:val="232E07A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73096D33"/>
    <w:multiLevelType w:val="hybridMultilevel"/>
    <w:tmpl w:val="C7F24A2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50F1863"/>
    <w:multiLevelType w:val="hybridMultilevel"/>
    <w:tmpl w:val="674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F2B69"/>
    <w:multiLevelType w:val="hybridMultilevel"/>
    <w:tmpl w:val="4ECC6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7DA2AD0"/>
    <w:multiLevelType w:val="hybridMultilevel"/>
    <w:tmpl w:val="649E8EB6"/>
    <w:lvl w:ilvl="0" w:tplc="84FE6386">
      <w:numFmt w:val="bullet"/>
      <w:lvlText w:val="-"/>
      <w:lvlJc w:val="left"/>
      <w:pPr>
        <w:ind w:left="585" w:hanging="360"/>
      </w:pPr>
      <w:rPr>
        <w:rFonts w:ascii="Times New Roman" w:eastAsia="SimSu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9" w15:restartNumberingAfterBreak="0">
    <w:nsid w:val="78F92BEC"/>
    <w:multiLevelType w:val="hybridMultilevel"/>
    <w:tmpl w:val="5546E06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946733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7595473">
    <w:abstractNumId w:val="9"/>
  </w:num>
  <w:num w:numId="3" w16cid:durableId="1933971622">
    <w:abstractNumId w:val="17"/>
  </w:num>
  <w:num w:numId="4" w16cid:durableId="1995838868">
    <w:abstractNumId w:val="2"/>
  </w:num>
  <w:num w:numId="5" w16cid:durableId="977299293">
    <w:abstractNumId w:val="0"/>
  </w:num>
  <w:num w:numId="6" w16cid:durableId="1629505552">
    <w:abstractNumId w:val="1"/>
  </w:num>
  <w:num w:numId="7" w16cid:durableId="1573854337">
    <w:abstractNumId w:val="3"/>
  </w:num>
  <w:num w:numId="8" w16cid:durableId="1492411095">
    <w:abstractNumId w:val="16"/>
  </w:num>
  <w:num w:numId="9" w16cid:durableId="2123648487">
    <w:abstractNumId w:val="8"/>
  </w:num>
  <w:num w:numId="10" w16cid:durableId="617490422">
    <w:abstractNumId w:val="10"/>
  </w:num>
  <w:num w:numId="11" w16cid:durableId="1739941009">
    <w:abstractNumId w:val="13"/>
  </w:num>
  <w:num w:numId="12" w16cid:durableId="1783725021">
    <w:abstractNumId w:val="19"/>
  </w:num>
  <w:num w:numId="13" w16cid:durableId="224145316">
    <w:abstractNumId w:val="15"/>
  </w:num>
  <w:num w:numId="14" w16cid:durableId="249899050">
    <w:abstractNumId w:val="4"/>
  </w:num>
  <w:num w:numId="15" w16cid:durableId="929123787">
    <w:abstractNumId w:val="14"/>
  </w:num>
  <w:num w:numId="16" w16cid:durableId="1814713506">
    <w:abstractNumId w:val="12"/>
  </w:num>
  <w:num w:numId="17" w16cid:durableId="288434937">
    <w:abstractNumId w:val="6"/>
  </w:num>
  <w:num w:numId="18" w16cid:durableId="23947569">
    <w:abstractNumId w:val="5"/>
  </w:num>
  <w:num w:numId="19" w16cid:durableId="1787768669">
    <w:abstractNumId w:val="7"/>
  </w:num>
  <w:num w:numId="20" w16cid:durableId="526677936">
    <w:abstractNumId w:val="11"/>
  </w:num>
  <w:num w:numId="21" w16cid:durableId="259458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12"/>
    <w:rsid w:val="00000576"/>
    <w:rsid w:val="00001E07"/>
    <w:rsid w:val="00003D36"/>
    <w:rsid w:val="00004879"/>
    <w:rsid w:val="00006BC4"/>
    <w:rsid w:val="00010FD1"/>
    <w:rsid w:val="00011936"/>
    <w:rsid w:val="00011A4B"/>
    <w:rsid w:val="000167C7"/>
    <w:rsid w:val="0001798F"/>
    <w:rsid w:val="00022F1F"/>
    <w:rsid w:val="0003434F"/>
    <w:rsid w:val="000441A6"/>
    <w:rsid w:val="00045EA0"/>
    <w:rsid w:val="0005216D"/>
    <w:rsid w:val="0005394C"/>
    <w:rsid w:val="00060391"/>
    <w:rsid w:val="000624B6"/>
    <w:rsid w:val="00065D6B"/>
    <w:rsid w:val="00070006"/>
    <w:rsid w:val="00070EC1"/>
    <w:rsid w:val="00075997"/>
    <w:rsid w:val="00077A6C"/>
    <w:rsid w:val="00077E59"/>
    <w:rsid w:val="000833C6"/>
    <w:rsid w:val="0008356A"/>
    <w:rsid w:val="00083720"/>
    <w:rsid w:val="00086538"/>
    <w:rsid w:val="00091102"/>
    <w:rsid w:val="00093B70"/>
    <w:rsid w:val="00095656"/>
    <w:rsid w:val="000A19B0"/>
    <w:rsid w:val="000A32A5"/>
    <w:rsid w:val="000A4469"/>
    <w:rsid w:val="000A5AAE"/>
    <w:rsid w:val="000B14B8"/>
    <w:rsid w:val="000B2B2D"/>
    <w:rsid w:val="000B3716"/>
    <w:rsid w:val="000B3BCB"/>
    <w:rsid w:val="000B4B64"/>
    <w:rsid w:val="000B4E2E"/>
    <w:rsid w:val="000C4783"/>
    <w:rsid w:val="000C77FF"/>
    <w:rsid w:val="000C7AF3"/>
    <w:rsid w:val="000C7EC7"/>
    <w:rsid w:val="000D04FF"/>
    <w:rsid w:val="000D7D75"/>
    <w:rsid w:val="000E2096"/>
    <w:rsid w:val="000E4D13"/>
    <w:rsid w:val="000E5723"/>
    <w:rsid w:val="000F7550"/>
    <w:rsid w:val="0011019F"/>
    <w:rsid w:val="0011138C"/>
    <w:rsid w:val="00111AE5"/>
    <w:rsid w:val="001126F7"/>
    <w:rsid w:val="001128E2"/>
    <w:rsid w:val="0011374E"/>
    <w:rsid w:val="00114DEE"/>
    <w:rsid w:val="00117E40"/>
    <w:rsid w:val="001202E3"/>
    <w:rsid w:val="00120AD5"/>
    <w:rsid w:val="00120F1C"/>
    <w:rsid w:val="00121FA2"/>
    <w:rsid w:val="00122280"/>
    <w:rsid w:val="001223AF"/>
    <w:rsid w:val="00123151"/>
    <w:rsid w:val="001277CB"/>
    <w:rsid w:val="00130E3F"/>
    <w:rsid w:val="001329E3"/>
    <w:rsid w:val="00135169"/>
    <w:rsid w:val="0013518D"/>
    <w:rsid w:val="00137C85"/>
    <w:rsid w:val="00141EE1"/>
    <w:rsid w:val="0014355E"/>
    <w:rsid w:val="0014362C"/>
    <w:rsid w:val="001477DB"/>
    <w:rsid w:val="00150922"/>
    <w:rsid w:val="00151E96"/>
    <w:rsid w:val="001539BF"/>
    <w:rsid w:val="00153A2C"/>
    <w:rsid w:val="001545D3"/>
    <w:rsid w:val="00154B93"/>
    <w:rsid w:val="00155B9A"/>
    <w:rsid w:val="00156F2C"/>
    <w:rsid w:val="00160969"/>
    <w:rsid w:val="00160B15"/>
    <w:rsid w:val="00162FD1"/>
    <w:rsid w:val="001655B5"/>
    <w:rsid w:val="00166D8B"/>
    <w:rsid w:val="0016770E"/>
    <w:rsid w:val="00172B3D"/>
    <w:rsid w:val="0017622F"/>
    <w:rsid w:val="00176C3F"/>
    <w:rsid w:val="00183C05"/>
    <w:rsid w:val="0019090E"/>
    <w:rsid w:val="00192B83"/>
    <w:rsid w:val="00193B5D"/>
    <w:rsid w:val="00193CA7"/>
    <w:rsid w:val="0019523D"/>
    <w:rsid w:val="001958CB"/>
    <w:rsid w:val="00196FCE"/>
    <w:rsid w:val="001A09EB"/>
    <w:rsid w:val="001A0EAA"/>
    <w:rsid w:val="001A11AD"/>
    <w:rsid w:val="001A474E"/>
    <w:rsid w:val="001A72C2"/>
    <w:rsid w:val="001A7710"/>
    <w:rsid w:val="001A7996"/>
    <w:rsid w:val="001B050A"/>
    <w:rsid w:val="001B07A9"/>
    <w:rsid w:val="001B0E4E"/>
    <w:rsid w:val="001C1B60"/>
    <w:rsid w:val="001C2B30"/>
    <w:rsid w:val="001D31B9"/>
    <w:rsid w:val="001D6350"/>
    <w:rsid w:val="001D70E1"/>
    <w:rsid w:val="001E1373"/>
    <w:rsid w:val="001E205E"/>
    <w:rsid w:val="001E3269"/>
    <w:rsid w:val="001E5270"/>
    <w:rsid w:val="001F1DA1"/>
    <w:rsid w:val="0020104E"/>
    <w:rsid w:val="00201631"/>
    <w:rsid w:val="00203D9D"/>
    <w:rsid w:val="002075A2"/>
    <w:rsid w:val="00207860"/>
    <w:rsid w:val="002136C5"/>
    <w:rsid w:val="002162F3"/>
    <w:rsid w:val="00220208"/>
    <w:rsid w:val="002204AF"/>
    <w:rsid w:val="00221C47"/>
    <w:rsid w:val="002226ED"/>
    <w:rsid w:val="00225B05"/>
    <w:rsid w:val="00227EC6"/>
    <w:rsid w:val="0023058D"/>
    <w:rsid w:val="0024026C"/>
    <w:rsid w:val="00241C3E"/>
    <w:rsid w:val="00242ABC"/>
    <w:rsid w:val="002433BD"/>
    <w:rsid w:val="00244366"/>
    <w:rsid w:val="00244C1A"/>
    <w:rsid w:val="00244E41"/>
    <w:rsid w:val="00246832"/>
    <w:rsid w:val="002472C2"/>
    <w:rsid w:val="002506A0"/>
    <w:rsid w:val="00251303"/>
    <w:rsid w:val="0025197F"/>
    <w:rsid w:val="00254990"/>
    <w:rsid w:val="002562F1"/>
    <w:rsid w:val="00261E16"/>
    <w:rsid w:val="00263D30"/>
    <w:rsid w:val="00264023"/>
    <w:rsid w:val="00267246"/>
    <w:rsid w:val="002672DE"/>
    <w:rsid w:val="0027080C"/>
    <w:rsid w:val="00271233"/>
    <w:rsid w:val="00273A12"/>
    <w:rsid w:val="00276AF3"/>
    <w:rsid w:val="00283CED"/>
    <w:rsid w:val="00283FB0"/>
    <w:rsid w:val="0028429D"/>
    <w:rsid w:val="0028495A"/>
    <w:rsid w:val="00285F52"/>
    <w:rsid w:val="002877D7"/>
    <w:rsid w:val="00291A60"/>
    <w:rsid w:val="00295F61"/>
    <w:rsid w:val="002A00BF"/>
    <w:rsid w:val="002A6525"/>
    <w:rsid w:val="002B3AE6"/>
    <w:rsid w:val="002B3C2A"/>
    <w:rsid w:val="002C080E"/>
    <w:rsid w:val="002C1C8F"/>
    <w:rsid w:val="002C73CB"/>
    <w:rsid w:val="002D07E6"/>
    <w:rsid w:val="002D08B3"/>
    <w:rsid w:val="002D1E91"/>
    <w:rsid w:val="002D2DFF"/>
    <w:rsid w:val="002D3038"/>
    <w:rsid w:val="002D54A9"/>
    <w:rsid w:val="002D5732"/>
    <w:rsid w:val="002D73B1"/>
    <w:rsid w:val="002E0433"/>
    <w:rsid w:val="002E118D"/>
    <w:rsid w:val="002E1273"/>
    <w:rsid w:val="002E1E6C"/>
    <w:rsid w:val="002F27EB"/>
    <w:rsid w:val="002F3083"/>
    <w:rsid w:val="002F3917"/>
    <w:rsid w:val="00310137"/>
    <w:rsid w:val="0031175E"/>
    <w:rsid w:val="00320F70"/>
    <w:rsid w:val="00336052"/>
    <w:rsid w:val="00336F95"/>
    <w:rsid w:val="00336FD9"/>
    <w:rsid w:val="003370AC"/>
    <w:rsid w:val="00337865"/>
    <w:rsid w:val="00337B4F"/>
    <w:rsid w:val="003423ED"/>
    <w:rsid w:val="003479A6"/>
    <w:rsid w:val="00355C4F"/>
    <w:rsid w:val="00361565"/>
    <w:rsid w:val="00362A4D"/>
    <w:rsid w:val="00364C2A"/>
    <w:rsid w:val="00367762"/>
    <w:rsid w:val="003743BC"/>
    <w:rsid w:val="003760BA"/>
    <w:rsid w:val="0037704F"/>
    <w:rsid w:val="00380295"/>
    <w:rsid w:val="00380586"/>
    <w:rsid w:val="003826F6"/>
    <w:rsid w:val="00386296"/>
    <w:rsid w:val="00394B38"/>
    <w:rsid w:val="00395F5B"/>
    <w:rsid w:val="003968A7"/>
    <w:rsid w:val="00396CB2"/>
    <w:rsid w:val="00396FE9"/>
    <w:rsid w:val="00397539"/>
    <w:rsid w:val="003A04DD"/>
    <w:rsid w:val="003A0F74"/>
    <w:rsid w:val="003A26F6"/>
    <w:rsid w:val="003A2C65"/>
    <w:rsid w:val="003A2D21"/>
    <w:rsid w:val="003A4937"/>
    <w:rsid w:val="003A4A05"/>
    <w:rsid w:val="003A6838"/>
    <w:rsid w:val="003A7820"/>
    <w:rsid w:val="003B6285"/>
    <w:rsid w:val="003B7CAA"/>
    <w:rsid w:val="003C038B"/>
    <w:rsid w:val="003C5A91"/>
    <w:rsid w:val="003C5CB8"/>
    <w:rsid w:val="003D17BC"/>
    <w:rsid w:val="003D1EFB"/>
    <w:rsid w:val="003D3BC8"/>
    <w:rsid w:val="003D448D"/>
    <w:rsid w:val="003D6DC2"/>
    <w:rsid w:val="003E0FDB"/>
    <w:rsid w:val="003E752C"/>
    <w:rsid w:val="003F1C1B"/>
    <w:rsid w:val="003F5205"/>
    <w:rsid w:val="003F6E3A"/>
    <w:rsid w:val="00401CBF"/>
    <w:rsid w:val="0040221B"/>
    <w:rsid w:val="00403561"/>
    <w:rsid w:val="00406172"/>
    <w:rsid w:val="00407A74"/>
    <w:rsid w:val="00411F87"/>
    <w:rsid w:val="00412F75"/>
    <w:rsid w:val="0041705F"/>
    <w:rsid w:val="00424490"/>
    <w:rsid w:val="004268EC"/>
    <w:rsid w:val="00426D99"/>
    <w:rsid w:val="00434B15"/>
    <w:rsid w:val="00441E5C"/>
    <w:rsid w:val="00442A47"/>
    <w:rsid w:val="004478FB"/>
    <w:rsid w:val="00447BD9"/>
    <w:rsid w:val="004528EF"/>
    <w:rsid w:val="0045514F"/>
    <w:rsid w:val="004604D8"/>
    <w:rsid w:val="00461441"/>
    <w:rsid w:val="00462ECB"/>
    <w:rsid w:val="00466590"/>
    <w:rsid w:val="004665E2"/>
    <w:rsid w:val="004671E3"/>
    <w:rsid w:val="00480EA3"/>
    <w:rsid w:val="00484A73"/>
    <w:rsid w:val="00485D73"/>
    <w:rsid w:val="00486FBC"/>
    <w:rsid w:val="00490662"/>
    <w:rsid w:val="004917CB"/>
    <w:rsid w:val="00491A2D"/>
    <w:rsid w:val="00491A6D"/>
    <w:rsid w:val="004958F3"/>
    <w:rsid w:val="00496CEC"/>
    <w:rsid w:val="00496F4B"/>
    <w:rsid w:val="004A0904"/>
    <w:rsid w:val="004A1012"/>
    <w:rsid w:val="004A2751"/>
    <w:rsid w:val="004A4C0B"/>
    <w:rsid w:val="004A7F29"/>
    <w:rsid w:val="004B0F8E"/>
    <w:rsid w:val="004B1F19"/>
    <w:rsid w:val="004B22B8"/>
    <w:rsid w:val="004B2C4A"/>
    <w:rsid w:val="004B2FC1"/>
    <w:rsid w:val="004B626C"/>
    <w:rsid w:val="004B6C07"/>
    <w:rsid w:val="004C06E9"/>
    <w:rsid w:val="004C1A15"/>
    <w:rsid w:val="004C32E3"/>
    <w:rsid w:val="004C4E9A"/>
    <w:rsid w:val="004C69D7"/>
    <w:rsid w:val="004C7BC3"/>
    <w:rsid w:val="004D1C10"/>
    <w:rsid w:val="004D2186"/>
    <w:rsid w:val="004E5598"/>
    <w:rsid w:val="004F0BFF"/>
    <w:rsid w:val="004F16BA"/>
    <w:rsid w:val="004F1A1D"/>
    <w:rsid w:val="004F1C66"/>
    <w:rsid w:val="004F39E6"/>
    <w:rsid w:val="004F3A27"/>
    <w:rsid w:val="00500C8A"/>
    <w:rsid w:val="0050184B"/>
    <w:rsid w:val="0050223B"/>
    <w:rsid w:val="0050246E"/>
    <w:rsid w:val="00502A07"/>
    <w:rsid w:val="00504C5A"/>
    <w:rsid w:val="00504CB7"/>
    <w:rsid w:val="005057F9"/>
    <w:rsid w:val="00505DC6"/>
    <w:rsid w:val="0051002D"/>
    <w:rsid w:val="00511FDF"/>
    <w:rsid w:val="00514BB2"/>
    <w:rsid w:val="00515664"/>
    <w:rsid w:val="005159E6"/>
    <w:rsid w:val="00520E89"/>
    <w:rsid w:val="0052165C"/>
    <w:rsid w:val="0052496E"/>
    <w:rsid w:val="00525026"/>
    <w:rsid w:val="005252AD"/>
    <w:rsid w:val="00525317"/>
    <w:rsid w:val="005317E9"/>
    <w:rsid w:val="00531BE1"/>
    <w:rsid w:val="005321D0"/>
    <w:rsid w:val="00535919"/>
    <w:rsid w:val="005430C0"/>
    <w:rsid w:val="00545822"/>
    <w:rsid w:val="00546507"/>
    <w:rsid w:val="00547D16"/>
    <w:rsid w:val="005502C5"/>
    <w:rsid w:val="00556474"/>
    <w:rsid w:val="005577E5"/>
    <w:rsid w:val="00561597"/>
    <w:rsid w:val="005620B8"/>
    <w:rsid w:val="00562DC8"/>
    <w:rsid w:val="00564D82"/>
    <w:rsid w:val="00565DC4"/>
    <w:rsid w:val="00565F81"/>
    <w:rsid w:val="00572949"/>
    <w:rsid w:val="00573C70"/>
    <w:rsid w:val="0057497E"/>
    <w:rsid w:val="00577000"/>
    <w:rsid w:val="00577988"/>
    <w:rsid w:val="00592EE9"/>
    <w:rsid w:val="0059522B"/>
    <w:rsid w:val="005A5CAF"/>
    <w:rsid w:val="005A5F10"/>
    <w:rsid w:val="005A62F6"/>
    <w:rsid w:val="005B3438"/>
    <w:rsid w:val="005B3517"/>
    <w:rsid w:val="005B3D82"/>
    <w:rsid w:val="005B4584"/>
    <w:rsid w:val="005B50D9"/>
    <w:rsid w:val="005B70F2"/>
    <w:rsid w:val="005C0E9F"/>
    <w:rsid w:val="005C15AB"/>
    <w:rsid w:val="005C1B53"/>
    <w:rsid w:val="005C4292"/>
    <w:rsid w:val="005C4494"/>
    <w:rsid w:val="005C4749"/>
    <w:rsid w:val="005C5604"/>
    <w:rsid w:val="005C5F68"/>
    <w:rsid w:val="005D0CF3"/>
    <w:rsid w:val="005D1CAD"/>
    <w:rsid w:val="005D4168"/>
    <w:rsid w:val="005D4BC0"/>
    <w:rsid w:val="005D59E8"/>
    <w:rsid w:val="005D7746"/>
    <w:rsid w:val="005E1789"/>
    <w:rsid w:val="005E190F"/>
    <w:rsid w:val="005E52B9"/>
    <w:rsid w:val="005E5EBA"/>
    <w:rsid w:val="005E61CB"/>
    <w:rsid w:val="005F0516"/>
    <w:rsid w:val="005F2060"/>
    <w:rsid w:val="005F22DE"/>
    <w:rsid w:val="005F3F2E"/>
    <w:rsid w:val="005F4463"/>
    <w:rsid w:val="005F46CA"/>
    <w:rsid w:val="005F5FD5"/>
    <w:rsid w:val="006013BC"/>
    <w:rsid w:val="00604C09"/>
    <w:rsid w:val="00605FBE"/>
    <w:rsid w:val="00615688"/>
    <w:rsid w:val="00617BDA"/>
    <w:rsid w:val="00625EE5"/>
    <w:rsid w:val="006263C3"/>
    <w:rsid w:val="00630D2C"/>
    <w:rsid w:val="00631565"/>
    <w:rsid w:val="00632296"/>
    <w:rsid w:val="00640CBB"/>
    <w:rsid w:val="00644556"/>
    <w:rsid w:val="00645EA6"/>
    <w:rsid w:val="00646694"/>
    <w:rsid w:val="0065651A"/>
    <w:rsid w:val="00660DEF"/>
    <w:rsid w:val="00660EC6"/>
    <w:rsid w:val="006638B1"/>
    <w:rsid w:val="00670A5F"/>
    <w:rsid w:val="0067499F"/>
    <w:rsid w:val="006758EC"/>
    <w:rsid w:val="00682940"/>
    <w:rsid w:val="00683F94"/>
    <w:rsid w:val="006859B1"/>
    <w:rsid w:val="00686155"/>
    <w:rsid w:val="0068789D"/>
    <w:rsid w:val="00687973"/>
    <w:rsid w:val="00691607"/>
    <w:rsid w:val="00691E45"/>
    <w:rsid w:val="00694886"/>
    <w:rsid w:val="0069739B"/>
    <w:rsid w:val="006A58D3"/>
    <w:rsid w:val="006A5B43"/>
    <w:rsid w:val="006A5E02"/>
    <w:rsid w:val="006A6C4F"/>
    <w:rsid w:val="006B2D7A"/>
    <w:rsid w:val="006B4E50"/>
    <w:rsid w:val="006B6B06"/>
    <w:rsid w:val="006B7ED8"/>
    <w:rsid w:val="006C10DB"/>
    <w:rsid w:val="006C3B7E"/>
    <w:rsid w:val="006C5D62"/>
    <w:rsid w:val="006C678A"/>
    <w:rsid w:val="006D2ABF"/>
    <w:rsid w:val="006D3251"/>
    <w:rsid w:val="006D60D0"/>
    <w:rsid w:val="006D6B44"/>
    <w:rsid w:val="006D6F09"/>
    <w:rsid w:val="006D71DC"/>
    <w:rsid w:val="006E0E75"/>
    <w:rsid w:val="006E3838"/>
    <w:rsid w:val="006E3A06"/>
    <w:rsid w:val="006E463D"/>
    <w:rsid w:val="006E4EED"/>
    <w:rsid w:val="006E6456"/>
    <w:rsid w:val="006E6879"/>
    <w:rsid w:val="006F0091"/>
    <w:rsid w:val="006F086A"/>
    <w:rsid w:val="006F209A"/>
    <w:rsid w:val="006F5A29"/>
    <w:rsid w:val="006F7449"/>
    <w:rsid w:val="007015BA"/>
    <w:rsid w:val="00703C33"/>
    <w:rsid w:val="0070620E"/>
    <w:rsid w:val="007063AF"/>
    <w:rsid w:val="00706D8A"/>
    <w:rsid w:val="007115A9"/>
    <w:rsid w:val="00712A01"/>
    <w:rsid w:val="00713383"/>
    <w:rsid w:val="0072700C"/>
    <w:rsid w:val="007305EB"/>
    <w:rsid w:val="00731F84"/>
    <w:rsid w:val="00733CDE"/>
    <w:rsid w:val="00733E08"/>
    <w:rsid w:val="00734322"/>
    <w:rsid w:val="00737CC8"/>
    <w:rsid w:val="00742F70"/>
    <w:rsid w:val="00742FAE"/>
    <w:rsid w:val="00745B73"/>
    <w:rsid w:val="00752074"/>
    <w:rsid w:val="00753EEE"/>
    <w:rsid w:val="00755B8B"/>
    <w:rsid w:val="00761464"/>
    <w:rsid w:val="0076251F"/>
    <w:rsid w:val="00762DBD"/>
    <w:rsid w:val="00764085"/>
    <w:rsid w:val="007666C7"/>
    <w:rsid w:val="00767413"/>
    <w:rsid w:val="00773985"/>
    <w:rsid w:val="00773A69"/>
    <w:rsid w:val="00774A59"/>
    <w:rsid w:val="00774B24"/>
    <w:rsid w:val="007753C5"/>
    <w:rsid w:val="00777391"/>
    <w:rsid w:val="007802C2"/>
    <w:rsid w:val="00782B02"/>
    <w:rsid w:val="007945CB"/>
    <w:rsid w:val="00795703"/>
    <w:rsid w:val="007A02B4"/>
    <w:rsid w:val="007A1699"/>
    <w:rsid w:val="007A1909"/>
    <w:rsid w:val="007A1A85"/>
    <w:rsid w:val="007A320B"/>
    <w:rsid w:val="007A3852"/>
    <w:rsid w:val="007A3BD3"/>
    <w:rsid w:val="007A4618"/>
    <w:rsid w:val="007A578D"/>
    <w:rsid w:val="007A6886"/>
    <w:rsid w:val="007A6C25"/>
    <w:rsid w:val="007B17E9"/>
    <w:rsid w:val="007B2279"/>
    <w:rsid w:val="007B6084"/>
    <w:rsid w:val="007C1364"/>
    <w:rsid w:val="007C1866"/>
    <w:rsid w:val="007C49E3"/>
    <w:rsid w:val="007C5876"/>
    <w:rsid w:val="007D14D5"/>
    <w:rsid w:val="007D2128"/>
    <w:rsid w:val="007D6F6A"/>
    <w:rsid w:val="007E0C7B"/>
    <w:rsid w:val="007E17C6"/>
    <w:rsid w:val="007E3D61"/>
    <w:rsid w:val="007E4594"/>
    <w:rsid w:val="007E71A4"/>
    <w:rsid w:val="007E7FEF"/>
    <w:rsid w:val="007F2B92"/>
    <w:rsid w:val="007F3D73"/>
    <w:rsid w:val="007F6748"/>
    <w:rsid w:val="007F759E"/>
    <w:rsid w:val="007F7E35"/>
    <w:rsid w:val="00801276"/>
    <w:rsid w:val="00801738"/>
    <w:rsid w:val="008055E0"/>
    <w:rsid w:val="00810216"/>
    <w:rsid w:val="008138C2"/>
    <w:rsid w:val="00814670"/>
    <w:rsid w:val="0081619B"/>
    <w:rsid w:val="00820152"/>
    <w:rsid w:val="008207C5"/>
    <w:rsid w:val="00822246"/>
    <w:rsid w:val="00822643"/>
    <w:rsid w:val="008271C9"/>
    <w:rsid w:val="00837834"/>
    <w:rsid w:val="00844441"/>
    <w:rsid w:val="00844D7C"/>
    <w:rsid w:val="008460EE"/>
    <w:rsid w:val="00846E43"/>
    <w:rsid w:val="00847A8E"/>
    <w:rsid w:val="00850C45"/>
    <w:rsid w:val="00852A39"/>
    <w:rsid w:val="00853C65"/>
    <w:rsid w:val="00855A4E"/>
    <w:rsid w:val="0086052F"/>
    <w:rsid w:val="00861A0B"/>
    <w:rsid w:val="0086606A"/>
    <w:rsid w:val="008669C0"/>
    <w:rsid w:val="00873B12"/>
    <w:rsid w:val="00876CC4"/>
    <w:rsid w:val="00883DE9"/>
    <w:rsid w:val="00884038"/>
    <w:rsid w:val="00890AC2"/>
    <w:rsid w:val="00892550"/>
    <w:rsid w:val="00897C09"/>
    <w:rsid w:val="008B0B96"/>
    <w:rsid w:val="008B2485"/>
    <w:rsid w:val="008B4999"/>
    <w:rsid w:val="008B7BB1"/>
    <w:rsid w:val="008C0A5D"/>
    <w:rsid w:val="008C25F0"/>
    <w:rsid w:val="008D1355"/>
    <w:rsid w:val="008D2D91"/>
    <w:rsid w:val="008D4600"/>
    <w:rsid w:val="008D47D8"/>
    <w:rsid w:val="008D6A70"/>
    <w:rsid w:val="008D6D37"/>
    <w:rsid w:val="008F611A"/>
    <w:rsid w:val="00900F85"/>
    <w:rsid w:val="00901E8E"/>
    <w:rsid w:val="009040E3"/>
    <w:rsid w:val="00904455"/>
    <w:rsid w:val="0090548E"/>
    <w:rsid w:val="00906067"/>
    <w:rsid w:val="009074BB"/>
    <w:rsid w:val="0091265A"/>
    <w:rsid w:val="009127B0"/>
    <w:rsid w:val="00912F5D"/>
    <w:rsid w:val="00913923"/>
    <w:rsid w:val="0091589F"/>
    <w:rsid w:val="00921FE0"/>
    <w:rsid w:val="00922E4C"/>
    <w:rsid w:val="009241FB"/>
    <w:rsid w:val="0092447A"/>
    <w:rsid w:val="009255B8"/>
    <w:rsid w:val="009266F3"/>
    <w:rsid w:val="00931C69"/>
    <w:rsid w:val="00935242"/>
    <w:rsid w:val="00935B2B"/>
    <w:rsid w:val="009360D1"/>
    <w:rsid w:val="00937B77"/>
    <w:rsid w:val="009446B5"/>
    <w:rsid w:val="0094564E"/>
    <w:rsid w:val="009507F6"/>
    <w:rsid w:val="009535D4"/>
    <w:rsid w:val="00957449"/>
    <w:rsid w:val="00960ACA"/>
    <w:rsid w:val="00962C63"/>
    <w:rsid w:val="00963DE5"/>
    <w:rsid w:val="00965A7A"/>
    <w:rsid w:val="00966329"/>
    <w:rsid w:val="009724AF"/>
    <w:rsid w:val="00973A54"/>
    <w:rsid w:val="009740D8"/>
    <w:rsid w:val="00977F5D"/>
    <w:rsid w:val="00981C0A"/>
    <w:rsid w:val="00981CED"/>
    <w:rsid w:val="009828A5"/>
    <w:rsid w:val="00983736"/>
    <w:rsid w:val="00984E2A"/>
    <w:rsid w:val="009850EE"/>
    <w:rsid w:val="009878B3"/>
    <w:rsid w:val="00987D38"/>
    <w:rsid w:val="00991866"/>
    <w:rsid w:val="00994CC0"/>
    <w:rsid w:val="00995A4C"/>
    <w:rsid w:val="009A2D55"/>
    <w:rsid w:val="009A3C33"/>
    <w:rsid w:val="009A4823"/>
    <w:rsid w:val="009A532B"/>
    <w:rsid w:val="009B072E"/>
    <w:rsid w:val="009B0DE2"/>
    <w:rsid w:val="009B1A48"/>
    <w:rsid w:val="009B3727"/>
    <w:rsid w:val="009B3DE2"/>
    <w:rsid w:val="009B41E9"/>
    <w:rsid w:val="009C3AEA"/>
    <w:rsid w:val="009C58A3"/>
    <w:rsid w:val="009C607B"/>
    <w:rsid w:val="009C6CD0"/>
    <w:rsid w:val="009D254B"/>
    <w:rsid w:val="009E12C0"/>
    <w:rsid w:val="009E159F"/>
    <w:rsid w:val="009E436C"/>
    <w:rsid w:val="009E661D"/>
    <w:rsid w:val="009F0E0D"/>
    <w:rsid w:val="00A00FF0"/>
    <w:rsid w:val="00A02371"/>
    <w:rsid w:val="00A11731"/>
    <w:rsid w:val="00A122FD"/>
    <w:rsid w:val="00A12EB6"/>
    <w:rsid w:val="00A13E28"/>
    <w:rsid w:val="00A147CA"/>
    <w:rsid w:val="00A22761"/>
    <w:rsid w:val="00A229FA"/>
    <w:rsid w:val="00A25E6D"/>
    <w:rsid w:val="00A30150"/>
    <w:rsid w:val="00A3369B"/>
    <w:rsid w:val="00A3470A"/>
    <w:rsid w:val="00A40BE0"/>
    <w:rsid w:val="00A41F89"/>
    <w:rsid w:val="00A42382"/>
    <w:rsid w:val="00A429F3"/>
    <w:rsid w:val="00A4417A"/>
    <w:rsid w:val="00A44A27"/>
    <w:rsid w:val="00A47535"/>
    <w:rsid w:val="00A50C05"/>
    <w:rsid w:val="00A51C46"/>
    <w:rsid w:val="00A5219E"/>
    <w:rsid w:val="00A5280E"/>
    <w:rsid w:val="00A534E5"/>
    <w:rsid w:val="00A5621B"/>
    <w:rsid w:val="00A60058"/>
    <w:rsid w:val="00A667D9"/>
    <w:rsid w:val="00A66CD4"/>
    <w:rsid w:val="00A70F15"/>
    <w:rsid w:val="00A83134"/>
    <w:rsid w:val="00A848F3"/>
    <w:rsid w:val="00A84BF2"/>
    <w:rsid w:val="00A87A6C"/>
    <w:rsid w:val="00A9207D"/>
    <w:rsid w:val="00A9350F"/>
    <w:rsid w:val="00A96AC8"/>
    <w:rsid w:val="00A97925"/>
    <w:rsid w:val="00A97C8A"/>
    <w:rsid w:val="00AA19D6"/>
    <w:rsid w:val="00AA256E"/>
    <w:rsid w:val="00AA37E6"/>
    <w:rsid w:val="00AA431D"/>
    <w:rsid w:val="00AA5725"/>
    <w:rsid w:val="00AB01C0"/>
    <w:rsid w:val="00AB2DD1"/>
    <w:rsid w:val="00AB2ED7"/>
    <w:rsid w:val="00AB41B0"/>
    <w:rsid w:val="00AB5D5C"/>
    <w:rsid w:val="00AC1164"/>
    <w:rsid w:val="00AC3D7D"/>
    <w:rsid w:val="00AC4AC4"/>
    <w:rsid w:val="00AC6C3A"/>
    <w:rsid w:val="00AC743E"/>
    <w:rsid w:val="00AD4F6F"/>
    <w:rsid w:val="00AD5849"/>
    <w:rsid w:val="00AD7DC9"/>
    <w:rsid w:val="00AE0A25"/>
    <w:rsid w:val="00AE0C40"/>
    <w:rsid w:val="00AE301A"/>
    <w:rsid w:val="00AF25E1"/>
    <w:rsid w:val="00AF7ED2"/>
    <w:rsid w:val="00B01B42"/>
    <w:rsid w:val="00B02805"/>
    <w:rsid w:val="00B0477F"/>
    <w:rsid w:val="00B04877"/>
    <w:rsid w:val="00B07272"/>
    <w:rsid w:val="00B121EC"/>
    <w:rsid w:val="00B22B6F"/>
    <w:rsid w:val="00B23E35"/>
    <w:rsid w:val="00B255E3"/>
    <w:rsid w:val="00B26D60"/>
    <w:rsid w:val="00B26EC0"/>
    <w:rsid w:val="00B27D05"/>
    <w:rsid w:val="00B32182"/>
    <w:rsid w:val="00B34723"/>
    <w:rsid w:val="00B3584B"/>
    <w:rsid w:val="00B36642"/>
    <w:rsid w:val="00B3717E"/>
    <w:rsid w:val="00B5684D"/>
    <w:rsid w:val="00B57029"/>
    <w:rsid w:val="00B57C2D"/>
    <w:rsid w:val="00B61460"/>
    <w:rsid w:val="00B62885"/>
    <w:rsid w:val="00B64D4C"/>
    <w:rsid w:val="00B6575B"/>
    <w:rsid w:val="00B7183A"/>
    <w:rsid w:val="00B7220A"/>
    <w:rsid w:val="00B7286B"/>
    <w:rsid w:val="00B81A20"/>
    <w:rsid w:val="00B828EE"/>
    <w:rsid w:val="00B87FCE"/>
    <w:rsid w:val="00B9149B"/>
    <w:rsid w:val="00B915A9"/>
    <w:rsid w:val="00B915F9"/>
    <w:rsid w:val="00B91EEC"/>
    <w:rsid w:val="00B955EB"/>
    <w:rsid w:val="00BA1124"/>
    <w:rsid w:val="00BA337C"/>
    <w:rsid w:val="00BB179B"/>
    <w:rsid w:val="00BB200C"/>
    <w:rsid w:val="00BB30C7"/>
    <w:rsid w:val="00BC6676"/>
    <w:rsid w:val="00BC6D0D"/>
    <w:rsid w:val="00BD1977"/>
    <w:rsid w:val="00BD24F9"/>
    <w:rsid w:val="00BE0EC9"/>
    <w:rsid w:val="00BE1CF0"/>
    <w:rsid w:val="00BE3185"/>
    <w:rsid w:val="00BE5C07"/>
    <w:rsid w:val="00BE6D49"/>
    <w:rsid w:val="00BF0502"/>
    <w:rsid w:val="00BF23ED"/>
    <w:rsid w:val="00BF54EA"/>
    <w:rsid w:val="00BF6BBA"/>
    <w:rsid w:val="00BF6E84"/>
    <w:rsid w:val="00C01E42"/>
    <w:rsid w:val="00C0693C"/>
    <w:rsid w:val="00C13BDA"/>
    <w:rsid w:val="00C14346"/>
    <w:rsid w:val="00C161A9"/>
    <w:rsid w:val="00C16709"/>
    <w:rsid w:val="00C1761C"/>
    <w:rsid w:val="00C17ECC"/>
    <w:rsid w:val="00C242F9"/>
    <w:rsid w:val="00C27892"/>
    <w:rsid w:val="00C305DB"/>
    <w:rsid w:val="00C31244"/>
    <w:rsid w:val="00C36283"/>
    <w:rsid w:val="00C372BE"/>
    <w:rsid w:val="00C4095D"/>
    <w:rsid w:val="00C41815"/>
    <w:rsid w:val="00C61514"/>
    <w:rsid w:val="00C62D93"/>
    <w:rsid w:val="00C6484F"/>
    <w:rsid w:val="00C71F26"/>
    <w:rsid w:val="00C72EA2"/>
    <w:rsid w:val="00C763E4"/>
    <w:rsid w:val="00C8294E"/>
    <w:rsid w:val="00C8387B"/>
    <w:rsid w:val="00C90BA2"/>
    <w:rsid w:val="00C92858"/>
    <w:rsid w:val="00C9376A"/>
    <w:rsid w:val="00C965D6"/>
    <w:rsid w:val="00CA14F3"/>
    <w:rsid w:val="00CA3849"/>
    <w:rsid w:val="00CA6546"/>
    <w:rsid w:val="00CB2F27"/>
    <w:rsid w:val="00CB6AF8"/>
    <w:rsid w:val="00CC3C85"/>
    <w:rsid w:val="00CC5B65"/>
    <w:rsid w:val="00CC691F"/>
    <w:rsid w:val="00CD5655"/>
    <w:rsid w:val="00CD7DB0"/>
    <w:rsid w:val="00CE2496"/>
    <w:rsid w:val="00CF2A1D"/>
    <w:rsid w:val="00CF7DB5"/>
    <w:rsid w:val="00D03388"/>
    <w:rsid w:val="00D05B3A"/>
    <w:rsid w:val="00D05B9E"/>
    <w:rsid w:val="00D07370"/>
    <w:rsid w:val="00D1291B"/>
    <w:rsid w:val="00D12FB7"/>
    <w:rsid w:val="00D13AD6"/>
    <w:rsid w:val="00D1491C"/>
    <w:rsid w:val="00D162D5"/>
    <w:rsid w:val="00D16822"/>
    <w:rsid w:val="00D21169"/>
    <w:rsid w:val="00D22E18"/>
    <w:rsid w:val="00D260E1"/>
    <w:rsid w:val="00D31E9B"/>
    <w:rsid w:val="00D32407"/>
    <w:rsid w:val="00D36280"/>
    <w:rsid w:val="00D40347"/>
    <w:rsid w:val="00D41218"/>
    <w:rsid w:val="00D4282B"/>
    <w:rsid w:val="00D431B2"/>
    <w:rsid w:val="00D43E64"/>
    <w:rsid w:val="00D459B9"/>
    <w:rsid w:val="00D4644C"/>
    <w:rsid w:val="00D46E40"/>
    <w:rsid w:val="00D47F05"/>
    <w:rsid w:val="00D52901"/>
    <w:rsid w:val="00D530A3"/>
    <w:rsid w:val="00D53F20"/>
    <w:rsid w:val="00D553D9"/>
    <w:rsid w:val="00D56826"/>
    <w:rsid w:val="00D6006E"/>
    <w:rsid w:val="00D61A5A"/>
    <w:rsid w:val="00D7539F"/>
    <w:rsid w:val="00D75B68"/>
    <w:rsid w:val="00D815BC"/>
    <w:rsid w:val="00D818D2"/>
    <w:rsid w:val="00D84448"/>
    <w:rsid w:val="00D84DE4"/>
    <w:rsid w:val="00D86C6A"/>
    <w:rsid w:val="00D86CD2"/>
    <w:rsid w:val="00D91EF7"/>
    <w:rsid w:val="00D933D7"/>
    <w:rsid w:val="00D94073"/>
    <w:rsid w:val="00DA1181"/>
    <w:rsid w:val="00DA30C3"/>
    <w:rsid w:val="00DA4D1B"/>
    <w:rsid w:val="00DB06BA"/>
    <w:rsid w:val="00DB5CFF"/>
    <w:rsid w:val="00DB5DB1"/>
    <w:rsid w:val="00DB6C4F"/>
    <w:rsid w:val="00DC18C5"/>
    <w:rsid w:val="00DC2C12"/>
    <w:rsid w:val="00DD4F37"/>
    <w:rsid w:val="00DD7661"/>
    <w:rsid w:val="00DD790B"/>
    <w:rsid w:val="00DE10C3"/>
    <w:rsid w:val="00DE593B"/>
    <w:rsid w:val="00DE6C62"/>
    <w:rsid w:val="00DF0773"/>
    <w:rsid w:val="00DF3508"/>
    <w:rsid w:val="00E003F4"/>
    <w:rsid w:val="00E00825"/>
    <w:rsid w:val="00E11289"/>
    <w:rsid w:val="00E13047"/>
    <w:rsid w:val="00E162B3"/>
    <w:rsid w:val="00E1726A"/>
    <w:rsid w:val="00E17C88"/>
    <w:rsid w:val="00E20A90"/>
    <w:rsid w:val="00E21DA2"/>
    <w:rsid w:val="00E24A38"/>
    <w:rsid w:val="00E30D6A"/>
    <w:rsid w:val="00E31184"/>
    <w:rsid w:val="00E313F4"/>
    <w:rsid w:val="00E32A89"/>
    <w:rsid w:val="00E334EE"/>
    <w:rsid w:val="00E369BB"/>
    <w:rsid w:val="00E3768C"/>
    <w:rsid w:val="00E43923"/>
    <w:rsid w:val="00E445AF"/>
    <w:rsid w:val="00E45464"/>
    <w:rsid w:val="00E45E03"/>
    <w:rsid w:val="00E47012"/>
    <w:rsid w:val="00E471F2"/>
    <w:rsid w:val="00E50ED3"/>
    <w:rsid w:val="00E5511A"/>
    <w:rsid w:val="00E65909"/>
    <w:rsid w:val="00E66CB0"/>
    <w:rsid w:val="00E672A0"/>
    <w:rsid w:val="00E720A8"/>
    <w:rsid w:val="00E7579F"/>
    <w:rsid w:val="00E7602A"/>
    <w:rsid w:val="00E76250"/>
    <w:rsid w:val="00E81458"/>
    <w:rsid w:val="00E81660"/>
    <w:rsid w:val="00E8315D"/>
    <w:rsid w:val="00E83698"/>
    <w:rsid w:val="00E857D9"/>
    <w:rsid w:val="00E8629F"/>
    <w:rsid w:val="00E947EC"/>
    <w:rsid w:val="00E97A16"/>
    <w:rsid w:val="00EA0C42"/>
    <w:rsid w:val="00EA4934"/>
    <w:rsid w:val="00EA4B15"/>
    <w:rsid w:val="00EA586E"/>
    <w:rsid w:val="00EB01C3"/>
    <w:rsid w:val="00EB643A"/>
    <w:rsid w:val="00EB6A48"/>
    <w:rsid w:val="00EC0167"/>
    <w:rsid w:val="00EC3C27"/>
    <w:rsid w:val="00ED0855"/>
    <w:rsid w:val="00ED3398"/>
    <w:rsid w:val="00ED5039"/>
    <w:rsid w:val="00EE0F31"/>
    <w:rsid w:val="00EE1819"/>
    <w:rsid w:val="00EE4B8E"/>
    <w:rsid w:val="00EE4BF3"/>
    <w:rsid w:val="00EE7053"/>
    <w:rsid w:val="00EE7B57"/>
    <w:rsid w:val="00EF0708"/>
    <w:rsid w:val="00EF196A"/>
    <w:rsid w:val="00EF3622"/>
    <w:rsid w:val="00EF589B"/>
    <w:rsid w:val="00F01119"/>
    <w:rsid w:val="00F02695"/>
    <w:rsid w:val="00F03543"/>
    <w:rsid w:val="00F03CDF"/>
    <w:rsid w:val="00F05C94"/>
    <w:rsid w:val="00F05CC8"/>
    <w:rsid w:val="00F161A8"/>
    <w:rsid w:val="00F17CCD"/>
    <w:rsid w:val="00F209F4"/>
    <w:rsid w:val="00F20DBE"/>
    <w:rsid w:val="00F22EA7"/>
    <w:rsid w:val="00F24007"/>
    <w:rsid w:val="00F27455"/>
    <w:rsid w:val="00F30B76"/>
    <w:rsid w:val="00F30F13"/>
    <w:rsid w:val="00F31F4C"/>
    <w:rsid w:val="00F33DCC"/>
    <w:rsid w:val="00F35E6E"/>
    <w:rsid w:val="00F36984"/>
    <w:rsid w:val="00F52A81"/>
    <w:rsid w:val="00F53720"/>
    <w:rsid w:val="00F54998"/>
    <w:rsid w:val="00F56B4E"/>
    <w:rsid w:val="00F56BD2"/>
    <w:rsid w:val="00F5792F"/>
    <w:rsid w:val="00F6061C"/>
    <w:rsid w:val="00F60E00"/>
    <w:rsid w:val="00F73175"/>
    <w:rsid w:val="00F7460E"/>
    <w:rsid w:val="00F74DDA"/>
    <w:rsid w:val="00F758E8"/>
    <w:rsid w:val="00F81414"/>
    <w:rsid w:val="00F815A0"/>
    <w:rsid w:val="00F84D40"/>
    <w:rsid w:val="00F86A52"/>
    <w:rsid w:val="00F8724F"/>
    <w:rsid w:val="00F91676"/>
    <w:rsid w:val="00F9707A"/>
    <w:rsid w:val="00FA08DC"/>
    <w:rsid w:val="00FA34F3"/>
    <w:rsid w:val="00FA3BBB"/>
    <w:rsid w:val="00FA57A9"/>
    <w:rsid w:val="00FB3302"/>
    <w:rsid w:val="00FB508F"/>
    <w:rsid w:val="00FB78B9"/>
    <w:rsid w:val="00FB7CB4"/>
    <w:rsid w:val="00FC000D"/>
    <w:rsid w:val="00FC06E5"/>
    <w:rsid w:val="00FC4A32"/>
    <w:rsid w:val="00FC4DF9"/>
    <w:rsid w:val="00FC7158"/>
    <w:rsid w:val="00FD014C"/>
    <w:rsid w:val="00FD52B2"/>
    <w:rsid w:val="00FD5923"/>
    <w:rsid w:val="00FD63EE"/>
    <w:rsid w:val="00FD7984"/>
    <w:rsid w:val="00FE06E6"/>
    <w:rsid w:val="00FE122E"/>
    <w:rsid w:val="00FE4C69"/>
    <w:rsid w:val="00FE728C"/>
    <w:rsid w:val="00FF25F7"/>
    <w:rsid w:val="00FF3F2F"/>
    <w:rsid w:val="00FF40BF"/>
    <w:rsid w:val="00FF53F3"/>
    <w:rsid w:val="00FF5BF9"/>
    <w:rsid w:val="00FF6E41"/>
    <w:rsid w:val="00FF735A"/>
    <w:rsid w:val="00FF7B74"/>
    <w:rsid w:val="13E89840"/>
    <w:rsid w:val="1F053856"/>
    <w:rsid w:val="46CC0659"/>
    <w:rsid w:val="55328D76"/>
    <w:rsid w:val="63F1A4FD"/>
    <w:rsid w:val="6944AC9E"/>
    <w:rsid w:val="73F657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482DE"/>
  <w14:defaultImageDpi w14:val="0"/>
  <w15:docId w15:val="{17FCBF7C-2315-4ED9-B3E7-73A646DC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460"/>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Heading1">
    <w:name w:val="heading 1"/>
    <w:basedOn w:val="Normal"/>
    <w:link w:val="Heading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paragraph" w:styleId="Heading2">
    <w:name w:val="heading 2"/>
    <w:basedOn w:val="Normal"/>
    <w:next w:val="Normal"/>
    <w:link w:val="Heading2Char"/>
    <w:uiPriority w:val="9"/>
    <w:semiHidden/>
    <w:unhideWhenUsed/>
    <w:qFormat/>
    <w:rsid w:val="00761464"/>
    <w:pPr>
      <w:keepNext/>
      <w:keepLines/>
      <w:spacing w:before="40"/>
      <w:outlineLvl w:val="1"/>
    </w:pPr>
    <w:rPr>
      <w:rFonts w:asciiTheme="majorHAnsi" w:eastAsiaTheme="majorEastAsia" w:hAnsiTheme="majorHAnsi"/>
      <w:color w:val="365F91" w:themeColor="accent1" w:themeShade="BF"/>
      <w:sz w:val="26"/>
      <w:szCs w:val="23"/>
    </w:rPr>
  </w:style>
  <w:style w:type="paragraph" w:styleId="Heading3">
    <w:name w:val="heading 3"/>
    <w:basedOn w:val="Normal"/>
    <w:next w:val="Normal"/>
    <w:link w:val="Heading3Char"/>
    <w:uiPriority w:val="9"/>
    <w:semiHidden/>
    <w:unhideWhenUsed/>
    <w:qFormat/>
    <w:rsid w:val="00762DBD"/>
    <w:pPr>
      <w:keepNext/>
      <w:keepLines/>
      <w:spacing w:before="40"/>
      <w:outlineLvl w:val="2"/>
    </w:pPr>
    <w:rPr>
      <w:rFonts w:asciiTheme="majorHAnsi" w:eastAsiaTheme="majorEastAsia" w:hAnsiTheme="majorHAnsi"/>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7622F"/>
    <w:rPr>
      <w:rFonts w:ascii="Times New Roman" w:hAnsi="Times New Roman" w:cs="Times New Roman"/>
      <w:b/>
      <w:bCs/>
      <w:kern w:val="36"/>
      <w:sz w:val="48"/>
      <w:szCs w:val="48"/>
      <w:lang w:val="en-US" w:eastAsia="x-none"/>
    </w:rPr>
  </w:style>
  <w:style w:type="character" w:customStyle="1" w:styleId="Heading3Char">
    <w:name w:val="Heading 3 Char"/>
    <w:basedOn w:val="DefaultParagraphFont"/>
    <w:link w:val="Heading3"/>
    <w:uiPriority w:val="9"/>
    <w:semiHidden/>
    <w:locked/>
    <w:rsid w:val="00762DBD"/>
    <w:rPr>
      <w:rFonts w:asciiTheme="majorHAnsi" w:eastAsiaTheme="majorEastAsia" w:hAnsiTheme="majorHAnsi" w:cs="Mangal"/>
      <w:color w:val="243F60" w:themeColor="accent1" w:themeShade="7F"/>
      <w:kern w:val="1"/>
      <w:sz w:val="21"/>
      <w:szCs w:val="21"/>
      <w:lang w:val="x-none" w:eastAsia="hi-IN" w:bidi="hi-IN"/>
    </w:rPr>
  </w:style>
  <w:style w:type="table" w:styleId="TableGrid">
    <w:name w:val="Table Grid"/>
    <w:basedOn w:val="TableNormal"/>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0548E"/>
    <w:rPr>
      <w:rFonts w:cs="Times New Roman"/>
      <w:color w:val="0000FF"/>
      <w:u w:val="single"/>
    </w:rPr>
  </w:style>
  <w:style w:type="paragraph" w:styleId="Footer">
    <w:name w:val="footer"/>
    <w:basedOn w:val="Normal"/>
    <w:link w:val="Footer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FooterChar">
    <w:name w:val="Footer Char"/>
    <w:basedOn w:val="DefaultParagraphFont"/>
    <w:link w:val="Footer"/>
    <w:uiPriority w:val="99"/>
    <w:locked/>
    <w:rsid w:val="0090548E"/>
    <w:rPr>
      <w:rFonts w:ascii="Arial" w:hAnsi="Arial" w:cs="Arial"/>
      <w:sz w:val="20"/>
      <w:szCs w:val="20"/>
      <w:lang w:val="x-none" w:eastAsia="sk-SK"/>
    </w:rPr>
  </w:style>
  <w:style w:type="character" w:styleId="PageNumber">
    <w:name w:val="page number"/>
    <w:basedOn w:val="DefaultParagraphFont"/>
    <w:uiPriority w:val="99"/>
    <w:rsid w:val="0090548E"/>
    <w:rPr>
      <w:rFonts w:cs="Times New Roman"/>
    </w:rPr>
  </w:style>
  <w:style w:type="paragraph" w:styleId="Header">
    <w:name w:val="header"/>
    <w:basedOn w:val="Normal"/>
    <w:link w:val="HeaderChar"/>
    <w:uiPriority w:val="99"/>
    <w:unhideWhenUsed/>
    <w:rsid w:val="0090548E"/>
    <w:pPr>
      <w:tabs>
        <w:tab w:val="center" w:pos="4536"/>
        <w:tab w:val="right" w:pos="9072"/>
      </w:tabs>
    </w:pPr>
    <w:rPr>
      <w:szCs w:val="21"/>
    </w:rPr>
  </w:style>
  <w:style w:type="character" w:customStyle="1" w:styleId="HeaderChar">
    <w:name w:val="Header Char"/>
    <w:basedOn w:val="DefaultParagraphFont"/>
    <w:link w:val="Header"/>
    <w:uiPriority w:val="99"/>
    <w:locked/>
    <w:rsid w:val="0090548E"/>
    <w:rPr>
      <w:rFonts w:ascii="Times New Roman" w:eastAsia="SimSun" w:hAnsi="Times New Roman" w:cs="Mangal"/>
      <w:kern w:val="1"/>
      <w:sz w:val="21"/>
      <w:szCs w:val="21"/>
      <w:lang w:val="x-none" w:eastAsia="hi-IN" w:bidi="hi-IN"/>
    </w:rPr>
  </w:style>
  <w:style w:type="paragraph" w:styleId="NormalWeb">
    <w:name w:val="Normal (Web)"/>
    <w:aliases w:val="webb"/>
    <w:basedOn w:val="Normal"/>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FootnoteText">
    <w:name w:val="footnote text"/>
    <w:aliases w:val="Fußnotentext Char,Footnote Text Char3 Char,Footnote Text Char1 Char1 Char,Footnote Text Char2 Char Char Char,Footnote Text Char1 Char1 Char Char Char,Footnote Text Char2 Char Char Char Char Char,Fußnotentext Char1,Plonk"/>
    <w:basedOn w:val="Normal"/>
    <w:link w:val="FootnoteTextChar"/>
    <w:unhideWhenUsed/>
    <w:rsid w:val="0017622F"/>
    <w:pPr>
      <w:widowControl/>
      <w:suppressAutoHyphens w:val="0"/>
    </w:pPr>
    <w:rPr>
      <w:rFonts w:eastAsia="Times New Roman" w:cs="Times New Roman"/>
      <w:kern w:val="0"/>
      <w:sz w:val="20"/>
      <w:szCs w:val="20"/>
      <w:lang w:eastAsia="sk-SK" w:bidi="ar-SA"/>
    </w:rPr>
  </w:style>
  <w:style w:type="character" w:customStyle="1" w:styleId="FootnoteTextChar">
    <w:name w:val="Footnote Text Char"/>
    <w:aliases w:val="Fußnotentext Char Char,Footnote Text Char3 Char Char,Footnote Text Char1 Char1 Char Char,Footnote Text Char2 Char Char Char Char,Footnote Text Char1 Char1 Char Char Char Char,Footnote Text Char2 Char Char Char Char Char Char"/>
    <w:basedOn w:val="DefaultParagraphFont"/>
    <w:link w:val="FootnoteText"/>
    <w:uiPriority w:val="99"/>
    <w:locked/>
    <w:rsid w:val="0017622F"/>
    <w:rPr>
      <w:rFonts w:ascii="Times New Roman" w:hAnsi="Times New Roman" w:cs="Times New Roman"/>
      <w:sz w:val="20"/>
      <w:szCs w:val="20"/>
      <w:lang w:val="x-none" w:eastAsia="sk-SK"/>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
    <w:basedOn w:val="DefaultParagraphFont"/>
    <w:link w:val="Char2"/>
    <w:unhideWhenUsed/>
    <w:qFormat/>
    <w:rsid w:val="0017622F"/>
    <w:rPr>
      <w:rFonts w:cs="Times New Roman"/>
      <w:vertAlign w:val="superscript"/>
    </w:rPr>
  </w:style>
  <w:style w:type="character" w:customStyle="1" w:styleId="apple-converted-space">
    <w:name w:val="apple-converted-space"/>
    <w:basedOn w:val="DefaultParagraphFont"/>
    <w:rsid w:val="0017622F"/>
    <w:rPr>
      <w:rFonts w:cs="Times New Roman"/>
    </w:rPr>
  </w:style>
  <w:style w:type="character" w:customStyle="1" w:styleId="h1a">
    <w:name w:val="h1a"/>
    <w:basedOn w:val="DefaultParagraphFont"/>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ListParagraph">
    <w:name w:val="List Paragraph"/>
    <w:aliases w:val="Nad,Odstavec_muj,Conclusion de partie,_Odstavec se seznamem,Seznam - odrážky,Odstavec cíl se seznamem,Odstavec se seznamem5,List Paragraph (Czech Tourism),body,Odsek zoznamu2,Odsek zoznamu1,Odsek,ODRAZKY PRVA UROVEN"/>
    <w:basedOn w:val="Normal"/>
    <w:link w:val="ListParagraphChar"/>
    <w:uiPriority w:val="34"/>
    <w:qFormat/>
    <w:rsid w:val="00B27D05"/>
    <w:pPr>
      <w:ind w:left="720"/>
      <w:contextualSpacing/>
    </w:pPr>
    <w:rPr>
      <w:szCs w:val="21"/>
    </w:rPr>
  </w:style>
  <w:style w:type="paragraph" w:styleId="BalloonText">
    <w:name w:val="Balloon Text"/>
    <w:basedOn w:val="Normal"/>
    <w:link w:val="BalloonTextChar"/>
    <w:uiPriority w:val="99"/>
    <w:semiHidden/>
    <w:unhideWhenUsed/>
    <w:rsid w:val="00B6575B"/>
    <w:rPr>
      <w:rFonts w:ascii="Tahoma" w:hAnsi="Tahoma"/>
      <w:sz w:val="16"/>
      <w:szCs w:val="14"/>
    </w:rPr>
  </w:style>
  <w:style w:type="character" w:customStyle="1" w:styleId="BalloonTextChar">
    <w:name w:val="Balloon Text Char"/>
    <w:basedOn w:val="DefaultParagraphFont"/>
    <w:link w:val="BalloonText"/>
    <w:uiPriority w:val="99"/>
    <w:semiHidden/>
    <w:locked/>
    <w:rsid w:val="00B6575B"/>
    <w:rPr>
      <w:rFonts w:ascii="Tahoma" w:eastAsia="SimSun" w:hAnsi="Tahoma" w:cs="Mangal"/>
      <w:kern w:val="1"/>
      <w:sz w:val="14"/>
      <w:szCs w:val="14"/>
      <w:lang w:val="x-none" w:eastAsia="hi-IN" w:bidi="hi-IN"/>
    </w:rPr>
  </w:style>
  <w:style w:type="character" w:customStyle="1" w:styleId="awspan">
    <w:name w:val="awspan"/>
    <w:basedOn w:val="DefaultParagraphFont"/>
    <w:rsid w:val="001202E3"/>
  </w:style>
  <w:style w:type="character" w:customStyle="1" w:styleId="ListParagraphChar">
    <w:name w:val="List Paragraph Char"/>
    <w:aliases w:val="Nad Char,Odstavec_muj Char,Conclusion de partie Char,_Odstavec se seznamem Char,Seznam - odrážky Char,Odstavec cíl se seznamem Char,Odstavec se seznamem5 Char,List Paragraph (Czech Tourism) Char,body Char,Odsek zoznamu2 Char"/>
    <w:link w:val="ListParagraph"/>
    <w:uiPriority w:val="34"/>
    <w:rsid w:val="000833C6"/>
    <w:rPr>
      <w:rFonts w:ascii="Times New Roman" w:eastAsia="SimSun" w:hAnsi="Times New Roman" w:cs="Mangal"/>
      <w:kern w:val="1"/>
      <w:sz w:val="24"/>
      <w:szCs w:val="21"/>
      <w:lang w:eastAsia="hi-IN" w:bidi="hi-IN"/>
    </w:rPr>
  </w:style>
  <w:style w:type="paragraph" w:customStyle="1" w:styleId="Char2">
    <w:name w:val="Char2"/>
    <w:basedOn w:val="Normal"/>
    <w:link w:val="FootnoteReference"/>
    <w:uiPriority w:val="99"/>
    <w:rsid w:val="000833C6"/>
    <w:pPr>
      <w:widowControl/>
      <w:suppressAutoHyphens w:val="0"/>
      <w:spacing w:line="240" w:lineRule="exact"/>
    </w:pPr>
    <w:rPr>
      <w:rFonts w:asciiTheme="minorHAnsi" w:eastAsia="Times New Roman" w:hAnsiTheme="minorHAnsi" w:cs="Times New Roman"/>
      <w:kern w:val="0"/>
      <w:sz w:val="22"/>
      <w:szCs w:val="22"/>
      <w:vertAlign w:val="superscript"/>
      <w:lang w:eastAsia="en-US" w:bidi="ar-SA"/>
    </w:rPr>
  </w:style>
  <w:style w:type="paragraph" w:styleId="Revision">
    <w:name w:val="Revision"/>
    <w:hidden/>
    <w:uiPriority w:val="99"/>
    <w:semiHidden/>
    <w:rsid w:val="000D7D75"/>
    <w:pPr>
      <w:spacing w:after="0" w:line="240" w:lineRule="auto"/>
    </w:pPr>
    <w:rPr>
      <w:rFonts w:ascii="Times New Roman" w:eastAsia="SimSun" w:hAnsi="Times New Roman" w:cs="Mangal"/>
      <w:kern w:val="1"/>
      <w:sz w:val="24"/>
      <w:szCs w:val="21"/>
      <w:lang w:eastAsia="hi-IN" w:bidi="hi-IN"/>
    </w:rPr>
  </w:style>
  <w:style w:type="character" w:styleId="FollowedHyperlink">
    <w:name w:val="FollowedHyperlink"/>
    <w:basedOn w:val="DefaultParagraphFont"/>
    <w:uiPriority w:val="99"/>
    <w:semiHidden/>
    <w:unhideWhenUsed/>
    <w:rsid w:val="00C8294E"/>
    <w:rPr>
      <w:color w:val="800080" w:themeColor="followedHyperlink"/>
      <w:u w:val="single"/>
    </w:rPr>
  </w:style>
  <w:style w:type="character" w:styleId="CommentReference">
    <w:name w:val="annotation reference"/>
    <w:basedOn w:val="DefaultParagraphFont"/>
    <w:uiPriority w:val="99"/>
    <w:semiHidden/>
    <w:unhideWhenUsed/>
    <w:rsid w:val="00C8294E"/>
    <w:rPr>
      <w:sz w:val="16"/>
      <w:szCs w:val="16"/>
    </w:rPr>
  </w:style>
  <w:style w:type="paragraph" w:styleId="CommentText">
    <w:name w:val="annotation text"/>
    <w:basedOn w:val="Normal"/>
    <w:link w:val="CommentTextChar"/>
    <w:uiPriority w:val="99"/>
    <w:unhideWhenUsed/>
    <w:rsid w:val="00C8294E"/>
    <w:rPr>
      <w:sz w:val="20"/>
      <w:szCs w:val="18"/>
    </w:rPr>
  </w:style>
  <w:style w:type="character" w:customStyle="1" w:styleId="CommentTextChar">
    <w:name w:val="Comment Text Char"/>
    <w:basedOn w:val="DefaultParagraphFont"/>
    <w:link w:val="CommentText"/>
    <w:uiPriority w:val="99"/>
    <w:rsid w:val="00C8294E"/>
    <w:rPr>
      <w:rFonts w:ascii="Times New Roman" w:eastAsia="SimSun"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C8294E"/>
    <w:rPr>
      <w:b/>
      <w:bCs/>
    </w:rPr>
  </w:style>
  <w:style w:type="character" w:customStyle="1" w:styleId="CommentSubjectChar">
    <w:name w:val="Comment Subject Char"/>
    <w:basedOn w:val="CommentTextChar"/>
    <w:link w:val="CommentSubject"/>
    <w:uiPriority w:val="99"/>
    <w:semiHidden/>
    <w:rsid w:val="00C8294E"/>
    <w:rPr>
      <w:rFonts w:ascii="Times New Roman" w:eastAsia="SimSun" w:hAnsi="Times New Roman" w:cs="Mangal"/>
      <w:b/>
      <w:bCs/>
      <w:kern w:val="1"/>
      <w:sz w:val="20"/>
      <w:szCs w:val="18"/>
      <w:lang w:eastAsia="hi-IN" w:bidi="hi-IN"/>
    </w:rPr>
  </w:style>
  <w:style w:type="paragraph" w:customStyle="1" w:styleId="tab">
    <w:name w:val="tab"/>
    <w:basedOn w:val="Normal"/>
    <w:link w:val="tabChar"/>
    <w:qFormat/>
    <w:rsid w:val="003A04DD"/>
    <w:pPr>
      <w:widowControl/>
      <w:suppressAutoHyphens w:val="0"/>
    </w:pPr>
    <w:rPr>
      <w:rFonts w:ascii="Constantia" w:eastAsia="Times New Roman" w:hAnsi="Constantia" w:cs="Times New Roman"/>
      <w:b/>
      <w:color w:val="13B5EA"/>
      <w:kern w:val="0"/>
      <w:sz w:val="20"/>
      <w:szCs w:val="22"/>
      <w:lang w:eastAsia="sk-SK" w:bidi="ar-SA"/>
    </w:rPr>
  </w:style>
  <w:style w:type="character" w:customStyle="1" w:styleId="tabChar">
    <w:name w:val="tab Char"/>
    <w:basedOn w:val="DefaultParagraphFont"/>
    <w:link w:val="tab"/>
    <w:rsid w:val="003A04DD"/>
    <w:rPr>
      <w:rFonts w:ascii="Constantia" w:hAnsi="Constantia" w:cs="Times New Roman"/>
      <w:b/>
      <w:color w:val="13B5EA"/>
      <w:sz w:val="20"/>
      <w:lang w:eastAsia="sk-SK"/>
    </w:rPr>
  </w:style>
  <w:style w:type="character" w:customStyle="1" w:styleId="Heading2Char">
    <w:name w:val="Heading 2 Char"/>
    <w:basedOn w:val="DefaultParagraphFont"/>
    <w:link w:val="Heading2"/>
    <w:uiPriority w:val="9"/>
    <w:semiHidden/>
    <w:rsid w:val="00761464"/>
    <w:rPr>
      <w:rFonts w:asciiTheme="majorHAnsi" w:eastAsiaTheme="majorEastAsia" w:hAnsiTheme="majorHAnsi" w:cs="Mangal"/>
      <w:color w:val="365F91" w:themeColor="accent1" w:themeShade="BF"/>
      <w:kern w:val="1"/>
      <w:sz w:val="26"/>
      <w:szCs w:val="23"/>
      <w:lang w:eastAsia="hi-IN" w:bidi="hi-IN"/>
    </w:rPr>
  </w:style>
  <w:style w:type="paragraph" w:customStyle="1" w:styleId="box">
    <w:name w:val="box"/>
    <w:basedOn w:val="Normal"/>
    <w:link w:val="boxChar"/>
    <w:qFormat/>
    <w:rsid w:val="00761464"/>
    <w:pPr>
      <w:widowControl/>
      <w:autoSpaceDN w:val="0"/>
      <w:spacing w:line="276" w:lineRule="auto"/>
      <w:jc w:val="both"/>
      <w:textAlignment w:val="baseline"/>
    </w:pPr>
    <w:rPr>
      <w:rFonts w:ascii="Constantia" w:eastAsia="Arial Unicode MS" w:hAnsi="Constantia" w:cs="Tahoma"/>
      <w:b/>
      <w:iCs/>
      <w:color w:val="13B5EA"/>
      <w:kern w:val="3"/>
      <w:sz w:val="22"/>
      <w:szCs w:val="22"/>
      <w:lang w:val="en-GB" w:eastAsia="sk-SK" w:bidi="ar-SA"/>
    </w:rPr>
  </w:style>
  <w:style w:type="character" w:customStyle="1" w:styleId="boxChar">
    <w:name w:val="box Char"/>
    <w:basedOn w:val="DefaultParagraphFont"/>
    <w:link w:val="box"/>
    <w:rsid w:val="00761464"/>
    <w:rPr>
      <w:rFonts w:ascii="Constantia" w:eastAsia="Arial Unicode MS" w:hAnsi="Constantia" w:cs="Tahoma"/>
      <w:b/>
      <w:iCs/>
      <w:color w:val="13B5EA"/>
      <w:kern w:val="3"/>
      <w:lang w:val="en-GB" w:eastAsia="sk-SK"/>
    </w:rPr>
  </w:style>
  <w:style w:type="character" w:styleId="UnresolvedMention">
    <w:name w:val="Unresolved Mention"/>
    <w:basedOn w:val="DefaultParagraphFont"/>
    <w:uiPriority w:val="99"/>
    <w:semiHidden/>
    <w:unhideWhenUsed/>
    <w:rsid w:val="00A30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7255">
      <w:bodyDiv w:val="1"/>
      <w:marLeft w:val="0"/>
      <w:marRight w:val="0"/>
      <w:marTop w:val="0"/>
      <w:marBottom w:val="0"/>
      <w:divBdr>
        <w:top w:val="none" w:sz="0" w:space="0" w:color="auto"/>
        <w:left w:val="none" w:sz="0" w:space="0" w:color="auto"/>
        <w:bottom w:val="none" w:sz="0" w:space="0" w:color="auto"/>
        <w:right w:val="none" w:sz="0" w:space="0" w:color="auto"/>
      </w:divBdr>
      <w:divsChild>
        <w:div w:id="586156671">
          <w:marLeft w:val="0"/>
          <w:marRight w:val="0"/>
          <w:marTop w:val="0"/>
          <w:marBottom w:val="0"/>
          <w:divBdr>
            <w:top w:val="none" w:sz="0" w:space="0" w:color="auto"/>
            <w:left w:val="none" w:sz="0" w:space="0" w:color="auto"/>
            <w:bottom w:val="none" w:sz="0" w:space="0" w:color="auto"/>
            <w:right w:val="none" w:sz="0" w:space="0" w:color="auto"/>
          </w:divBdr>
        </w:div>
        <w:div w:id="987637532">
          <w:marLeft w:val="0"/>
          <w:marRight w:val="0"/>
          <w:marTop w:val="0"/>
          <w:marBottom w:val="0"/>
          <w:divBdr>
            <w:top w:val="none" w:sz="0" w:space="0" w:color="auto"/>
            <w:left w:val="none" w:sz="0" w:space="0" w:color="auto"/>
            <w:bottom w:val="none" w:sz="0" w:space="0" w:color="auto"/>
            <w:right w:val="none" w:sz="0" w:space="0" w:color="auto"/>
          </w:divBdr>
        </w:div>
      </w:divsChild>
    </w:div>
    <w:div w:id="103233035">
      <w:bodyDiv w:val="1"/>
      <w:marLeft w:val="0"/>
      <w:marRight w:val="0"/>
      <w:marTop w:val="0"/>
      <w:marBottom w:val="0"/>
      <w:divBdr>
        <w:top w:val="none" w:sz="0" w:space="0" w:color="auto"/>
        <w:left w:val="none" w:sz="0" w:space="0" w:color="auto"/>
        <w:bottom w:val="none" w:sz="0" w:space="0" w:color="auto"/>
        <w:right w:val="none" w:sz="0" w:space="0" w:color="auto"/>
      </w:divBdr>
    </w:div>
    <w:div w:id="110899738">
      <w:bodyDiv w:val="1"/>
      <w:marLeft w:val="0"/>
      <w:marRight w:val="0"/>
      <w:marTop w:val="0"/>
      <w:marBottom w:val="0"/>
      <w:divBdr>
        <w:top w:val="none" w:sz="0" w:space="0" w:color="auto"/>
        <w:left w:val="none" w:sz="0" w:space="0" w:color="auto"/>
        <w:bottom w:val="none" w:sz="0" w:space="0" w:color="auto"/>
        <w:right w:val="none" w:sz="0" w:space="0" w:color="auto"/>
      </w:divBdr>
      <w:divsChild>
        <w:div w:id="128784727">
          <w:marLeft w:val="0"/>
          <w:marRight w:val="0"/>
          <w:marTop w:val="0"/>
          <w:marBottom w:val="0"/>
          <w:divBdr>
            <w:top w:val="none" w:sz="0" w:space="0" w:color="auto"/>
            <w:left w:val="none" w:sz="0" w:space="0" w:color="auto"/>
            <w:bottom w:val="none" w:sz="0" w:space="0" w:color="auto"/>
            <w:right w:val="none" w:sz="0" w:space="0" w:color="auto"/>
          </w:divBdr>
        </w:div>
        <w:div w:id="846093981">
          <w:marLeft w:val="0"/>
          <w:marRight w:val="0"/>
          <w:marTop w:val="0"/>
          <w:marBottom w:val="0"/>
          <w:divBdr>
            <w:top w:val="none" w:sz="0" w:space="0" w:color="auto"/>
            <w:left w:val="none" w:sz="0" w:space="0" w:color="auto"/>
            <w:bottom w:val="none" w:sz="0" w:space="0" w:color="auto"/>
            <w:right w:val="none" w:sz="0" w:space="0" w:color="auto"/>
          </w:divBdr>
        </w:div>
        <w:div w:id="1207715666">
          <w:marLeft w:val="0"/>
          <w:marRight w:val="0"/>
          <w:marTop w:val="0"/>
          <w:marBottom w:val="0"/>
          <w:divBdr>
            <w:top w:val="none" w:sz="0" w:space="0" w:color="auto"/>
            <w:left w:val="none" w:sz="0" w:space="0" w:color="auto"/>
            <w:bottom w:val="none" w:sz="0" w:space="0" w:color="auto"/>
            <w:right w:val="none" w:sz="0" w:space="0" w:color="auto"/>
          </w:divBdr>
        </w:div>
        <w:div w:id="1141386338">
          <w:marLeft w:val="0"/>
          <w:marRight w:val="0"/>
          <w:marTop w:val="0"/>
          <w:marBottom w:val="0"/>
          <w:divBdr>
            <w:top w:val="none" w:sz="0" w:space="0" w:color="auto"/>
            <w:left w:val="none" w:sz="0" w:space="0" w:color="auto"/>
            <w:bottom w:val="none" w:sz="0" w:space="0" w:color="auto"/>
            <w:right w:val="none" w:sz="0" w:space="0" w:color="auto"/>
          </w:divBdr>
        </w:div>
        <w:div w:id="1287783706">
          <w:marLeft w:val="0"/>
          <w:marRight w:val="0"/>
          <w:marTop w:val="0"/>
          <w:marBottom w:val="0"/>
          <w:divBdr>
            <w:top w:val="none" w:sz="0" w:space="0" w:color="auto"/>
            <w:left w:val="none" w:sz="0" w:space="0" w:color="auto"/>
            <w:bottom w:val="none" w:sz="0" w:space="0" w:color="auto"/>
            <w:right w:val="none" w:sz="0" w:space="0" w:color="auto"/>
          </w:divBdr>
        </w:div>
        <w:div w:id="773211488">
          <w:marLeft w:val="0"/>
          <w:marRight w:val="0"/>
          <w:marTop w:val="0"/>
          <w:marBottom w:val="0"/>
          <w:divBdr>
            <w:top w:val="none" w:sz="0" w:space="0" w:color="auto"/>
            <w:left w:val="none" w:sz="0" w:space="0" w:color="auto"/>
            <w:bottom w:val="none" w:sz="0" w:space="0" w:color="auto"/>
            <w:right w:val="none" w:sz="0" w:space="0" w:color="auto"/>
          </w:divBdr>
        </w:div>
        <w:div w:id="2121678342">
          <w:marLeft w:val="0"/>
          <w:marRight w:val="0"/>
          <w:marTop w:val="0"/>
          <w:marBottom w:val="0"/>
          <w:divBdr>
            <w:top w:val="none" w:sz="0" w:space="0" w:color="auto"/>
            <w:left w:val="none" w:sz="0" w:space="0" w:color="auto"/>
            <w:bottom w:val="none" w:sz="0" w:space="0" w:color="auto"/>
            <w:right w:val="none" w:sz="0" w:space="0" w:color="auto"/>
          </w:divBdr>
        </w:div>
      </w:divsChild>
    </w:div>
    <w:div w:id="143816818">
      <w:bodyDiv w:val="1"/>
      <w:marLeft w:val="0"/>
      <w:marRight w:val="0"/>
      <w:marTop w:val="0"/>
      <w:marBottom w:val="0"/>
      <w:divBdr>
        <w:top w:val="none" w:sz="0" w:space="0" w:color="auto"/>
        <w:left w:val="none" w:sz="0" w:space="0" w:color="auto"/>
        <w:bottom w:val="none" w:sz="0" w:space="0" w:color="auto"/>
        <w:right w:val="none" w:sz="0" w:space="0" w:color="auto"/>
      </w:divBdr>
    </w:div>
    <w:div w:id="147095461">
      <w:bodyDiv w:val="1"/>
      <w:marLeft w:val="0"/>
      <w:marRight w:val="0"/>
      <w:marTop w:val="0"/>
      <w:marBottom w:val="0"/>
      <w:divBdr>
        <w:top w:val="none" w:sz="0" w:space="0" w:color="auto"/>
        <w:left w:val="none" w:sz="0" w:space="0" w:color="auto"/>
        <w:bottom w:val="none" w:sz="0" w:space="0" w:color="auto"/>
        <w:right w:val="none" w:sz="0" w:space="0" w:color="auto"/>
      </w:divBdr>
      <w:divsChild>
        <w:div w:id="1752238073">
          <w:marLeft w:val="0"/>
          <w:marRight w:val="0"/>
          <w:marTop w:val="0"/>
          <w:marBottom w:val="0"/>
          <w:divBdr>
            <w:top w:val="none" w:sz="0" w:space="0" w:color="auto"/>
            <w:left w:val="none" w:sz="0" w:space="0" w:color="auto"/>
            <w:bottom w:val="none" w:sz="0" w:space="0" w:color="auto"/>
            <w:right w:val="none" w:sz="0" w:space="0" w:color="auto"/>
          </w:divBdr>
        </w:div>
        <w:div w:id="1861622172">
          <w:marLeft w:val="0"/>
          <w:marRight w:val="0"/>
          <w:marTop w:val="0"/>
          <w:marBottom w:val="0"/>
          <w:divBdr>
            <w:top w:val="none" w:sz="0" w:space="0" w:color="auto"/>
            <w:left w:val="none" w:sz="0" w:space="0" w:color="auto"/>
            <w:bottom w:val="none" w:sz="0" w:space="0" w:color="auto"/>
            <w:right w:val="none" w:sz="0" w:space="0" w:color="auto"/>
          </w:divBdr>
        </w:div>
      </w:divsChild>
    </w:div>
    <w:div w:id="227544107">
      <w:bodyDiv w:val="1"/>
      <w:marLeft w:val="0"/>
      <w:marRight w:val="0"/>
      <w:marTop w:val="0"/>
      <w:marBottom w:val="0"/>
      <w:divBdr>
        <w:top w:val="none" w:sz="0" w:space="0" w:color="auto"/>
        <w:left w:val="none" w:sz="0" w:space="0" w:color="auto"/>
        <w:bottom w:val="none" w:sz="0" w:space="0" w:color="auto"/>
        <w:right w:val="none" w:sz="0" w:space="0" w:color="auto"/>
      </w:divBdr>
    </w:div>
    <w:div w:id="336924435">
      <w:bodyDiv w:val="1"/>
      <w:marLeft w:val="0"/>
      <w:marRight w:val="0"/>
      <w:marTop w:val="0"/>
      <w:marBottom w:val="0"/>
      <w:divBdr>
        <w:top w:val="none" w:sz="0" w:space="0" w:color="auto"/>
        <w:left w:val="none" w:sz="0" w:space="0" w:color="auto"/>
        <w:bottom w:val="none" w:sz="0" w:space="0" w:color="auto"/>
        <w:right w:val="none" w:sz="0" w:space="0" w:color="auto"/>
      </w:divBdr>
    </w:div>
    <w:div w:id="347753447">
      <w:bodyDiv w:val="1"/>
      <w:marLeft w:val="0"/>
      <w:marRight w:val="0"/>
      <w:marTop w:val="0"/>
      <w:marBottom w:val="0"/>
      <w:divBdr>
        <w:top w:val="none" w:sz="0" w:space="0" w:color="auto"/>
        <w:left w:val="none" w:sz="0" w:space="0" w:color="auto"/>
        <w:bottom w:val="none" w:sz="0" w:space="0" w:color="auto"/>
        <w:right w:val="none" w:sz="0" w:space="0" w:color="auto"/>
      </w:divBdr>
    </w:div>
    <w:div w:id="478226242">
      <w:bodyDiv w:val="1"/>
      <w:marLeft w:val="0"/>
      <w:marRight w:val="0"/>
      <w:marTop w:val="0"/>
      <w:marBottom w:val="0"/>
      <w:divBdr>
        <w:top w:val="none" w:sz="0" w:space="0" w:color="auto"/>
        <w:left w:val="none" w:sz="0" w:space="0" w:color="auto"/>
        <w:bottom w:val="none" w:sz="0" w:space="0" w:color="auto"/>
        <w:right w:val="none" w:sz="0" w:space="0" w:color="auto"/>
      </w:divBdr>
    </w:div>
    <w:div w:id="499277696">
      <w:bodyDiv w:val="1"/>
      <w:marLeft w:val="0"/>
      <w:marRight w:val="0"/>
      <w:marTop w:val="0"/>
      <w:marBottom w:val="0"/>
      <w:divBdr>
        <w:top w:val="none" w:sz="0" w:space="0" w:color="auto"/>
        <w:left w:val="none" w:sz="0" w:space="0" w:color="auto"/>
        <w:bottom w:val="none" w:sz="0" w:space="0" w:color="auto"/>
        <w:right w:val="none" w:sz="0" w:space="0" w:color="auto"/>
      </w:divBdr>
    </w:div>
    <w:div w:id="511456414">
      <w:bodyDiv w:val="1"/>
      <w:marLeft w:val="0"/>
      <w:marRight w:val="0"/>
      <w:marTop w:val="0"/>
      <w:marBottom w:val="0"/>
      <w:divBdr>
        <w:top w:val="none" w:sz="0" w:space="0" w:color="auto"/>
        <w:left w:val="none" w:sz="0" w:space="0" w:color="auto"/>
        <w:bottom w:val="none" w:sz="0" w:space="0" w:color="auto"/>
        <w:right w:val="none" w:sz="0" w:space="0" w:color="auto"/>
      </w:divBdr>
    </w:div>
    <w:div w:id="522521059">
      <w:bodyDiv w:val="1"/>
      <w:marLeft w:val="0"/>
      <w:marRight w:val="0"/>
      <w:marTop w:val="0"/>
      <w:marBottom w:val="0"/>
      <w:divBdr>
        <w:top w:val="none" w:sz="0" w:space="0" w:color="auto"/>
        <w:left w:val="none" w:sz="0" w:space="0" w:color="auto"/>
        <w:bottom w:val="none" w:sz="0" w:space="0" w:color="auto"/>
        <w:right w:val="none" w:sz="0" w:space="0" w:color="auto"/>
      </w:divBdr>
    </w:div>
    <w:div w:id="578246945">
      <w:marLeft w:val="0"/>
      <w:marRight w:val="0"/>
      <w:marTop w:val="0"/>
      <w:marBottom w:val="0"/>
      <w:divBdr>
        <w:top w:val="none" w:sz="0" w:space="0" w:color="auto"/>
        <w:left w:val="none" w:sz="0" w:space="0" w:color="auto"/>
        <w:bottom w:val="none" w:sz="0" w:space="0" w:color="auto"/>
        <w:right w:val="none" w:sz="0" w:space="0" w:color="auto"/>
      </w:divBdr>
    </w:div>
    <w:div w:id="578246946">
      <w:marLeft w:val="0"/>
      <w:marRight w:val="0"/>
      <w:marTop w:val="0"/>
      <w:marBottom w:val="0"/>
      <w:divBdr>
        <w:top w:val="none" w:sz="0" w:space="0" w:color="auto"/>
        <w:left w:val="none" w:sz="0" w:space="0" w:color="auto"/>
        <w:bottom w:val="none" w:sz="0" w:space="0" w:color="auto"/>
        <w:right w:val="none" w:sz="0" w:space="0" w:color="auto"/>
      </w:divBdr>
    </w:div>
    <w:div w:id="578246947">
      <w:marLeft w:val="0"/>
      <w:marRight w:val="0"/>
      <w:marTop w:val="0"/>
      <w:marBottom w:val="0"/>
      <w:divBdr>
        <w:top w:val="none" w:sz="0" w:space="0" w:color="auto"/>
        <w:left w:val="none" w:sz="0" w:space="0" w:color="auto"/>
        <w:bottom w:val="none" w:sz="0" w:space="0" w:color="auto"/>
        <w:right w:val="none" w:sz="0" w:space="0" w:color="auto"/>
      </w:divBdr>
    </w:div>
    <w:div w:id="578246948">
      <w:marLeft w:val="0"/>
      <w:marRight w:val="0"/>
      <w:marTop w:val="0"/>
      <w:marBottom w:val="0"/>
      <w:divBdr>
        <w:top w:val="none" w:sz="0" w:space="0" w:color="auto"/>
        <w:left w:val="none" w:sz="0" w:space="0" w:color="auto"/>
        <w:bottom w:val="none" w:sz="0" w:space="0" w:color="auto"/>
        <w:right w:val="none" w:sz="0" w:space="0" w:color="auto"/>
      </w:divBdr>
    </w:div>
    <w:div w:id="578246949">
      <w:marLeft w:val="0"/>
      <w:marRight w:val="0"/>
      <w:marTop w:val="0"/>
      <w:marBottom w:val="0"/>
      <w:divBdr>
        <w:top w:val="none" w:sz="0" w:space="0" w:color="auto"/>
        <w:left w:val="none" w:sz="0" w:space="0" w:color="auto"/>
        <w:bottom w:val="none" w:sz="0" w:space="0" w:color="auto"/>
        <w:right w:val="none" w:sz="0" w:space="0" w:color="auto"/>
      </w:divBdr>
    </w:div>
    <w:div w:id="578246950">
      <w:marLeft w:val="0"/>
      <w:marRight w:val="0"/>
      <w:marTop w:val="0"/>
      <w:marBottom w:val="0"/>
      <w:divBdr>
        <w:top w:val="none" w:sz="0" w:space="0" w:color="auto"/>
        <w:left w:val="none" w:sz="0" w:space="0" w:color="auto"/>
        <w:bottom w:val="none" w:sz="0" w:space="0" w:color="auto"/>
        <w:right w:val="none" w:sz="0" w:space="0" w:color="auto"/>
      </w:divBdr>
    </w:div>
    <w:div w:id="578246951">
      <w:marLeft w:val="0"/>
      <w:marRight w:val="0"/>
      <w:marTop w:val="0"/>
      <w:marBottom w:val="0"/>
      <w:divBdr>
        <w:top w:val="none" w:sz="0" w:space="0" w:color="auto"/>
        <w:left w:val="none" w:sz="0" w:space="0" w:color="auto"/>
        <w:bottom w:val="none" w:sz="0" w:space="0" w:color="auto"/>
        <w:right w:val="none" w:sz="0" w:space="0" w:color="auto"/>
      </w:divBdr>
    </w:div>
    <w:div w:id="578246952">
      <w:marLeft w:val="0"/>
      <w:marRight w:val="0"/>
      <w:marTop w:val="0"/>
      <w:marBottom w:val="0"/>
      <w:divBdr>
        <w:top w:val="none" w:sz="0" w:space="0" w:color="auto"/>
        <w:left w:val="none" w:sz="0" w:space="0" w:color="auto"/>
        <w:bottom w:val="none" w:sz="0" w:space="0" w:color="auto"/>
        <w:right w:val="none" w:sz="0" w:space="0" w:color="auto"/>
      </w:divBdr>
    </w:div>
    <w:div w:id="578246953">
      <w:marLeft w:val="0"/>
      <w:marRight w:val="0"/>
      <w:marTop w:val="0"/>
      <w:marBottom w:val="0"/>
      <w:divBdr>
        <w:top w:val="none" w:sz="0" w:space="0" w:color="auto"/>
        <w:left w:val="none" w:sz="0" w:space="0" w:color="auto"/>
        <w:bottom w:val="none" w:sz="0" w:space="0" w:color="auto"/>
        <w:right w:val="none" w:sz="0" w:space="0" w:color="auto"/>
      </w:divBdr>
    </w:div>
    <w:div w:id="578246957">
      <w:marLeft w:val="0"/>
      <w:marRight w:val="0"/>
      <w:marTop w:val="0"/>
      <w:marBottom w:val="0"/>
      <w:divBdr>
        <w:top w:val="none" w:sz="0" w:space="0" w:color="auto"/>
        <w:left w:val="none" w:sz="0" w:space="0" w:color="auto"/>
        <w:bottom w:val="none" w:sz="0" w:space="0" w:color="auto"/>
        <w:right w:val="none" w:sz="0" w:space="0" w:color="auto"/>
      </w:divBdr>
    </w:div>
    <w:div w:id="578246958">
      <w:marLeft w:val="0"/>
      <w:marRight w:val="0"/>
      <w:marTop w:val="0"/>
      <w:marBottom w:val="0"/>
      <w:divBdr>
        <w:top w:val="none" w:sz="0" w:space="0" w:color="auto"/>
        <w:left w:val="none" w:sz="0" w:space="0" w:color="auto"/>
        <w:bottom w:val="none" w:sz="0" w:space="0" w:color="auto"/>
        <w:right w:val="none" w:sz="0" w:space="0" w:color="auto"/>
      </w:divBdr>
    </w:div>
    <w:div w:id="578246960">
      <w:marLeft w:val="0"/>
      <w:marRight w:val="0"/>
      <w:marTop w:val="0"/>
      <w:marBottom w:val="0"/>
      <w:divBdr>
        <w:top w:val="none" w:sz="0" w:space="0" w:color="auto"/>
        <w:left w:val="none" w:sz="0" w:space="0" w:color="auto"/>
        <w:bottom w:val="none" w:sz="0" w:space="0" w:color="auto"/>
        <w:right w:val="none" w:sz="0" w:space="0" w:color="auto"/>
      </w:divBdr>
    </w:div>
    <w:div w:id="578246961">
      <w:marLeft w:val="0"/>
      <w:marRight w:val="0"/>
      <w:marTop w:val="0"/>
      <w:marBottom w:val="0"/>
      <w:divBdr>
        <w:top w:val="none" w:sz="0" w:space="0" w:color="auto"/>
        <w:left w:val="none" w:sz="0" w:space="0" w:color="auto"/>
        <w:bottom w:val="none" w:sz="0" w:space="0" w:color="auto"/>
        <w:right w:val="none" w:sz="0" w:space="0" w:color="auto"/>
      </w:divBdr>
    </w:div>
    <w:div w:id="578246962">
      <w:marLeft w:val="0"/>
      <w:marRight w:val="0"/>
      <w:marTop w:val="0"/>
      <w:marBottom w:val="0"/>
      <w:divBdr>
        <w:top w:val="none" w:sz="0" w:space="0" w:color="auto"/>
        <w:left w:val="none" w:sz="0" w:space="0" w:color="auto"/>
        <w:bottom w:val="none" w:sz="0" w:space="0" w:color="auto"/>
        <w:right w:val="none" w:sz="0" w:space="0" w:color="auto"/>
      </w:divBdr>
    </w:div>
    <w:div w:id="578246963">
      <w:marLeft w:val="0"/>
      <w:marRight w:val="0"/>
      <w:marTop w:val="0"/>
      <w:marBottom w:val="0"/>
      <w:divBdr>
        <w:top w:val="none" w:sz="0" w:space="0" w:color="auto"/>
        <w:left w:val="none" w:sz="0" w:space="0" w:color="auto"/>
        <w:bottom w:val="none" w:sz="0" w:space="0" w:color="auto"/>
        <w:right w:val="none" w:sz="0" w:space="0" w:color="auto"/>
      </w:divBdr>
    </w:div>
    <w:div w:id="578246964">
      <w:marLeft w:val="0"/>
      <w:marRight w:val="0"/>
      <w:marTop w:val="0"/>
      <w:marBottom w:val="0"/>
      <w:divBdr>
        <w:top w:val="none" w:sz="0" w:space="0" w:color="auto"/>
        <w:left w:val="none" w:sz="0" w:space="0" w:color="auto"/>
        <w:bottom w:val="none" w:sz="0" w:space="0" w:color="auto"/>
        <w:right w:val="none" w:sz="0" w:space="0" w:color="auto"/>
      </w:divBdr>
    </w:div>
    <w:div w:id="578246967">
      <w:marLeft w:val="0"/>
      <w:marRight w:val="0"/>
      <w:marTop w:val="0"/>
      <w:marBottom w:val="0"/>
      <w:divBdr>
        <w:top w:val="none" w:sz="0" w:space="0" w:color="auto"/>
        <w:left w:val="none" w:sz="0" w:space="0" w:color="auto"/>
        <w:bottom w:val="none" w:sz="0" w:space="0" w:color="auto"/>
        <w:right w:val="none" w:sz="0" w:space="0" w:color="auto"/>
      </w:divBdr>
    </w:div>
    <w:div w:id="578246973">
      <w:marLeft w:val="0"/>
      <w:marRight w:val="0"/>
      <w:marTop w:val="0"/>
      <w:marBottom w:val="0"/>
      <w:divBdr>
        <w:top w:val="none" w:sz="0" w:space="0" w:color="auto"/>
        <w:left w:val="none" w:sz="0" w:space="0" w:color="auto"/>
        <w:bottom w:val="none" w:sz="0" w:space="0" w:color="auto"/>
        <w:right w:val="none" w:sz="0" w:space="0" w:color="auto"/>
      </w:divBdr>
    </w:div>
    <w:div w:id="578246974">
      <w:marLeft w:val="0"/>
      <w:marRight w:val="0"/>
      <w:marTop w:val="0"/>
      <w:marBottom w:val="0"/>
      <w:divBdr>
        <w:top w:val="none" w:sz="0" w:space="0" w:color="auto"/>
        <w:left w:val="none" w:sz="0" w:space="0" w:color="auto"/>
        <w:bottom w:val="none" w:sz="0" w:space="0" w:color="auto"/>
        <w:right w:val="none" w:sz="0" w:space="0" w:color="auto"/>
      </w:divBdr>
    </w:div>
    <w:div w:id="578246975">
      <w:marLeft w:val="0"/>
      <w:marRight w:val="0"/>
      <w:marTop w:val="0"/>
      <w:marBottom w:val="0"/>
      <w:divBdr>
        <w:top w:val="none" w:sz="0" w:space="0" w:color="auto"/>
        <w:left w:val="none" w:sz="0" w:space="0" w:color="auto"/>
        <w:bottom w:val="none" w:sz="0" w:space="0" w:color="auto"/>
        <w:right w:val="none" w:sz="0" w:space="0" w:color="auto"/>
      </w:divBdr>
    </w:div>
    <w:div w:id="578246976">
      <w:marLeft w:val="0"/>
      <w:marRight w:val="0"/>
      <w:marTop w:val="0"/>
      <w:marBottom w:val="0"/>
      <w:divBdr>
        <w:top w:val="none" w:sz="0" w:space="0" w:color="auto"/>
        <w:left w:val="none" w:sz="0" w:space="0" w:color="auto"/>
        <w:bottom w:val="none" w:sz="0" w:space="0" w:color="auto"/>
        <w:right w:val="none" w:sz="0" w:space="0" w:color="auto"/>
      </w:divBdr>
    </w:div>
    <w:div w:id="578246977">
      <w:marLeft w:val="0"/>
      <w:marRight w:val="0"/>
      <w:marTop w:val="0"/>
      <w:marBottom w:val="0"/>
      <w:divBdr>
        <w:top w:val="none" w:sz="0" w:space="0" w:color="auto"/>
        <w:left w:val="none" w:sz="0" w:space="0" w:color="auto"/>
        <w:bottom w:val="none" w:sz="0" w:space="0" w:color="auto"/>
        <w:right w:val="none" w:sz="0" w:space="0" w:color="auto"/>
      </w:divBdr>
    </w:div>
    <w:div w:id="578246978">
      <w:marLeft w:val="0"/>
      <w:marRight w:val="0"/>
      <w:marTop w:val="0"/>
      <w:marBottom w:val="0"/>
      <w:divBdr>
        <w:top w:val="none" w:sz="0" w:space="0" w:color="auto"/>
        <w:left w:val="none" w:sz="0" w:space="0" w:color="auto"/>
        <w:bottom w:val="none" w:sz="0" w:space="0" w:color="auto"/>
        <w:right w:val="none" w:sz="0" w:space="0" w:color="auto"/>
      </w:divBdr>
    </w:div>
    <w:div w:id="578246981">
      <w:marLeft w:val="0"/>
      <w:marRight w:val="0"/>
      <w:marTop w:val="0"/>
      <w:marBottom w:val="0"/>
      <w:divBdr>
        <w:top w:val="none" w:sz="0" w:space="0" w:color="auto"/>
        <w:left w:val="none" w:sz="0" w:space="0" w:color="auto"/>
        <w:bottom w:val="none" w:sz="0" w:space="0" w:color="auto"/>
        <w:right w:val="none" w:sz="0" w:space="0" w:color="auto"/>
      </w:divBdr>
    </w:div>
    <w:div w:id="578246984">
      <w:marLeft w:val="0"/>
      <w:marRight w:val="0"/>
      <w:marTop w:val="0"/>
      <w:marBottom w:val="0"/>
      <w:divBdr>
        <w:top w:val="none" w:sz="0" w:space="0" w:color="auto"/>
        <w:left w:val="none" w:sz="0" w:space="0" w:color="auto"/>
        <w:bottom w:val="none" w:sz="0" w:space="0" w:color="auto"/>
        <w:right w:val="none" w:sz="0" w:space="0" w:color="auto"/>
      </w:divBdr>
    </w:div>
    <w:div w:id="578246986">
      <w:marLeft w:val="0"/>
      <w:marRight w:val="0"/>
      <w:marTop w:val="0"/>
      <w:marBottom w:val="0"/>
      <w:divBdr>
        <w:top w:val="none" w:sz="0" w:space="0" w:color="auto"/>
        <w:left w:val="none" w:sz="0" w:space="0" w:color="auto"/>
        <w:bottom w:val="none" w:sz="0" w:space="0" w:color="auto"/>
        <w:right w:val="none" w:sz="0" w:space="0" w:color="auto"/>
      </w:divBdr>
    </w:div>
    <w:div w:id="578246988">
      <w:marLeft w:val="0"/>
      <w:marRight w:val="0"/>
      <w:marTop w:val="0"/>
      <w:marBottom w:val="0"/>
      <w:divBdr>
        <w:top w:val="none" w:sz="0" w:space="0" w:color="auto"/>
        <w:left w:val="none" w:sz="0" w:space="0" w:color="auto"/>
        <w:bottom w:val="none" w:sz="0" w:space="0" w:color="auto"/>
        <w:right w:val="none" w:sz="0" w:space="0" w:color="auto"/>
      </w:divBdr>
    </w:div>
    <w:div w:id="578246989">
      <w:marLeft w:val="0"/>
      <w:marRight w:val="0"/>
      <w:marTop w:val="0"/>
      <w:marBottom w:val="0"/>
      <w:divBdr>
        <w:top w:val="none" w:sz="0" w:space="0" w:color="auto"/>
        <w:left w:val="none" w:sz="0" w:space="0" w:color="auto"/>
        <w:bottom w:val="none" w:sz="0" w:space="0" w:color="auto"/>
        <w:right w:val="none" w:sz="0" w:space="0" w:color="auto"/>
      </w:divBdr>
      <w:divsChild>
        <w:div w:id="578246954">
          <w:marLeft w:val="0"/>
          <w:marRight w:val="0"/>
          <w:marTop w:val="0"/>
          <w:marBottom w:val="0"/>
          <w:divBdr>
            <w:top w:val="none" w:sz="0" w:space="0" w:color="auto"/>
            <w:left w:val="none" w:sz="0" w:space="0" w:color="auto"/>
            <w:bottom w:val="none" w:sz="0" w:space="0" w:color="auto"/>
            <w:right w:val="none" w:sz="0" w:space="0" w:color="auto"/>
          </w:divBdr>
        </w:div>
        <w:div w:id="578246955">
          <w:marLeft w:val="0"/>
          <w:marRight w:val="0"/>
          <w:marTop w:val="0"/>
          <w:marBottom w:val="0"/>
          <w:divBdr>
            <w:top w:val="none" w:sz="0" w:space="0" w:color="auto"/>
            <w:left w:val="none" w:sz="0" w:space="0" w:color="auto"/>
            <w:bottom w:val="none" w:sz="0" w:space="0" w:color="auto"/>
            <w:right w:val="none" w:sz="0" w:space="0" w:color="auto"/>
          </w:divBdr>
        </w:div>
        <w:div w:id="578246956">
          <w:marLeft w:val="0"/>
          <w:marRight w:val="0"/>
          <w:marTop w:val="0"/>
          <w:marBottom w:val="0"/>
          <w:divBdr>
            <w:top w:val="none" w:sz="0" w:space="0" w:color="auto"/>
            <w:left w:val="none" w:sz="0" w:space="0" w:color="auto"/>
            <w:bottom w:val="none" w:sz="0" w:space="0" w:color="auto"/>
            <w:right w:val="none" w:sz="0" w:space="0" w:color="auto"/>
          </w:divBdr>
        </w:div>
        <w:div w:id="578246959">
          <w:marLeft w:val="0"/>
          <w:marRight w:val="0"/>
          <w:marTop w:val="0"/>
          <w:marBottom w:val="0"/>
          <w:divBdr>
            <w:top w:val="none" w:sz="0" w:space="0" w:color="auto"/>
            <w:left w:val="none" w:sz="0" w:space="0" w:color="auto"/>
            <w:bottom w:val="none" w:sz="0" w:space="0" w:color="auto"/>
            <w:right w:val="none" w:sz="0" w:space="0" w:color="auto"/>
          </w:divBdr>
        </w:div>
        <w:div w:id="578246965">
          <w:marLeft w:val="0"/>
          <w:marRight w:val="0"/>
          <w:marTop w:val="0"/>
          <w:marBottom w:val="0"/>
          <w:divBdr>
            <w:top w:val="none" w:sz="0" w:space="0" w:color="auto"/>
            <w:left w:val="none" w:sz="0" w:space="0" w:color="auto"/>
            <w:bottom w:val="none" w:sz="0" w:space="0" w:color="auto"/>
            <w:right w:val="none" w:sz="0" w:space="0" w:color="auto"/>
          </w:divBdr>
        </w:div>
        <w:div w:id="578246968">
          <w:marLeft w:val="0"/>
          <w:marRight w:val="0"/>
          <w:marTop w:val="0"/>
          <w:marBottom w:val="0"/>
          <w:divBdr>
            <w:top w:val="none" w:sz="0" w:space="0" w:color="auto"/>
            <w:left w:val="none" w:sz="0" w:space="0" w:color="auto"/>
            <w:bottom w:val="none" w:sz="0" w:space="0" w:color="auto"/>
            <w:right w:val="none" w:sz="0" w:space="0" w:color="auto"/>
          </w:divBdr>
        </w:div>
        <w:div w:id="578246969">
          <w:marLeft w:val="0"/>
          <w:marRight w:val="0"/>
          <w:marTop w:val="0"/>
          <w:marBottom w:val="0"/>
          <w:divBdr>
            <w:top w:val="none" w:sz="0" w:space="0" w:color="auto"/>
            <w:left w:val="none" w:sz="0" w:space="0" w:color="auto"/>
            <w:bottom w:val="none" w:sz="0" w:space="0" w:color="auto"/>
            <w:right w:val="none" w:sz="0" w:space="0" w:color="auto"/>
          </w:divBdr>
        </w:div>
        <w:div w:id="578246970">
          <w:marLeft w:val="0"/>
          <w:marRight w:val="0"/>
          <w:marTop w:val="0"/>
          <w:marBottom w:val="0"/>
          <w:divBdr>
            <w:top w:val="none" w:sz="0" w:space="0" w:color="auto"/>
            <w:left w:val="none" w:sz="0" w:space="0" w:color="auto"/>
            <w:bottom w:val="none" w:sz="0" w:space="0" w:color="auto"/>
            <w:right w:val="none" w:sz="0" w:space="0" w:color="auto"/>
          </w:divBdr>
        </w:div>
        <w:div w:id="578246972">
          <w:marLeft w:val="0"/>
          <w:marRight w:val="0"/>
          <w:marTop w:val="0"/>
          <w:marBottom w:val="0"/>
          <w:divBdr>
            <w:top w:val="none" w:sz="0" w:space="0" w:color="auto"/>
            <w:left w:val="none" w:sz="0" w:space="0" w:color="auto"/>
            <w:bottom w:val="none" w:sz="0" w:space="0" w:color="auto"/>
            <w:right w:val="none" w:sz="0" w:space="0" w:color="auto"/>
          </w:divBdr>
        </w:div>
        <w:div w:id="578246979">
          <w:marLeft w:val="0"/>
          <w:marRight w:val="0"/>
          <w:marTop w:val="0"/>
          <w:marBottom w:val="0"/>
          <w:divBdr>
            <w:top w:val="none" w:sz="0" w:space="0" w:color="auto"/>
            <w:left w:val="none" w:sz="0" w:space="0" w:color="auto"/>
            <w:bottom w:val="none" w:sz="0" w:space="0" w:color="auto"/>
            <w:right w:val="none" w:sz="0" w:space="0" w:color="auto"/>
          </w:divBdr>
        </w:div>
        <w:div w:id="578246980">
          <w:marLeft w:val="0"/>
          <w:marRight w:val="0"/>
          <w:marTop w:val="0"/>
          <w:marBottom w:val="0"/>
          <w:divBdr>
            <w:top w:val="none" w:sz="0" w:space="0" w:color="auto"/>
            <w:left w:val="none" w:sz="0" w:space="0" w:color="auto"/>
            <w:bottom w:val="none" w:sz="0" w:space="0" w:color="auto"/>
            <w:right w:val="none" w:sz="0" w:space="0" w:color="auto"/>
          </w:divBdr>
        </w:div>
        <w:div w:id="578246985">
          <w:marLeft w:val="0"/>
          <w:marRight w:val="0"/>
          <w:marTop w:val="0"/>
          <w:marBottom w:val="0"/>
          <w:divBdr>
            <w:top w:val="none" w:sz="0" w:space="0" w:color="auto"/>
            <w:left w:val="none" w:sz="0" w:space="0" w:color="auto"/>
            <w:bottom w:val="none" w:sz="0" w:space="0" w:color="auto"/>
            <w:right w:val="none" w:sz="0" w:space="0" w:color="auto"/>
          </w:divBdr>
        </w:div>
        <w:div w:id="578246994">
          <w:marLeft w:val="0"/>
          <w:marRight w:val="0"/>
          <w:marTop w:val="0"/>
          <w:marBottom w:val="0"/>
          <w:divBdr>
            <w:top w:val="none" w:sz="0" w:space="0" w:color="auto"/>
            <w:left w:val="none" w:sz="0" w:space="0" w:color="auto"/>
            <w:bottom w:val="none" w:sz="0" w:space="0" w:color="auto"/>
            <w:right w:val="none" w:sz="0" w:space="0" w:color="auto"/>
          </w:divBdr>
        </w:div>
        <w:div w:id="578246996">
          <w:marLeft w:val="0"/>
          <w:marRight w:val="0"/>
          <w:marTop w:val="0"/>
          <w:marBottom w:val="0"/>
          <w:divBdr>
            <w:top w:val="none" w:sz="0" w:space="0" w:color="auto"/>
            <w:left w:val="none" w:sz="0" w:space="0" w:color="auto"/>
            <w:bottom w:val="none" w:sz="0" w:space="0" w:color="auto"/>
            <w:right w:val="none" w:sz="0" w:space="0" w:color="auto"/>
          </w:divBdr>
          <w:divsChild>
            <w:div w:id="578246966">
              <w:marLeft w:val="0"/>
              <w:marRight w:val="0"/>
              <w:marTop w:val="0"/>
              <w:marBottom w:val="0"/>
              <w:divBdr>
                <w:top w:val="none" w:sz="0" w:space="0" w:color="auto"/>
                <w:left w:val="none" w:sz="0" w:space="0" w:color="auto"/>
                <w:bottom w:val="none" w:sz="0" w:space="0" w:color="auto"/>
                <w:right w:val="none" w:sz="0" w:space="0" w:color="auto"/>
              </w:divBdr>
            </w:div>
            <w:div w:id="578246971">
              <w:marLeft w:val="0"/>
              <w:marRight w:val="0"/>
              <w:marTop w:val="0"/>
              <w:marBottom w:val="0"/>
              <w:divBdr>
                <w:top w:val="none" w:sz="0" w:space="0" w:color="auto"/>
                <w:left w:val="none" w:sz="0" w:space="0" w:color="auto"/>
                <w:bottom w:val="none" w:sz="0" w:space="0" w:color="auto"/>
                <w:right w:val="none" w:sz="0" w:space="0" w:color="auto"/>
              </w:divBdr>
            </w:div>
            <w:div w:id="578246982">
              <w:marLeft w:val="0"/>
              <w:marRight w:val="0"/>
              <w:marTop w:val="0"/>
              <w:marBottom w:val="0"/>
              <w:divBdr>
                <w:top w:val="none" w:sz="0" w:space="0" w:color="auto"/>
                <w:left w:val="none" w:sz="0" w:space="0" w:color="auto"/>
                <w:bottom w:val="none" w:sz="0" w:space="0" w:color="auto"/>
                <w:right w:val="none" w:sz="0" w:space="0" w:color="auto"/>
              </w:divBdr>
            </w:div>
            <w:div w:id="578246983">
              <w:marLeft w:val="0"/>
              <w:marRight w:val="0"/>
              <w:marTop w:val="0"/>
              <w:marBottom w:val="0"/>
              <w:divBdr>
                <w:top w:val="none" w:sz="0" w:space="0" w:color="auto"/>
                <w:left w:val="none" w:sz="0" w:space="0" w:color="auto"/>
                <w:bottom w:val="none" w:sz="0" w:space="0" w:color="auto"/>
                <w:right w:val="none" w:sz="0" w:space="0" w:color="auto"/>
              </w:divBdr>
            </w:div>
            <w:div w:id="578246987">
              <w:marLeft w:val="0"/>
              <w:marRight w:val="0"/>
              <w:marTop w:val="0"/>
              <w:marBottom w:val="0"/>
              <w:divBdr>
                <w:top w:val="none" w:sz="0" w:space="0" w:color="auto"/>
                <w:left w:val="none" w:sz="0" w:space="0" w:color="auto"/>
                <w:bottom w:val="none" w:sz="0" w:space="0" w:color="auto"/>
                <w:right w:val="none" w:sz="0" w:space="0" w:color="auto"/>
              </w:divBdr>
            </w:div>
          </w:divsChild>
        </w:div>
        <w:div w:id="578247002">
          <w:marLeft w:val="0"/>
          <w:marRight w:val="0"/>
          <w:marTop w:val="0"/>
          <w:marBottom w:val="0"/>
          <w:divBdr>
            <w:top w:val="none" w:sz="0" w:space="0" w:color="auto"/>
            <w:left w:val="none" w:sz="0" w:space="0" w:color="auto"/>
            <w:bottom w:val="none" w:sz="0" w:space="0" w:color="auto"/>
            <w:right w:val="none" w:sz="0" w:space="0" w:color="auto"/>
          </w:divBdr>
        </w:div>
        <w:div w:id="578247003">
          <w:marLeft w:val="0"/>
          <w:marRight w:val="0"/>
          <w:marTop w:val="0"/>
          <w:marBottom w:val="0"/>
          <w:divBdr>
            <w:top w:val="none" w:sz="0" w:space="0" w:color="auto"/>
            <w:left w:val="none" w:sz="0" w:space="0" w:color="auto"/>
            <w:bottom w:val="none" w:sz="0" w:space="0" w:color="auto"/>
            <w:right w:val="none" w:sz="0" w:space="0" w:color="auto"/>
          </w:divBdr>
        </w:div>
        <w:div w:id="578247004">
          <w:marLeft w:val="0"/>
          <w:marRight w:val="0"/>
          <w:marTop w:val="0"/>
          <w:marBottom w:val="0"/>
          <w:divBdr>
            <w:top w:val="none" w:sz="0" w:space="0" w:color="auto"/>
            <w:left w:val="none" w:sz="0" w:space="0" w:color="auto"/>
            <w:bottom w:val="none" w:sz="0" w:space="0" w:color="auto"/>
            <w:right w:val="none" w:sz="0" w:space="0" w:color="auto"/>
          </w:divBdr>
        </w:div>
        <w:div w:id="578247005">
          <w:marLeft w:val="0"/>
          <w:marRight w:val="0"/>
          <w:marTop w:val="0"/>
          <w:marBottom w:val="0"/>
          <w:divBdr>
            <w:top w:val="none" w:sz="0" w:space="0" w:color="auto"/>
            <w:left w:val="none" w:sz="0" w:space="0" w:color="auto"/>
            <w:bottom w:val="none" w:sz="0" w:space="0" w:color="auto"/>
            <w:right w:val="none" w:sz="0" w:space="0" w:color="auto"/>
          </w:divBdr>
        </w:div>
        <w:div w:id="578247011">
          <w:marLeft w:val="0"/>
          <w:marRight w:val="0"/>
          <w:marTop w:val="0"/>
          <w:marBottom w:val="0"/>
          <w:divBdr>
            <w:top w:val="none" w:sz="0" w:space="0" w:color="auto"/>
            <w:left w:val="none" w:sz="0" w:space="0" w:color="auto"/>
            <w:bottom w:val="none" w:sz="0" w:space="0" w:color="auto"/>
            <w:right w:val="none" w:sz="0" w:space="0" w:color="auto"/>
          </w:divBdr>
        </w:div>
        <w:div w:id="578247013">
          <w:marLeft w:val="0"/>
          <w:marRight w:val="0"/>
          <w:marTop w:val="0"/>
          <w:marBottom w:val="0"/>
          <w:divBdr>
            <w:top w:val="none" w:sz="0" w:space="0" w:color="auto"/>
            <w:left w:val="none" w:sz="0" w:space="0" w:color="auto"/>
            <w:bottom w:val="none" w:sz="0" w:space="0" w:color="auto"/>
            <w:right w:val="none" w:sz="0" w:space="0" w:color="auto"/>
          </w:divBdr>
        </w:div>
        <w:div w:id="578247018">
          <w:marLeft w:val="0"/>
          <w:marRight w:val="0"/>
          <w:marTop w:val="0"/>
          <w:marBottom w:val="0"/>
          <w:divBdr>
            <w:top w:val="none" w:sz="0" w:space="0" w:color="auto"/>
            <w:left w:val="none" w:sz="0" w:space="0" w:color="auto"/>
            <w:bottom w:val="none" w:sz="0" w:space="0" w:color="auto"/>
            <w:right w:val="none" w:sz="0" w:space="0" w:color="auto"/>
          </w:divBdr>
        </w:div>
        <w:div w:id="578247020">
          <w:marLeft w:val="0"/>
          <w:marRight w:val="0"/>
          <w:marTop w:val="0"/>
          <w:marBottom w:val="0"/>
          <w:divBdr>
            <w:top w:val="none" w:sz="0" w:space="0" w:color="auto"/>
            <w:left w:val="none" w:sz="0" w:space="0" w:color="auto"/>
            <w:bottom w:val="none" w:sz="0" w:space="0" w:color="auto"/>
            <w:right w:val="none" w:sz="0" w:space="0" w:color="auto"/>
          </w:divBdr>
        </w:div>
      </w:divsChild>
    </w:div>
    <w:div w:id="578246991">
      <w:marLeft w:val="0"/>
      <w:marRight w:val="0"/>
      <w:marTop w:val="0"/>
      <w:marBottom w:val="0"/>
      <w:divBdr>
        <w:top w:val="none" w:sz="0" w:space="0" w:color="auto"/>
        <w:left w:val="none" w:sz="0" w:space="0" w:color="auto"/>
        <w:bottom w:val="none" w:sz="0" w:space="0" w:color="auto"/>
        <w:right w:val="none" w:sz="0" w:space="0" w:color="auto"/>
      </w:divBdr>
    </w:div>
    <w:div w:id="578246992">
      <w:marLeft w:val="0"/>
      <w:marRight w:val="0"/>
      <w:marTop w:val="0"/>
      <w:marBottom w:val="0"/>
      <w:divBdr>
        <w:top w:val="none" w:sz="0" w:space="0" w:color="auto"/>
        <w:left w:val="none" w:sz="0" w:space="0" w:color="auto"/>
        <w:bottom w:val="none" w:sz="0" w:space="0" w:color="auto"/>
        <w:right w:val="none" w:sz="0" w:space="0" w:color="auto"/>
      </w:divBdr>
    </w:div>
    <w:div w:id="578246993">
      <w:marLeft w:val="0"/>
      <w:marRight w:val="0"/>
      <w:marTop w:val="0"/>
      <w:marBottom w:val="0"/>
      <w:divBdr>
        <w:top w:val="none" w:sz="0" w:space="0" w:color="auto"/>
        <w:left w:val="none" w:sz="0" w:space="0" w:color="auto"/>
        <w:bottom w:val="none" w:sz="0" w:space="0" w:color="auto"/>
        <w:right w:val="none" w:sz="0" w:space="0" w:color="auto"/>
      </w:divBdr>
    </w:div>
    <w:div w:id="578246995">
      <w:marLeft w:val="0"/>
      <w:marRight w:val="0"/>
      <w:marTop w:val="0"/>
      <w:marBottom w:val="0"/>
      <w:divBdr>
        <w:top w:val="none" w:sz="0" w:space="0" w:color="auto"/>
        <w:left w:val="none" w:sz="0" w:space="0" w:color="auto"/>
        <w:bottom w:val="none" w:sz="0" w:space="0" w:color="auto"/>
        <w:right w:val="none" w:sz="0" w:space="0" w:color="auto"/>
      </w:divBdr>
    </w:div>
    <w:div w:id="578246997">
      <w:marLeft w:val="0"/>
      <w:marRight w:val="0"/>
      <w:marTop w:val="0"/>
      <w:marBottom w:val="0"/>
      <w:divBdr>
        <w:top w:val="none" w:sz="0" w:space="0" w:color="auto"/>
        <w:left w:val="none" w:sz="0" w:space="0" w:color="auto"/>
        <w:bottom w:val="none" w:sz="0" w:space="0" w:color="auto"/>
        <w:right w:val="none" w:sz="0" w:space="0" w:color="auto"/>
      </w:divBdr>
    </w:div>
    <w:div w:id="578246998">
      <w:marLeft w:val="0"/>
      <w:marRight w:val="0"/>
      <w:marTop w:val="0"/>
      <w:marBottom w:val="0"/>
      <w:divBdr>
        <w:top w:val="none" w:sz="0" w:space="0" w:color="auto"/>
        <w:left w:val="none" w:sz="0" w:space="0" w:color="auto"/>
        <w:bottom w:val="none" w:sz="0" w:space="0" w:color="auto"/>
        <w:right w:val="none" w:sz="0" w:space="0" w:color="auto"/>
      </w:divBdr>
    </w:div>
    <w:div w:id="578246999">
      <w:marLeft w:val="0"/>
      <w:marRight w:val="0"/>
      <w:marTop w:val="0"/>
      <w:marBottom w:val="0"/>
      <w:divBdr>
        <w:top w:val="none" w:sz="0" w:space="0" w:color="auto"/>
        <w:left w:val="none" w:sz="0" w:space="0" w:color="auto"/>
        <w:bottom w:val="none" w:sz="0" w:space="0" w:color="auto"/>
        <w:right w:val="none" w:sz="0" w:space="0" w:color="auto"/>
      </w:divBdr>
    </w:div>
    <w:div w:id="578247000">
      <w:marLeft w:val="0"/>
      <w:marRight w:val="0"/>
      <w:marTop w:val="0"/>
      <w:marBottom w:val="0"/>
      <w:divBdr>
        <w:top w:val="none" w:sz="0" w:space="0" w:color="auto"/>
        <w:left w:val="none" w:sz="0" w:space="0" w:color="auto"/>
        <w:bottom w:val="none" w:sz="0" w:space="0" w:color="auto"/>
        <w:right w:val="none" w:sz="0" w:space="0" w:color="auto"/>
      </w:divBdr>
    </w:div>
    <w:div w:id="578247001">
      <w:marLeft w:val="0"/>
      <w:marRight w:val="0"/>
      <w:marTop w:val="0"/>
      <w:marBottom w:val="0"/>
      <w:divBdr>
        <w:top w:val="none" w:sz="0" w:space="0" w:color="auto"/>
        <w:left w:val="none" w:sz="0" w:space="0" w:color="auto"/>
        <w:bottom w:val="none" w:sz="0" w:space="0" w:color="auto"/>
        <w:right w:val="none" w:sz="0" w:space="0" w:color="auto"/>
      </w:divBdr>
    </w:div>
    <w:div w:id="578247006">
      <w:marLeft w:val="0"/>
      <w:marRight w:val="0"/>
      <w:marTop w:val="0"/>
      <w:marBottom w:val="0"/>
      <w:divBdr>
        <w:top w:val="none" w:sz="0" w:space="0" w:color="auto"/>
        <w:left w:val="none" w:sz="0" w:space="0" w:color="auto"/>
        <w:bottom w:val="none" w:sz="0" w:space="0" w:color="auto"/>
        <w:right w:val="none" w:sz="0" w:space="0" w:color="auto"/>
      </w:divBdr>
    </w:div>
    <w:div w:id="578247008">
      <w:marLeft w:val="0"/>
      <w:marRight w:val="0"/>
      <w:marTop w:val="0"/>
      <w:marBottom w:val="0"/>
      <w:divBdr>
        <w:top w:val="none" w:sz="0" w:space="0" w:color="auto"/>
        <w:left w:val="none" w:sz="0" w:space="0" w:color="auto"/>
        <w:bottom w:val="none" w:sz="0" w:space="0" w:color="auto"/>
        <w:right w:val="none" w:sz="0" w:space="0" w:color="auto"/>
      </w:divBdr>
    </w:div>
    <w:div w:id="578247009">
      <w:marLeft w:val="0"/>
      <w:marRight w:val="0"/>
      <w:marTop w:val="0"/>
      <w:marBottom w:val="0"/>
      <w:divBdr>
        <w:top w:val="none" w:sz="0" w:space="0" w:color="auto"/>
        <w:left w:val="none" w:sz="0" w:space="0" w:color="auto"/>
        <w:bottom w:val="none" w:sz="0" w:space="0" w:color="auto"/>
        <w:right w:val="none" w:sz="0" w:space="0" w:color="auto"/>
      </w:divBdr>
    </w:div>
    <w:div w:id="578247010">
      <w:marLeft w:val="0"/>
      <w:marRight w:val="0"/>
      <w:marTop w:val="0"/>
      <w:marBottom w:val="0"/>
      <w:divBdr>
        <w:top w:val="none" w:sz="0" w:space="0" w:color="auto"/>
        <w:left w:val="none" w:sz="0" w:space="0" w:color="auto"/>
        <w:bottom w:val="none" w:sz="0" w:space="0" w:color="auto"/>
        <w:right w:val="none" w:sz="0" w:space="0" w:color="auto"/>
      </w:divBdr>
    </w:div>
    <w:div w:id="578247012">
      <w:marLeft w:val="0"/>
      <w:marRight w:val="0"/>
      <w:marTop w:val="0"/>
      <w:marBottom w:val="0"/>
      <w:divBdr>
        <w:top w:val="none" w:sz="0" w:space="0" w:color="auto"/>
        <w:left w:val="none" w:sz="0" w:space="0" w:color="auto"/>
        <w:bottom w:val="none" w:sz="0" w:space="0" w:color="auto"/>
        <w:right w:val="none" w:sz="0" w:space="0" w:color="auto"/>
      </w:divBdr>
    </w:div>
    <w:div w:id="578247014">
      <w:marLeft w:val="0"/>
      <w:marRight w:val="0"/>
      <w:marTop w:val="0"/>
      <w:marBottom w:val="0"/>
      <w:divBdr>
        <w:top w:val="none" w:sz="0" w:space="0" w:color="auto"/>
        <w:left w:val="none" w:sz="0" w:space="0" w:color="auto"/>
        <w:bottom w:val="none" w:sz="0" w:space="0" w:color="auto"/>
        <w:right w:val="none" w:sz="0" w:space="0" w:color="auto"/>
      </w:divBdr>
    </w:div>
    <w:div w:id="578247015">
      <w:marLeft w:val="0"/>
      <w:marRight w:val="0"/>
      <w:marTop w:val="0"/>
      <w:marBottom w:val="0"/>
      <w:divBdr>
        <w:top w:val="none" w:sz="0" w:space="0" w:color="auto"/>
        <w:left w:val="none" w:sz="0" w:space="0" w:color="auto"/>
        <w:bottom w:val="none" w:sz="0" w:space="0" w:color="auto"/>
        <w:right w:val="none" w:sz="0" w:space="0" w:color="auto"/>
      </w:divBdr>
    </w:div>
    <w:div w:id="578247016">
      <w:marLeft w:val="0"/>
      <w:marRight w:val="0"/>
      <w:marTop w:val="0"/>
      <w:marBottom w:val="0"/>
      <w:divBdr>
        <w:top w:val="none" w:sz="0" w:space="0" w:color="auto"/>
        <w:left w:val="none" w:sz="0" w:space="0" w:color="auto"/>
        <w:bottom w:val="none" w:sz="0" w:space="0" w:color="auto"/>
        <w:right w:val="none" w:sz="0" w:space="0" w:color="auto"/>
      </w:divBdr>
    </w:div>
    <w:div w:id="578247017">
      <w:marLeft w:val="0"/>
      <w:marRight w:val="0"/>
      <w:marTop w:val="0"/>
      <w:marBottom w:val="0"/>
      <w:divBdr>
        <w:top w:val="none" w:sz="0" w:space="0" w:color="auto"/>
        <w:left w:val="none" w:sz="0" w:space="0" w:color="auto"/>
        <w:bottom w:val="none" w:sz="0" w:space="0" w:color="auto"/>
        <w:right w:val="none" w:sz="0" w:space="0" w:color="auto"/>
      </w:divBdr>
      <w:divsChild>
        <w:div w:id="578247007">
          <w:marLeft w:val="720"/>
          <w:marRight w:val="720"/>
          <w:marTop w:val="100"/>
          <w:marBottom w:val="100"/>
          <w:divBdr>
            <w:top w:val="none" w:sz="0" w:space="0" w:color="auto"/>
            <w:left w:val="none" w:sz="0" w:space="0" w:color="auto"/>
            <w:bottom w:val="none" w:sz="0" w:space="0" w:color="auto"/>
            <w:right w:val="none" w:sz="0" w:space="0" w:color="auto"/>
          </w:divBdr>
          <w:divsChild>
            <w:div w:id="5782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7019">
      <w:marLeft w:val="0"/>
      <w:marRight w:val="0"/>
      <w:marTop w:val="0"/>
      <w:marBottom w:val="0"/>
      <w:divBdr>
        <w:top w:val="none" w:sz="0" w:space="0" w:color="auto"/>
        <w:left w:val="none" w:sz="0" w:space="0" w:color="auto"/>
        <w:bottom w:val="none" w:sz="0" w:space="0" w:color="auto"/>
        <w:right w:val="none" w:sz="0" w:space="0" w:color="auto"/>
      </w:divBdr>
    </w:div>
    <w:div w:id="578247021">
      <w:marLeft w:val="0"/>
      <w:marRight w:val="0"/>
      <w:marTop w:val="0"/>
      <w:marBottom w:val="0"/>
      <w:divBdr>
        <w:top w:val="none" w:sz="0" w:space="0" w:color="auto"/>
        <w:left w:val="none" w:sz="0" w:space="0" w:color="auto"/>
        <w:bottom w:val="none" w:sz="0" w:space="0" w:color="auto"/>
        <w:right w:val="none" w:sz="0" w:space="0" w:color="auto"/>
      </w:divBdr>
    </w:div>
    <w:div w:id="578247022">
      <w:marLeft w:val="0"/>
      <w:marRight w:val="0"/>
      <w:marTop w:val="0"/>
      <w:marBottom w:val="0"/>
      <w:divBdr>
        <w:top w:val="none" w:sz="0" w:space="0" w:color="auto"/>
        <w:left w:val="none" w:sz="0" w:space="0" w:color="auto"/>
        <w:bottom w:val="none" w:sz="0" w:space="0" w:color="auto"/>
        <w:right w:val="none" w:sz="0" w:space="0" w:color="auto"/>
      </w:divBdr>
    </w:div>
    <w:div w:id="578247023">
      <w:marLeft w:val="0"/>
      <w:marRight w:val="0"/>
      <w:marTop w:val="0"/>
      <w:marBottom w:val="0"/>
      <w:divBdr>
        <w:top w:val="none" w:sz="0" w:space="0" w:color="auto"/>
        <w:left w:val="none" w:sz="0" w:space="0" w:color="auto"/>
        <w:bottom w:val="none" w:sz="0" w:space="0" w:color="auto"/>
        <w:right w:val="none" w:sz="0" w:space="0" w:color="auto"/>
      </w:divBdr>
    </w:div>
    <w:div w:id="578247024">
      <w:marLeft w:val="0"/>
      <w:marRight w:val="0"/>
      <w:marTop w:val="0"/>
      <w:marBottom w:val="0"/>
      <w:divBdr>
        <w:top w:val="none" w:sz="0" w:space="0" w:color="auto"/>
        <w:left w:val="none" w:sz="0" w:space="0" w:color="auto"/>
        <w:bottom w:val="none" w:sz="0" w:space="0" w:color="auto"/>
        <w:right w:val="none" w:sz="0" w:space="0" w:color="auto"/>
      </w:divBdr>
    </w:div>
    <w:div w:id="578247025">
      <w:marLeft w:val="0"/>
      <w:marRight w:val="0"/>
      <w:marTop w:val="0"/>
      <w:marBottom w:val="0"/>
      <w:divBdr>
        <w:top w:val="none" w:sz="0" w:space="0" w:color="auto"/>
        <w:left w:val="none" w:sz="0" w:space="0" w:color="auto"/>
        <w:bottom w:val="none" w:sz="0" w:space="0" w:color="auto"/>
        <w:right w:val="none" w:sz="0" w:space="0" w:color="auto"/>
      </w:divBdr>
    </w:div>
    <w:div w:id="578247026">
      <w:marLeft w:val="0"/>
      <w:marRight w:val="0"/>
      <w:marTop w:val="0"/>
      <w:marBottom w:val="0"/>
      <w:divBdr>
        <w:top w:val="none" w:sz="0" w:space="0" w:color="auto"/>
        <w:left w:val="none" w:sz="0" w:space="0" w:color="auto"/>
        <w:bottom w:val="none" w:sz="0" w:space="0" w:color="auto"/>
        <w:right w:val="none" w:sz="0" w:space="0" w:color="auto"/>
      </w:divBdr>
    </w:div>
    <w:div w:id="578247027">
      <w:marLeft w:val="0"/>
      <w:marRight w:val="0"/>
      <w:marTop w:val="0"/>
      <w:marBottom w:val="0"/>
      <w:divBdr>
        <w:top w:val="none" w:sz="0" w:space="0" w:color="auto"/>
        <w:left w:val="none" w:sz="0" w:space="0" w:color="auto"/>
        <w:bottom w:val="none" w:sz="0" w:space="0" w:color="auto"/>
        <w:right w:val="none" w:sz="0" w:space="0" w:color="auto"/>
      </w:divBdr>
    </w:div>
    <w:div w:id="587230601">
      <w:bodyDiv w:val="1"/>
      <w:marLeft w:val="0"/>
      <w:marRight w:val="0"/>
      <w:marTop w:val="0"/>
      <w:marBottom w:val="0"/>
      <w:divBdr>
        <w:top w:val="none" w:sz="0" w:space="0" w:color="auto"/>
        <w:left w:val="none" w:sz="0" w:space="0" w:color="auto"/>
        <w:bottom w:val="none" w:sz="0" w:space="0" w:color="auto"/>
        <w:right w:val="none" w:sz="0" w:space="0" w:color="auto"/>
      </w:divBdr>
    </w:div>
    <w:div w:id="621883273">
      <w:bodyDiv w:val="1"/>
      <w:marLeft w:val="0"/>
      <w:marRight w:val="0"/>
      <w:marTop w:val="0"/>
      <w:marBottom w:val="0"/>
      <w:divBdr>
        <w:top w:val="none" w:sz="0" w:space="0" w:color="auto"/>
        <w:left w:val="none" w:sz="0" w:space="0" w:color="auto"/>
        <w:bottom w:val="none" w:sz="0" w:space="0" w:color="auto"/>
        <w:right w:val="none" w:sz="0" w:space="0" w:color="auto"/>
      </w:divBdr>
    </w:div>
    <w:div w:id="642933363">
      <w:bodyDiv w:val="1"/>
      <w:marLeft w:val="0"/>
      <w:marRight w:val="0"/>
      <w:marTop w:val="0"/>
      <w:marBottom w:val="0"/>
      <w:divBdr>
        <w:top w:val="none" w:sz="0" w:space="0" w:color="auto"/>
        <w:left w:val="none" w:sz="0" w:space="0" w:color="auto"/>
        <w:bottom w:val="none" w:sz="0" w:space="0" w:color="auto"/>
        <w:right w:val="none" w:sz="0" w:space="0" w:color="auto"/>
      </w:divBdr>
    </w:div>
    <w:div w:id="747462246">
      <w:bodyDiv w:val="1"/>
      <w:marLeft w:val="0"/>
      <w:marRight w:val="0"/>
      <w:marTop w:val="0"/>
      <w:marBottom w:val="0"/>
      <w:divBdr>
        <w:top w:val="none" w:sz="0" w:space="0" w:color="auto"/>
        <w:left w:val="none" w:sz="0" w:space="0" w:color="auto"/>
        <w:bottom w:val="none" w:sz="0" w:space="0" w:color="auto"/>
        <w:right w:val="none" w:sz="0" w:space="0" w:color="auto"/>
      </w:divBdr>
    </w:div>
    <w:div w:id="758065425">
      <w:bodyDiv w:val="1"/>
      <w:marLeft w:val="0"/>
      <w:marRight w:val="0"/>
      <w:marTop w:val="0"/>
      <w:marBottom w:val="0"/>
      <w:divBdr>
        <w:top w:val="none" w:sz="0" w:space="0" w:color="auto"/>
        <w:left w:val="none" w:sz="0" w:space="0" w:color="auto"/>
        <w:bottom w:val="none" w:sz="0" w:space="0" w:color="auto"/>
        <w:right w:val="none" w:sz="0" w:space="0" w:color="auto"/>
      </w:divBdr>
    </w:div>
    <w:div w:id="872617186">
      <w:bodyDiv w:val="1"/>
      <w:marLeft w:val="0"/>
      <w:marRight w:val="0"/>
      <w:marTop w:val="0"/>
      <w:marBottom w:val="0"/>
      <w:divBdr>
        <w:top w:val="none" w:sz="0" w:space="0" w:color="auto"/>
        <w:left w:val="none" w:sz="0" w:space="0" w:color="auto"/>
        <w:bottom w:val="none" w:sz="0" w:space="0" w:color="auto"/>
        <w:right w:val="none" w:sz="0" w:space="0" w:color="auto"/>
      </w:divBdr>
    </w:div>
    <w:div w:id="877162807">
      <w:bodyDiv w:val="1"/>
      <w:marLeft w:val="0"/>
      <w:marRight w:val="0"/>
      <w:marTop w:val="0"/>
      <w:marBottom w:val="0"/>
      <w:divBdr>
        <w:top w:val="none" w:sz="0" w:space="0" w:color="auto"/>
        <w:left w:val="none" w:sz="0" w:space="0" w:color="auto"/>
        <w:bottom w:val="none" w:sz="0" w:space="0" w:color="auto"/>
        <w:right w:val="none" w:sz="0" w:space="0" w:color="auto"/>
      </w:divBdr>
    </w:div>
    <w:div w:id="931671573">
      <w:bodyDiv w:val="1"/>
      <w:marLeft w:val="0"/>
      <w:marRight w:val="0"/>
      <w:marTop w:val="0"/>
      <w:marBottom w:val="0"/>
      <w:divBdr>
        <w:top w:val="none" w:sz="0" w:space="0" w:color="auto"/>
        <w:left w:val="none" w:sz="0" w:space="0" w:color="auto"/>
        <w:bottom w:val="none" w:sz="0" w:space="0" w:color="auto"/>
        <w:right w:val="none" w:sz="0" w:space="0" w:color="auto"/>
      </w:divBdr>
    </w:div>
    <w:div w:id="988362864">
      <w:bodyDiv w:val="1"/>
      <w:marLeft w:val="0"/>
      <w:marRight w:val="0"/>
      <w:marTop w:val="0"/>
      <w:marBottom w:val="0"/>
      <w:divBdr>
        <w:top w:val="none" w:sz="0" w:space="0" w:color="auto"/>
        <w:left w:val="none" w:sz="0" w:space="0" w:color="auto"/>
        <w:bottom w:val="none" w:sz="0" w:space="0" w:color="auto"/>
        <w:right w:val="none" w:sz="0" w:space="0" w:color="auto"/>
      </w:divBdr>
    </w:div>
    <w:div w:id="1068070190">
      <w:bodyDiv w:val="1"/>
      <w:marLeft w:val="0"/>
      <w:marRight w:val="0"/>
      <w:marTop w:val="0"/>
      <w:marBottom w:val="0"/>
      <w:divBdr>
        <w:top w:val="none" w:sz="0" w:space="0" w:color="auto"/>
        <w:left w:val="none" w:sz="0" w:space="0" w:color="auto"/>
        <w:bottom w:val="none" w:sz="0" w:space="0" w:color="auto"/>
        <w:right w:val="none" w:sz="0" w:space="0" w:color="auto"/>
      </w:divBdr>
    </w:div>
    <w:div w:id="1115641327">
      <w:bodyDiv w:val="1"/>
      <w:marLeft w:val="0"/>
      <w:marRight w:val="0"/>
      <w:marTop w:val="0"/>
      <w:marBottom w:val="0"/>
      <w:divBdr>
        <w:top w:val="none" w:sz="0" w:space="0" w:color="auto"/>
        <w:left w:val="none" w:sz="0" w:space="0" w:color="auto"/>
        <w:bottom w:val="none" w:sz="0" w:space="0" w:color="auto"/>
        <w:right w:val="none" w:sz="0" w:space="0" w:color="auto"/>
      </w:divBdr>
    </w:div>
    <w:div w:id="1119372452">
      <w:bodyDiv w:val="1"/>
      <w:marLeft w:val="0"/>
      <w:marRight w:val="0"/>
      <w:marTop w:val="0"/>
      <w:marBottom w:val="0"/>
      <w:divBdr>
        <w:top w:val="none" w:sz="0" w:space="0" w:color="auto"/>
        <w:left w:val="none" w:sz="0" w:space="0" w:color="auto"/>
        <w:bottom w:val="none" w:sz="0" w:space="0" w:color="auto"/>
        <w:right w:val="none" w:sz="0" w:space="0" w:color="auto"/>
      </w:divBdr>
      <w:divsChild>
        <w:div w:id="1755662544">
          <w:marLeft w:val="0"/>
          <w:marRight w:val="0"/>
          <w:marTop w:val="0"/>
          <w:marBottom w:val="0"/>
          <w:divBdr>
            <w:top w:val="none" w:sz="0" w:space="0" w:color="auto"/>
            <w:left w:val="none" w:sz="0" w:space="0" w:color="auto"/>
            <w:bottom w:val="none" w:sz="0" w:space="0" w:color="auto"/>
            <w:right w:val="none" w:sz="0" w:space="0" w:color="auto"/>
          </w:divBdr>
        </w:div>
        <w:div w:id="1983582442">
          <w:marLeft w:val="0"/>
          <w:marRight w:val="0"/>
          <w:marTop w:val="0"/>
          <w:marBottom w:val="0"/>
          <w:divBdr>
            <w:top w:val="none" w:sz="0" w:space="0" w:color="auto"/>
            <w:left w:val="none" w:sz="0" w:space="0" w:color="auto"/>
            <w:bottom w:val="none" w:sz="0" w:space="0" w:color="auto"/>
            <w:right w:val="none" w:sz="0" w:space="0" w:color="auto"/>
          </w:divBdr>
        </w:div>
        <w:div w:id="1935362723">
          <w:marLeft w:val="0"/>
          <w:marRight w:val="0"/>
          <w:marTop w:val="0"/>
          <w:marBottom w:val="0"/>
          <w:divBdr>
            <w:top w:val="none" w:sz="0" w:space="0" w:color="auto"/>
            <w:left w:val="none" w:sz="0" w:space="0" w:color="auto"/>
            <w:bottom w:val="none" w:sz="0" w:space="0" w:color="auto"/>
            <w:right w:val="none" w:sz="0" w:space="0" w:color="auto"/>
          </w:divBdr>
        </w:div>
        <w:div w:id="2106001217">
          <w:marLeft w:val="0"/>
          <w:marRight w:val="0"/>
          <w:marTop w:val="0"/>
          <w:marBottom w:val="0"/>
          <w:divBdr>
            <w:top w:val="none" w:sz="0" w:space="0" w:color="auto"/>
            <w:left w:val="none" w:sz="0" w:space="0" w:color="auto"/>
            <w:bottom w:val="none" w:sz="0" w:space="0" w:color="auto"/>
            <w:right w:val="none" w:sz="0" w:space="0" w:color="auto"/>
          </w:divBdr>
        </w:div>
        <w:div w:id="1339650631">
          <w:marLeft w:val="0"/>
          <w:marRight w:val="0"/>
          <w:marTop w:val="0"/>
          <w:marBottom w:val="0"/>
          <w:divBdr>
            <w:top w:val="none" w:sz="0" w:space="0" w:color="auto"/>
            <w:left w:val="none" w:sz="0" w:space="0" w:color="auto"/>
            <w:bottom w:val="none" w:sz="0" w:space="0" w:color="auto"/>
            <w:right w:val="none" w:sz="0" w:space="0" w:color="auto"/>
          </w:divBdr>
        </w:div>
      </w:divsChild>
    </w:div>
    <w:div w:id="1141069960">
      <w:bodyDiv w:val="1"/>
      <w:marLeft w:val="0"/>
      <w:marRight w:val="0"/>
      <w:marTop w:val="0"/>
      <w:marBottom w:val="0"/>
      <w:divBdr>
        <w:top w:val="none" w:sz="0" w:space="0" w:color="auto"/>
        <w:left w:val="none" w:sz="0" w:space="0" w:color="auto"/>
        <w:bottom w:val="none" w:sz="0" w:space="0" w:color="auto"/>
        <w:right w:val="none" w:sz="0" w:space="0" w:color="auto"/>
      </w:divBdr>
    </w:div>
    <w:div w:id="1201670700">
      <w:bodyDiv w:val="1"/>
      <w:marLeft w:val="0"/>
      <w:marRight w:val="0"/>
      <w:marTop w:val="0"/>
      <w:marBottom w:val="0"/>
      <w:divBdr>
        <w:top w:val="none" w:sz="0" w:space="0" w:color="auto"/>
        <w:left w:val="none" w:sz="0" w:space="0" w:color="auto"/>
        <w:bottom w:val="none" w:sz="0" w:space="0" w:color="auto"/>
        <w:right w:val="none" w:sz="0" w:space="0" w:color="auto"/>
      </w:divBdr>
    </w:div>
    <w:div w:id="1417945775">
      <w:bodyDiv w:val="1"/>
      <w:marLeft w:val="0"/>
      <w:marRight w:val="0"/>
      <w:marTop w:val="0"/>
      <w:marBottom w:val="0"/>
      <w:divBdr>
        <w:top w:val="none" w:sz="0" w:space="0" w:color="auto"/>
        <w:left w:val="none" w:sz="0" w:space="0" w:color="auto"/>
        <w:bottom w:val="none" w:sz="0" w:space="0" w:color="auto"/>
        <w:right w:val="none" w:sz="0" w:space="0" w:color="auto"/>
      </w:divBdr>
    </w:div>
    <w:div w:id="1550918530">
      <w:bodyDiv w:val="1"/>
      <w:marLeft w:val="0"/>
      <w:marRight w:val="0"/>
      <w:marTop w:val="0"/>
      <w:marBottom w:val="0"/>
      <w:divBdr>
        <w:top w:val="none" w:sz="0" w:space="0" w:color="auto"/>
        <w:left w:val="none" w:sz="0" w:space="0" w:color="auto"/>
        <w:bottom w:val="none" w:sz="0" w:space="0" w:color="auto"/>
        <w:right w:val="none" w:sz="0" w:space="0" w:color="auto"/>
      </w:divBdr>
    </w:div>
    <w:div w:id="1586769577">
      <w:bodyDiv w:val="1"/>
      <w:marLeft w:val="0"/>
      <w:marRight w:val="0"/>
      <w:marTop w:val="0"/>
      <w:marBottom w:val="0"/>
      <w:divBdr>
        <w:top w:val="none" w:sz="0" w:space="0" w:color="auto"/>
        <w:left w:val="none" w:sz="0" w:space="0" w:color="auto"/>
        <w:bottom w:val="none" w:sz="0" w:space="0" w:color="auto"/>
        <w:right w:val="none" w:sz="0" w:space="0" w:color="auto"/>
      </w:divBdr>
      <w:divsChild>
        <w:div w:id="1910075271">
          <w:marLeft w:val="0"/>
          <w:marRight w:val="0"/>
          <w:marTop w:val="0"/>
          <w:marBottom w:val="0"/>
          <w:divBdr>
            <w:top w:val="none" w:sz="0" w:space="0" w:color="auto"/>
            <w:left w:val="none" w:sz="0" w:space="0" w:color="auto"/>
            <w:bottom w:val="none" w:sz="0" w:space="0" w:color="auto"/>
            <w:right w:val="none" w:sz="0" w:space="0" w:color="auto"/>
          </w:divBdr>
        </w:div>
        <w:div w:id="866329772">
          <w:marLeft w:val="0"/>
          <w:marRight w:val="0"/>
          <w:marTop w:val="0"/>
          <w:marBottom w:val="0"/>
          <w:divBdr>
            <w:top w:val="none" w:sz="0" w:space="0" w:color="auto"/>
            <w:left w:val="none" w:sz="0" w:space="0" w:color="auto"/>
            <w:bottom w:val="none" w:sz="0" w:space="0" w:color="auto"/>
            <w:right w:val="none" w:sz="0" w:space="0" w:color="auto"/>
          </w:divBdr>
        </w:div>
        <w:div w:id="1771512310">
          <w:marLeft w:val="0"/>
          <w:marRight w:val="0"/>
          <w:marTop w:val="0"/>
          <w:marBottom w:val="0"/>
          <w:divBdr>
            <w:top w:val="none" w:sz="0" w:space="0" w:color="auto"/>
            <w:left w:val="none" w:sz="0" w:space="0" w:color="auto"/>
            <w:bottom w:val="none" w:sz="0" w:space="0" w:color="auto"/>
            <w:right w:val="none" w:sz="0" w:space="0" w:color="auto"/>
          </w:divBdr>
        </w:div>
      </w:divsChild>
    </w:div>
    <w:div w:id="1622611042">
      <w:bodyDiv w:val="1"/>
      <w:marLeft w:val="0"/>
      <w:marRight w:val="0"/>
      <w:marTop w:val="0"/>
      <w:marBottom w:val="0"/>
      <w:divBdr>
        <w:top w:val="none" w:sz="0" w:space="0" w:color="auto"/>
        <w:left w:val="none" w:sz="0" w:space="0" w:color="auto"/>
        <w:bottom w:val="none" w:sz="0" w:space="0" w:color="auto"/>
        <w:right w:val="none" w:sz="0" w:space="0" w:color="auto"/>
      </w:divBdr>
    </w:div>
    <w:div w:id="1692150054">
      <w:bodyDiv w:val="1"/>
      <w:marLeft w:val="0"/>
      <w:marRight w:val="0"/>
      <w:marTop w:val="0"/>
      <w:marBottom w:val="0"/>
      <w:divBdr>
        <w:top w:val="none" w:sz="0" w:space="0" w:color="auto"/>
        <w:left w:val="none" w:sz="0" w:space="0" w:color="auto"/>
        <w:bottom w:val="none" w:sz="0" w:space="0" w:color="auto"/>
        <w:right w:val="none" w:sz="0" w:space="0" w:color="auto"/>
      </w:divBdr>
    </w:div>
    <w:div w:id="1731340095">
      <w:bodyDiv w:val="1"/>
      <w:marLeft w:val="0"/>
      <w:marRight w:val="0"/>
      <w:marTop w:val="0"/>
      <w:marBottom w:val="0"/>
      <w:divBdr>
        <w:top w:val="none" w:sz="0" w:space="0" w:color="auto"/>
        <w:left w:val="none" w:sz="0" w:space="0" w:color="auto"/>
        <w:bottom w:val="none" w:sz="0" w:space="0" w:color="auto"/>
        <w:right w:val="none" w:sz="0" w:space="0" w:color="auto"/>
      </w:divBdr>
      <w:divsChild>
        <w:div w:id="1059399818">
          <w:marLeft w:val="0"/>
          <w:marRight w:val="0"/>
          <w:marTop w:val="0"/>
          <w:marBottom w:val="240"/>
          <w:divBdr>
            <w:top w:val="none" w:sz="0" w:space="0" w:color="auto"/>
            <w:left w:val="none" w:sz="0" w:space="0" w:color="auto"/>
            <w:bottom w:val="none" w:sz="0" w:space="0" w:color="auto"/>
            <w:right w:val="none" w:sz="0" w:space="0" w:color="auto"/>
          </w:divBdr>
        </w:div>
        <w:div w:id="1496334302">
          <w:marLeft w:val="0"/>
          <w:marRight w:val="0"/>
          <w:marTop w:val="100"/>
          <w:marBottom w:val="100"/>
          <w:divBdr>
            <w:top w:val="none" w:sz="0" w:space="0" w:color="auto"/>
            <w:left w:val="none" w:sz="0" w:space="0" w:color="auto"/>
            <w:bottom w:val="none" w:sz="0" w:space="0" w:color="auto"/>
            <w:right w:val="none" w:sz="0" w:space="0" w:color="auto"/>
          </w:divBdr>
        </w:div>
        <w:div w:id="1155489404">
          <w:marLeft w:val="0"/>
          <w:marRight w:val="0"/>
          <w:marTop w:val="0"/>
          <w:marBottom w:val="300"/>
          <w:divBdr>
            <w:top w:val="none" w:sz="0" w:space="0" w:color="auto"/>
            <w:left w:val="none" w:sz="0" w:space="0" w:color="auto"/>
            <w:bottom w:val="single" w:sz="6" w:space="8" w:color="EFEFEF"/>
            <w:right w:val="none" w:sz="0" w:space="0" w:color="auto"/>
          </w:divBdr>
        </w:div>
      </w:divsChild>
    </w:div>
    <w:div w:id="1754468687">
      <w:bodyDiv w:val="1"/>
      <w:marLeft w:val="0"/>
      <w:marRight w:val="0"/>
      <w:marTop w:val="0"/>
      <w:marBottom w:val="0"/>
      <w:divBdr>
        <w:top w:val="none" w:sz="0" w:space="0" w:color="auto"/>
        <w:left w:val="none" w:sz="0" w:space="0" w:color="auto"/>
        <w:bottom w:val="none" w:sz="0" w:space="0" w:color="auto"/>
        <w:right w:val="none" w:sz="0" w:space="0" w:color="auto"/>
      </w:divBdr>
    </w:div>
    <w:div w:id="1756583382">
      <w:bodyDiv w:val="1"/>
      <w:marLeft w:val="0"/>
      <w:marRight w:val="0"/>
      <w:marTop w:val="0"/>
      <w:marBottom w:val="0"/>
      <w:divBdr>
        <w:top w:val="none" w:sz="0" w:space="0" w:color="auto"/>
        <w:left w:val="none" w:sz="0" w:space="0" w:color="auto"/>
        <w:bottom w:val="none" w:sz="0" w:space="0" w:color="auto"/>
        <w:right w:val="none" w:sz="0" w:space="0" w:color="auto"/>
      </w:divBdr>
      <w:divsChild>
        <w:div w:id="155609648">
          <w:marLeft w:val="0"/>
          <w:marRight w:val="0"/>
          <w:marTop w:val="0"/>
          <w:marBottom w:val="0"/>
          <w:divBdr>
            <w:top w:val="none" w:sz="0" w:space="0" w:color="auto"/>
            <w:left w:val="none" w:sz="0" w:space="0" w:color="auto"/>
            <w:bottom w:val="none" w:sz="0" w:space="0" w:color="auto"/>
            <w:right w:val="none" w:sz="0" w:space="0" w:color="auto"/>
          </w:divBdr>
        </w:div>
        <w:div w:id="1589079938">
          <w:marLeft w:val="0"/>
          <w:marRight w:val="0"/>
          <w:marTop w:val="0"/>
          <w:marBottom w:val="0"/>
          <w:divBdr>
            <w:top w:val="none" w:sz="0" w:space="0" w:color="auto"/>
            <w:left w:val="none" w:sz="0" w:space="0" w:color="auto"/>
            <w:bottom w:val="none" w:sz="0" w:space="0" w:color="auto"/>
            <w:right w:val="none" w:sz="0" w:space="0" w:color="auto"/>
          </w:divBdr>
        </w:div>
      </w:divsChild>
    </w:div>
    <w:div w:id="1765876644">
      <w:bodyDiv w:val="1"/>
      <w:marLeft w:val="0"/>
      <w:marRight w:val="0"/>
      <w:marTop w:val="0"/>
      <w:marBottom w:val="0"/>
      <w:divBdr>
        <w:top w:val="none" w:sz="0" w:space="0" w:color="auto"/>
        <w:left w:val="none" w:sz="0" w:space="0" w:color="auto"/>
        <w:bottom w:val="none" w:sz="0" w:space="0" w:color="auto"/>
        <w:right w:val="none" w:sz="0" w:space="0" w:color="auto"/>
      </w:divBdr>
    </w:div>
    <w:div w:id="1781952383">
      <w:bodyDiv w:val="1"/>
      <w:marLeft w:val="0"/>
      <w:marRight w:val="0"/>
      <w:marTop w:val="0"/>
      <w:marBottom w:val="0"/>
      <w:divBdr>
        <w:top w:val="none" w:sz="0" w:space="0" w:color="auto"/>
        <w:left w:val="none" w:sz="0" w:space="0" w:color="auto"/>
        <w:bottom w:val="none" w:sz="0" w:space="0" w:color="auto"/>
        <w:right w:val="none" w:sz="0" w:space="0" w:color="auto"/>
      </w:divBdr>
    </w:div>
    <w:div w:id="1832215418">
      <w:bodyDiv w:val="1"/>
      <w:marLeft w:val="0"/>
      <w:marRight w:val="0"/>
      <w:marTop w:val="0"/>
      <w:marBottom w:val="0"/>
      <w:divBdr>
        <w:top w:val="none" w:sz="0" w:space="0" w:color="auto"/>
        <w:left w:val="none" w:sz="0" w:space="0" w:color="auto"/>
        <w:bottom w:val="none" w:sz="0" w:space="0" w:color="auto"/>
        <w:right w:val="none" w:sz="0" w:space="0" w:color="auto"/>
      </w:divBdr>
    </w:div>
    <w:div w:id="1896119546">
      <w:bodyDiv w:val="1"/>
      <w:marLeft w:val="0"/>
      <w:marRight w:val="0"/>
      <w:marTop w:val="0"/>
      <w:marBottom w:val="0"/>
      <w:divBdr>
        <w:top w:val="none" w:sz="0" w:space="0" w:color="auto"/>
        <w:left w:val="none" w:sz="0" w:space="0" w:color="auto"/>
        <w:bottom w:val="none" w:sz="0" w:space="0" w:color="auto"/>
        <w:right w:val="none" w:sz="0" w:space="0" w:color="auto"/>
      </w:divBdr>
    </w:div>
    <w:div w:id="1989090731">
      <w:bodyDiv w:val="1"/>
      <w:marLeft w:val="0"/>
      <w:marRight w:val="0"/>
      <w:marTop w:val="0"/>
      <w:marBottom w:val="0"/>
      <w:divBdr>
        <w:top w:val="none" w:sz="0" w:space="0" w:color="auto"/>
        <w:left w:val="none" w:sz="0" w:space="0" w:color="auto"/>
        <w:bottom w:val="none" w:sz="0" w:space="0" w:color="auto"/>
        <w:right w:val="none" w:sz="0" w:space="0" w:color="auto"/>
      </w:divBdr>
    </w:div>
    <w:div w:id="2015183084">
      <w:bodyDiv w:val="1"/>
      <w:marLeft w:val="0"/>
      <w:marRight w:val="0"/>
      <w:marTop w:val="0"/>
      <w:marBottom w:val="0"/>
      <w:divBdr>
        <w:top w:val="none" w:sz="0" w:space="0" w:color="auto"/>
        <w:left w:val="none" w:sz="0" w:space="0" w:color="auto"/>
        <w:bottom w:val="none" w:sz="0" w:space="0" w:color="auto"/>
        <w:right w:val="none" w:sz="0" w:space="0" w:color="auto"/>
      </w:divBdr>
    </w:div>
    <w:div w:id="2038966598">
      <w:bodyDiv w:val="1"/>
      <w:marLeft w:val="0"/>
      <w:marRight w:val="0"/>
      <w:marTop w:val="0"/>
      <w:marBottom w:val="0"/>
      <w:divBdr>
        <w:top w:val="none" w:sz="0" w:space="0" w:color="auto"/>
        <w:left w:val="none" w:sz="0" w:space="0" w:color="auto"/>
        <w:bottom w:val="none" w:sz="0" w:space="0" w:color="auto"/>
        <w:right w:val="none" w:sz="0" w:space="0" w:color="auto"/>
      </w:divBdr>
    </w:div>
    <w:div w:id="2056932075">
      <w:bodyDiv w:val="1"/>
      <w:marLeft w:val="0"/>
      <w:marRight w:val="0"/>
      <w:marTop w:val="0"/>
      <w:marBottom w:val="0"/>
      <w:divBdr>
        <w:top w:val="none" w:sz="0" w:space="0" w:color="auto"/>
        <w:left w:val="none" w:sz="0" w:space="0" w:color="auto"/>
        <w:bottom w:val="none" w:sz="0" w:space="0" w:color="auto"/>
        <w:right w:val="none" w:sz="0" w:space="0" w:color="auto"/>
      </w:divBdr>
    </w:div>
    <w:div w:id="2080904420">
      <w:bodyDiv w:val="1"/>
      <w:marLeft w:val="0"/>
      <w:marRight w:val="0"/>
      <w:marTop w:val="0"/>
      <w:marBottom w:val="0"/>
      <w:divBdr>
        <w:top w:val="none" w:sz="0" w:space="0" w:color="auto"/>
        <w:left w:val="none" w:sz="0" w:space="0" w:color="auto"/>
        <w:bottom w:val="none" w:sz="0" w:space="0" w:color="auto"/>
        <w:right w:val="none" w:sz="0" w:space="0" w:color="auto"/>
      </w:divBdr>
    </w:div>
    <w:div w:id="21031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rrz.sk/sprava-o-dlhodobej-udrzatelnosti-verejnych-financii-za-rok-2021-april-2022/" TargetMode="External"/><Relationship Id="rId1" Type="http://schemas.openxmlformats.org/officeDocument/2006/relationships/hyperlink" Target="https://www.rrz.sk/metodika-vypoctu-aktualizacie-a-hodnotenia-plnenia-limitov-verejnych-vydavkov-verzia-2/"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E73BE74847983244A0C34955D8405D65" ma:contentTypeVersion="4" ma:contentTypeDescription="Umožňuje vytvoriť nový dokument." ma:contentTypeScope="" ma:versionID="3c19b11a98a19167bbcb4395e011f4a4">
  <xsd:schema xmlns:xsd="http://www.w3.org/2001/XMLSchema" xmlns:xs="http://www.w3.org/2001/XMLSchema" xmlns:p="http://schemas.microsoft.com/office/2006/metadata/properties" xmlns:ns2="18795df0-f21b-48d4-b09a-2ddc54fa8c52" xmlns:ns3="cc36d953-5518-432d-a0a4-e65aee0adbc5" targetNamespace="http://schemas.microsoft.com/office/2006/metadata/properties" ma:root="true" ma:fieldsID="eefbd1b5ce26eb95f3b54b49e2be21b6" ns2:_="" ns3:_="">
    <xsd:import namespace="18795df0-f21b-48d4-b09a-2ddc54fa8c52"/>
    <xsd:import namespace="cc36d953-5518-432d-a0a4-e65aee0adb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95df0-f21b-48d4-b09a-2ddc54fa8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d953-5518-432d-a0a4-e65aee0adbc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7C2E2-6F7F-48FC-B226-155EB65411F0}">
  <ds:schemaRefs>
    <ds:schemaRef ds:uri="http://schemas.microsoft.com/sharepoint/v3/contenttype/forms"/>
  </ds:schemaRefs>
</ds:datastoreItem>
</file>

<file path=customXml/itemProps2.xml><?xml version="1.0" encoding="utf-8"?>
<ds:datastoreItem xmlns:ds="http://schemas.openxmlformats.org/officeDocument/2006/customXml" ds:itemID="{CFA843AE-DF28-4958-8970-F715A4D2C3B2}">
  <ds:schemaRefs>
    <ds:schemaRef ds:uri="http://schemas.openxmlformats.org/officeDocument/2006/bibliography"/>
  </ds:schemaRefs>
</ds:datastoreItem>
</file>

<file path=customXml/itemProps3.xml><?xml version="1.0" encoding="utf-8"?>
<ds:datastoreItem xmlns:ds="http://schemas.openxmlformats.org/officeDocument/2006/customXml" ds:itemID="{2654607D-0DFA-4CA2-9422-6EDBE1218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95df0-f21b-48d4-b09a-2ddc54fa8c52"/>
    <ds:schemaRef ds:uri="cc36d953-5518-432d-a0a4-e65aee0ad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B0CBD-4151-41DF-AFB3-C412428B18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9</Pages>
  <Words>3964</Words>
  <Characters>22598</Characters>
  <Application>Microsoft Office Word</Application>
  <DocSecurity>0</DocSecurity>
  <Lines>188</Lines>
  <Paragraphs>53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Rusyn</dc:creator>
  <cp:keywords/>
  <dc:description/>
  <cp:lastModifiedBy>Viktor Novysedlak</cp:lastModifiedBy>
  <cp:revision>95</cp:revision>
  <cp:lastPrinted>2022-12-21T15:51:00Z</cp:lastPrinted>
  <dcterms:created xsi:type="dcterms:W3CDTF">2022-07-28T21:42:00Z</dcterms:created>
  <dcterms:modified xsi:type="dcterms:W3CDTF">2022-12-22T12:55:00Z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0x010100E73BE74847983244A0C34955D8405D65</vt:lpwstr>
  </property>
</Properties>
</file>