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947EC" w14:textId="77777777" w:rsidR="00575EE4" w:rsidRPr="00275D8A" w:rsidRDefault="00167C5F" w:rsidP="00E51502">
      <w:pPr>
        <w:spacing w:after="120"/>
        <w:jc w:val="center"/>
        <w:rPr>
          <w:b/>
          <w:caps/>
        </w:rPr>
      </w:pPr>
      <w:r w:rsidRPr="00275D8A">
        <w:rPr>
          <w:b/>
          <w:caps/>
        </w:rPr>
        <w:t>DôVODOVá</w:t>
      </w:r>
      <w:r w:rsidR="00575EE4" w:rsidRPr="00275D8A">
        <w:rPr>
          <w:b/>
          <w:caps/>
        </w:rPr>
        <w:t xml:space="preserve"> správa </w:t>
      </w:r>
    </w:p>
    <w:p w14:paraId="1358F923" w14:textId="77777777" w:rsidR="00E51502" w:rsidRPr="00275D8A" w:rsidRDefault="00E51502" w:rsidP="00E51502">
      <w:pPr>
        <w:spacing w:after="120"/>
        <w:jc w:val="both"/>
      </w:pPr>
    </w:p>
    <w:p w14:paraId="575A635E" w14:textId="77777777" w:rsidR="00167C5F" w:rsidRPr="00275D8A" w:rsidRDefault="00167C5F" w:rsidP="00E51502">
      <w:pPr>
        <w:spacing w:after="120"/>
        <w:jc w:val="both"/>
        <w:rPr>
          <w:b/>
        </w:rPr>
      </w:pPr>
      <w:r w:rsidRPr="00275D8A">
        <w:rPr>
          <w:b/>
        </w:rPr>
        <w:t>Všeobecná časť</w:t>
      </w:r>
    </w:p>
    <w:p w14:paraId="393C0E63" w14:textId="04F6B845" w:rsidR="005353AA" w:rsidRPr="00275D8A" w:rsidRDefault="005353AA" w:rsidP="005353AA">
      <w:pPr>
        <w:spacing w:after="120"/>
        <w:jc w:val="both"/>
      </w:pPr>
      <w:r w:rsidRPr="00275D8A">
        <w:rPr>
          <w:lang w:eastAsia="sk-SK"/>
        </w:rPr>
        <w:tab/>
        <w:t>Obmedzenie platieb v hotovosti bolo zavedené 1. januára 2013 zákonom č.</w:t>
      </w:r>
      <w:r w:rsidR="00A97F93" w:rsidRPr="00275D8A">
        <w:rPr>
          <w:lang w:eastAsia="sk-SK"/>
        </w:rPr>
        <w:t> 3</w:t>
      </w:r>
      <w:r w:rsidRPr="00275D8A">
        <w:rPr>
          <w:lang w:eastAsia="sk-SK"/>
        </w:rPr>
        <w:t>94/2012</w:t>
      </w:r>
      <w:r w:rsidR="00A97F93" w:rsidRPr="00275D8A">
        <w:rPr>
          <w:lang w:eastAsia="sk-SK"/>
        </w:rPr>
        <w:t> </w:t>
      </w:r>
      <w:r w:rsidRPr="00275D8A">
        <w:rPr>
          <w:lang w:eastAsia="sk-SK"/>
        </w:rPr>
        <w:t>Z.</w:t>
      </w:r>
      <w:r w:rsidR="00A97F93" w:rsidRPr="00275D8A">
        <w:rPr>
          <w:lang w:eastAsia="sk-SK"/>
        </w:rPr>
        <w:t> </w:t>
      </w:r>
      <w:r w:rsidRPr="00275D8A">
        <w:rPr>
          <w:lang w:eastAsia="sk-SK"/>
        </w:rPr>
        <w:t>z. o obmedzení platieb v</w:t>
      </w:r>
      <w:r w:rsidR="0029386A" w:rsidRPr="00275D8A">
        <w:rPr>
          <w:lang w:eastAsia="sk-SK"/>
        </w:rPr>
        <w:t> </w:t>
      </w:r>
      <w:r w:rsidRPr="00275D8A">
        <w:rPr>
          <w:lang w:eastAsia="sk-SK"/>
        </w:rPr>
        <w:t>hotovosti</w:t>
      </w:r>
      <w:r w:rsidR="0029386A" w:rsidRPr="00275D8A">
        <w:rPr>
          <w:lang w:eastAsia="sk-SK"/>
        </w:rPr>
        <w:t xml:space="preserve"> </w:t>
      </w:r>
      <w:r w:rsidRPr="00275D8A">
        <w:rPr>
          <w:lang w:eastAsia="sk-SK"/>
        </w:rPr>
        <w:t xml:space="preserve">na základe </w:t>
      </w:r>
      <w:r w:rsidRPr="00275D8A">
        <w:t xml:space="preserve">schváleného Akčného plánu boja proti daňovým podvodom na roky 2012 – 2016, v ktorom sa vymedzil podrobný harmonogram postupných krokov na prijatie účinných opatrení proti daňovým podvodom a únikom, stanovila </w:t>
      </w:r>
      <w:r w:rsidR="00BF7697">
        <w:t xml:space="preserve">sa </w:t>
      </w:r>
      <w:r w:rsidRPr="00275D8A">
        <w:t xml:space="preserve">zodpovednosť za ich plnenie s cieľom zabezpečiť vytvorenie nevyhnutných podmienok pre kreovanie stabilného, transparentného a spravodlivého ekonomického prostredia. </w:t>
      </w:r>
    </w:p>
    <w:p w14:paraId="5000D17E" w14:textId="11C9E983" w:rsidR="005353AA" w:rsidRPr="00275D8A" w:rsidRDefault="005353AA" w:rsidP="005353AA">
      <w:pPr>
        <w:spacing w:after="120"/>
        <w:jc w:val="both"/>
      </w:pPr>
      <w:r w:rsidRPr="00275D8A">
        <w:tab/>
        <w:t xml:space="preserve">Snahou zákona o obmedzení platieb v hotovosti je, aby sa zabránilo fiktívnemu vystavovaniu príjmových a výdavkových dokladov bez reálneho toku finančných prostriedkov, „kreatívnemu účtovníctvu“ na konci účtovného/zdaňovacieho obdobia podľa toho, aký základ dane daňový subjekt vykazuje. Prijatím </w:t>
      </w:r>
      <w:r w:rsidR="0029386A" w:rsidRPr="00275D8A">
        <w:t xml:space="preserve">tohto </w:t>
      </w:r>
      <w:r w:rsidRPr="00275D8A">
        <w:t xml:space="preserve">zákona </w:t>
      </w:r>
      <w:r w:rsidR="0029386A" w:rsidRPr="00275D8A">
        <w:t xml:space="preserve">získali </w:t>
      </w:r>
      <w:r w:rsidRPr="00275D8A">
        <w:t xml:space="preserve">daňové úrady lepší prehľad o aktivitách podnikateľov a lepšie vedia koncentrovať svoju pozornosť na podozrivé operácie. </w:t>
      </w:r>
    </w:p>
    <w:p w14:paraId="4A71AD55" w14:textId="7E2C0598" w:rsidR="005353AA" w:rsidRPr="00275D8A" w:rsidRDefault="005353AA" w:rsidP="005353AA">
      <w:pPr>
        <w:pStyle w:val="Odsekzoznamu1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5D8A">
        <w:rPr>
          <w:rFonts w:ascii="Times New Roman" w:hAnsi="Times New Roman" w:cs="Times New Roman"/>
          <w:sz w:val="24"/>
          <w:szCs w:val="24"/>
        </w:rPr>
        <w:tab/>
        <w:t>Z dôvodu sprehľadnenia vzťahov medzi fyzickými osobami navzájom a medzi podnikateľmi a fyzickými osobami nepodnikateľmi sa do okruhu osôb, na ktoré sa zákon o obmedzení platieb v hotovosti vzťahuje, zahŕňajú jednak podnikatelia (právnické osoby a fyzické osoby) a</w:t>
      </w:r>
      <w:r w:rsidR="00A97F93" w:rsidRPr="00275D8A">
        <w:rPr>
          <w:rFonts w:ascii="Times New Roman" w:hAnsi="Times New Roman" w:cs="Times New Roman"/>
          <w:sz w:val="24"/>
          <w:szCs w:val="24"/>
        </w:rPr>
        <w:t> </w:t>
      </w:r>
      <w:r w:rsidRPr="00275D8A">
        <w:rPr>
          <w:rFonts w:ascii="Times New Roman" w:hAnsi="Times New Roman" w:cs="Times New Roman"/>
          <w:sz w:val="24"/>
          <w:szCs w:val="24"/>
        </w:rPr>
        <w:t>zároveň</w:t>
      </w:r>
      <w:r w:rsidR="00A97F93" w:rsidRPr="00275D8A">
        <w:rPr>
          <w:rFonts w:ascii="Times New Roman" w:hAnsi="Times New Roman" w:cs="Times New Roman"/>
          <w:sz w:val="24"/>
          <w:szCs w:val="24"/>
        </w:rPr>
        <w:t xml:space="preserve"> </w:t>
      </w:r>
      <w:r w:rsidRPr="00275D8A">
        <w:rPr>
          <w:rFonts w:ascii="Times New Roman" w:hAnsi="Times New Roman" w:cs="Times New Roman"/>
          <w:sz w:val="24"/>
          <w:szCs w:val="24"/>
        </w:rPr>
        <w:t>aj fyzické osoby nepodnikatelia. Dôvodom bolo napríklad stransparentnenie príjmov plynúcich z prenájmu medzi fyzickými osobami alebo pri uľahčení dokazovania napr</w:t>
      </w:r>
      <w:r w:rsidR="008506D0">
        <w:rPr>
          <w:rFonts w:ascii="Times New Roman" w:hAnsi="Times New Roman" w:cs="Times New Roman"/>
          <w:sz w:val="24"/>
          <w:szCs w:val="24"/>
        </w:rPr>
        <w:t>íklad</w:t>
      </w:r>
      <w:r w:rsidRPr="00275D8A">
        <w:rPr>
          <w:rFonts w:ascii="Times New Roman" w:hAnsi="Times New Roman" w:cs="Times New Roman"/>
          <w:sz w:val="24"/>
          <w:szCs w:val="24"/>
        </w:rPr>
        <w:t xml:space="preserve"> na súde pri problémoch s uznaním pôžičiek medzi fyzickými osobami. </w:t>
      </w:r>
    </w:p>
    <w:p w14:paraId="4998594F" w14:textId="77777777" w:rsidR="005353AA" w:rsidRPr="00275D8A" w:rsidRDefault="005353AA" w:rsidP="005353AA">
      <w:pPr>
        <w:spacing w:after="120"/>
        <w:jc w:val="both"/>
      </w:pPr>
      <w:r w:rsidRPr="00275D8A">
        <w:tab/>
        <w:t xml:space="preserve">Na základe existujúcej legislatívy, poznatkov daňovej správy a poznatkov z niektorých členských štátov EÚ sa dá predpokladať, že zavedenie povinného bezhotovostného styku nad určitý limit je možné vnímať ako príspevok nielen k obmedzeniu podvodných konaní v daňovej oblasti, ale aj ako opatrenie na boj proti praniu špinavých peňazí, na boj proti korupcii a trestnej činnosti, či pri ochrane pred financovaním terorizmu. </w:t>
      </w:r>
    </w:p>
    <w:p w14:paraId="3B8E484B" w14:textId="5BF80F12" w:rsidR="00F81386" w:rsidRPr="00275D8A" w:rsidRDefault="00F81386" w:rsidP="00F81386">
      <w:pPr>
        <w:spacing w:after="120"/>
        <w:jc w:val="both"/>
      </w:pPr>
      <w:r w:rsidRPr="00275D8A">
        <w:rPr>
          <w:lang w:eastAsia="sk-SK"/>
        </w:rPr>
        <w:tab/>
      </w:r>
      <w:r w:rsidRPr="00275D8A">
        <w:t>Ministerstvo financií Slovenskej republiky na základe úlohy, ktorá vyplynula z</w:t>
      </w:r>
      <w:r w:rsidR="00A97F93" w:rsidRPr="00275D8A">
        <w:t> </w:t>
      </w:r>
      <w:r w:rsidRPr="00275D8A">
        <w:t>uznesenia</w:t>
      </w:r>
      <w:r w:rsidR="00A97F93" w:rsidRPr="00275D8A">
        <w:t xml:space="preserve"> </w:t>
      </w:r>
      <w:r w:rsidRPr="00275D8A">
        <w:t>vlády Slovenskej republiky č. 8 z</w:t>
      </w:r>
      <w:r w:rsidRPr="00275D8A">
        <w:rPr>
          <w:i/>
        </w:rPr>
        <w:t> </w:t>
      </w:r>
      <w:r w:rsidRPr="00275D8A">
        <w:t xml:space="preserve">12. januára 2022 k Akčnému plánu boja proti legalizácii výnosov z trestnej činnosti, financovaniu terorizmu a financovaniu proliferácie zbraní hromadného ničenia s výhľadom do roku 2024, vypracovalo analýzu týkajúcu sa prehodnotenia limitov, existujúcich výnimiek a ukladania sankcií podľa zákona </w:t>
      </w:r>
      <w:r w:rsidR="00A97F93" w:rsidRPr="00275D8A">
        <w:rPr>
          <w:lang w:eastAsia="sk-SK"/>
        </w:rPr>
        <w:t>č. 394/2012 Z. z.</w:t>
      </w:r>
      <w:r w:rsidRPr="00275D8A">
        <w:t xml:space="preserve"> o obmedzení platieb v hotovosti. V tejto súvislosti Ministerstvo financií Slovenskej republiky pripravilo dotazník, ktorý zaslalo všetkým ministerstvám, Národnej banke Slovenska a Finančnému riaditeľstvu SR, v ktorom požiadalo o zhodnotenie výnimiek podľa § 8 (ktoré výnimky sa pokladajú za nevyhnutné, ktoré je možné vypustiť, ďalšie návrhy zmien výnimiek), ukladanie sankcií podľa § 9 a 10 (návrhy na sprísnenie sankcií) a prehodnotenie limitov podľa § 4 zákona č. 394/2012 Z. z. o obmedzení platieb v hotovosti. Na základe odpovedí Ministerstvo financií Slovenskej republiky navrhuje zmeny v zákone č.</w:t>
      </w:r>
      <w:r w:rsidR="008506D0" w:rsidRPr="00275D8A">
        <w:t> </w:t>
      </w:r>
      <w:r w:rsidRPr="00275D8A">
        <w:t xml:space="preserve">394/2012 Z. z. o obmedzení platieb v hotovosti. </w:t>
      </w:r>
    </w:p>
    <w:p w14:paraId="76C11922" w14:textId="77777777" w:rsidR="009A08C0" w:rsidRDefault="005353AA" w:rsidP="00DC0C7C">
      <w:pPr>
        <w:spacing w:after="120"/>
        <w:jc w:val="both"/>
        <w:rPr>
          <w:lang w:eastAsia="sk-SK"/>
        </w:rPr>
      </w:pPr>
      <w:r w:rsidRPr="00275D8A">
        <w:rPr>
          <w:lang w:eastAsia="sk-SK"/>
        </w:rPr>
        <w:tab/>
        <w:t xml:space="preserve">Hlavným cieľom tohto návrhu je </w:t>
      </w:r>
      <w:r w:rsidR="00A97F93" w:rsidRPr="00275D8A">
        <w:rPr>
          <w:lang w:eastAsia="sk-SK"/>
        </w:rPr>
        <w:t>zúžiť</w:t>
      </w:r>
      <w:r w:rsidRPr="00275D8A">
        <w:rPr>
          <w:lang w:eastAsia="sk-SK"/>
        </w:rPr>
        <w:t xml:space="preserve"> výnimku v § 8 písm. h)</w:t>
      </w:r>
      <w:r w:rsidR="0029386A" w:rsidRPr="00275D8A">
        <w:rPr>
          <w:lang w:eastAsia="sk-SK"/>
        </w:rPr>
        <w:t xml:space="preserve"> zákona o obmedzení platieb v hotovosti</w:t>
      </w:r>
      <w:r w:rsidRPr="00275D8A">
        <w:rPr>
          <w:lang w:eastAsia="sk-SK"/>
        </w:rPr>
        <w:t xml:space="preserve">, podľa ktorej v čase krízovej situácie, vojny, vojnového stavu, výnimočného stavu, núdzového stavu a mimoriadnej situácie </w:t>
      </w:r>
      <w:r w:rsidR="00495D13" w:rsidRPr="00275D8A">
        <w:rPr>
          <w:lang w:eastAsia="sk-SK"/>
        </w:rPr>
        <w:t xml:space="preserve">sa na platby v hotovosti nevzťahuje zákaz podľa § 4. V praxi to znamená, že už vyhlásenie mimoriadnej situácie v krajine vylúči uplatňovanie </w:t>
      </w:r>
      <w:r w:rsidR="00A97F93" w:rsidRPr="00275D8A">
        <w:rPr>
          <w:lang w:eastAsia="sk-SK"/>
        </w:rPr>
        <w:t xml:space="preserve">tohto </w:t>
      </w:r>
      <w:r w:rsidR="00495D13" w:rsidRPr="00275D8A">
        <w:rPr>
          <w:lang w:eastAsia="sk-SK"/>
        </w:rPr>
        <w:t xml:space="preserve">zákona, a teda </w:t>
      </w:r>
      <w:r w:rsidR="00A97F93" w:rsidRPr="00275D8A">
        <w:rPr>
          <w:lang w:eastAsia="sk-SK"/>
        </w:rPr>
        <w:t>aj</w:t>
      </w:r>
      <w:r w:rsidR="00495D13" w:rsidRPr="00275D8A">
        <w:rPr>
          <w:lang w:eastAsia="sk-SK"/>
        </w:rPr>
        <w:t xml:space="preserve"> zákazu platby v hotovosti plošne. Táto výnimka v podobe, v akej je dnes, sa javí ako nadmieru benevolentná</w:t>
      </w:r>
      <w:r w:rsidR="0029386A" w:rsidRPr="00275D8A">
        <w:rPr>
          <w:lang w:eastAsia="sk-SK"/>
        </w:rPr>
        <w:t xml:space="preserve"> a je v rozpore s cieľom zákona o obmedzení platieb v</w:t>
      </w:r>
      <w:r w:rsidR="00A97F93" w:rsidRPr="00275D8A">
        <w:rPr>
          <w:lang w:eastAsia="sk-SK"/>
        </w:rPr>
        <w:t> </w:t>
      </w:r>
      <w:r w:rsidR="0029386A" w:rsidRPr="00275D8A">
        <w:rPr>
          <w:lang w:eastAsia="sk-SK"/>
        </w:rPr>
        <w:t>hotovosti</w:t>
      </w:r>
      <w:r w:rsidR="00495D13" w:rsidRPr="00275D8A">
        <w:rPr>
          <w:lang w:eastAsia="sk-SK"/>
        </w:rPr>
        <w:t xml:space="preserve">. </w:t>
      </w:r>
    </w:p>
    <w:p w14:paraId="2397131C" w14:textId="77777777" w:rsidR="009A08C0" w:rsidRPr="00517AA3" w:rsidRDefault="009A08C0" w:rsidP="00244C96">
      <w:pPr>
        <w:spacing w:after="120"/>
        <w:jc w:val="both"/>
      </w:pPr>
      <w:r>
        <w:lastRenderedPageBreak/>
        <w:tab/>
      </w:r>
      <w:r w:rsidRPr="00517AA3">
        <w:t>Súčasný stav uplatňovania výnimky</w:t>
      </w:r>
      <w:r>
        <w:t xml:space="preserve"> </w:t>
      </w:r>
      <w:r w:rsidRPr="00517AA3">
        <w:t>zo zákazu obmedzenia platieb v hotovosti z dôvodu vyhlásenej mimoriadnej situácie spôsobuje:</w:t>
      </w:r>
    </w:p>
    <w:p w14:paraId="75C4DC28" w14:textId="7A73FE7C" w:rsidR="009A08C0" w:rsidRPr="00517AA3" w:rsidRDefault="009A08C0" w:rsidP="009A08C0">
      <w:pPr>
        <w:pStyle w:val="Odsekzoznamu"/>
        <w:numPr>
          <w:ilvl w:val="0"/>
          <w:numId w:val="14"/>
        </w:numPr>
        <w:contextualSpacing w:val="0"/>
        <w:jc w:val="both"/>
      </w:pPr>
      <w:r w:rsidRPr="00517AA3">
        <w:t>podporu legalizácie príjmov z</w:t>
      </w:r>
      <w:r>
        <w:t> </w:t>
      </w:r>
      <w:r w:rsidRPr="00517AA3">
        <w:t>trestnej</w:t>
      </w:r>
      <w:r>
        <w:t xml:space="preserve"> </w:t>
      </w:r>
      <w:r w:rsidRPr="00517AA3">
        <w:t>činnosti a znemožnenie zisťovania (§</w:t>
      </w:r>
      <w:r w:rsidR="0029796D">
        <w:t xml:space="preserve"> </w:t>
      </w:r>
      <w:r w:rsidRPr="00517AA3">
        <w:t>14) a</w:t>
      </w:r>
      <w:r>
        <w:t> </w:t>
      </w:r>
      <w:r w:rsidRPr="00517AA3">
        <w:t>ohlasovania</w:t>
      </w:r>
      <w:r>
        <w:t xml:space="preserve"> </w:t>
      </w:r>
      <w:r w:rsidRPr="00517AA3">
        <w:t>(§</w:t>
      </w:r>
      <w:r w:rsidR="0029796D">
        <w:t xml:space="preserve"> </w:t>
      </w:r>
      <w:r w:rsidRPr="00517AA3">
        <w:t>17) neobvyklých obchodných operácií v</w:t>
      </w:r>
      <w:r>
        <w:t> </w:t>
      </w:r>
      <w:r w:rsidRPr="00517AA3">
        <w:t>zmysle</w:t>
      </w:r>
      <w:r>
        <w:t xml:space="preserve"> z</w:t>
      </w:r>
      <w:r w:rsidRPr="00517AA3">
        <w:t>ákona 297/2008 Z.</w:t>
      </w:r>
      <w:r w:rsidR="00BF7697">
        <w:t> </w:t>
      </w:r>
      <w:r w:rsidRPr="00517AA3">
        <w:t>z. o</w:t>
      </w:r>
      <w:r>
        <w:t> </w:t>
      </w:r>
      <w:r w:rsidRPr="00517AA3">
        <w:t>ochrane</w:t>
      </w:r>
      <w:r>
        <w:t xml:space="preserve"> </w:t>
      </w:r>
      <w:r w:rsidRPr="00517AA3">
        <w:t>pred legalizáciou príjmov z</w:t>
      </w:r>
      <w:r>
        <w:t> </w:t>
      </w:r>
      <w:r w:rsidRPr="00517AA3">
        <w:t>trestnej</w:t>
      </w:r>
      <w:r>
        <w:t xml:space="preserve"> </w:t>
      </w:r>
      <w:r w:rsidRPr="00517AA3">
        <w:t>činnosti a</w:t>
      </w:r>
      <w:r>
        <w:t> </w:t>
      </w:r>
      <w:r w:rsidRPr="00517AA3">
        <w:t>o</w:t>
      </w:r>
      <w:r>
        <w:t> </w:t>
      </w:r>
      <w:r w:rsidRPr="00517AA3">
        <w:t>ochrane</w:t>
      </w:r>
      <w:r>
        <w:t xml:space="preserve"> </w:t>
      </w:r>
      <w:r w:rsidRPr="00517AA3">
        <w:t>pred financovaním terorizmu a o zmene a doplnení niektorých zákonov</w:t>
      </w:r>
      <w:r>
        <w:t>,</w:t>
      </w:r>
    </w:p>
    <w:p w14:paraId="1C3ED335" w14:textId="2AA9D0C0" w:rsidR="009A08C0" w:rsidRPr="00517AA3" w:rsidRDefault="009A08C0" w:rsidP="009A08C0">
      <w:pPr>
        <w:pStyle w:val="Odsekzoznamu"/>
        <w:numPr>
          <w:ilvl w:val="0"/>
          <w:numId w:val="14"/>
        </w:numPr>
        <w:contextualSpacing w:val="0"/>
        <w:jc w:val="both"/>
      </w:pPr>
      <w:r>
        <w:t>znemožnenie</w:t>
      </w:r>
      <w:r w:rsidRPr="00517AA3">
        <w:t xml:space="preserve"> náležitého zistenia skutkového stavu orgán</w:t>
      </w:r>
      <w:r w:rsidR="00BB5B70">
        <w:t>mi</w:t>
      </w:r>
      <w:r w:rsidRPr="00517AA3">
        <w:t xml:space="preserve"> </w:t>
      </w:r>
      <w:r>
        <w:t>finančnej správy</w:t>
      </w:r>
      <w:r w:rsidRPr="00517AA3">
        <w:t xml:space="preserve"> (tak colný</w:t>
      </w:r>
      <w:r w:rsidR="00BB5B70">
        <w:t>mi</w:t>
      </w:r>
      <w:r w:rsidR="00372B72">
        <w:t>,</w:t>
      </w:r>
      <w:r w:rsidRPr="00517AA3">
        <w:t xml:space="preserve"> ako aj daňový</w:t>
      </w:r>
      <w:r w:rsidR="00BB5B70">
        <w:t>mi</w:t>
      </w:r>
      <w:r w:rsidRPr="00517AA3">
        <w:t>)</w:t>
      </w:r>
      <w:r>
        <w:t>,</w:t>
      </w:r>
    </w:p>
    <w:p w14:paraId="313968A7" w14:textId="69DB9B60" w:rsidR="009A08C0" w:rsidRPr="00517AA3" w:rsidRDefault="009A08C0" w:rsidP="00244C96">
      <w:pPr>
        <w:pStyle w:val="Odsekzoznamu"/>
        <w:numPr>
          <w:ilvl w:val="0"/>
          <w:numId w:val="14"/>
        </w:numPr>
        <w:spacing w:after="120"/>
        <w:ind w:left="714" w:hanging="357"/>
        <w:contextualSpacing w:val="0"/>
        <w:jc w:val="both"/>
      </w:pPr>
      <w:r w:rsidRPr="00517AA3">
        <w:t>znemožnenie prehľadu / kontroly finančných tokov (šedá ekonomika) a</w:t>
      </w:r>
      <w:r>
        <w:t> </w:t>
      </w:r>
      <w:r w:rsidRPr="00517AA3">
        <w:t>sekundárna</w:t>
      </w:r>
      <w:r>
        <w:t xml:space="preserve"> </w:t>
      </w:r>
      <w:r w:rsidRPr="00517AA3">
        <w:t>podpora protiprávnych konaní na to nadväzujúcich (</w:t>
      </w:r>
      <w:r>
        <w:t>financovanie terorizmu</w:t>
      </w:r>
      <w:r w:rsidRPr="00517AA3">
        <w:t>)</w:t>
      </w:r>
      <w:r>
        <w:t>.</w:t>
      </w:r>
    </w:p>
    <w:p w14:paraId="366ABB7F" w14:textId="76F11FEA" w:rsidR="009A08C0" w:rsidRDefault="009A08C0" w:rsidP="009A08C0">
      <w:pPr>
        <w:spacing w:after="120"/>
        <w:jc w:val="both"/>
      </w:pPr>
      <w:r>
        <w:tab/>
      </w:r>
      <w:r w:rsidRPr="00E87BD4">
        <w:t>Zistiteľnosť objemu príjmov, resp. odplatnosti zdaniteľných obchodov realizovaných daňovými subjektmi patrí k základným pilierom úloh finančnej správy pri ochrane záujmov štátu. Tok hotovostných prostriedkov, ktorý nie je zaznamenaný ani v</w:t>
      </w:r>
      <w:r>
        <w:t xml:space="preserve"> systéme </w:t>
      </w:r>
      <w:r w:rsidRPr="00E87BD4">
        <w:t>e-kas</w:t>
      </w:r>
      <w:r>
        <w:t>a</w:t>
      </w:r>
      <w:r w:rsidRPr="00E87BD4">
        <w:t>, nepodlieha zaznamenávaniu preukázateľným a hodnoverným spôsobom nezávislým subjektom</w:t>
      </w:r>
      <w:r w:rsidR="00BF7697">
        <w:t>,</w:t>
      </w:r>
      <w:r w:rsidRPr="00E87BD4">
        <w:t xml:space="preserve"> a preto nie sú k dispozícii </w:t>
      </w:r>
      <w:r w:rsidR="00BF7697">
        <w:t>žiadne</w:t>
      </w:r>
      <w:r w:rsidRPr="00E87BD4">
        <w:t xml:space="preserve"> podklady umožňujúce zistenie reálnych zdaniteľných príjmov a identifikáciu zdaniteľných obchodov pre účely </w:t>
      </w:r>
      <w:r>
        <w:t>dane z pridanej hodnoty</w:t>
      </w:r>
      <w:r w:rsidRPr="00E87BD4">
        <w:t>, kde je podstatnou náležitosťou odplatnosť transakcie, čo na jednej strane umožňuje nezahrnutie takýchto transakcií do základu dane alebo odpočítanie dane aj z transakcie, ktorá reálne nebola uskutočnená, pričom sa deklaruje jej hotovostný charakter voči subjektom, u ktorých to nie je možné porovnať a zistiť miesto daňového úniku. Dodatočné zisťovanie všetkých hotovostných tokov u všetkých prepojených daňových subjektov nie je možné, čo podporuje zneužívajúce konania prostredníctvom rôzne prepojených transakcií s vysoko rizikovými daňovými subjektmi. To umožňuje dosahovanie neoprávnenej výhody spoč</w:t>
      </w:r>
      <w:r>
        <w:t>ívajúcej v neopráv</w:t>
      </w:r>
      <w:r w:rsidRPr="00E87BD4">
        <w:t>nenom znižovaní základu dane</w:t>
      </w:r>
      <w:r>
        <w:t xml:space="preserve">. </w:t>
      </w:r>
    </w:p>
    <w:p w14:paraId="2545DF2F" w14:textId="37A7BC86" w:rsidR="005353AA" w:rsidRPr="00275D8A" w:rsidRDefault="009A08C0" w:rsidP="00DC0C7C">
      <w:pPr>
        <w:spacing w:after="120"/>
        <w:jc w:val="both"/>
        <w:rPr>
          <w:lang w:eastAsia="sk-SK"/>
        </w:rPr>
      </w:pPr>
      <w:r>
        <w:rPr>
          <w:lang w:eastAsia="sk-SK"/>
        </w:rPr>
        <w:tab/>
      </w:r>
      <w:r w:rsidR="00495D13" w:rsidRPr="002D66B9">
        <w:rPr>
          <w:lang w:eastAsia="sk-SK"/>
        </w:rPr>
        <w:t>Keďže vyhlásenie mimoriadnej situácie</w:t>
      </w:r>
      <w:r w:rsidR="00A97F93" w:rsidRPr="002D66B9">
        <w:rPr>
          <w:lang w:eastAsia="sk-SK"/>
        </w:rPr>
        <w:t xml:space="preserve"> v marci 2020 </w:t>
      </w:r>
      <w:r w:rsidR="00A97F93" w:rsidRPr="002D66B9">
        <w:rPr>
          <w:rStyle w:val="awspan"/>
          <w:color w:val="000000"/>
        </w:rPr>
        <w:t>z</w:t>
      </w:r>
      <w:r w:rsidR="00A97F93" w:rsidRPr="002D66B9">
        <w:rPr>
          <w:rStyle w:val="awspan"/>
          <w:color w:val="000000"/>
          <w:spacing w:val="35"/>
        </w:rPr>
        <w:t xml:space="preserve"> </w:t>
      </w:r>
      <w:r w:rsidR="00A97F93" w:rsidRPr="002D66B9">
        <w:rPr>
          <w:rStyle w:val="awspan"/>
          <w:color w:val="000000"/>
        </w:rPr>
        <w:t>dôvodu</w:t>
      </w:r>
      <w:r w:rsidR="00A97F93" w:rsidRPr="002D66B9">
        <w:rPr>
          <w:rStyle w:val="awspan"/>
          <w:color w:val="000000"/>
          <w:spacing w:val="35"/>
        </w:rPr>
        <w:t xml:space="preserve"> </w:t>
      </w:r>
      <w:r w:rsidR="00A97F93" w:rsidRPr="002D66B9">
        <w:rPr>
          <w:rStyle w:val="awspan"/>
          <w:color w:val="000000"/>
        </w:rPr>
        <w:t>ochorenia</w:t>
      </w:r>
      <w:r w:rsidR="00A97F93" w:rsidRPr="002D66B9">
        <w:rPr>
          <w:rStyle w:val="awspan"/>
          <w:color w:val="000000"/>
          <w:spacing w:val="35"/>
        </w:rPr>
        <w:t xml:space="preserve"> </w:t>
      </w:r>
      <w:r w:rsidR="00A97F93" w:rsidRPr="002D66B9">
        <w:rPr>
          <w:rStyle w:val="awspan"/>
          <w:color w:val="000000"/>
        </w:rPr>
        <w:t>COVID-19</w:t>
      </w:r>
      <w:r w:rsidR="00A97F93" w:rsidRPr="002D66B9">
        <w:rPr>
          <w:rStyle w:val="awspan"/>
          <w:color w:val="000000"/>
          <w:spacing w:val="35"/>
        </w:rPr>
        <w:t xml:space="preserve"> </w:t>
      </w:r>
      <w:r w:rsidR="00A97F93" w:rsidRPr="002D66B9">
        <w:rPr>
          <w:rStyle w:val="awspan"/>
          <w:color w:val="000000"/>
        </w:rPr>
        <w:t>na území Slovenskej republiky</w:t>
      </w:r>
      <w:r w:rsidR="00495D13" w:rsidRPr="002D66B9">
        <w:rPr>
          <w:lang w:eastAsia="sk-SK"/>
        </w:rPr>
        <w:t xml:space="preserve">, ktorá trvá aj naďalej, nespôsobilo </w:t>
      </w:r>
      <w:r w:rsidR="0079175F" w:rsidRPr="002D66B9">
        <w:rPr>
          <w:lang w:eastAsia="sk-SK"/>
        </w:rPr>
        <w:t xml:space="preserve">a nespôsobuje </w:t>
      </w:r>
      <w:r w:rsidR="00495D13" w:rsidRPr="002D66B9">
        <w:rPr>
          <w:lang w:eastAsia="sk-SK"/>
        </w:rPr>
        <w:t xml:space="preserve">obmedzenie občanov a podnikateľov v bezhotovostnom platobnom styku, je dôležité </w:t>
      </w:r>
      <w:r w:rsidR="008506D0" w:rsidRPr="002D66B9">
        <w:t>urýchlene vypustiť uplatňovanie tejto výnimky pri mimoriadnej situácii</w:t>
      </w:r>
      <w:r w:rsidR="00451778" w:rsidRPr="002D66B9">
        <w:rPr>
          <w:lang w:eastAsia="sk-SK"/>
        </w:rPr>
        <w:t xml:space="preserve"> s cieľom zabrániť daňovým únikom</w:t>
      </w:r>
      <w:r w:rsidR="00391527" w:rsidRPr="002D66B9">
        <w:rPr>
          <w:lang w:eastAsia="sk-SK"/>
        </w:rPr>
        <w:t xml:space="preserve">, </w:t>
      </w:r>
      <w:r w:rsidR="00391527" w:rsidRPr="002D66B9">
        <w:t>praniu špinavých peňazí a financovaniu terorizmu</w:t>
      </w:r>
      <w:r w:rsidR="00495D13" w:rsidRPr="002D66B9">
        <w:rPr>
          <w:lang w:eastAsia="sk-SK"/>
        </w:rPr>
        <w:t>.</w:t>
      </w:r>
    </w:p>
    <w:p w14:paraId="2B3792FB" w14:textId="22C1B5EC" w:rsidR="00F0411A" w:rsidRPr="00275D8A" w:rsidRDefault="00DC0C7C" w:rsidP="00DC0C7C">
      <w:pPr>
        <w:pStyle w:val="Normlnywebov"/>
        <w:spacing w:before="0" w:beforeAutospacing="0" w:after="120" w:afterAutospacing="0"/>
        <w:jc w:val="both"/>
      </w:pPr>
      <w:r w:rsidRPr="00275D8A">
        <w:tab/>
      </w:r>
      <w:r w:rsidR="00F0411A" w:rsidRPr="00275D8A">
        <w:t xml:space="preserve">Účelom </w:t>
      </w:r>
      <w:r w:rsidR="000E0847">
        <w:t>zriadenia</w:t>
      </w:r>
      <w:r w:rsidR="00F0411A" w:rsidRPr="00275D8A">
        <w:t xml:space="preserve"> </w:t>
      </w:r>
      <w:r w:rsidR="0084598D">
        <w:t xml:space="preserve">Centrálneho registra účtov </w:t>
      </w:r>
      <w:r w:rsidR="00F0411A" w:rsidRPr="00275D8A">
        <w:t>je zefektívniť predchádzanie, odhaľovanie, vyšetrovanie a stíhanie závažnej trestnej činnosti a predchádzanie legalizáci</w:t>
      </w:r>
      <w:r w:rsidR="00BF7697">
        <w:t>i</w:t>
      </w:r>
      <w:r w:rsidR="00F0411A" w:rsidRPr="00275D8A">
        <w:t xml:space="preserve"> príjmov z trestnej činnosti a financovaniu terorizmu. </w:t>
      </w:r>
      <w:r w:rsidR="0084598D">
        <w:t>V</w:t>
      </w:r>
      <w:r w:rsidR="0084598D" w:rsidRPr="00275D8A">
        <w:t>ychádza z transpozície čl. 32a smernice Európskeho parlamentu a Rady (EÚ) 2018/843 z 30. mája 2018, ktorou sa mení smernica (EÚ) 2015/849 o predchádzaní využívaniu finančného systému na účely prania špinavých peňazí alebo financovania terorizmu a smernice 2009/138/ES a 2013/36/EÚ, ako aj transpozície smernice Európskeho parlamentu a Rady (EÚ) č. 2019/1153, ktorou sa stanovujú pravidlá uľahčovania využívania finančných a iných informácií na predchádzanie určitým trestným činom, ich odhaľovanie, vyšetrovanie alebo stíhanie a ktorou sa zrušuje rozhodnutie Rady 2000/642/SVV</w:t>
      </w:r>
      <w:r w:rsidR="0084598D">
        <w:t>, ktorá bola vykonaná prijatím zákona č. 123/2022 Z.</w:t>
      </w:r>
      <w:r w:rsidR="00130B7D">
        <w:t xml:space="preserve"> </w:t>
      </w:r>
      <w:r w:rsidR="0084598D">
        <w:t>z. o centrálnom registri účtov</w:t>
      </w:r>
      <w:r w:rsidR="0084598D" w:rsidRPr="00275D8A">
        <w:t>.</w:t>
      </w:r>
      <w:r w:rsidR="0084598D">
        <w:t xml:space="preserve"> Reflektuje tiež </w:t>
      </w:r>
      <w:r w:rsidR="00F0411A" w:rsidRPr="00275D8A">
        <w:t>odporúčania výboru Rady Európy MONEYVAL vyplývajúce z jeho piatej hodnotiacej správy o vykonávaní opatrení proti praniu špinavých peňazí a financovaniu terorizmu v Slovenskej republike a revidované odporúčania FATF (Finančný akčný výbor skupiny G7) z februára 2012, ktoré reagujú na neustály vývoj v oblasti boja proti praniu špinavých peňazí a financovaniu terorizmu.</w:t>
      </w:r>
    </w:p>
    <w:p w14:paraId="4E62F1DB" w14:textId="538F8D4E" w:rsidR="00F0411A" w:rsidRPr="00275D8A" w:rsidRDefault="00DC0C7C" w:rsidP="00DC0C7C">
      <w:pPr>
        <w:pStyle w:val="Normlnywebov"/>
        <w:spacing w:before="0" w:beforeAutospacing="0" w:after="120" w:afterAutospacing="0"/>
        <w:jc w:val="both"/>
      </w:pPr>
      <w:r w:rsidRPr="00275D8A">
        <w:tab/>
      </w:r>
      <w:r w:rsidR="0084598D">
        <w:t>Centrálny register účtov bol zriadený prijatím zákona č. 123/2022 Z.</w:t>
      </w:r>
      <w:r w:rsidR="00130B7D">
        <w:t xml:space="preserve"> </w:t>
      </w:r>
      <w:r w:rsidR="0084598D">
        <w:t xml:space="preserve">z. o centrálnom registri účtov. Jeho uvedenie </w:t>
      </w:r>
      <w:r w:rsidR="002B1FD0" w:rsidRPr="00275D8A">
        <w:t xml:space="preserve">do prevádzky </w:t>
      </w:r>
      <w:r w:rsidR="00F0411A" w:rsidRPr="00275D8A">
        <w:t>je</w:t>
      </w:r>
      <w:r w:rsidR="0084598D">
        <w:t xml:space="preserve"> procesom nezávislým od transpozície európskych smerníc. Je na rozhodnutí Slovenskej republiky, ako a kedy uvedie Centrálny register účtov do prevádzky a okrem časového hľadiska by pri tomto procese mali byť posudzované najmä </w:t>
      </w:r>
      <w:r w:rsidR="0084598D">
        <w:lastRenderedPageBreak/>
        <w:t>otázky efektivity pripravovaného riešenia a ochrany v ňom obsiahnutých údajov. Príprava spustenia Centrálneho registra</w:t>
      </w:r>
      <w:r w:rsidR="009460F2">
        <w:t xml:space="preserve"> účtov</w:t>
      </w:r>
      <w:r w:rsidR="0084598D">
        <w:t xml:space="preserve"> do prevádzky je v tomto ohľade náročný a unikátny</w:t>
      </w:r>
      <w:r w:rsidR="00F0411A" w:rsidRPr="00275D8A">
        <w:t xml:space="preserve"> proce</w:t>
      </w:r>
      <w:r w:rsidR="00511E4D" w:rsidRPr="00275D8A">
        <w:t>s</w:t>
      </w:r>
      <w:r w:rsidR="006670D3">
        <w:t>. Z</w:t>
      </w:r>
      <w:r w:rsidR="00511E4D" w:rsidRPr="00275D8A">
        <w:t xml:space="preserve">asahuje </w:t>
      </w:r>
      <w:r w:rsidR="006670D3">
        <w:t xml:space="preserve">do neho </w:t>
      </w:r>
      <w:r w:rsidR="00511E4D" w:rsidRPr="00275D8A">
        <w:t>množstvo subjektov</w:t>
      </w:r>
      <w:r w:rsidR="006670D3">
        <w:t>. Prioritou Ministerstva financií Slovenskej republiky je</w:t>
      </w:r>
      <w:r w:rsidR="00511E4D" w:rsidRPr="00275D8A">
        <w:t xml:space="preserve"> nastavenie Centrálneho registra účtov ako efektívneho nástroja na vyhľadávanie informácií</w:t>
      </w:r>
      <w:r w:rsidR="006670D3">
        <w:t xml:space="preserve"> potrebných na potláčanie trestnej činnosti</w:t>
      </w:r>
      <w:r w:rsidR="00511E4D" w:rsidRPr="00275D8A">
        <w:t>, pričom je potrebné dosiahnuť vysoké štandardy bezpečnosti pri prístupe do registra a komunikáci</w:t>
      </w:r>
      <w:r w:rsidR="00BF7697">
        <w:t>i</w:t>
      </w:r>
      <w:r w:rsidR="00511E4D" w:rsidRPr="00275D8A">
        <w:t xml:space="preserve"> registra so subjektmi zasielajúcimi údaje a prijímajúcimi údaje z neho. Tento proces má za cieľ nielen zefektívnenie predchádzania, odhaľovania, vyšetrovania a stíhania trestných činov, ale najmä ochranu bankového tajomstva fyzických</w:t>
      </w:r>
      <w:r w:rsidR="001902C9">
        <w:t xml:space="preserve"> osôb</w:t>
      </w:r>
      <w:r w:rsidR="00511E4D" w:rsidRPr="00275D8A">
        <w:t xml:space="preserve"> a právnických osôb. Potrebné nastavenie Centrálneho registra účtov tak, aby dosahoval uvedené požiadavky</w:t>
      </w:r>
      <w:r w:rsidR="00BF7697">
        <w:t>,</w:t>
      </w:r>
      <w:r w:rsidR="00511E4D" w:rsidRPr="00275D8A">
        <w:t xml:space="preserve"> je časovo náročné a vyžaduje si dlhší čas, ako bolo pri príprave zákona č. 123/2022 Z.</w:t>
      </w:r>
      <w:r w:rsidRPr="00275D8A">
        <w:t xml:space="preserve"> </w:t>
      </w:r>
      <w:r w:rsidR="00511E4D" w:rsidRPr="00275D8A">
        <w:t>z. o </w:t>
      </w:r>
      <w:r w:rsidR="00DF460C">
        <w:t>c</w:t>
      </w:r>
      <w:r w:rsidR="00511E4D" w:rsidRPr="00275D8A">
        <w:t xml:space="preserve">entrálnom registri účtov pôvodne zamýšľané. Termín odovzdania Centrálneho registra účtov do prevádzky je potrebné posunúť aj s ohľadom na skutočnosť, že náklady na tvorbu tohto registra majú byť hradené z Plánu obnovy a odolnosti. Nesplnenie zákonom </w:t>
      </w:r>
      <w:r w:rsidR="001902C9">
        <w:t>u</w:t>
      </w:r>
      <w:r w:rsidR="00511E4D" w:rsidRPr="00275D8A">
        <w:t>stanovenej lehoty uvedenia do prevádzky by mohlo spôsobiť ťažkosti pri žiadosti Slovenskej republiky o plnenie nákladov na vznik tohto systému z Plánu obnovy a</w:t>
      </w:r>
      <w:r w:rsidR="00BF7697">
        <w:t> </w:t>
      </w:r>
      <w:r w:rsidR="00511E4D" w:rsidRPr="00275D8A">
        <w:t>odolnosti</w:t>
      </w:r>
      <w:r w:rsidR="00BF7697">
        <w:t>,</w:t>
      </w:r>
      <w:r w:rsidR="00511E4D" w:rsidRPr="00275D8A">
        <w:t xml:space="preserve"> a tým preniesť náklady na jeho tvorbu na štátny rozpočet. </w:t>
      </w:r>
      <w:r w:rsidR="001902C9">
        <w:t>Posunutím termínu uvedenia Centrálneho registra účtov do prevádzky s</w:t>
      </w:r>
      <w:r w:rsidR="0093576A" w:rsidRPr="00275D8A">
        <w:t>a predíde možným hospodárskym škodám na štátnom rozpočte</w:t>
      </w:r>
      <w:r w:rsidR="001902C9">
        <w:t>.</w:t>
      </w:r>
    </w:p>
    <w:p w14:paraId="78AE44C5" w14:textId="49755E04" w:rsidR="00B665CF" w:rsidRPr="00275D8A" w:rsidRDefault="00130B7D" w:rsidP="00130B7D">
      <w:pPr>
        <w:spacing w:after="120"/>
        <w:jc w:val="both"/>
      </w:pPr>
      <w:r>
        <w:tab/>
      </w:r>
      <w:r w:rsidR="00B665CF" w:rsidRPr="00275D8A">
        <w:t xml:space="preserve">Prijatie navrhovaného zákona bude mať </w:t>
      </w:r>
      <w:r w:rsidR="00A57F97" w:rsidRPr="00275D8A">
        <w:t xml:space="preserve">pozitívne </w:t>
      </w:r>
      <w:r w:rsidR="00B665CF" w:rsidRPr="00275D8A">
        <w:t>vplyv</w:t>
      </w:r>
      <w:r w:rsidR="00A57F97" w:rsidRPr="00275D8A">
        <w:t>y</w:t>
      </w:r>
      <w:r w:rsidR="00B665CF" w:rsidRPr="00275D8A">
        <w:t xml:space="preserve"> na rozpočet verejnej správy</w:t>
      </w:r>
      <w:r w:rsidR="00DA1C61" w:rsidRPr="00275D8A">
        <w:t>.</w:t>
      </w:r>
      <w:r w:rsidR="00B665CF" w:rsidRPr="00275D8A">
        <w:t xml:space="preserve"> Návrh zákona nemá sociálne vplyvy, vplyvy</w:t>
      </w:r>
      <w:r w:rsidR="00DA1C61" w:rsidRPr="00275D8A">
        <w:t xml:space="preserve"> na podnikateľské prostredie,</w:t>
      </w:r>
      <w:r w:rsidR="00B665CF" w:rsidRPr="00275D8A">
        <w:t xml:space="preserve"> na životné prostredie, na služby verejnej správy pre občana, na informatizáciu a nemá vplyvy ani na manželstvo, rodičovstvo a rodinu.</w:t>
      </w:r>
    </w:p>
    <w:p w14:paraId="6C2EA5A9" w14:textId="416B7078" w:rsidR="00392715" w:rsidRDefault="00B665CF" w:rsidP="00E51502">
      <w:pPr>
        <w:spacing w:after="120"/>
        <w:jc w:val="both"/>
      </w:pPr>
      <w:r w:rsidRPr="00275D8A">
        <w:tab/>
        <w:t>Predložený návrh zákona je v súlade s Ústavou Slovenskej republiky, s ústavnými zákonmi, nálezmi ústavného súdu, inými zákonmi a ostatnými všeobecne záväznými právnymi predpismi Slovenskej republiky, s právom Európskej únie a s medzinárodnými zmluvami, ktorými je Slovenská republika viazaná.</w:t>
      </w:r>
    </w:p>
    <w:p w14:paraId="51C680A3" w14:textId="77777777" w:rsidR="00392715" w:rsidRDefault="00392715">
      <w:pPr>
        <w:spacing w:after="200" w:line="276" w:lineRule="auto"/>
      </w:pPr>
      <w:r>
        <w:br w:type="page"/>
      </w:r>
    </w:p>
    <w:p w14:paraId="315CE08D" w14:textId="77777777" w:rsidR="00392715" w:rsidRPr="00990074" w:rsidRDefault="00392715" w:rsidP="00392715">
      <w:pPr>
        <w:jc w:val="center"/>
        <w:rPr>
          <w:b/>
          <w:sz w:val="28"/>
          <w:szCs w:val="28"/>
          <w:lang w:eastAsia="sk-SK"/>
        </w:rPr>
      </w:pPr>
      <w:r w:rsidRPr="00990074">
        <w:rPr>
          <w:b/>
          <w:sz w:val="28"/>
          <w:szCs w:val="28"/>
          <w:lang w:eastAsia="sk-SK"/>
        </w:rPr>
        <w:lastRenderedPageBreak/>
        <w:t>Doložka vybraných vplyvov</w:t>
      </w:r>
    </w:p>
    <w:p w14:paraId="531F56B7" w14:textId="77777777" w:rsidR="00392715" w:rsidRPr="00392715" w:rsidRDefault="00392715" w:rsidP="00392715">
      <w:pPr>
        <w:spacing w:after="200" w:line="276" w:lineRule="auto"/>
        <w:ind w:left="426"/>
        <w:contextualSpacing/>
        <w:rPr>
          <w:rFonts w:eastAsia="Calibri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392715" w:rsidRPr="00990074" w14:paraId="04A9DEC8" w14:textId="77777777" w:rsidTr="00B54B29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44E8DFB" w14:textId="77777777" w:rsidR="00392715" w:rsidRPr="00990074" w:rsidRDefault="00392715" w:rsidP="00392715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Základné údaje</w:t>
            </w:r>
          </w:p>
        </w:tc>
      </w:tr>
      <w:tr w:rsidR="00392715" w:rsidRPr="00990074" w14:paraId="04232B3C" w14:textId="77777777" w:rsidTr="00B54B29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03D4573B" w14:textId="77777777" w:rsidR="00392715" w:rsidRPr="00990074" w:rsidRDefault="00392715" w:rsidP="00B54B29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Názov materiálu</w:t>
            </w:r>
          </w:p>
        </w:tc>
      </w:tr>
      <w:tr w:rsidR="00392715" w:rsidRPr="00990074" w14:paraId="75B03F8B" w14:textId="77777777" w:rsidTr="00B54B29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543E4422" w14:textId="77777777" w:rsidR="00392715" w:rsidRPr="00990074" w:rsidRDefault="00392715" w:rsidP="00B54B29">
            <w:r w:rsidRPr="00990074">
              <w:t xml:space="preserve">Zákon, </w:t>
            </w:r>
            <w:r w:rsidRPr="00990074">
              <w:rPr>
                <w:sz w:val="20"/>
                <w:szCs w:val="20"/>
              </w:rPr>
              <w:t xml:space="preserve">ktorým sa mení zákon č. 394/2012 Z. z. o obmedzení platieb v hotovosti </w:t>
            </w:r>
            <w:r w:rsidRPr="00990074">
              <w:rPr>
                <w:bCs/>
                <w:sz w:val="20"/>
                <w:szCs w:val="20"/>
              </w:rPr>
              <w:t>a ktorým sa mení zákon č.</w:t>
            </w:r>
            <w:r w:rsidRPr="00990074">
              <w:rPr>
                <w:sz w:val="20"/>
                <w:szCs w:val="20"/>
              </w:rPr>
              <w:t> </w:t>
            </w:r>
            <w:r w:rsidRPr="00990074">
              <w:rPr>
                <w:bCs/>
                <w:sz w:val="20"/>
                <w:szCs w:val="20"/>
              </w:rPr>
              <w:t>123/2022 Z. z. o centrálnom registri účtov a o zmene a doplnení niektorých zákonov</w:t>
            </w:r>
            <w:r w:rsidRPr="00990074">
              <w:rPr>
                <w:sz w:val="20"/>
                <w:szCs w:val="20"/>
              </w:rPr>
              <w:t xml:space="preserve"> (ďalej len „návrh“)</w:t>
            </w:r>
          </w:p>
          <w:p w14:paraId="73C8B40D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</w:tc>
      </w:tr>
      <w:tr w:rsidR="00392715" w:rsidRPr="00990074" w14:paraId="037A9805" w14:textId="77777777" w:rsidTr="00B54B2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582BC33" w14:textId="77777777" w:rsidR="00392715" w:rsidRPr="00990074" w:rsidRDefault="00392715" w:rsidP="00B54B29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Predkladateľ (a spolupredkladateľ)</w:t>
            </w:r>
          </w:p>
        </w:tc>
      </w:tr>
      <w:tr w:rsidR="00392715" w:rsidRPr="00990074" w14:paraId="60D4172D" w14:textId="77777777" w:rsidTr="00B54B29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6A0BB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Ministerstvo financií Slovenskej republiky</w:t>
            </w:r>
          </w:p>
          <w:p w14:paraId="11F0E028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</w:tc>
      </w:tr>
      <w:tr w:rsidR="00392715" w:rsidRPr="00990074" w14:paraId="3B4FDCCB" w14:textId="77777777" w:rsidTr="00B54B29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4389FF7A" w14:textId="77777777" w:rsidR="00392715" w:rsidRPr="00990074" w:rsidRDefault="00392715" w:rsidP="00B54B29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Charakter predkladaného materiálu</w:t>
            </w:r>
          </w:p>
        </w:tc>
        <w:sdt>
          <w:sdtPr>
            <w:rPr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01AB4E7" w14:textId="77777777" w:rsidR="00392715" w:rsidRPr="00990074" w:rsidRDefault="00392715" w:rsidP="00B54B29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AC3A1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392715" w:rsidRPr="00990074" w14:paraId="5457CEBC" w14:textId="77777777" w:rsidTr="00B54B29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1D62168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</w:tc>
        <w:sdt>
          <w:sdtPr>
            <w:rPr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ECC351A" w14:textId="77777777" w:rsidR="00392715" w:rsidRPr="00990074" w:rsidRDefault="00392715" w:rsidP="00B54B29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B1DE144" w14:textId="77777777" w:rsidR="00392715" w:rsidRPr="00990074" w:rsidRDefault="00392715" w:rsidP="00B54B29">
            <w:pPr>
              <w:ind w:left="175" w:hanging="175"/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392715" w:rsidRPr="00990074" w14:paraId="0877E79B" w14:textId="77777777" w:rsidTr="00B54B29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47A2E4C1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</w:tc>
        <w:sdt>
          <w:sdtPr>
            <w:rPr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F2E8D83" w14:textId="77777777" w:rsidR="00392715" w:rsidRPr="00990074" w:rsidRDefault="00392715" w:rsidP="00B54B29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7F7CCC8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392715" w:rsidRPr="00990074" w14:paraId="0A184981" w14:textId="77777777" w:rsidTr="00B54B2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7AFCDBB4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14:paraId="518583A6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</w:tc>
      </w:tr>
      <w:tr w:rsidR="00392715" w:rsidRPr="00990074" w14:paraId="5522C4A4" w14:textId="77777777" w:rsidTr="00B54B29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0C8974E" w14:textId="77777777" w:rsidR="00392715" w:rsidRPr="00990074" w:rsidRDefault="00392715" w:rsidP="00B54B29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6315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</w:tc>
      </w:tr>
      <w:tr w:rsidR="00392715" w:rsidRPr="00990074" w14:paraId="0415751C" w14:textId="77777777" w:rsidTr="00B54B29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1DEA145" w14:textId="77777777" w:rsidR="00392715" w:rsidRPr="00990074" w:rsidRDefault="00392715" w:rsidP="00B54B29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97CD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</w:tc>
      </w:tr>
      <w:tr w:rsidR="00392715" w:rsidRPr="00990074" w14:paraId="57EF7340" w14:textId="77777777" w:rsidTr="00B54B29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63A5A49" w14:textId="77777777" w:rsidR="00392715" w:rsidRPr="00990074" w:rsidRDefault="00392715" w:rsidP="00B54B29">
            <w:pPr>
              <w:spacing w:line="276" w:lineRule="auto"/>
              <w:ind w:left="142"/>
              <w:contextualSpacing/>
              <w:rPr>
                <w:rFonts w:ascii="Calibri" w:eastAsia="Calibri" w:hAnsi="Calibri"/>
                <w:b/>
              </w:rPr>
            </w:pPr>
            <w:r w:rsidRPr="00990074">
              <w:rPr>
                <w:rFonts w:eastAsia="Calibri"/>
                <w:b/>
              </w:rPr>
              <w:t>Predpokladaný termín začiatku a ukončenia ZP**</w:t>
            </w:r>
            <w:r w:rsidRPr="00990074">
              <w:rPr>
                <w:rFonts w:ascii="Calibri" w:eastAsia="Calibri" w:hAnsi="Calibri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551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</w:tc>
      </w:tr>
      <w:tr w:rsidR="00392715" w:rsidRPr="00990074" w14:paraId="05B9C520" w14:textId="77777777" w:rsidTr="00B54B29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8253B63" w14:textId="77777777" w:rsidR="00392715" w:rsidRPr="00990074" w:rsidRDefault="00392715" w:rsidP="00B54B29">
            <w:pPr>
              <w:spacing w:after="200" w:line="276" w:lineRule="auto"/>
              <w:ind w:left="142"/>
              <w:contextualSpacing/>
              <w:jc w:val="both"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1656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</w:tc>
      </w:tr>
      <w:tr w:rsidR="00392715" w:rsidRPr="00990074" w14:paraId="2A4D5EB6" w14:textId="77777777" w:rsidTr="00B54B29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2CC14F9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</w:tc>
      </w:tr>
      <w:tr w:rsidR="00392715" w:rsidRPr="00990074" w14:paraId="648C3949" w14:textId="77777777" w:rsidTr="00B54B2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537462E" w14:textId="77777777" w:rsidR="00392715" w:rsidRPr="00990074" w:rsidRDefault="00392715" w:rsidP="00392715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Definovanie problému</w:t>
            </w:r>
          </w:p>
        </w:tc>
      </w:tr>
      <w:tr w:rsidR="00392715" w:rsidRPr="00990074" w14:paraId="556B3912" w14:textId="77777777" w:rsidTr="00B54B29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E98FB" w14:textId="77777777" w:rsidR="00392715" w:rsidRPr="00990074" w:rsidRDefault="00392715" w:rsidP="00B54B29">
            <w:pPr>
              <w:jc w:val="both"/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7DBFD1DC" w14:textId="77777777" w:rsidR="00392715" w:rsidRPr="00990074" w:rsidRDefault="00392715" w:rsidP="00B54B29">
            <w:pPr>
              <w:jc w:val="both"/>
              <w:rPr>
                <w:i/>
                <w:sz w:val="20"/>
                <w:szCs w:val="20"/>
                <w:lang w:eastAsia="sk-SK"/>
              </w:rPr>
            </w:pPr>
          </w:p>
          <w:p w14:paraId="42E2EEB7" w14:textId="77777777" w:rsidR="00392715" w:rsidRPr="00990074" w:rsidRDefault="00392715" w:rsidP="00B54B29">
            <w:pPr>
              <w:spacing w:after="120"/>
              <w:jc w:val="both"/>
              <w:rPr>
                <w:sz w:val="20"/>
                <w:szCs w:val="20"/>
              </w:rPr>
            </w:pPr>
            <w:r w:rsidRPr="00990074">
              <w:rPr>
                <w:sz w:val="20"/>
                <w:szCs w:val="20"/>
              </w:rPr>
              <w:t>Na základe úlohy, ktorá vyplynula z uznesenia vlády Slovenskej republiky č. 8 z</w:t>
            </w:r>
            <w:r w:rsidRPr="00990074">
              <w:rPr>
                <w:i/>
                <w:sz w:val="20"/>
                <w:szCs w:val="20"/>
              </w:rPr>
              <w:t> </w:t>
            </w:r>
            <w:r w:rsidRPr="00990074">
              <w:rPr>
                <w:sz w:val="20"/>
                <w:szCs w:val="20"/>
              </w:rPr>
              <w:t>12. januára 2022 k Akčnému plánu boja proti legalizácii výnosov z trestnej činnosti, financovaniu terorizmu a financovaniu proliferácie zbraní hromadného ničenia s výhľadom do roku 2024, Ministerstvo financií Slovenskej republiky analyzovalo limity, existujúce výnimky a ukladanie sankcií podľa zákona č. 394/2012 Z. z. o obmedzení platieb v hotovosti. V súvislosti s touto analýzou Ministerstvo financií Slovenskej republiky pripravilo dotazník, ktorý zaslalo všetkým ministerstvám, Národnej banke Slovenska a Finančnému riaditeľstvu SR, v ktorom požiadalo o zhodnotenie výnimiek podľa § 8 (ktoré výnimky pokladajú za nevyhnutné, ktoré je možné vypustiť, ďalšie návrhy zmien výnimiek), ukladanie sankcií podľa § 9 a 10 (návrhy na sprísnenie sankcií) a prehodnotenie limitov podľa § 4 zákona č. 394/2012 Z. z. o obmedzení platieb v hotovosti.</w:t>
            </w:r>
          </w:p>
          <w:p w14:paraId="16ECBDD2" w14:textId="77777777" w:rsidR="00392715" w:rsidRPr="00990074" w:rsidRDefault="00392715" w:rsidP="00B54B29">
            <w:pPr>
              <w:spacing w:after="120"/>
              <w:jc w:val="both"/>
              <w:rPr>
                <w:sz w:val="20"/>
                <w:szCs w:val="20"/>
              </w:rPr>
            </w:pPr>
            <w:r w:rsidRPr="00990074">
              <w:rPr>
                <w:sz w:val="20"/>
                <w:szCs w:val="20"/>
              </w:rPr>
              <w:t>Ministerstvo financií Slovenskej republiky zároveň pri príprave systému Centrálneho registra účtov vyhodnotilo, že na zabezpečenie dôslednej ochrany bankového tajomstva a efektívneho a bezpečného vyhľadávania informácií potrebných na predchádzanie, odhaľovanie, vyšetrovanie a stíhanie závažnej trestnej činnosti a predchádzanie legalizáci</w:t>
            </w:r>
            <w:r>
              <w:rPr>
                <w:sz w:val="20"/>
                <w:szCs w:val="20"/>
              </w:rPr>
              <w:t>i</w:t>
            </w:r>
            <w:r w:rsidRPr="00990074">
              <w:rPr>
                <w:sz w:val="20"/>
                <w:szCs w:val="20"/>
              </w:rPr>
              <w:t xml:space="preserve"> príjmov z trestnej činnosti a financovaniu terorizmu a zabezpečenie súladu s podmienkami plnenia nákladov na vývoj Centrálneho registra účtov z Plánu obnovy a odolnosti je potrebné posunúť termín uvedenia Centrálneho registra účtov do prevádzky na 1. júla 2023.</w:t>
            </w:r>
          </w:p>
          <w:p w14:paraId="133AE4E1" w14:textId="77777777" w:rsidR="00392715" w:rsidRPr="00990074" w:rsidRDefault="00392715" w:rsidP="00B54B29">
            <w:pPr>
              <w:spacing w:after="120"/>
              <w:jc w:val="both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</w:rPr>
              <w:t xml:space="preserve">Na základe odpovedí, návrhov a poznatkov aplikačnej praxe a potreby posunúť termín na uvedenie Centrálneho registra účtov do prevádzky Ministerstvo financií Slovenskej republiky pripravilo tento návrh zákona. </w:t>
            </w:r>
          </w:p>
        </w:tc>
      </w:tr>
      <w:tr w:rsidR="00392715" w:rsidRPr="00990074" w14:paraId="7F2FDF05" w14:textId="77777777" w:rsidTr="00B54B2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793D43" w14:textId="77777777" w:rsidR="00392715" w:rsidRPr="00990074" w:rsidRDefault="00392715" w:rsidP="00392715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Ciele a výsledný stav</w:t>
            </w:r>
          </w:p>
        </w:tc>
      </w:tr>
      <w:tr w:rsidR="00392715" w:rsidRPr="00990074" w14:paraId="734D4B40" w14:textId="77777777" w:rsidTr="00B54B29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BBF0C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E2D0F7F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</w:p>
          <w:p w14:paraId="71B83055" w14:textId="77777777" w:rsidR="00392715" w:rsidRPr="00990074" w:rsidRDefault="00392715" w:rsidP="00B54B29">
            <w:pPr>
              <w:pStyle w:val="Zarkazkladnhotextu"/>
              <w:tabs>
                <w:tab w:val="left" w:pos="0"/>
              </w:tabs>
              <w:spacing w:after="0"/>
              <w:jc w:val="both"/>
            </w:pPr>
            <w:r w:rsidRPr="00990074">
              <w:rPr>
                <w:sz w:val="20"/>
                <w:szCs w:val="20"/>
              </w:rPr>
              <w:t xml:space="preserve">Hlavným cieľom návrhu je upraviť výnimku v § 8 písm. h) zákona o obmedzení platieb v hotovosti, podľa ktorej v čase krízovej situácie, vojny, vojnového stavu, výnimočného stavu, núdzového stavu a mimoriadnej situácie sa na platby v hotovosti nevzťahuje zákaz podľa § 4. V praxi to znamená, že už vyhlásenie mimoriadnej situácie v krajine vylúči uplatňovanie zákona, a teda </w:t>
            </w:r>
            <w:r>
              <w:rPr>
                <w:sz w:val="20"/>
                <w:szCs w:val="20"/>
              </w:rPr>
              <w:t>aj</w:t>
            </w:r>
            <w:r w:rsidRPr="00990074">
              <w:rPr>
                <w:sz w:val="20"/>
                <w:szCs w:val="20"/>
              </w:rPr>
              <w:t xml:space="preserve"> zákazu platby v hotovosti plošne. Táto výnimka v podobe, v akej je dnes, sa javí ako nadmieru benevolentná a je v rozpore s cieľom zákona o obmedzení platieb v hotovosti. Keďže vyhlásenie mimoriadnej situácie v marci 2020 </w:t>
            </w:r>
            <w:r w:rsidRPr="00990074">
              <w:rPr>
                <w:rStyle w:val="awspan"/>
                <w:sz w:val="20"/>
                <w:szCs w:val="20"/>
              </w:rPr>
              <w:t>z</w:t>
            </w:r>
            <w:r w:rsidRPr="00990074">
              <w:rPr>
                <w:rStyle w:val="awspan"/>
                <w:spacing w:val="35"/>
                <w:sz w:val="20"/>
                <w:szCs w:val="20"/>
              </w:rPr>
              <w:t> </w:t>
            </w:r>
            <w:r w:rsidRPr="00990074">
              <w:rPr>
                <w:rStyle w:val="awspan"/>
                <w:sz w:val="20"/>
                <w:szCs w:val="20"/>
              </w:rPr>
              <w:t>dôvodu ochorenia</w:t>
            </w:r>
            <w:r w:rsidRPr="00990074">
              <w:rPr>
                <w:rStyle w:val="awspan"/>
                <w:spacing w:val="35"/>
                <w:sz w:val="20"/>
                <w:szCs w:val="20"/>
              </w:rPr>
              <w:t xml:space="preserve"> </w:t>
            </w:r>
            <w:r w:rsidRPr="00990074">
              <w:rPr>
                <w:rStyle w:val="awspan"/>
                <w:sz w:val="20"/>
                <w:szCs w:val="20"/>
              </w:rPr>
              <w:lastRenderedPageBreak/>
              <w:t>COVID-19</w:t>
            </w:r>
            <w:r w:rsidRPr="00990074">
              <w:rPr>
                <w:rStyle w:val="awspan"/>
                <w:spacing w:val="35"/>
                <w:sz w:val="20"/>
                <w:szCs w:val="20"/>
              </w:rPr>
              <w:t xml:space="preserve"> </w:t>
            </w:r>
            <w:r w:rsidRPr="00990074">
              <w:rPr>
                <w:rStyle w:val="awspan"/>
                <w:sz w:val="20"/>
                <w:szCs w:val="20"/>
              </w:rPr>
              <w:t>na území Slovenskej republiky</w:t>
            </w:r>
            <w:r w:rsidRPr="00990074">
              <w:rPr>
                <w:sz w:val="20"/>
                <w:szCs w:val="20"/>
              </w:rPr>
              <w:t xml:space="preserve">, ktorá trvá aj naďalej, nespôsobilo a nespôsobuje obmedzenie občanov a podnikateľov v bezhotovostnom platobnom styku, je dôležité </w:t>
            </w:r>
            <w:r w:rsidRPr="00320AB4">
              <w:rPr>
                <w:sz w:val="20"/>
                <w:szCs w:val="20"/>
              </w:rPr>
              <w:t>urýchlene vypustiť uplatňovanie tejto výnimky pri mimoriadnej situácii</w:t>
            </w:r>
            <w:r w:rsidRPr="00320AB4">
              <w:t xml:space="preserve"> </w:t>
            </w:r>
            <w:r w:rsidRPr="00320AB4">
              <w:rPr>
                <w:sz w:val="20"/>
                <w:szCs w:val="20"/>
              </w:rPr>
              <w:t>s cieľom zabrániť daňovým únikom, praniu špinavých peňazí a financovaniu terorizmu.</w:t>
            </w:r>
            <w:r w:rsidRPr="00990074">
              <w:t xml:space="preserve"> </w:t>
            </w:r>
          </w:p>
          <w:p w14:paraId="42232BBC" w14:textId="77777777" w:rsidR="00392715" w:rsidRPr="00990074" w:rsidRDefault="00392715" w:rsidP="00B54B29">
            <w:pPr>
              <w:pStyle w:val="Zarkazkladnhotextu"/>
              <w:tabs>
                <w:tab w:val="left" w:pos="0"/>
              </w:tabs>
              <w:spacing w:after="0"/>
              <w:jc w:val="both"/>
            </w:pPr>
          </w:p>
          <w:p w14:paraId="5A5192B4" w14:textId="77777777" w:rsidR="00392715" w:rsidRPr="00990074" w:rsidRDefault="00392715" w:rsidP="00B54B29">
            <w:pPr>
              <w:pStyle w:val="Zarkazkladnhotextu"/>
              <w:tabs>
                <w:tab w:val="left" w:pos="0"/>
              </w:tabs>
              <w:spacing w:after="0"/>
              <w:jc w:val="both"/>
              <w:rPr>
                <w:sz w:val="20"/>
                <w:szCs w:val="20"/>
              </w:rPr>
            </w:pPr>
            <w:r w:rsidRPr="00990074">
              <w:rPr>
                <w:sz w:val="20"/>
                <w:szCs w:val="20"/>
              </w:rPr>
              <w:t>Súčasťou návrhu je aj posun termínu na uvedenie do prevádzky systému Centrálneho registra účtov. Ten vzniká s cieľom predchádzať, odhaľovať, vyšetrovať a stíhať závažnú trestnú činnosť</w:t>
            </w:r>
            <w:r>
              <w:rPr>
                <w:sz w:val="20"/>
                <w:szCs w:val="20"/>
              </w:rPr>
              <w:t>,</w:t>
            </w:r>
            <w:r w:rsidRPr="00990074">
              <w:rPr>
                <w:sz w:val="20"/>
                <w:szCs w:val="20"/>
              </w:rPr>
              <w:t xml:space="preserve"> ako aj predchádzať legalizácii príjmov z trestnej činnosti a financovaniu terorizmu. Má umožniť orgánom činnými v trestnom konaní a iným orgánom presadzovania práva efektívne identifikovať vlastníkov účtov. Komplexnosť prípravy v záujme dôslednej ochrany bankového tajomstva a efektívneho a bezpečného vyhľadávania potrebných informácií si vyžadujú predĺženie lehoty na uvedenie Centrálneho registra účtov do prevádzky. </w:t>
            </w:r>
            <w:r>
              <w:rPr>
                <w:sz w:val="20"/>
                <w:szCs w:val="20"/>
              </w:rPr>
              <w:t>Keďže</w:t>
            </w:r>
            <w:r w:rsidRPr="00990074">
              <w:rPr>
                <w:sz w:val="20"/>
                <w:szCs w:val="20"/>
              </w:rPr>
              <w:t xml:space="preserve"> je tento projekt súčasťou Plánu obnovy a</w:t>
            </w:r>
            <w:r>
              <w:rPr>
                <w:sz w:val="20"/>
                <w:szCs w:val="20"/>
              </w:rPr>
              <w:t> </w:t>
            </w:r>
            <w:r w:rsidRPr="00990074">
              <w:rPr>
                <w:sz w:val="20"/>
                <w:szCs w:val="20"/>
              </w:rPr>
              <w:t>odolnosti</w:t>
            </w:r>
            <w:r>
              <w:rPr>
                <w:sz w:val="20"/>
                <w:szCs w:val="20"/>
              </w:rPr>
              <w:t>,</w:t>
            </w:r>
            <w:r w:rsidRPr="00990074">
              <w:rPr>
                <w:sz w:val="20"/>
                <w:szCs w:val="20"/>
              </w:rPr>
              <w:t xml:space="preserve"> je potrebné termín </w:t>
            </w:r>
            <w:r>
              <w:rPr>
                <w:sz w:val="20"/>
                <w:szCs w:val="20"/>
              </w:rPr>
              <w:t>u</w:t>
            </w:r>
            <w:r w:rsidRPr="00990074">
              <w:rPr>
                <w:sz w:val="20"/>
                <w:szCs w:val="20"/>
              </w:rPr>
              <w:t>stanovený zákonom č. 123/2022 Z. z. o Centrálnom registri účtov a o zmene a doplnení niektorých zákonov zmeniť ešte pred koncom roka 2022, aby sa tak predišlo možným komplikáciám pri posudzovaní oprávnenosti plnenia nákladov projektu z Plánu obnovy a</w:t>
            </w:r>
            <w:r>
              <w:rPr>
                <w:sz w:val="20"/>
                <w:szCs w:val="20"/>
              </w:rPr>
              <w:t> </w:t>
            </w:r>
            <w:r w:rsidRPr="00990074">
              <w:rPr>
                <w:sz w:val="20"/>
                <w:szCs w:val="20"/>
              </w:rPr>
              <w:t>odolnosti</w:t>
            </w:r>
            <w:r>
              <w:rPr>
                <w:sz w:val="20"/>
                <w:szCs w:val="20"/>
              </w:rPr>
              <w:t>,</w:t>
            </w:r>
            <w:r w:rsidRPr="00990074">
              <w:rPr>
                <w:sz w:val="20"/>
                <w:szCs w:val="20"/>
              </w:rPr>
              <w:t xml:space="preserve"> a tým vzniku vážnych hospodárskych škôd prenesením nákladov na tvorbu Centrálneho registra účtov na </w:t>
            </w:r>
            <w:r>
              <w:rPr>
                <w:sz w:val="20"/>
                <w:szCs w:val="20"/>
              </w:rPr>
              <w:t>š</w:t>
            </w:r>
            <w:r w:rsidRPr="00990074">
              <w:rPr>
                <w:sz w:val="20"/>
                <w:szCs w:val="20"/>
              </w:rPr>
              <w:t>tátny rozpočet.</w:t>
            </w:r>
          </w:p>
          <w:p w14:paraId="0675E134" w14:textId="77777777" w:rsidR="00392715" w:rsidRPr="00990074" w:rsidRDefault="00392715" w:rsidP="00B54B29">
            <w:pPr>
              <w:spacing w:after="120"/>
              <w:jc w:val="both"/>
              <w:rPr>
                <w:sz w:val="20"/>
                <w:szCs w:val="20"/>
                <w:lang w:eastAsia="sk-SK"/>
              </w:rPr>
            </w:pPr>
          </w:p>
        </w:tc>
      </w:tr>
      <w:tr w:rsidR="00392715" w:rsidRPr="00990074" w14:paraId="55BE40A6" w14:textId="77777777" w:rsidTr="00B54B2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74CBB66" w14:textId="77777777" w:rsidR="00392715" w:rsidRPr="00990074" w:rsidRDefault="00392715" w:rsidP="00392715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lastRenderedPageBreak/>
              <w:t>Dotknuté subjekty</w:t>
            </w:r>
          </w:p>
        </w:tc>
      </w:tr>
      <w:tr w:rsidR="00392715" w:rsidRPr="00990074" w14:paraId="04A8F2D5" w14:textId="77777777" w:rsidTr="00B54B29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FF3C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19C6A652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</w:p>
          <w:p w14:paraId="74E765A3" w14:textId="77777777" w:rsidR="00392715" w:rsidRPr="00990074" w:rsidRDefault="00392715" w:rsidP="00B54B29">
            <w:pPr>
              <w:jc w:val="both"/>
              <w:rPr>
                <w:sz w:val="20"/>
                <w:szCs w:val="20"/>
              </w:rPr>
            </w:pPr>
            <w:r w:rsidRPr="00990074">
              <w:rPr>
                <w:sz w:val="20"/>
                <w:szCs w:val="20"/>
                <w:lang w:eastAsia="sk-SK"/>
              </w:rPr>
              <w:t xml:space="preserve">Návrh zákona sa týka všetkých osôb na území Slovenskej republiky, avšak nie je možné určiť okruh osôb, ktoré v období mimoriadnej situácie vykonávajú platby v hotovosti nad príslušný limit. Vzhľadom na rozšírené využívanie bezhotovostného platobného styku, ktorého podiel na uskutočnených platbách v hospodárstve sa neustále zvyšuje, očakávame, že </w:t>
            </w:r>
            <w:r>
              <w:rPr>
                <w:sz w:val="20"/>
                <w:szCs w:val="20"/>
                <w:lang w:eastAsia="sk-SK"/>
              </w:rPr>
              <w:t>vypustenie</w:t>
            </w:r>
            <w:r w:rsidRPr="00990074">
              <w:rPr>
                <w:sz w:val="20"/>
                <w:szCs w:val="20"/>
                <w:lang w:eastAsia="sk-SK"/>
              </w:rPr>
              <w:t xml:space="preserve"> </w:t>
            </w:r>
            <w:r>
              <w:rPr>
                <w:sz w:val="20"/>
                <w:szCs w:val="20"/>
                <w:lang w:eastAsia="sk-SK"/>
              </w:rPr>
              <w:t xml:space="preserve">tejto </w:t>
            </w:r>
            <w:r w:rsidRPr="00990074">
              <w:rPr>
                <w:sz w:val="20"/>
                <w:szCs w:val="20"/>
                <w:lang w:eastAsia="sk-SK"/>
              </w:rPr>
              <w:t>výnimky</w:t>
            </w:r>
            <w:r>
              <w:rPr>
                <w:sz w:val="20"/>
                <w:szCs w:val="20"/>
                <w:lang w:eastAsia="sk-SK"/>
              </w:rPr>
              <w:t xml:space="preserve"> pri mimoriadnej situácii</w:t>
            </w:r>
            <w:r w:rsidRPr="00990074">
              <w:rPr>
                <w:sz w:val="20"/>
                <w:szCs w:val="20"/>
                <w:lang w:eastAsia="sk-SK"/>
              </w:rPr>
              <w:t xml:space="preserve"> sa dotkne hlavne subjektov, ktoré sa snažia o „optimalizáciu“ svojej daňovej povinnosti, napr. vystavením fiktívnych faktúr bez reálneho plnenia. </w:t>
            </w:r>
            <w:r w:rsidRPr="00990074">
              <w:rPr>
                <w:sz w:val="20"/>
                <w:szCs w:val="20"/>
              </w:rPr>
              <w:t>Najväčšie škody na očakávaných príjmoch štátneho rozpočtu spôsobujú umelo a účelovo vytvárané reťazce obchodníkov, ktorí si medzi sebou vystavujú fiktívne faktúry bez reálneho plnenia, následne platby buď neprebehnú</w:t>
            </w:r>
            <w:r>
              <w:rPr>
                <w:sz w:val="20"/>
                <w:szCs w:val="20"/>
              </w:rPr>
              <w:t>,</w:t>
            </w:r>
            <w:r w:rsidRPr="00990074">
              <w:rPr>
                <w:sz w:val="20"/>
                <w:szCs w:val="20"/>
              </w:rPr>
              <w:t xml:space="preserve"> alebo sú príjmovými a výdavkovými pokladničnými dokladmi deklarované hotovostné platby rádovo v sumách niekoľko stotisíc eur (fikcia zaplatenia), pričom posledný článok reťazca uplatňuje vysoký nadmerný odpočet dane z pridanej hodnoty. </w:t>
            </w:r>
          </w:p>
          <w:p w14:paraId="6C3313DA" w14:textId="77777777" w:rsidR="00392715" w:rsidRPr="00990074" w:rsidRDefault="00392715" w:rsidP="00B54B29">
            <w:pPr>
              <w:jc w:val="both"/>
              <w:rPr>
                <w:sz w:val="20"/>
                <w:szCs w:val="20"/>
              </w:rPr>
            </w:pPr>
          </w:p>
          <w:p w14:paraId="7E8D72ED" w14:textId="77777777" w:rsidR="00392715" w:rsidRPr="00990074" w:rsidRDefault="00392715" w:rsidP="00B54B29">
            <w:pPr>
              <w:jc w:val="both"/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</w:rPr>
              <w:t>Posun termínu na odovzdanie Centrálneho registra účtov do prevádzky sa týka najmä Ministerstva financií Slovenskej republiky a Ministerstva vnútra Slovenskej republiky, ktoré úzko spolupracujú na príprave Centrálneho registra účtov. Subjekty finančného trhu, ktoré do registra budú poskytovať údaje</w:t>
            </w:r>
            <w:r>
              <w:rPr>
                <w:sz w:val="20"/>
                <w:szCs w:val="20"/>
              </w:rPr>
              <w:t>,</w:t>
            </w:r>
            <w:r w:rsidRPr="00990074">
              <w:rPr>
                <w:sz w:val="20"/>
                <w:szCs w:val="20"/>
              </w:rPr>
              <w:t xml:space="preserve"> a orgány verejnej moci, ktoré budú do registra pristupovať, budú dotknuté len rozsahu predĺženia prípravy, a teda umožnenia lepšieho nastavenia interných informačných systémov a systémov prenosu údajov.</w:t>
            </w:r>
          </w:p>
          <w:p w14:paraId="137EDB1F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</w:p>
        </w:tc>
      </w:tr>
      <w:tr w:rsidR="00392715" w:rsidRPr="00990074" w14:paraId="09414117" w14:textId="77777777" w:rsidTr="00B54B2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0787C31" w14:textId="77777777" w:rsidR="00392715" w:rsidRPr="00990074" w:rsidRDefault="00392715" w:rsidP="00392715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Alternatívne riešenia</w:t>
            </w:r>
          </w:p>
        </w:tc>
      </w:tr>
      <w:tr w:rsidR="00392715" w:rsidRPr="00990074" w14:paraId="4379EB72" w14:textId="77777777" w:rsidTr="00B54B29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AC84E" w14:textId="77777777" w:rsidR="00392715" w:rsidRPr="00990074" w:rsidRDefault="00392715" w:rsidP="00B54B29">
            <w:pPr>
              <w:jc w:val="both"/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46930D9C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</w:p>
          <w:p w14:paraId="127DF922" w14:textId="77777777" w:rsidR="00392715" w:rsidRPr="00990074" w:rsidRDefault="00392715" w:rsidP="00B54B29">
            <w:pPr>
              <w:jc w:val="both"/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05CB5091" w14:textId="77777777" w:rsidR="00392715" w:rsidRPr="00990074" w:rsidRDefault="00392715" w:rsidP="00B54B29">
            <w:pPr>
              <w:jc w:val="both"/>
              <w:rPr>
                <w:i/>
                <w:sz w:val="20"/>
                <w:szCs w:val="20"/>
                <w:lang w:eastAsia="sk-SK"/>
              </w:rPr>
            </w:pPr>
          </w:p>
          <w:p w14:paraId="63DE7B87" w14:textId="77777777" w:rsidR="00392715" w:rsidRPr="00990074" w:rsidRDefault="00392715" w:rsidP="00B54B29">
            <w:pPr>
              <w:jc w:val="both"/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Alternatívne riešenia neboli zvažované.</w:t>
            </w:r>
          </w:p>
          <w:p w14:paraId="6935D45D" w14:textId="77777777" w:rsidR="00392715" w:rsidRPr="00990074" w:rsidRDefault="00392715" w:rsidP="00B54B29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5120EA52" w14:textId="77777777" w:rsidR="00392715" w:rsidRPr="00990074" w:rsidRDefault="00392715" w:rsidP="00B54B29">
            <w:pPr>
              <w:jc w:val="both"/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Ak by nedošlo k vypusteniu mimoriadnej situácie z výnimky v § 8 písm. h) zákona o obmedzení platieb v hotovosti (nulový variant)</w:t>
            </w:r>
            <w:r>
              <w:rPr>
                <w:sz w:val="20"/>
                <w:szCs w:val="20"/>
                <w:lang w:eastAsia="sk-SK"/>
              </w:rPr>
              <w:t>,</w:t>
            </w:r>
            <w:r w:rsidRPr="00990074">
              <w:rPr>
                <w:sz w:val="20"/>
                <w:szCs w:val="20"/>
                <w:lang w:eastAsia="sk-SK"/>
              </w:rPr>
              <w:t xml:space="preserve"> naďalej by bolo vylúčené uplatňovanie zákona o obmedzení platieb v hotovosti plošne. Takáto situácia je v príkrom rozpore s cieľom zákona o obmedzení platieb v hotovosti, aj vzhľadom na to, že nie sú žiadne obmedzenia vo fungovaní bezhotovostného platobného styku.</w:t>
            </w:r>
          </w:p>
          <w:p w14:paraId="76CA3343" w14:textId="77777777" w:rsidR="00392715" w:rsidRPr="00990074" w:rsidRDefault="00392715" w:rsidP="00B54B29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461D8B9F" w14:textId="77777777" w:rsidR="00392715" w:rsidRPr="00990074" w:rsidRDefault="00392715" w:rsidP="00B54B29">
            <w:pPr>
              <w:jc w:val="both"/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 xml:space="preserve">Neposunutie termínu na odovzdanie Centrálneho registra účtov do prevádzky </w:t>
            </w:r>
            <w:r>
              <w:rPr>
                <w:sz w:val="20"/>
                <w:szCs w:val="20"/>
                <w:lang w:eastAsia="sk-SK"/>
              </w:rPr>
              <w:t>bude mať</w:t>
            </w:r>
            <w:r w:rsidRPr="00990074">
              <w:rPr>
                <w:sz w:val="20"/>
                <w:szCs w:val="20"/>
                <w:lang w:eastAsia="sk-SK"/>
              </w:rPr>
              <w:t xml:space="preserve"> za následok porušenie zákonom stanovenej lehoty, a tým vznik možnej prekážky pri nárokovaní plnenia nákladov na prípravu Centrálneho registra účtov z Plánu obnovy a odolnosti.</w:t>
            </w:r>
          </w:p>
          <w:p w14:paraId="76823D62" w14:textId="77777777" w:rsidR="00392715" w:rsidRPr="00990074" w:rsidRDefault="00392715" w:rsidP="00B54B29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7D79C4A5" w14:textId="77777777" w:rsidR="00392715" w:rsidRPr="00990074" w:rsidRDefault="00392715" w:rsidP="00B54B29">
            <w:pPr>
              <w:jc w:val="both"/>
              <w:rPr>
                <w:sz w:val="20"/>
                <w:szCs w:val="20"/>
                <w:lang w:eastAsia="sk-SK"/>
              </w:rPr>
            </w:pPr>
          </w:p>
        </w:tc>
      </w:tr>
      <w:tr w:rsidR="00392715" w:rsidRPr="00990074" w14:paraId="3A18D4BB" w14:textId="77777777" w:rsidTr="00B54B2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74A57D8" w14:textId="77777777" w:rsidR="00392715" w:rsidRPr="00990074" w:rsidRDefault="00392715" w:rsidP="00392715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Vykonávacie predpisy</w:t>
            </w:r>
          </w:p>
        </w:tc>
      </w:tr>
      <w:tr w:rsidR="00392715" w:rsidRPr="00990074" w14:paraId="02ED9735" w14:textId="77777777" w:rsidTr="00B54B29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A5ECE9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297EA4D3" w14:textId="77777777" w:rsidR="00392715" w:rsidRPr="00990074" w:rsidRDefault="00884B60" w:rsidP="00B54B2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sdt>
              <w:sdtPr>
                <w:rPr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15"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392715" w:rsidRPr="00990074">
              <w:rPr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A8607FE" w14:textId="77777777" w:rsidR="00392715" w:rsidRPr="00990074" w:rsidRDefault="00884B60" w:rsidP="00B54B29">
            <w:pPr>
              <w:jc w:val="center"/>
              <w:rPr>
                <w:b/>
                <w:sz w:val="20"/>
                <w:szCs w:val="20"/>
                <w:lang w:eastAsia="sk-SK"/>
              </w:rPr>
            </w:pPr>
            <w:sdt>
              <w:sdtPr>
                <w:rPr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15"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392715" w:rsidRPr="00990074">
              <w:rPr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392715" w:rsidRPr="00990074" w14:paraId="0465A44A" w14:textId="77777777" w:rsidTr="00B54B29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E9083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628ADDA3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</w:tc>
      </w:tr>
      <w:tr w:rsidR="00392715" w:rsidRPr="00990074" w14:paraId="53A2AC58" w14:textId="77777777" w:rsidTr="00B54B2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A5C57D7" w14:textId="77777777" w:rsidR="00392715" w:rsidRPr="00990074" w:rsidRDefault="00392715" w:rsidP="00392715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lastRenderedPageBreak/>
              <w:t xml:space="preserve">Transpozícia práva EÚ </w:t>
            </w:r>
          </w:p>
        </w:tc>
      </w:tr>
      <w:tr w:rsidR="00392715" w:rsidRPr="00990074" w14:paraId="6DF22350" w14:textId="77777777" w:rsidTr="00B54B29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22BA929F" w14:textId="77777777" w:rsidR="00392715" w:rsidRPr="00990074" w:rsidRDefault="00392715" w:rsidP="00B54B29">
            <w:pPr>
              <w:jc w:val="both"/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>Uveďte, v ktorých konkrétnych ustanoveniach (paragrafy, články, body, atď.) ide národná právna úprava nad rámec minimálnych požiadaviek EÚ (tzv. goldplating) spolu s odôvodnením opodstatnenosti presahu.</w:t>
            </w:r>
          </w:p>
          <w:p w14:paraId="6A97B1C1" w14:textId="77777777" w:rsidR="00392715" w:rsidRPr="00990074" w:rsidRDefault="00392715" w:rsidP="00B54B29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588B2AB4" w14:textId="77777777" w:rsidR="00392715" w:rsidRPr="00990074" w:rsidRDefault="00392715" w:rsidP="00B54B29">
            <w:pPr>
              <w:jc w:val="both"/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</w:rPr>
              <w:t>Návrh nejde nad rámec minimálnych požiadaviek EÚ.</w:t>
            </w:r>
          </w:p>
        </w:tc>
      </w:tr>
      <w:tr w:rsidR="00392715" w:rsidRPr="00990074" w14:paraId="5C4E8ACB" w14:textId="77777777" w:rsidTr="00B54B29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1B1CA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</w:tc>
      </w:tr>
      <w:tr w:rsidR="00392715" w:rsidRPr="00990074" w14:paraId="51103DE3" w14:textId="77777777" w:rsidTr="00B54B29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C2F63B0" w14:textId="77777777" w:rsidR="00392715" w:rsidRPr="00990074" w:rsidRDefault="00392715" w:rsidP="00392715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Preskúmanie účelnosti</w:t>
            </w:r>
          </w:p>
        </w:tc>
      </w:tr>
      <w:tr w:rsidR="00392715" w:rsidRPr="00990074" w14:paraId="118BAC39" w14:textId="77777777" w:rsidTr="00B54B29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31D54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192926FD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5AC97AF8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</w:p>
          <w:p w14:paraId="7E7F6BBC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 xml:space="preserve">Z návrhu analýzy nevyplývajú žiadne termíny a kritériá preskúmania účelnosti predkladaného materiálu. </w:t>
            </w:r>
          </w:p>
          <w:p w14:paraId="7954FDDC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Presun termínu zabezpečí dostatočný čas na dôslednú prípravu efektívneho a bezpečného systému Centrálneho registra účtov a zároveň minimalizuje možnosť prekážok pri žiadosti o plnenie nákladov na vývoj systému z Plánu obnovy a odolnosti.</w:t>
            </w:r>
          </w:p>
          <w:p w14:paraId="4C9BD6C9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</w:p>
        </w:tc>
      </w:tr>
      <w:tr w:rsidR="00392715" w:rsidRPr="00990074" w14:paraId="71D40DCB" w14:textId="77777777" w:rsidTr="00B54B29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5AB9F5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</w:p>
          <w:p w14:paraId="519CCF22" w14:textId="77777777" w:rsidR="00392715" w:rsidRPr="00990074" w:rsidRDefault="00392715" w:rsidP="00B54B29">
            <w:pPr>
              <w:ind w:left="142" w:hanging="142"/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07C3311C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663FA5E8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  <w:p w14:paraId="32CCB1F7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392715" w:rsidRPr="00990074" w14:paraId="0C26EDA5" w14:textId="77777777" w:rsidTr="00B54B29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6F22265F" w14:textId="77777777" w:rsidR="00392715" w:rsidRPr="00990074" w:rsidRDefault="00392715" w:rsidP="00392715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Vybrané vplyvy  materiálu</w:t>
            </w:r>
          </w:p>
        </w:tc>
      </w:tr>
      <w:tr w:rsidR="00392715" w:rsidRPr="00990074" w14:paraId="44854CE1" w14:textId="77777777" w:rsidTr="00B54B2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C779268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23873DA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AC14464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699423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464B417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65DCB18" w14:textId="77777777" w:rsidR="00392715" w:rsidRPr="00990074" w:rsidRDefault="00392715" w:rsidP="00B54B29">
                <w:pPr>
                  <w:ind w:left="-107" w:right="-108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7453168" w14:textId="77777777" w:rsidR="00392715" w:rsidRPr="00990074" w:rsidRDefault="00392715" w:rsidP="00B54B29">
            <w:pPr>
              <w:ind w:left="34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92715" w:rsidRPr="00990074" w14:paraId="51C28775" w14:textId="77777777" w:rsidTr="00B54B2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8E3355F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4F834AFD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7AE09EB4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6355495" w14:textId="77777777" w:rsidR="00392715" w:rsidRPr="00990074" w:rsidRDefault="00392715" w:rsidP="00B54B29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6FA8EE8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49054B" w14:textId="77777777" w:rsidR="00392715" w:rsidRPr="00990074" w:rsidRDefault="00392715" w:rsidP="00B54B29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5CCBC2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C01D68C" w14:textId="77777777" w:rsidR="00392715" w:rsidRPr="00990074" w:rsidRDefault="00392715" w:rsidP="00B54B29">
                <w:pPr>
                  <w:ind w:left="-107" w:right="-108"/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90A97B" w14:textId="77777777" w:rsidR="00392715" w:rsidRPr="00990074" w:rsidRDefault="00392715" w:rsidP="00B54B29">
            <w:pPr>
              <w:ind w:left="34"/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Čiastočne</w:t>
            </w:r>
          </w:p>
        </w:tc>
      </w:tr>
      <w:tr w:rsidR="00392715" w:rsidRPr="00990074" w14:paraId="45A522A6" w14:textId="77777777" w:rsidTr="00B54B2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ED3810D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30A98A2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8E2836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0A983A7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2C5497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9B6042B" w14:textId="77777777" w:rsidR="00392715" w:rsidRPr="00990074" w:rsidRDefault="00392715" w:rsidP="00B54B29">
                <w:pPr>
                  <w:ind w:left="-107" w:right="-108"/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CA9AE6" w14:textId="77777777" w:rsidR="00392715" w:rsidRPr="00990074" w:rsidRDefault="00392715" w:rsidP="00B54B29">
            <w:pPr>
              <w:ind w:left="34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92715" w:rsidRPr="00990074" w14:paraId="14F8D7FB" w14:textId="77777777" w:rsidTr="00B54B2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6B2F23E0" w14:textId="77777777" w:rsidR="00392715" w:rsidRPr="00990074" w:rsidRDefault="00392715" w:rsidP="00B54B29">
            <w:pPr>
              <w:ind w:left="171"/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z toho rozpočtovo zabezpečené vplyvy,</w:t>
            </w:r>
          </w:p>
          <w:p w14:paraId="0A8045F5" w14:textId="77777777" w:rsidR="00392715" w:rsidRPr="00990074" w:rsidRDefault="00392715" w:rsidP="00B54B29">
            <w:pPr>
              <w:ind w:left="171"/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6088BF6" w14:textId="77777777" w:rsidR="00392715" w:rsidRPr="00990074" w:rsidRDefault="00392715" w:rsidP="00B54B29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EE52E7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1EF4F8C" w14:textId="77777777" w:rsidR="00392715" w:rsidRPr="00990074" w:rsidRDefault="00392715" w:rsidP="00B54B29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CB695B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A958414" w14:textId="77777777" w:rsidR="00392715" w:rsidRPr="00990074" w:rsidRDefault="00392715" w:rsidP="00B54B29">
                <w:pPr>
                  <w:ind w:left="-107" w:right="-108"/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F8B9B3" w14:textId="77777777" w:rsidR="00392715" w:rsidRPr="00990074" w:rsidRDefault="00392715" w:rsidP="00B54B29">
            <w:pPr>
              <w:ind w:left="34"/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Čiastočne</w:t>
            </w:r>
          </w:p>
        </w:tc>
      </w:tr>
      <w:tr w:rsidR="00392715" w:rsidRPr="00990074" w14:paraId="51F87782" w14:textId="77777777" w:rsidTr="00B54B2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826465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A52309D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1FBA2D" w14:textId="77777777" w:rsidR="00392715" w:rsidRPr="00990074" w:rsidRDefault="00392715" w:rsidP="00B54B29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235FA3B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CD97E1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94862B0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FECC83" w14:textId="77777777" w:rsidR="00392715" w:rsidRPr="00990074" w:rsidRDefault="00392715" w:rsidP="00B54B29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92715" w:rsidRPr="00990074" w14:paraId="34E152DD" w14:textId="77777777" w:rsidTr="00B54B29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440D9FBA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 xml:space="preserve">    z toho vplyvy na MSP</w:t>
            </w:r>
          </w:p>
          <w:p w14:paraId="59B572D1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</w:tc>
        <w:sdt>
          <w:sdtPr>
            <w:rPr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2102AA5F" w14:textId="77777777" w:rsidR="00392715" w:rsidRPr="00990074" w:rsidRDefault="00392715" w:rsidP="00B54B29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4ECE4F" w14:textId="77777777" w:rsidR="00392715" w:rsidRPr="00990074" w:rsidRDefault="00392715" w:rsidP="00B54B29">
            <w:pPr>
              <w:ind w:right="-108"/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04D97B3" w14:textId="77777777" w:rsidR="00392715" w:rsidRPr="00990074" w:rsidRDefault="00392715" w:rsidP="00B54B29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C17031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6F9CA30" w14:textId="77777777" w:rsidR="00392715" w:rsidRPr="00990074" w:rsidRDefault="00392715" w:rsidP="00B54B29">
                <w:pPr>
                  <w:jc w:val="center"/>
                  <w:rPr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CE6ABB" w14:textId="77777777" w:rsidR="00392715" w:rsidRPr="00990074" w:rsidRDefault="00392715" w:rsidP="00B54B29">
            <w:pPr>
              <w:ind w:left="54"/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Negatívne</w:t>
            </w:r>
          </w:p>
        </w:tc>
      </w:tr>
      <w:tr w:rsidR="00392715" w:rsidRPr="00990074" w14:paraId="13AB0008" w14:textId="77777777" w:rsidTr="00B54B2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334B456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57F72F17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0D67C1E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460EA" w14:textId="77777777" w:rsidR="00392715" w:rsidRPr="00990074" w:rsidRDefault="00392715" w:rsidP="00B54B29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E6DEED" w14:textId="77777777" w:rsidR="00392715" w:rsidRPr="00990074" w:rsidRDefault="00392715" w:rsidP="00B54B2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315EB" w14:textId="77777777" w:rsidR="00392715" w:rsidRPr="00990074" w:rsidRDefault="00392715" w:rsidP="00B54B29">
            <w:pPr>
              <w:jc w:val="center"/>
              <w:rPr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6CC0D1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1A12" w14:textId="77777777" w:rsidR="00392715" w:rsidRPr="00990074" w:rsidRDefault="00392715" w:rsidP="00B54B29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Nie</w:t>
            </w:r>
          </w:p>
        </w:tc>
      </w:tr>
      <w:tr w:rsidR="00392715" w:rsidRPr="00990074" w14:paraId="59EB56FB" w14:textId="77777777" w:rsidTr="00B54B2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22CDE11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E4FFDA1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1DFF4" w14:textId="77777777" w:rsidR="00392715" w:rsidRPr="00990074" w:rsidRDefault="00392715" w:rsidP="00B54B29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B98502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070BF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E62331F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FD6AB" w14:textId="77777777" w:rsidR="00392715" w:rsidRPr="00990074" w:rsidRDefault="00392715" w:rsidP="00B54B29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92715" w:rsidRPr="00990074" w14:paraId="00C388D5" w14:textId="77777777" w:rsidTr="00B54B2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74B480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C3D59C1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93759" w14:textId="77777777" w:rsidR="00392715" w:rsidRPr="00990074" w:rsidRDefault="00392715" w:rsidP="00B54B29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EBD4372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15EC1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42CF326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8B4FA" w14:textId="77777777" w:rsidR="00392715" w:rsidRPr="00990074" w:rsidRDefault="00392715" w:rsidP="00B54B29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92715" w:rsidRPr="00990074" w14:paraId="6826B79C" w14:textId="77777777" w:rsidTr="00B54B2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864F4B8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40D3088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B8FC0" w14:textId="77777777" w:rsidR="00392715" w:rsidRPr="00990074" w:rsidRDefault="00392715" w:rsidP="00B54B29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B967106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AB676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FB6D169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CB5C9" w14:textId="77777777" w:rsidR="00392715" w:rsidRPr="00990074" w:rsidRDefault="00392715" w:rsidP="00B54B29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392715" w:rsidRPr="00990074" w14:paraId="01D339B9" w14:textId="77777777" w:rsidTr="00B54B2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5EC27A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rFonts w:eastAsia="Calibri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577DE4" w14:textId="77777777" w:rsidR="00392715" w:rsidRPr="00990074" w:rsidRDefault="00392715" w:rsidP="00B54B29">
            <w:pPr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8556D1" w14:textId="77777777" w:rsidR="00392715" w:rsidRPr="00990074" w:rsidRDefault="00392715" w:rsidP="00B54B29">
            <w:pPr>
              <w:ind w:right="-108"/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60523D" w14:textId="77777777" w:rsidR="00392715" w:rsidRPr="00990074" w:rsidRDefault="00392715" w:rsidP="00B54B29">
            <w:pPr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3FBE7B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7B6A19" w14:textId="77777777" w:rsidR="00392715" w:rsidRPr="00990074" w:rsidRDefault="00392715" w:rsidP="00B54B29">
            <w:pPr>
              <w:jc w:val="center"/>
              <w:rPr>
                <w:rFonts w:eastAsia="MS Mincho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A20CD6" w14:textId="77777777" w:rsidR="00392715" w:rsidRPr="00990074" w:rsidRDefault="00392715" w:rsidP="00B54B29">
            <w:pPr>
              <w:ind w:left="54"/>
              <w:rPr>
                <w:b/>
                <w:sz w:val="20"/>
                <w:szCs w:val="20"/>
                <w:lang w:eastAsia="sk-SK"/>
              </w:rPr>
            </w:pPr>
          </w:p>
        </w:tc>
      </w:tr>
      <w:tr w:rsidR="00392715" w:rsidRPr="00990074" w14:paraId="7D9DACF5" w14:textId="77777777" w:rsidTr="00B54B2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F5A28BA" w14:textId="77777777" w:rsidR="00392715" w:rsidRPr="00990074" w:rsidRDefault="00392715" w:rsidP="00B54B29">
            <w:pPr>
              <w:ind w:left="196" w:hanging="196"/>
              <w:rPr>
                <w:rFonts w:eastAsia="Calibri"/>
                <w:b/>
                <w:sz w:val="20"/>
                <w:szCs w:val="20"/>
              </w:rPr>
            </w:pPr>
            <w:r w:rsidRPr="00990074">
              <w:rPr>
                <w:rFonts w:eastAsia="Calibri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0D93C17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8E32B01" w14:textId="77777777" w:rsidR="00392715" w:rsidRPr="00990074" w:rsidRDefault="00392715" w:rsidP="00B54B29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DF58761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F5748B1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28C6778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6A5724" w14:textId="77777777" w:rsidR="00392715" w:rsidRPr="00990074" w:rsidRDefault="00392715" w:rsidP="00B54B29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92715" w:rsidRPr="00990074" w14:paraId="70C1FF43" w14:textId="77777777" w:rsidTr="00B54B2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012BA4" w14:textId="77777777" w:rsidR="00392715" w:rsidRPr="00990074" w:rsidRDefault="00392715" w:rsidP="00B54B29">
            <w:pPr>
              <w:ind w:left="168" w:hanging="168"/>
              <w:rPr>
                <w:rFonts w:eastAsia="Calibri"/>
                <w:b/>
                <w:sz w:val="20"/>
                <w:szCs w:val="20"/>
              </w:rPr>
            </w:pPr>
            <w:r w:rsidRPr="00990074">
              <w:rPr>
                <w:rFonts w:eastAsia="Calibri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38F3F723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5CDB47" w14:textId="77777777" w:rsidR="00392715" w:rsidRPr="00990074" w:rsidRDefault="00392715" w:rsidP="00B54B29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3F54D2F0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2D181C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102A943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46EF" w14:textId="77777777" w:rsidR="00392715" w:rsidRPr="00990074" w:rsidRDefault="00392715" w:rsidP="00B54B29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392715" w:rsidRPr="00990074" w14:paraId="7E162A07" w14:textId="77777777" w:rsidTr="00B54B2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6A8F45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C07337D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F320E" w14:textId="77777777" w:rsidR="00392715" w:rsidRPr="00990074" w:rsidRDefault="00392715" w:rsidP="00B54B29">
            <w:pPr>
              <w:ind w:right="-108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400F4A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7594E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9F3DB" w14:textId="77777777" w:rsidR="00392715" w:rsidRPr="00990074" w:rsidRDefault="00392715" w:rsidP="00B54B29">
                <w:pPr>
                  <w:jc w:val="center"/>
                  <w:rPr>
                    <w:b/>
                    <w:sz w:val="20"/>
                    <w:szCs w:val="20"/>
                    <w:lang w:eastAsia="sk-SK"/>
                  </w:rPr>
                </w:pPr>
                <w:r w:rsidRPr="0099007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EF53" w14:textId="77777777" w:rsidR="00392715" w:rsidRPr="00990074" w:rsidRDefault="00392715" w:rsidP="00B54B29">
            <w:pPr>
              <w:ind w:left="54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33573785" w14:textId="77777777" w:rsidR="00392715" w:rsidRPr="00990074" w:rsidRDefault="00392715" w:rsidP="00392715">
      <w:pPr>
        <w:ind w:right="141"/>
        <w:rPr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392715" w:rsidRPr="00990074" w14:paraId="0CC4099B" w14:textId="77777777" w:rsidTr="00B54B2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3F9AF3A" w14:textId="77777777" w:rsidR="00392715" w:rsidRPr="00990074" w:rsidRDefault="00392715" w:rsidP="00392715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Poznámky</w:t>
            </w:r>
          </w:p>
        </w:tc>
      </w:tr>
      <w:tr w:rsidR="00392715" w:rsidRPr="00990074" w14:paraId="6F6DB7E0" w14:textId="77777777" w:rsidTr="00B54B29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7B1485D" w14:textId="77777777" w:rsidR="00392715" w:rsidRPr="00990074" w:rsidRDefault="00392715" w:rsidP="00B54B29">
            <w:pPr>
              <w:jc w:val="both"/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4731F572" w14:textId="77777777" w:rsidR="00392715" w:rsidRPr="00990074" w:rsidRDefault="00392715" w:rsidP="00B54B29">
            <w:pPr>
              <w:jc w:val="both"/>
              <w:rPr>
                <w:i/>
                <w:sz w:val="20"/>
                <w:szCs w:val="20"/>
                <w:lang w:eastAsia="sk-SK"/>
              </w:rPr>
            </w:pPr>
          </w:p>
          <w:p w14:paraId="62A1F233" w14:textId="77777777" w:rsidR="00392715" w:rsidRPr="00990074" w:rsidRDefault="00392715" w:rsidP="00B54B29">
            <w:pPr>
              <w:jc w:val="both"/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79D57BEB" w14:textId="77777777" w:rsidR="00392715" w:rsidRPr="00990074" w:rsidRDefault="00392715" w:rsidP="00B54B29">
            <w:pPr>
              <w:jc w:val="both"/>
              <w:rPr>
                <w:i/>
                <w:sz w:val="20"/>
                <w:szCs w:val="20"/>
                <w:lang w:eastAsia="sk-SK"/>
              </w:rPr>
            </w:pPr>
          </w:p>
          <w:p w14:paraId="0DFFEE12" w14:textId="77777777" w:rsidR="00392715" w:rsidRPr="00990074" w:rsidRDefault="00392715" w:rsidP="00B54B29">
            <w:pPr>
              <w:jc w:val="both"/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lastRenderedPageBreak/>
              <w:t>Informácie v tejto časti slúžia na zhrnutie vplyvov alebo aj na vyjadrenie sa k marginálnym vplyvom a nie ako náhrada za vypracovanie príslušných analýz vybraných vplyvov.</w:t>
            </w:r>
          </w:p>
          <w:p w14:paraId="2E5CDA38" w14:textId="77777777" w:rsidR="00392715" w:rsidRPr="00990074" w:rsidRDefault="00392715" w:rsidP="00B54B29">
            <w:pPr>
              <w:jc w:val="both"/>
              <w:rPr>
                <w:i/>
                <w:sz w:val="20"/>
                <w:szCs w:val="20"/>
                <w:lang w:eastAsia="sk-SK"/>
              </w:rPr>
            </w:pPr>
          </w:p>
          <w:p w14:paraId="3B2C5A3B" w14:textId="77777777" w:rsidR="00392715" w:rsidRPr="00990074" w:rsidRDefault="00392715" w:rsidP="00B54B29">
            <w:pPr>
              <w:jc w:val="both"/>
              <w:rPr>
                <w:sz w:val="20"/>
                <w:szCs w:val="20"/>
              </w:rPr>
            </w:pPr>
            <w:r w:rsidRPr="00990074">
              <w:rPr>
                <w:sz w:val="20"/>
                <w:szCs w:val="20"/>
              </w:rPr>
              <w:t xml:space="preserve">Návrh zákona predpokladá pozitívne vplyvy na rozpočet verejnej správy. Ide o návrat k normálnemu fungovaniu zákona o obmedzení platieb v hotovosti pred vyhlásením mimoriadnej situácie, kedy všetky subjekty boli povinné vykonávať platby nad limit 5 000 eur, resp. 15 000 eur bezhotovostne. Vyhlásením mimoriadnej situácie v marci 2020, ktorá stále trvá, sa obmedzil zákaz platieb v hotovosti nad príslušný limit. Čo môže navádzať niektoré daňové subjekty k využívaniu hotovosti na napríklad „optimalizovanie“ svojich daňových povinností, uplatňovaniu odpočtov zo zálohových faktúr bez reálneho plnenia a k iným podozrivým operáciám, čo má za následok znižovanie daňových príjmov štátneho rozpočtu. </w:t>
            </w:r>
          </w:p>
          <w:p w14:paraId="2F8E52A4" w14:textId="77777777" w:rsidR="00392715" w:rsidRPr="00990074" w:rsidRDefault="00392715" w:rsidP="00B54B29">
            <w:pPr>
              <w:jc w:val="both"/>
              <w:rPr>
                <w:sz w:val="20"/>
                <w:szCs w:val="20"/>
              </w:rPr>
            </w:pPr>
          </w:p>
          <w:p w14:paraId="020522D1" w14:textId="77777777" w:rsidR="00392715" w:rsidRPr="00990074" w:rsidRDefault="00392715" w:rsidP="00B54B29">
            <w:pPr>
              <w:jc w:val="both"/>
              <w:rPr>
                <w:sz w:val="20"/>
                <w:szCs w:val="20"/>
              </w:rPr>
            </w:pPr>
            <w:r w:rsidRPr="00990074">
              <w:rPr>
                <w:sz w:val="20"/>
                <w:szCs w:val="20"/>
              </w:rPr>
              <w:t xml:space="preserve">Keďže nedisponujeme presnými štatistikami reálnych a podvodných platieb nad 5 000 eur, resp. 15 000 eur, nie je v tejto chvíli možné presne vyčísliť výšku predpokladaných vplyvov, preto predkladateľ návrhu zákona nepredkladá podrobnú analýzu vplyvov na rozpočet verejnej správy. </w:t>
            </w:r>
          </w:p>
          <w:p w14:paraId="1A15591C" w14:textId="77777777" w:rsidR="00392715" w:rsidRPr="00990074" w:rsidRDefault="00392715" w:rsidP="00B54B29">
            <w:pPr>
              <w:jc w:val="both"/>
              <w:rPr>
                <w:sz w:val="20"/>
                <w:szCs w:val="20"/>
              </w:rPr>
            </w:pPr>
          </w:p>
          <w:p w14:paraId="40084EF5" w14:textId="77777777" w:rsidR="00392715" w:rsidRPr="00990074" w:rsidRDefault="00392715" w:rsidP="00B54B29">
            <w:pPr>
              <w:jc w:val="both"/>
              <w:rPr>
                <w:sz w:val="20"/>
                <w:szCs w:val="20"/>
              </w:rPr>
            </w:pPr>
            <w:r w:rsidRPr="00990074">
              <w:rPr>
                <w:sz w:val="20"/>
                <w:szCs w:val="20"/>
              </w:rPr>
              <w:t>Posunutie termínu na uvedenie Centrálneho registra účtov do prevádzky nemá priame vplyvy na rozpočet verejnej správy. Predchádza sa ním však možným negatívnym dopadom na rozpočet verejnej správy v prípade, ak by neuvedenie Centrálneho registra účtov do prevádzky spôsobilo formálne komplikácie pri nároku na úhradu nákladov na jeho vývoj z Plánu obnovy a odolnosti.</w:t>
            </w:r>
          </w:p>
          <w:p w14:paraId="19C9D7EF" w14:textId="77777777" w:rsidR="00392715" w:rsidRPr="00990074" w:rsidRDefault="00392715" w:rsidP="00B54B29">
            <w:pPr>
              <w:jc w:val="both"/>
              <w:rPr>
                <w:rFonts w:eastAsia="Calibri"/>
                <w:b/>
              </w:rPr>
            </w:pPr>
          </w:p>
        </w:tc>
      </w:tr>
      <w:tr w:rsidR="00392715" w:rsidRPr="00990074" w14:paraId="672D259E" w14:textId="77777777" w:rsidTr="00B54B2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F33F439" w14:textId="77777777" w:rsidR="00392715" w:rsidRPr="00990074" w:rsidRDefault="00392715" w:rsidP="00392715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lastRenderedPageBreak/>
              <w:t>Kontakt na spracovateľa</w:t>
            </w:r>
          </w:p>
        </w:tc>
      </w:tr>
      <w:tr w:rsidR="00392715" w:rsidRPr="00990074" w14:paraId="2C0CEACC" w14:textId="77777777" w:rsidTr="00B54B29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9025A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6AC1C5F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</w:p>
          <w:p w14:paraId="23C95503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Ing. Anna Bartíková</w:t>
            </w:r>
          </w:p>
          <w:p w14:paraId="7DCF0829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 xml:space="preserve">02/5958 2528, anna.bartikova@mfsr.sk </w:t>
            </w:r>
          </w:p>
          <w:p w14:paraId="0A791651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  <w:r w:rsidRPr="00990074">
              <w:rPr>
                <w:sz w:val="20"/>
                <w:szCs w:val="20"/>
                <w:lang w:eastAsia="sk-SK"/>
              </w:rPr>
              <w:t>Ministerstvo financií Slovenskej republiky</w:t>
            </w:r>
          </w:p>
          <w:p w14:paraId="6259D9FF" w14:textId="77777777" w:rsidR="00392715" w:rsidRPr="00990074" w:rsidRDefault="00392715" w:rsidP="00B54B29">
            <w:pPr>
              <w:rPr>
                <w:sz w:val="20"/>
                <w:szCs w:val="20"/>
                <w:lang w:eastAsia="sk-SK"/>
              </w:rPr>
            </w:pPr>
          </w:p>
        </w:tc>
      </w:tr>
      <w:tr w:rsidR="00392715" w:rsidRPr="00990074" w14:paraId="1EED29E7" w14:textId="77777777" w:rsidTr="00B54B2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69861D0" w14:textId="77777777" w:rsidR="00392715" w:rsidRPr="00990074" w:rsidRDefault="00392715" w:rsidP="00392715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Zdroje</w:t>
            </w:r>
          </w:p>
        </w:tc>
      </w:tr>
      <w:tr w:rsidR="00392715" w:rsidRPr="00990074" w14:paraId="06ABDC34" w14:textId="77777777" w:rsidTr="00B54B29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D4562" w14:textId="77777777" w:rsidR="00392715" w:rsidRPr="00990074" w:rsidRDefault="00392715" w:rsidP="00B54B29">
            <w:pPr>
              <w:jc w:val="both"/>
              <w:rPr>
                <w:i/>
                <w:sz w:val="20"/>
                <w:szCs w:val="20"/>
                <w:lang w:eastAsia="sk-SK"/>
              </w:rPr>
            </w:pPr>
            <w:r w:rsidRPr="00990074">
              <w:rPr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990074">
              <w:rPr>
                <w:rFonts w:eastAsia="Calibri"/>
              </w:rPr>
              <w:t xml:space="preserve"> </w:t>
            </w:r>
          </w:p>
          <w:p w14:paraId="7A0B787F" w14:textId="77777777" w:rsidR="00392715" w:rsidRPr="00990074" w:rsidRDefault="00392715" w:rsidP="00B54B29">
            <w:pPr>
              <w:rPr>
                <w:i/>
                <w:sz w:val="20"/>
                <w:szCs w:val="20"/>
                <w:lang w:eastAsia="sk-SK"/>
              </w:rPr>
            </w:pPr>
          </w:p>
          <w:p w14:paraId="251A8D4F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392715" w:rsidRPr="00990074" w14:paraId="6FAAD733" w14:textId="77777777" w:rsidTr="00B54B2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A2B7BD4" w14:textId="77777777" w:rsidR="00392715" w:rsidRPr="00990074" w:rsidRDefault="00392715" w:rsidP="00392715">
            <w:pPr>
              <w:numPr>
                <w:ilvl w:val="0"/>
                <w:numId w:val="15"/>
              </w:numPr>
              <w:ind w:left="447" w:hanging="425"/>
              <w:contextualSpacing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Stanovisko Komisie na posudzovanie vybraných vplyvov z PPK č. ..........</w:t>
            </w:r>
            <w:r w:rsidRPr="00990074">
              <w:rPr>
                <w:rFonts w:ascii="Calibri" w:eastAsia="Calibri" w:hAnsi="Calibri"/>
              </w:rPr>
              <w:t xml:space="preserve"> </w:t>
            </w:r>
          </w:p>
          <w:p w14:paraId="413A2BB0" w14:textId="77777777" w:rsidR="00392715" w:rsidRPr="00990074" w:rsidRDefault="00392715" w:rsidP="00B54B29">
            <w:pPr>
              <w:ind w:left="502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rFonts w:eastAsia="Calibri"/>
              </w:rPr>
              <w:t>(v prípade, ak sa uskutočnilo v zmysle bodu 8.1 Jednotnej metodiky)</w:t>
            </w:r>
          </w:p>
        </w:tc>
      </w:tr>
      <w:tr w:rsidR="00392715" w:rsidRPr="00990074" w14:paraId="34153CC9" w14:textId="77777777" w:rsidTr="00B54B29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EBEAF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392715" w:rsidRPr="00990074" w14:paraId="26E39C68" w14:textId="77777777" w:rsidTr="00B54B29">
              <w:trPr>
                <w:trHeight w:val="396"/>
              </w:trPr>
              <w:tc>
                <w:tcPr>
                  <w:tcW w:w="2552" w:type="dxa"/>
                </w:tcPr>
                <w:p w14:paraId="38B5FC7E" w14:textId="77777777" w:rsidR="00392715" w:rsidRPr="00990074" w:rsidRDefault="00884B60" w:rsidP="00B54B29">
                  <w:pPr>
                    <w:rPr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2715" w:rsidRPr="0099007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92715" w:rsidRPr="00990074">
                    <w:rPr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14:paraId="38A43B1A" w14:textId="77777777" w:rsidR="00392715" w:rsidRPr="00990074" w:rsidRDefault="00884B60" w:rsidP="00B54B29">
                  <w:pPr>
                    <w:rPr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2715" w:rsidRPr="0099007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92715" w:rsidRPr="00990074">
                    <w:rPr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14:paraId="0F7C194F" w14:textId="77777777" w:rsidR="00392715" w:rsidRPr="00990074" w:rsidRDefault="00884B60" w:rsidP="00B54B29">
                  <w:pPr>
                    <w:ind w:right="459"/>
                    <w:rPr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2715" w:rsidRPr="0099007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92715" w:rsidRPr="00990074">
                    <w:rPr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04F3F7CF" w14:textId="77777777" w:rsidR="00392715" w:rsidRPr="00990074" w:rsidRDefault="00392715" w:rsidP="00B54B29">
            <w:pPr>
              <w:jc w:val="both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1E767241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</w:p>
          <w:p w14:paraId="4109E7FA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392715" w:rsidRPr="00990074" w14:paraId="2DC35DED" w14:textId="77777777" w:rsidTr="00B54B29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2DC9B221" w14:textId="77777777" w:rsidR="00392715" w:rsidRPr="00990074" w:rsidRDefault="00392715" w:rsidP="00392715">
            <w:pPr>
              <w:numPr>
                <w:ilvl w:val="0"/>
                <w:numId w:val="15"/>
              </w:numPr>
              <w:ind w:left="450" w:hanging="425"/>
              <w:contextualSpacing/>
              <w:jc w:val="both"/>
              <w:rPr>
                <w:rFonts w:eastAsia="Calibri"/>
                <w:b/>
              </w:rPr>
            </w:pPr>
            <w:r w:rsidRPr="00990074">
              <w:rPr>
                <w:rFonts w:eastAsia="Calibri"/>
                <w:b/>
              </w:rPr>
              <w:t>Stanovisko Komisie na posudzovanie vybraných vplyvov zo záverečného posúdenia č. ..........</w:t>
            </w:r>
            <w:r w:rsidRPr="00990074">
              <w:rPr>
                <w:rFonts w:eastAsia="Calibri"/>
              </w:rPr>
              <w:t xml:space="preserve"> (v prípade, ak sa uskutočnilo v zmysle bodu 9.1. Jednotnej metodiky) </w:t>
            </w:r>
          </w:p>
        </w:tc>
      </w:tr>
      <w:tr w:rsidR="00392715" w:rsidRPr="00B043B4" w14:paraId="41CCC97A" w14:textId="77777777" w:rsidTr="00B54B29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3AF720F1" w14:textId="77777777" w:rsidR="00392715" w:rsidRPr="00990074" w:rsidRDefault="00392715" w:rsidP="00B54B29">
            <w:pPr>
              <w:rPr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392715" w:rsidRPr="00990074" w14:paraId="78825B1D" w14:textId="77777777" w:rsidTr="00B54B29">
              <w:trPr>
                <w:trHeight w:val="396"/>
              </w:trPr>
              <w:tc>
                <w:tcPr>
                  <w:tcW w:w="2552" w:type="dxa"/>
                </w:tcPr>
                <w:p w14:paraId="35B7A135" w14:textId="77777777" w:rsidR="00392715" w:rsidRPr="00990074" w:rsidRDefault="00884B60" w:rsidP="00B54B29">
                  <w:pPr>
                    <w:rPr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2715" w:rsidRPr="0099007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92715" w:rsidRPr="00990074">
                    <w:rPr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14:paraId="60B0380E" w14:textId="77777777" w:rsidR="00392715" w:rsidRPr="00990074" w:rsidRDefault="00884B60" w:rsidP="00B54B29">
                  <w:pPr>
                    <w:rPr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2715" w:rsidRPr="0099007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92715" w:rsidRPr="00990074">
                    <w:rPr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14:paraId="63636E11" w14:textId="77777777" w:rsidR="00392715" w:rsidRPr="00990074" w:rsidRDefault="00884B60" w:rsidP="00B54B29">
                  <w:pPr>
                    <w:ind w:right="459"/>
                    <w:rPr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2715" w:rsidRPr="0099007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92715" w:rsidRPr="00990074">
                    <w:rPr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3BEE58AD" w14:textId="77777777" w:rsidR="00392715" w:rsidRPr="00B043B4" w:rsidRDefault="00392715" w:rsidP="00B54B29">
            <w:pPr>
              <w:jc w:val="both"/>
              <w:rPr>
                <w:b/>
                <w:sz w:val="20"/>
                <w:szCs w:val="20"/>
                <w:lang w:eastAsia="sk-SK"/>
              </w:rPr>
            </w:pPr>
            <w:r w:rsidRPr="00990074">
              <w:rPr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</w:tbl>
    <w:p w14:paraId="685A24FC" w14:textId="77777777" w:rsidR="00392715" w:rsidRDefault="00392715" w:rsidP="00392715"/>
    <w:p w14:paraId="256F7F18" w14:textId="1476B731" w:rsidR="00392715" w:rsidRDefault="00392715">
      <w:pPr>
        <w:spacing w:after="200" w:line="276" w:lineRule="auto"/>
      </w:pPr>
      <w:r>
        <w:br w:type="page"/>
      </w:r>
    </w:p>
    <w:p w14:paraId="4235A0CC" w14:textId="77777777" w:rsidR="00392715" w:rsidRPr="00AA315E" w:rsidRDefault="00392715" w:rsidP="00392715">
      <w:pPr>
        <w:jc w:val="center"/>
        <w:rPr>
          <w:b/>
          <w:bCs/>
          <w:lang w:eastAsia="sk-SK"/>
        </w:rPr>
      </w:pPr>
      <w:r w:rsidRPr="00AA315E">
        <w:rPr>
          <w:b/>
          <w:bCs/>
          <w:lang w:eastAsia="sk-SK"/>
        </w:rPr>
        <w:lastRenderedPageBreak/>
        <w:t>DOLOŽKA ZLUČITEĽNOSTI</w:t>
      </w:r>
    </w:p>
    <w:p w14:paraId="1E669744" w14:textId="77777777" w:rsidR="00392715" w:rsidRPr="00AA315E" w:rsidRDefault="00392715" w:rsidP="00392715">
      <w:pPr>
        <w:jc w:val="center"/>
        <w:rPr>
          <w:lang w:eastAsia="sk-SK"/>
        </w:rPr>
      </w:pPr>
    </w:p>
    <w:p w14:paraId="60C5C76B" w14:textId="77777777" w:rsidR="00392715" w:rsidRPr="00AA315E" w:rsidRDefault="00392715" w:rsidP="00392715">
      <w:pPr>
        <w:pBdr>
          <w:bottom w:val="single" w:sz="12" w:space="1" w:color="auto"/>
        </w:pBdr>
        <w:jc w:val="center"/>
        <w:rPr>
          <w:b/>
          <w:bCs/>
          <w:lang w:eastAsia="sk-SK"/>
        </w:rPr>
      </w:pPr>
      <w:r w:rsidRPr="00AA315E">
        <w:rPr>
          <w:b/>
          <w:bCs/>
          <w:lang w:eastAsia="sk-SK"/>
        </w:rPr>
        <w:t>návrhu zákona s právom Európskej únie</w:t>
      </w:r>
    </w:p>
    <w:p w14:paraId="1E804B29" w14:textId="77777777" w:rsidR="00392715" w:rsidRPr="00AA315E" w:rsidRDefault="00392715" w:rsidP="00392715">
      <w:pPr>
        <w:rPr>
          <w:lang w:eastAsia="sk-SK"/>
        </w:rPr>
      </w:pPr>
    </w:p>
    <w:p w14:paraId="3AD01DF7" w14:textId="77777777" w:rsidR="00392715" w:rsidRPr="00AA315E" w:rsidRDefault="00392715" w:rsidP="00392715">
      <w:pPr>
        <w:rPr>
          <w:lang w:eastAsia="sk-SK"/>
        </w:rPr>
      </w:pPr>
    </w:p>
    <w:p w14:paraId="5D1A5DCD" w14:textId="77777777" w:rsidR="00392715" w:rsidRPr="00575949" w:rsidRDefault="00392715" w:rsidP="00392715">
      <w:pPr>
        <w:pStyle w:val="Odsekzoznamu"/>
        <w:numPr>
          <w:ilvl w:val="0"/>
          <w:numId w:val="16"/>
        </w:numPr>
        <w:ind w:left="426" w:hanging="426"/>
        <w:rPr>
          <w:lang w:eastAsia="sk-SK"/>
        </w:rPr>
      </w:pPr>
      <w:r w:rsidRPr="00575949">
        <w:rPr>
          <w:b/>
          <w:bCs/>
          <w:lang w:eastAsia="sk-SK"/>
        </w:rPr>
        <w:t>Navrhovateľ zákona:</w:t>
      </w:r>
    </w:p>
    <w:p w14:paraId="578D6FD7" w14:textId="77777777" w:rsidR="00392715" w:rsidRPr="00575949" w:rsidRDefault="00392715" w:rsidP="00392715">
      <w:pPr>
        <w:ind w:left="426"/>
        <w:rPr>
          <w:lang w:eastAsia="sk-SK"/>
        </w:rPr>
      </w:pPr>
      <w:r w:rsidRPr="00575949">
        <w:rPr>
          <w:lang w:eastAsia="sk-SK"/>
        </w:rPr>
        <w:t>Vláda Slovenskej republiky.</w:t>
      </w:r>
    </w:p>
    <w:p w14:paraId="68087A4C" w14:textId="77777777" w:rsidR="00392715" w:rsidRPr="00575949" w:rsidRDefault="00392715" w:rsidP="00392715">
      <w:pPr>
        <w:rPr>
          <w:lang w:eastAsia="sk-SK"/>
        </w:rPr>
      </w:pPr>
    </w:p>
    <w:p w14:paraId="2848A4BB" w14:textId="77777777" w:rsidR="00392715" w:rsidRPr="00575949" w:rsidRDefault="00392715" w:rsidP="00392715">
      <w:pPr>
        <w:pStyle w:val="Odsekzoznamu"/>
        <w:numPr>
          <w:ilvl w:val="0"/>
          <w:numId w:val="16"/>
        </w:numPr>
        <w:ind w:left="426" w:hanging="426"/>
        <w:rPr>
          <w:lang w:eastAsia="sk-SK"/>
        </w:rPr>
      </w:pPr>
      <w:r w:rsidRPr="00575949">
        <w:rPr>
          <w:b/>
          <w:bCs/>
          <w:lang w:eastAsia="sk-SK"/>
        </w:rPr>
        <w:t>Názov návrhu zákona:</w:t>
      </w:r>
    </w:p>
    <w:p w14:paraId="05E45BB9" w14:textId="77777777" w:rsidR="00392715" w:rsidRPr="00575949" w:rsidRDefault="00392715" w:rsidP="00392715">
      <w:pPr>
        <w:ind w:left="426"/>
        <w:jc w:val="both"/>
        <w:rPr>
          <w:lang w:eastAsia="sk-SK"/>
        </w:rPr>
      </w:pPr>
      <w:r w:rsidRPr="00575949">
        <w:rPr>
          <w:lang w:eastAsia="sk-SK"/>
        </w:rPr>
        <w:t>Návrh</w:t>
      </w:r>
      <w:r w:rsidRPr="00575949">
        <w:rPr>
          <w:spacing w:val="51"/>
          <w:lang w:eastAsia="sk-SK"/>
        </w:rPr>
        <w:t xml:space="preserve"> </w:t>
      </w:r>
      <w:r w:rsidRPr="00575949">
        <w:rPr>
          <w:lang w:eastAsia="sk-SK"/>
        </w:rPr>
        <w:t>zákona,</w:t>
      </w:r>
      <w:r w:rsidRPr="00575949">
        <w:rPr>
          <w:spacing w:val="51"/>
          <w:lang w:eastAsia="sk-SK"/>
        </w:rPr>
        <w:t xml:space="preserve"> </w:t>
      </w:r>
      <w:r w:rsidRPr="00575949">
        <w:rPr>
          <w:lang w:eastAsia="sk-SK"/>
        </w:rPr>
        <w:t>ktorým</w:t>
      </w:r>
      <w:r w:rsidRPr="00575949">
        <w:rPr>
          <w:spacing w:val="51"/>
          <w:lang w:eastAsia="sk-SK"/>
        </w:rPr>
        <w:t xml:space="preserve"> </w:t>
      </w:r>
      <w:r w:rsidRPr="00575949">
        <w:rPr>
          <w:lang w:eastAsia="sk-SK"/>
        </w:rPr>
        <w:t>sa</w:t>
      </w:r>
      <w:r w:rsidRPr="00575949">
        <w:rPr>
          <w:spacing w:val="51"/>
          <w:lang w:eastAsia="sk-SK"/>
        </w:rPr>
        <w:t xml:space="preserve"> </w:t>
      </w:r>
      <w:r w:rsidRPr="00575949">
        <w:rPr>
          <w:lang w:eastAsia="sk-SK"/>
        </w:rPr>
        <w:t>mení</w:t>
      </w:r>
      <w:r w:rsidRPr="00575949">
        <w:rPr>
          <w:spacing w:val="51"/>
          <w:lang w:eastAsia="sk-SK"/>
        </w:rPr>
        <w:t xml:space="preserve"> </w:t>
      </w:r>
      <w:r w:rsidRPr="00575949">
        <w:rPr>
          <w:lang w:eastAsia="sk-SK"/>
        </w:rPr>
        <w:t>zákon</w:t>
      </w:r>
      <w:r w:rsidRPr="00575949">
        <w:rPr>
          <w:spacing w:val="51"/>
          <w:lang w:eastAsia="sk-SK"/>
        </w:rPr>
        <w:t xml:space="preserve"> </w:t>
      </w:r>
      <w:r w:rsidRPr="00575949">
        <w:rPr>
          <w:lang w:eastAsia="sk-SK"/>
        </w:rPr>
        <w:t>č. 394/2012 Z. z.</w:t>
      </w:r>
      <w:r w:rsidRPr="00575949">
        <w:rPr>
          <w:spacing w:val="51"/>
          <w:lang w:eastAsia="sk-SK"/>
        </w:rPr>
        <w:t xml:space="preserve"> </w:t>
      </w:r>
      <w:r w:rsidRPr="00575949">
        <w:rPr>
          <w:lang w:eastAsia="sk-SK"/>
        </w:rPr>
        <w:t>o</w:t>
      </w:r>
      <w:r w:rsidRPr="00575949">
        <w:rPr>
          <w:spacing w:val="51"/>
          <w:lang w:eastAsia="sk-SK"/>
        </w:rPr>
        <w:t> </w:t>
      </w:r>
      <w:r w:rsidRPr="00575949">
        <w:rPr>
          <w:lang w:eastAsia="sk-SK"/>
        </w:rPr>
        <w:t xml:space="preserve">obmedzení platieb v hotovosti </w:t>
      </w:r>
      <w:r w:rsidRPr="00575949">
        <w:rPr>
          <w:bCs/>
        </w:rPr>
        <w:t>a ktorým sa mení zákon č.</w:t>
      </w:r>
      <w:r w:rsidRPr="00575949">
        <w:t> </w:t>
      </w:r>
      <w:r w:rsidRPr="00575949">
        <w:rPr>
          <w:bCs/>
        </w:rPr>
        <w:t>123/2022 Z. z. o centrálnom registri účtov a o zmene a doplnení niektorých zákonov.</w:t>
      </w:r>
    </w:p>
    <w:p w14:paraId="249F8E1E" w14:textId="77777777" w:rsidR="00392715" w:rsidRPr="00575949" w:rsidRDefault="00392715" w:rsidP="00392715">
      <w:pPr>
        <w:rPr>
          <w:lang w:eastAsia="sk-SK"/>
        </w:rPr>
      </w:pPr>
    </w:p>
    <w:p w14:paraId="181BDA6F" w14:textId="77777777" w:rsidR="00392715" w:rsidRPr="00575949" w:rsidRDefault="00392715" w:rsidP="00392715">
      <w:pPr>
        <w:pStyle w:val="Odsekzoznamu"/>
        <w:numPr>
          <w:ilvl w:val="0"/>
          <w:numId w:val="16"/>
        </w:numPr>
        <w:ind w:left="426" w:hanging="426"/>
        <w:rPr>
          <w:b/>
        </w:rPr>
      </w:pPr>
      <w:r w:rsidRPr="00575949">
        <w:rPr>
          <w:b/>
        </w:rPr>
        <w:t>Predmet návrhu zákona nie je upravený v práve Európskej únie.</w:t>
      </w:r>
    </w:p>
    <w:p w14:paraId="7F979D60" w14:textId="77777777" w:rsidR="00392715" w:rsidRPr="00575949" w:rsidRDefault="00392715" w:rsidP="00392715">
      <w:pPr>
        <w:pStyle w:val="Odsekzoznamu"/>
        <w:ind w:left="426"/>
      </w:pPr>
    </w:p>
    <w:p w14:paraId="767D6FE5" w14:textId="77777777" w:rsidR="00392715" w:rsidRPr="00392715" w:rsidRDefault="00392715" w:rsidP="00392715">
      <w:pPr>
        <w:pStyle w:val="Default"/>
        <w:spacing w:after="120"/>
        <w:jc w:val="both"/>
        <w:rPr>
          <w:b/>
          <w:bCs/>
          <w:lang w:val="sk-SK"/>
        </w:rPr>
      </w:pPr>
      <w:r w:rsidRPr="00392715">
        <w:rPr>
          <w:b/>
          <w:bCs/>
          <w:lang w:val="sk-SK"/>
        </w:rPr>
        <w:t>Vzhľadom na to, že problematika návrhu zákona nie je upravená v práve Európskej únie, je bezpredmetné vyjadrovať sa k bodom 4. a 5. doložky zlučiteľnosti.</w:t>
      </w:r>
    </w:p>
    <w:p w14:paraId="453AA67E" w14:textId="77777777" w:rsidR="00392715" w:rsidRPr="00392715" w:rsidRDefault="00392715" w:rsidP="00392715">
      <w:pPr>
        <w:pStyle w:val="Odsekzoznamu"/>
        <w:ind w:left="426"/>
      </w:pPr>
    </w:p>
    <w:p w14:paraId="295E9A5C" w14:textId="761204D0" w:rsidR="00392715" w:rsidRDefault="00392715">
      <w:pPr>
        <w:spacing w:after="200" w:line="276" w:lineRule="auto"/>
      </w:pPr>
      <w:r>
        <w:br w:type="page"/>
      </w:r>
    </w:p>
    <w:p w14:paraId="5F618205" w14:textId="77777777" w:rsidR="00392715" w:rsidRPr="00224087" w:rsidRDefault="00392715" w:rsidP="00392715">
      <w:pPr>
        <w:spacing w:after="120"/>
        <w:jc w:val="center"/>
        <w:rPr>
          <w:b/>
          <w:caps/>
          <w:sz w:val="27"/>
          <w:szCs w:val="27"/>
          <w:lang w:eastAsia="sk-SK"/>
        </w:rPr>
      </w:pPr>
      <w:r w:rsidRPr="00224087">
        <w:rPr>
          <w:b/>
          <w:caps/>
        </w:rPr>
        <w:lastRenderedPageBreak/>
        <w:t>Dôvodová správa</w:t>
      </w:r>
    </w:p>
    <w:p w14:paraId="3AC5DBAC" w14:textId="77777777" w:rsidR="00392715" w:rsidRPr="00224087" w:rsidRDefault="00392715" w:rsidP="00392715">
      <w:pPr>
        <w:jc w:val="both"/>
        <w:rPr>
          <w:b/>
        </w:rPr>
      </w:pPr>
    </w:p>
    <w:p w14:paraId="538937DD" w14:textId="77777777" w:rsidR="00392715" w:rsidRPr="00224087" w:rsidRDefault="00392715" w:rsidP="00392715">
      <w:pPr>
        <w:jc w:val="both"/>
        <w:rPr>
          <w:b/>
        </w:rPr>
      </w:pPr>
      <w:r w:rsidRPr="00224087">
        <w:rPr>
          <w:b/>
        </w:rPr>
        <w:t xml:space="preserve">Osobitná časť </w:t>
      </w:r>
    </w:p>
    <w:p w14:paraId="52310615" w14:textId="77777777" w:rsidR="00392715" w:rsidRPr="00224087" w:rsidRDefault="00392715" w:rsidP="00392715">
      <w:pPr>
        <w:jc w:val="both"/>
      </w:pPr>
    </w:p>
    <w:p w14:paraId="3DC32394" w14:textId="77777777" w:rsidR="00392715" w:rsidRPr="00224087" w:rsidRDefault="00392715" w:rsidP="00392715">
      <w:pPr>
        <w:jc w:val="both"/>
        <w:rPr>
          <w:b/>
        </w:rPr>
      </w:pPr>
      <w:r w:rsidRPr="00224087">
        <w:rPr>
          <w:b/>
        </w:rPr>
        <w:t>K</w:t>
      </w:r>
      <w:r>
        <w:rPr>
          <w:b/>
        </w:rPr>
        <w:t> čl. I</w:t>
      </w:r>
      <w:r w:rsidRPr="00224087">
        <w:rPr>
          <w:b/>
        </w:rPr>
        <w:t xml:space="preserve"> [§ </w:t>
      </w:r>
      <w:r>
        <w:rPr>
          <w:b/>
        </w:rPr>
        <w:t>8</w:t>
      </w:r>
      <w:r w:rsidRPr="00224087">
        <w:rPr>
          <w:b/>
        </w:rPr>
        <w:t xml:space="preserve"> </w:t>
      </w:r>
      <w:r>
        <w:rPr>
          <w:b/>
        </w:rPr>
        <w:t>písm. h)</w:t>
      </w:r>
      <w:r w:rsidRPr="00224087">
        <w:rPr>
          <w:b/>
        </w:rPr>
        <w:t>]</w:t>
      </w:r>
    </w:p>
    <w:p w14:paraId="0238B757" w14:textId="77777777" w:rsidR="00392715" w:rsidRPr="00224087" w:rsidRDefault="00392715" w:rsidP="00392715">
      <w:pPr>
        <w:jc w:val="both"/>
      </w:pPr>
      <w:r w:rsidRPr="00180980">
        <w:rPr>
          <w:lang w:eastAsia="sk-SK"/>
        </w:rPr>
        <w:t xml:space="preserve">Na základe poznatkov z praxe sa navrhuje vypustiť výnimka súvisiaca s vyhlásením mimoriadnej situácie. Zamedzí sa tomu, aby vyhlásenie mimoriadnej situácie v krajine vylúčilo uplatňovanie zákona, a teda aj zákazu platby v hotovosti plošne. Táto výnimka v podobe, v akej je dnes, sa javí ako nadmieru benevolentná a je v rozpore s cieľom zákona o obmedzení platieb v hotovosti. Keďže vyhlásenie mimoriadnej situácie v marci 2020 </w:t>
      </w:r>
      <w:r w:rsidRPr="00180980">
        <w:rPr>
          <w:rStyle w:val="awspan"/>
          <w:color w:val="000000"/>
        </w:rPr>
        <w:t>z</w:t>
      </w:r>
      <w:r w:rsidRPr="00180980">
        <w:rPr>
          <w:rStyle w:val="awspan"/>
          <w:color w:val="000000"/>
          <w:spacing w:val="35"/>
        </w:rPr>
        <w:t> </w:t>
      </w:r>
      <w:r w:rsidRPr="00180980">
        <w:rPr>
          <w:rStyle w:val="awspan"/>
          <w:color w:val="000000"/>
        </w:rPr>
        <w:t>dôvodu ochorenia</w:t>
      </w:r>
      <w:r w:rsidRPr="00180980">
        <w:rPr>
          <w:rStyle w:val="awspan"/>
          <w:color w:val="000000"/>
          <w:spacing w:val="35"/>
        </w:rPr>
        <w:t xml:space="preserve"> </w:t>
      </w:r>
      <w:r w:rsidRPr="00180980">
        <w:rPr>
          <w:rStyle w:val="awspan"/>
          <w:color w:val="000000"/>
        </w:rPr>
        <w:t>COVID-19</w:t>
      </w:r>
      <w:r w:rsidRPr="00180980">
        <w:rPr>
          <w:rStyle w:val="awspan"/>
          <w:color w:val="000000"/>
          <w:spacing w:val="35"/>
        </w:rPr>
        <w:t xml:space="preserve"> </w:t>
      </w:r>
      <w:r w:rsidRPr="00180980">
        <w:rPr>
          <w:rStyle w:val="awspan"/>
          <w:color w:val="000000"/>
        </w:rPr>
        <w:t>na území Slovenskej republiky</w:t>
      </w:r>
      <w:r w:rsidRPr="00180980">
        <w:rPr>
          <w:lang w:eastAsia="sk-SK"/>
        </w:rPr>
        <w:t xml:space="preserve">, ktorá trvá aj naďalej, nespôsobilo a nespôsobuje obmedzenie občanov a podnikateľov v bezhotovostnom platobnom styku, je dôležité </w:t>
      </w:r>
      <w:r w:rsidRPr="00180980">
        <w:t>vypustiť uplatňovanie tejto výnimky pri mimoriadnej situácii</w:t>
      </w:r>
      <w:r w:rsidRPr="00180980">
        <w:rPr>
          <w:lang w:eastAsia="sk-SK"/>
        </w:rPr>
        <w:t>.</w:t>
      </w:r>
    </w:p>
    <w:p w14:paraId="6D11842E" w14:textId="77777777" w:rsidR="00392715" w:rsidRPr="00224087" w:rsidRDefault="00392715" w:rsidP="00392715">
      <w:pPr>
        <w:jc w:val="both"/>
      </w:pPr>
    </w:p>
    <w:p w14:paraId="5408BFF6" w14:textId="77777777" w:rsidR="00392715" w:rsidRPr="00F4332D" w:rsidRDefault="00392715" w:rsidP="00392715">
      <w:pPr>
        <w:tabs>
          <w:tab w:val="left" w:pos="0"/>
        </w:tabs>
        <w:ind w:left="425" w:hanging="425"/>
        <w:rPr>
          <w:b/>
        </w:rPr>
      </w:pPr>
      <w:r w:rsidRPr="00F4332D">
        <w:rPr>
          <w:b/>
        </w:rPr>
        <w:t xml:space="preserve">K čl. II [§ 11 </w:t>
      </w:r>
      <w:r>
        <w:rPr>
          <w:b/>
        </w:rPr>
        <w:t xml:space="preserve">ods. 1 </w:t>
      </w:r>
      <w:r w:rsidRPr="00F4332D">
        <w:rPr>
          <w:b/>
        </w:rPr>
        <w:t>a § 12]</w:t>
      </w:r>
    </w:p>
    <w:p w14:paraId="6EB925E4" w14:textId="77777777" w:rsidR="00392715" w:rsidRPr="00F4332D" w:rsidRDefault="00392715" w:rsidP="00392715">
      <w:pPr>
        <w:jc w:val="both"/>
      </w:pPr>
      <w:r w:rsidRPr="00F4332D">
        <w:t>Z dôvodu komplexnosti prípravy systému Centrálneho registra účtov s cieľom dôsledného nastavenia pripravovaného systému tak, aby na jednej strane zabezpečoval efektívny prístup k údajom o bankových, platobných a majetkových účtoch pre orgány činné v trestnom konaní a iné orgány presadzovania práva a zároveň zabezpečoval najvyššiu úroveň ochrany bankového tajomstva, sa navrhuje predĺženie lehoty na uvedenie Centrálneho registra účtov do prevádzky z 1. januára 2023 do 1. júla 2023. Uvedený posun je potrebný aj z dôvodu, že projekt je súčasťou Plánu obnovy a odolnosti a posunutie zákonnej lehoty je potrebné na predídenie možným škodám štátneho rozpočtu pri nedodržaní súčasne nastaveného termínu uvedenia Centrálneho registra účtov do prevádzky a tým vzniku formálnych prekážok pri žiadosti o</w:t>
      </w:r>
      <w:r>
        <w:t> </w:t>
      </w:r>
      <w:r w:rsidRPr="00F4332D">
        <w:t>plnenie</w:t>
      </w:r>
      <w:r>
        <w:t xml:space="preserve"> </w:t>
      </w:r>
      <w:r w:rsidRPr="00F4332D">
        <w:t>nákladov na projekt Centrálneho registra účtov z Plánu obnovy a odolnosti.</w:t>
      </w:r>
    </w:p>
    <w:p w14:paraId="36F6C895" w14:textId="77777777" w:rsidR="00392715" w:rsidRPr="00F4332D" w:rsidRDefault="00392715" w:rsidP="00392715">
      <w:pPr>
        <w:jc w:val="both"/>
      </w:pPr>
    </w:p>
    <w:p w14:paraId="3479C602" w14:textId="77777777" w:rsidR="00392715" w:rsidRPr="00F4332D" w:rsidRDefault="00392715" w:rsidP="00392715">
      <w:pPr>
        <w:jc w:val="both"/>
        <w:rPr>
          <w:b/>
        </w:rPr>
      </w:pPr>
      <w:r w:rsidRPr="00F4332D">
        <w:rPr>
          <w:b/>
        </w:rPr>
        <w:t>K čl. III</w:t>
      </w:r>
    </w:p>
    <w:p w14:paraId="3EAE1850" w14:textId="77777777" w:rsidR="00392715" w:rsidRDefault="00392715" w:rsidP="00392715">
      <w:pPr>
        <w:jc w:val="both"/>
      </w:pPr>
      <w:r w:rsidRPr="00F4332D">
        <w:t>V súlade s cieľom návrhu obmedziť zneužívanie výnimky a posunúť lehotu na spustenie Centrálneho registra účtov do prevádzky navrhuje sa účinnosť zákona dňom vyhlásenia.</w:t>
      </w:r>
    </w:p>
    <w:p w14:paraId="37E789E2" w14:textId="77777777" w:rsidR="00392715" w:rsidRDefault="00392715" w:rsidP="00392715">
      <w:pPr>
        <w:jc w:val="both"/>
      </w:pPr>
    </w:p>
    <w:p w14:paraId="77C2A9D3" w14:textId="77777777" w:rsidR="00FE38C5" w:rsidRDefault="00FE38C5" w:rsidP="00FE38C5">
      <w:pPr>
        <w:pStyle w:val="Zarkazkladnhotextu"/>
        <w:tabs>
          <w:tab w:val="left" w:pos="0"/>
        </w:tabs>
        <w:jc w:val="both"/>
        <w:rPr>
          <w:bCs/>
          <w:lang w:eastAsia="sk-SK"/>
        </w:rPr>
      </w:pPr>
      <w:r>
        <w:rPr>
          <w:bCs/>
        </w:rPr>
        <w:tab/>
        <w:t>V Bratislave dňa 7. decembra 2022.</w:t>
      </w:r>
    </w:p>
    <w:p w14:paraId="426ACE42" w14:textId="77777777" w:rsidR="00392715" w:rsidRDefault="00392715" w:rsidP="00392715">
      <w:pPr>
        <w:jc w:val="center"/>
      </w:pPr>
      <w:bookmarkStart w:id="0" w:name="_GoBack"/>
      <w:bookmarkEnd w:id="0"/>
    </w:p>
    <w:p w14:paraId="16778DAD" w14:textId="77777777" w:rsidR="00392715" w:rsidRDefault="00392715" w:rsidP="00392715">
      <w:pPr>
        <w:jc w:val="center"/>
      </w:pPr>
    </w:p>
    <w:p w14:paraId="0382E0AC" w14:textId="77777777" w:rsidR="00392715" w:rsidRDefault="00392715" w:rsidP="00392715">
      <w:pPr>
        <w:jc w:val="center"/>
      </w:pPr>
    </w:p>
    <w:p w14:paraId="4EF1CA26" w14:textId="77777777" w:rsidR="00392715" w:rsidRDefault="00392715" w:rsidP="00392715">
      <w:pPr>
        <w:jc w:val="center"/>
      </w:pPr>
    </w:p>
    <w:p w14:paraId="2CE4FF54" w14:textId="77777777" w:rsidR="00392715" w:rsidRDefault="00392715" w:rsidP="00392715">
      <w:pPr>
        <w:jc w:val="center"/>
      </w:pPr>
    </w:p>
    <w:p w14:paraId="69AC285B" w14:textId="77777777" w:rsidR="00392715" w:rsidRDefault="00392715" w:rsidP="00392715">
      <w:pPr>
        <w:jc w:val="center"/>
      </w:pPr>
    </w:p>
    <w:p w14:paraId="562AF135" w14:textId="77777777" w:rsidR="00392715" w:rsidRDefault="00392715" w:rsidP="00392715">
      <w:pPr>
        <w:jc w:val="center"/>
      </w:pPr>
    </w:p>
    <w:p w14:paraId="6CFA375E" w14:textId="0DFA1412" w:rsidR="00392715" w:rsidRPr="00AE748E" w:rsidRDefault="00392715" w:rsidP="00392715">
      <w:pPr>
        <w:jc w:val="center"/>
        <w:rPr>
          <w:b/>
        </w:rPr>
      </w:pPr>
      <w:r w:rsidRPr="00AE748E">
        <w:rPr>
          <w:b/>
        </w:rPr>
        <w:t>Eduard  Heger</w:t>
      </w:r>
      <w:r w:rsidR="00DB4140">
        <w:rPr>
          <w:b/>
        </w:rPr>
        <w:t xml:space="preserve"> </w:t>
      </w:r>
      <w:r>
        <w:rPr>
          <w:b/>
        </w:rPr>
        <w:t xml:space="preserve"> </w:t>
      </w:r>
      <w:r w:rsidRPr="00AE748E">
        <w:rPr>
          <w:b/>
        </w:rPr>
        <w:t>v. r.</w:t>
      </w:r>
    </w:p>
    <w:p w14:paraId="35A7B7AD" w14:textId="77777777" w:rsidR="00392715" w:rsidRDefault="00392715" w:rsidP="00392715">
      <w:pPr>
        <w:jc w:val="center"/>
      </w:pPr>
      <w:r>
        <w:t>predseda vlády Slovenskej republiky</w:t>
      </w:r>
    </w:p>
    <w:p w14:paraId="7E3E407C" w14:textId="77777777" w:rsidR="00392715" w:rsidRDefault="00392715" w:rsidP="00392715">
      <w:pPr>
        <w:jc w:val="center"/>
      </w:pPr>
    </w:p>
    <w:p w14:paraId="353CD0AE" w14:textId="77777777" w:rsidR="00392715" w:rsidRDefault="00392715" w:rsidP="00392715">
      <w:pPr>
        <w:jc w:val="center"/>
      </w:pPr>
    </w:p>
    <w:p w14:paraId="791E71F5" w14:textId="77777777" w:rsidR="00392715" w:rsidRDefault="00392715" w:rsidP="00392715">
      <w:pPr>
        <w:jc w:val="center"/>
      </w:pPr>
    </w:p>
    <w:p w14:paraId="2006C089" w14:textId="77777777" w:rsidR="00392715" w:rsidRDefault="00392715" w:rsidP="00392715">
      <w:pPr>
        <w:jc w:val="center"/>
      </w:pPr>
    </w:p>
    <w:p w14:paraId="3E151D6A" w14:textId="77777777" w:rsidR="00392715" w:rsidRDefault="00392715" w:rsidP="00392715">
      <w:pPr>
        <w:jc w:val="center"/>
      </w:pPr>
    </w:p>
    <w:p w14:paraId="4B163696" w14:textId="77777777" w:rsidR="00392715" w:rsidRDefault="00392715" w:rsidP="00392715">
      <w:pPr>
        <w:jc w:val="center"/>
      </w:pPr>
    </w:p>
    <w:p w14:paraId="2E38F27C" w14:textId="77777777" w:rsidR="00392715" w:rsidRDefault="00392715" w:rsidP="00392715">
      <w:pPr>
        <w:jc w:val="center"/>
      </w:pPr>
    </w:p>
    <w:p w14:paraId="11466D48" w14:textId="3E4074A0" w:rsidR="00392715" w:rsidRDefault="00392715" w:rsidP="00392715">
      <w:pPr>
        <w:jc w:val="center"/>
        <w:rPr>
          <w:b/>
        </w:rPr>
      </w:pPr>
      <w:r>
        <w:rPr>
          <w:b/>
        </w:rPr>
        <w:t>Igor  Matovič</w:t>
      </w:r>
      <w:r w:rsidR="00DB4140">
        <w:rPr>
          <w:b/>
        </w:rPr>
        <w:t xml:space="preserve"> </w:t>
      </w:r>
      <w:r>
        <w:rPr>
          <w:b/>
        </w:rPr>
        <w:t xml:space="preserve"> v. r.</w:t>
      </w:r>
    </w:p>
    <w:p w14:paraId="7E6B6664" w14:textId="77777777" w:rsidR="00392715" w:rsidRDefault="00392715" w:rsidP="00392715">
      <w:pPr>
        <w:jc w:val="center"/>
      </w:pPr>
      <w:r>
        <w:t>podpredseda vlády a minister financií Slovenskej republiky</w:t>
      </w:r>
    </w:p>
    <w:sectPr w:rsidR="003927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DC456" w14:textId="77777777" w:rsidR="00884B60" w:rsidRDefault="00884B60" w:rsidP="00B81523">
      <w:r>
        <w:separator/>
      </w:r>
    </w:p>
  </w:endnote>
  <w:endnote w:type="continuationSeparator" w:id="0">
    <w:p w14:paraId="16D86D6E" w14:textId="77777777" w:rsidR="00884B60" w:rsidRDefault="00884B60" w:rsidP="00B8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889648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8ACFCC2" w14:textId="67339DEB" w:rsidR="00B81523" w:rsidRPr="00B81523" w:rsidRDefault="00B81523">
        <w:pPr>
          <w:pStyle w:val="Pta"/>
          <w:jc w:val="right"/>
          <w:rPr>
            <w:sz w:val="22"/>
            <w:szCs w:val="22"/>
          </w:rPr>
        </w:pPr>
        <w:r w:rsidRPr="00B81523">
          <w:rPr>
            <w:sz w:val="22"/>
            <w:szCs w:val="22"/>
          </w:rPr>
          <w:fldChar w:fldCharType="begin"/>
        </w:r>
        <w:r w:rsidRPr="00B81523">
          <w:rPr>
            <w:sz w:val="22"/>
            <w:szCs w:val="22"/>
          </w:rPr>
          <w:instrText>PAGE   \* MERGEFORMAT</w:instrText>
        </w:r>
        <w:r w:rsidRPr="00B81523">
          <w:rPr>
            <w:sz w:val="22"/>
            <w:szCs w:val="22"/>
          </w:rPr>
          <w:fldChar w:fldCharType="separate"/>
        </w:r>
        <w:r w:rsidR="00FE38C5">
          <w:rPr>
            <w:noProof/>
            <w:sz w:val="22"/>
            <w:szCs w:val="22"/>
          </w:rPr>
          <w:t>9</w:t>
        </w:r>
        <w:r w:rsidRPr="00B81523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A2D25" w14:textId="77777777" w:rsidR="00884B60" w:rsidRDefault="00884B60" w:rsidP="00B81523">
      <w:r>
        <w:separator/>
      </w:r>
    </w:p>
  </w:footnote>
  <w:footnote w:type="continuationSeparator" w:id="0">
    <w:p w14:paraId="3234EC7E" w14:textId="77777777" w:rsidR="00884B60" w:rsidRDefault="00884B60" w:rsidP="00B8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F86"/>
    <w:multiLevelType w:val="hybridMultilevel"/>
    <w:tmpl w:val="1B04D780"/>
    <w:lvl w:ilvl="0" w:tplc="C1FEB8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48F"/>
    <w:multiLevelType w:val="hybridMultilevel"/>
    <w:tmpl w:val="94FC16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6FD7"/>
    <w:multiLevelType w:val="hybridMultilevel"/>
    <w:tmpl w:val="80DC1CC4"/>
    <w:lvl w:ilvl="0" w:tplc="A5D0B1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FEB8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51C2E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031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ACBE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3A8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A226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00FE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8238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47640"/>
    <w:multiLevelType w:val="hybridMultilevel"/>
    <w:tmpl w:val="84BA5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71119"/>
    <w:multiLevelType w:val="hybridMultilevel"/>
    <w:tmpl w:val="4202A200"/>
    <w:lvl w:ilvl="0" w:tplc="C1FEB8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05394"/>
    <w:multiLevelType w:val="hybridMultilevel"/>
    <w:tmpl w:val="14B82492"/>
    <w:lvl w:ilvl="0" w:tplc="A5D0B1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1C2E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031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ACBE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3A8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A226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00FE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8238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90A8C"/>
    <w:multiLevelType w:val="hybridMultilevel"/>
    <w:tmpl w:val="B74A23C2"/>
    <w:lvl w:ilvl="0" w:tplc="C1FEB8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7047495"/>
    <w:multiLevelType w:val="hybridMultilevel"/>
    <w:tmpl w:val="27C049AA"/>
    <w:lvl w:ilvl="0" w:tplc="90B04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443BA"/>
    <w:multiLevelType w:val="hybridMultilevel"/>
    <w:tmpl w:val="052A6E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92AC8"/>
    <w:multiLevelType w:val="hybridMultilevel"/>
    <w:tmpl w:val="0944B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B65D0"/>
    <w:multiLevelType w:val="hybridMultilevel"/>
    <w:tmpl w:val="3FB692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31783"/>
    <w:multiLevelType w:val="hybridMultilevel"/>
    <w:tmpl w:val="5E58EAF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59932EC"/>
    <w:multiLevelType w:val="hybridMultilevel"/>
    <w:tmpl w:val="81B452CC"/>
    <w:lvl w:ilvl="0" w:tplc="DBE8CE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A7D40"/>
    <w:multiLevelType w:val="hybridMultilevel"/>
    <w:tmpl w:val="A808CD78"/>
    <w:lvl w:ilvl="0" w:tplc="C0DC552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66608"/>
    <w:multiLevelType w:val="hybridMultilevel"/>
    <w:tmpl w:val="2A58C7CC"/>
    <w:lvl w:ilvl="0" w:tplc="C1FEB84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8"/>
  </w:num>
  <w:num w:numId="5">
    <w:abstractNumId w:val="12"/>
  </w:num>
  <w:num w:numId="6">
    <w:abstractNumId w:val="1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  <w:num w:numId="12">
    <w:abstractNumId w:val="5"/>
  </w:num>
  <w:num w:numId="13">
    <w:abstractNumId w:val="11"/>
  </w:num>
  <w:num w:numId="14">
    <w:abstractNumId w:val="10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E4"/>
    <w:rsid w:val="00017160"/>
    <w:rsid w:val="00032A1A"/>
    <w:rsid w:val="00045F6F"/>
    <w:rsid w:val="000520C1"/>
    <w:rsid w:val="00067F37"/>
    <w:rsid w:val="00086953"/>
    <w:rsid w:val="000A31D6"/>
    <w:rsid w:val="000B3FB0"/>
    <w:rsid w:val="000E0847"/>
    <w:rsid w:val="000E57D7"/>
    <w:rsid w:val="00116D11"/>
    <w:rsid w:val="00123881"/>
    <w:rsid w:val="00130B7D"/>
    <w:rsid w:val="00135F6F"/>
    <w:rsid w:val="00167C5F"/>
    <w:rsid w:val="00175C32"/>
    <w:rsid w:val="001902C9"/>
    <w:rsid w:val="00195C88"/>
    <w:rsid w:val="001D7558"/>
    <w:rsid w:val="001E39B8"/>
    <w:rsid w:val="001E6216"/>
    <w:rsid w:val="001E7798"/>
    <w:rsid w:val="001F6841"/>
    <w:rsid w:val="00206816"/>
    <w:rsid w:val="002175A5"/>
    <w:rsid w:val="00231B51"/>
    <w:rsid w:val="00244C96"/>
    <w:rsid w:val="0024530B"/>
    <w:rsid w:val="00245859"/>
    <w:rsid w:val="00263EDE"/>
    <w:rsid w:val="00275D8A"/>
    <w:rsid w:val="00277D0D"/>
    <w:rsid w:val="0029386A"/>
    <w:rsid w:val="0029796D"/>
    <w:rsid w:val="002A2019"/>
    <w:rsid w:val="002B1FD0"/>
    <w:rsid w:val="002D66B9"/>
    <w:rsid w:val="002D671D"/>
    <w:rsid w:val="002E59A1"/>
    <w:rsid w:val="002F5D28"/>
    <w:rsid w:val="00301C4F"/>
    <w:rsid w:val="003558AF"/>
    <w:rsid w:val="00372B72"/>
    <w:rsid w:val="00375E34"/>
    <w:rsid w:val="00391527"/>
    <w:rsid w:val="00392715"/>
    <w:rsid w:val="00394D27"/>
    <w:rsid w:val="003B181D"/>
    <w:rsid w:val="003D430A"/>
    <w:rsid w:val="003E36E0"/>
    <w:rsid w:val="004002D9"/>
    <w:rsid w:val="00436271"/>
    <w:rsid w:val="00451778"/>
    <w:rsid w:val="00460D0D"/>
    <w:rsid w:val="00494441"/>
    <w:rsid w:val="00495D13"/>
    <w:rsid w:val="004D35B9"/>
    <w:rsid w:val="004E2C45"/>
    <w:rsid w:val="004F3E68"/>
    <w:rsid w:val="004F5C8A"/>
    <w:rsid w:val="00511E4D"/>
    <w:rsid w:val="00513D53"/>
    <w:rsid w:val="00531A3A"/>
    <w:rsid w:val="005353AA"/>
    <w:rsid w:val="00571BC4"/>
    <w:rsid w:val="00574912"/>
    <w:rsid w:val="00575EE4"/>
    <w:rsid w:val="00585933"/>
    <w:rsid w:val="005A4D3F"/>
    <w:rsid w:val="005D1D48"/>
    <w:rsid w:val="005E09BD"/>
    <w:rsid w:val="006263F9"/>
    <w:rsid w:val="006422D7"/>
    <w:rsid w:val="0064248E"/>
    <w:rsid w:val="006540DC"/>
    <w:rsid w:val="006670D3"/>
    <w:rsid w:val="006F3606"/>
    <w:rsid w:val="007172D6"/>
    <w:rsid w:val="0079175F"/>
    <w:rsid w:val="007A3AC1"/>
    <w:rsid w:val="007C76D6"/>
    <w:rsid w:val="007D2F05"/>
    <w:rsid w:val="007D4A94"/>
    <w:rsid w:val="0081385A"/>
    <w:rsid w:val="00836364"/>
    <w:rsid w:val="0084598D"/>
    <w:rsid w:val="008506D0"/>
    <w:rsid w:val="008516AF"/>
    <w:rsid w:val="008524F4"/>
    <w:rsid w:val="008636A2"/>
    <w:rsid w:val="008666E0"/>
    <w:rsid w:val="00873BDC"/>
    <w:rsid w:val="0088343C"/>
    <w:rsid w:val="00884B60"/>
    <w:rsid w:val="0088709E"/>
    <w:rsid w:val="0089340F"/>
    <w:rsid w:val="008C3F2B"/>
    <w:rsid w:val="00900D6E"/>
    <w:rsid w:val="0093576A"/>
    <w:rsid w:val="009425F7"/>
    <w:rsid w:val="009460F2"/>
    <w:rsid w:val="00956AEA"/>
    <w:rsid w:val="009A08C0"/>
    <w:rsid w:val="009C6E43"/>
    <w:rsid w:val="009D00E0"/>
    <w:rsid w:val="00A0202D"/>
    <w:rsid w:val="00A154E7"/>
    <w:rsid w:val="00A32F4F"/>
    <w:rsid w:val="00A57F97"/>
    <w:rsid w:val="00A73789"/>
    <w:rsid w:val="00A96909"/>
    <w:rsid w:val="00A97F93"/>
    <w:rsid w:val="00AA0945"/>
    <w:rsid w:val="00AB7EA8"/>
    <w:rsid w:val="00AD0161"/>
    <w:rsid w:val="00AE3E0B"/>
    <w:rsid w:val="00AE45EE"/>
    <w:rsid w:val="00AF742F"/>
    <w:rsid w:val="00B0575E"/>
    <w:rsid w:val="00B22884"/>
    <w:rsid w:val="00B347C8"/>
    <w:rsid w:val="00B3646B"/>
    <w:rsid w:val="00B53DDF"/>
    <w:rsid w:val="00B652C6"/>
    <w:rsid w:val="00B665CF"/>
    <w:rsid w:val="00B75BA4"/>
    <w:rsid w:val="00B81523"/>
    <w:rsid w:val="00BB5B70"/>
    <w:rsid w:val="00BC7035"/>
    <w:rsid w:val="00BD1991"/>
    <w:rsid w:val="00BF7697"/>
    <w:rsid w:val="00C06DD8"/>
    <w:rsid w:val="00C5378B"/>
    <w:rsid w:val="00CE2017"/>
    <w:rsid w:val="00CF72B7"/>
    <w:rsid w:val="00D038D5"/>
    <w:rsid w:val="00D432A0"/>
    <w:rsid w:val="00D50874"/>
    <w:rsid w:val="00D53086"/>
    <w:rsid w:val="00D60CAF"/>
    <w:rsid w:val="00D63BB6"/>
    <w:rsid w:val="00D6441F"/>
    <w:rsid w:val="00D713C1"/>
    <w:rsid w:val="00D73CE6"/>
    <w:rsid w:val="00D805AE"/>
    <w:rsid w:val="00D95398"/>
    <w:rsid w:val="00DA1C61"/>
    <w:rsid w:val="00DB4140"/>
    <w:rsid w:val="00DC0C7C"/>
    <w:rsid w:val="00DF460C"/>
    <w:rsid w:val="00DF5004"/>
    <w:rsid w:val="00E071E3"/>
    <w:rsid w:val="00E51502"/>
    <w:rsid w:val="00E63A76"/>
    <w:rsid w:val="00E72823"/>
    <w:rsid w:val="00E72B7D"/>
    <w:rsid w:val="00E85D53"/>
    <w:rsid w:val="00E95E5A"/>
    <w:rsid w:val="00EB65FC"/>
    <w:rsid w:val="00EC04D3"/>
    <w:rsid w:val="00ED5A22"/>
    <w:rsid w:val="00EF2960"/>
    <w:rsid w:val="00F01722"/>
    <w:rsid w:val="00F0411A"/>
    <w:rsid w:val="00F12203"/>
    <w:rsid w:val="00F221D6"/>
    <w:rsid w:val="00F274CD"/>
    <w:rsid w:val="00F37192"/>
    <w:rsid w:val="00F81386"/>
    <w:rsid w:val="00FB7CCE"/>
    <w:rsid w:val="00FC7053"/>
    <w:rsid w:val="00FD3080"/>
    <w:rsid w:val="00FD51CD"/>
    <w:rsid w:val="00FE38C5"/>
    <w:rsid w:val="00FF2D3C"/>
    <w:rsid w:val="00FF5A58"/>
    <w:rsid w:val="649BB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D69E"/>
  <w15:docId w15:val="{122CDE9A-7E20-4C1B-AEFE-7FFCD4EC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5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75E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5EE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aliases w:val="Odstavec cíl se seznamem,Odstavec se seznamem1,body,Odsek zoznamu2,Odsek"/>
    <w:basedOn w:val="Normlny"/>
    <w:link w:val="OdsekzoznamuChar"/>
    <w:uiPriority w:val="34"/>
    <w:qFormat/>
    <w:rsid w:val="00575EE4"/>
    <w:pPr>
      <w:ind w:left="720"/>
      <w:contextualSpacing/>
    </w:pPr>
  </w:style>
  <w:style w:type="character" w:customStyle="1" w:styleId="OdsekzoznamuChar">
    <w:name w:val="Odsek zoznamu Char"/>
    <w:aliases w:val="Odstavec cíl se seznamem Char,Odstavec se seznamem1 Char,body Char,Odsek zoznamu2 Char,Odsek Char"/>
    <w:basedOn w:val="Predvolenpsmoodseku"/>
    <w:link w:val="Odsekzoznamu"/>
    <w:uiPriority w:val="34"/>
    <w:qFormat/>
    <w:locked/>
    <w:rsid w:val="00575EE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B8152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15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Hlavní písmo"/>
    <w:basedOn w:val="Normlny"/>
    <w:link w:val="BezriadkovaniaChar"/>
    <w:uiPriority w:val="1"/>
    <w:qFormat/>
    <w:rsid w:val="00D805AE"/>
    <w:pPr>
      <w:suppressAutoHyphens/>
      <w:spacing w:before="80" w:after="200" w:line="276" w:lineRule="auto"/>
      <w:jc w:val="both"/>
    </w:pPr>
    <w:rPr>
      <w:rFonts w:ascii="Calibri" w:eastAsia="Droid Sans Fallback" w:hAnsi="Calibri"/>
      <w:sz w:val="22"/>
      <w:szCs w:val="22"/>
      <w:lang w:val="cs-CZ" w:eastAsia="en-US"/>
    </w:rPr>
  </w:style>
  <w:style w:type="character" w:customStyle="1" w:styleId="BezriadkovaniaChar">
    <w:name w:val="Bez riadkovania Char"/>
    <w:aliases w:val="Hlavní písmo Char"/>
    <w:link w:val="Bezriadkovania"/>
    <w:uiPriority w:val="1"/>
    <w:rsid w:val="00D805AE"/>
    <w:rPr>
      <w:rFonts w:ascii="Calibri" w:eastAsia="Droid Sans Fallback" w:hAnsi="Calibri" w:cs="Times New Roman"/>
      <w:lang w:val="cs-CZ"/>
    </w:rPr>
  </w:style>
  <w:style w:type="paragraph" w:customStyle="1" w:styleId="Default">
    <w:name w:val="Default"/>
    <w:rsid w:val="00F122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B665CF"/>
    <w:pPr>
      <w:widowControl w:val="0"/>
      <w:adjustRightInd w:val="0"/>
      <w:spacing w:after="120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665C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0E57D7"/>
  </w:style>
  <w:style w:type="paragraph" w:customStyle="1" w:styleId="Odsekzoznamu1">
    <w:name w:val="Odsek zoznamu1"/>
    <w:basedOn w:val="Normlny"/>
    <w:uiPriority w:val="99"/>
    <w:rsid w:val="005353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F0411A"/>
    <w:pPr>
      <w:spacing w:before="100" w:beforeAutospacing="1" w:after="100" w:afterAutospacing="1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79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96D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9271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9271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riekatabuky1">
    <w:name w:val="Mriežka tabuľky1"/>
    <w:basedOn w:val="Normlnatabuka"/>
    <w:next w:val="Mriekatabuky"/>
    <w:uiPriority w:val="59"/>
    <w:rsid w:val="0039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39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4_dovodova_vseobecna_CBD"/>
    <f:field ref="objsubject" par="" edit="true" text=""/>
    <f:field ref="objcreatedby" par="" text="Poloma, Tomáš, Ing."/>
    <f:field ref="objcreatedat" par="" text="20.4.2021 15:26:38"/>
    <f:field ref="objchangedby" par="" text="Administrator, System"/>
    <f:field ref="objmodifiedat" par="" text="20.4.2021 15:26:3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3761</Words>
  <Characters>21441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Bartikova Anna</dc:creator>
  <cp:lastModifiedBy>Bartikova Anna</cp:lastModifiedBy>
  <cp:revision>2</cp:revision>
  <cp:lastPrinted>2022-12-05T09:55:00Z</cp:lastPrinted>
  <dcterms:created xsi:type="dcterms:W3CDTF">2022-12-07T10:17:00Z</dcterms:created>
  <dcterms:modified xsi:type="dcterms:W3CDTF">2022-12-07T10:17:00Z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style="width:100.16%;" width="100%"&gt;	&lt;tbody&gt;		&lt;tr&gt;			&lt;td colspan="5" style="width:100.0%;height:36px;"&gt;			&lt;h2 align="center"&gt;&lt;strong&gt;Scenár 2: Verejnosť sa zúčastňuje na diskusii o tvorbe práv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Bankové a finančné inštitúcie_x000d_
Cenné papiere_x000d_
Poistenie a ochrana vkladov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Tomáš Poloma</vt:lpwstr>
  </property>
  <property fmtid="{D5CDD505-2E9C-101B-9397-08002B2CF9AE}" pid="12" name="FSC#SKEDITIONSLOVLEX@103.510:zodppredkladatel">
    <vt:lpwstr>Igor Matovič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Materiál sa predkladá na základe Plánu legislatívnych úloh vlády Slovenskej republiky na rok 2021_x000d_
</vt:lpwstr>
  </property>
  <property fmtid="{D5CDD505-2E9C-101B-9397-08002B2CF9AE}" pid="23" name="FSC#SKEDITIONSLOVLEX@103.510:plnynazovpredpis">
    <vt:lpwstr> Zákon,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MF/003875/2021-632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LP/2021/178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3 ods. 1 písm. b), čl. 4, čl. 26 ods. 2, čl. 49 až 66 Zmluvy o fungovaní Európskej únie (Ú. v. EÚ C 202, 7.6.2016) v platnom znení,_x000d_
protokol č. 4 o Štatúte Európskeho systému centrálnych bánk a Európskej centrálnej banky pripojený k Zmluve o fungovan</vt:lpwstr>
  </property>
  <property fmtid="{D5CDD505-2E9C-101B-9397-08002B2CF9AE}" pid="47" name="FSC#SKEDITIONSLOVLEX@103.510:AttrStrListDocPropSekundarneLegPravoPO">
    <vt:lpwstr>smernica Európskeho parlamentu a Rady (EÚ) 2019/2162 z 27. novembra 2019 o emisii krytých dlhopisov a verejnom dohľade nad krytými dlhopismi a ktorou sa menia smernice 2009/65/ES a 2014/59/EÚ (Ú. v. EÚ L 328, 18.12.2019), gestor: MF SR, spolugestor: NBS,_x000d_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rozsudok Súdneho dvora vo veci C-452/04, Fidium Finanz AG proti Bundesanstalt für Finanzdienstleistungsaufsicht, [2006],_x000d_
Výrok rozhodnutia:  Vnútroštátna právna úprava, podľa ktorej členský štát na výkon činnosti poskytovania úverov v rámci podnikateľske</vt:lpwstr>
  </property>
  <property fmtid="{D5CDD505-2E9C-101B-9397-08002B2CF9AE}" pid="52" name="FSC#SKEDITIONSLOVLEX@103.510:AttrStrListDocPropLehotaPrebratieSmernice">
    <vt:lpwstr>Lehota na prebratie smernice (EÚ) 2019/2162 je stanovená do 8. júla 2021._x000d_
Lehota na prebratie smernice 2014/49/EÚ bola stanovená do 3. júla 2015 s výnimkou  článku 8 ods. 4 kde bola stanovená lehota do 31. mája 2016._x000d_
Lehota na prebranie smernice 2014/59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</vt:lpwstr>
  </property>
  <property fmtid="{D5CDD505-2E9C-101B-9397-08002B2CF9AE}" pid="55" name="FSC#SKEDITIONSLOVLEX@103.510:AttrStrListDocPropInfoUzPreberanePP">
    <vt:lpwstr>Smernica 2013/36/EÚ v platnom znení bola prebratá do zákona č. 483/2001 Z. z. o bankách a o zmene a doplnení niektorých zákonov v znení neskorších predpisov, do zákona č. 566/2001 Z. z. o cenných papieroch a investičných službách a o zmene a doplnení niek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19. 3. 2021</vt:lpwstr>
  </property>
  <property fmtid="{D5CDD505-2E9C-101B-9397-08002B2CF9AE}" pid="59" name="FSC#SKEDITIONSLOVLEX@103.510:AttrDateDocPropUkonceniePKK">
    <vt:lpwstr>1. 4. 2021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&lt;p&gt;Navrhovaná právna úprava by mala mať prevažne pozitívny dopad na podnikateľské prostredie, najmä vďaka zvýšeniu dôvery investorov, čím sa zlepší prístupu k&amp;nbsp;financovaniu úverov zabezpečených nehnuteľnosťami prostredníctvom vydávania krytých dlhopis</vt:lpwstr>
  </property>
  <property fmtid="{D5CDD505-2E9C-101B-9397-08002B2CF9AE}" pid="66" name="FSC#SKEDITIONSLOVLEX@103.510:AttrStrListDocPropAltRiesenia">
    <vt:lpwstr>Alternatívne riešenia neboli zvažované. Nulový variant nie je možné realizovať, keďže ide o transpozíciu smernice v nutnom rozsahu a v prípade nesplnenia povinnosti transpozície Európska komisia začne voči Slovenskej republike konanie o porušení podľa Zml</vt:lpwstr>
  </property>
  <property fmtid="{D5CDD505-2E9C-101B-9397-08002B2CF9AE}" pid="67" name="FSC#SKEDITIONSLOVLEX@103.510:AttrStrListDocPropStanoviskoGest">
    <vt:lpwstr>&lt;p&gt;Stála pracovná komisia na posudzovanie vybraných vplyvov neuplatňuje k materiálu žiadne pripomienky ani odporúčania.&lt;/p&gt;&lt;p&gt;Stála pracovná komisia na posudzovanie vybraných vplyvov vyjadruje súhlasné stanovisko s&amp;nbsp;materiálom predloženým na predbežné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financií Slovenskej republiky</vt:lpwstr>
  </property>
  <property fmtid="{D5CDD505-2E9C-101B-9397-08002B2CF9AE}" pid="137" name="FSC#SKEDITIONSLOVLEX@103.510:AttrStrListDocPropUznesenieNaVedomie">
    <vt:lpwstr>predseda Národnej rady Slovenskej republiky_x000d_
guvernér Národnej banky Slovenska</vt:lpwstr>
  </property>
  <property fmtid="{D5CDD505-2E9C-101B-9397-08002B2CF9AE}" pid="138" name="FSC#SKEDITIONSLOVLEX@103.510:funkciaPred">
    <vt:lpwstr>referent</vt:lpwstr>
  </property>
  <property fmtid="{D5CDD505-2E9C-101B-9397-08002B2CF9AE}" pid="139" name="FSC#SKEDITIONSLOVLEX@103.510:funkciaPredAkuzativ">
    <vt:lpwstr>referentovi</vt:lpwstr>
  </property>
  <property fmtid="{D5CDD505-2E9C-101B-9397-08002B2CF9AE}" pid="140" name="FSC#SKEDITIONSLOVLEX@103.510:funkciaPredDativ">
    <vt:lpwstr>referenta</vt:lpwstr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Igor Matovič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20. 4. 2021</vt:lpwstr>
  </property>
  <property fmtid="{D5CDD505-2E9C-101B-9397-08002B2CF9AE}" pid="151" name="FSC#COOSYSTEM@1.1:Container">
    <vt:lpwstr>COO.2145.1000.3.4330778</vt:lpwstr>
  </property>
  <property fmtid="{D5CDD505-2E9C-101B-9397-08002B2CF9AE}" pid="152" name="FSC#FSCFOLIO@1.1001:docpropproject">
    <vt:lpwstr/>
  </property>
</Properties>
</file>