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60A89" w14:textId="5EBEE36A" w:rsidR="008B2945" w:rsidRDefault="001A1F62" w:rsidP="00114B50">
      <w:pPr>
        <w:spacing w:before="240" w:after="240" w:line="360" w:lineRule="auto"/>
        <w:jc w:val="center"/>
        <w:rPr>
          <w:rFonts w:ascii="Times New Roman" w:eastAsia="Times New Roman" w:hAnsi="Times New Roman" w:cs="Times New Roman"/>
          <w:b/>
          <w:sz w:val="32"/>
          <w:szCs w:val="32"/>
        </w:rPr>
      </w:pPr>
      <w:r w:rsidRPr="009B0095">
        <w:rPr>
          <w:rFonts w:ascii="Times New Roman" w:eastAsia="Times New Roman" w:hAnsi="Times New Roman" w:cs="Times New Roman"/>
          <w:b/>
          <w:sz w:val="32"/>
          <w:szCs w:val="32"/>
        </w:rPr>
        <w:t xml:space="preserve">Návrh </w:t>
      </w:r>
      <w:r w:rsidR="00114B50" w:rsidRPr="009B0095">
        <w:rPr>
          <w:rFonts w:ascii="Times New Roman" w:eastAsia="Times New Roman" w:hAnsi="Times New Roman" w:cs="Times New Roman"/>
          <w:b/>
          <w:sz w:val="32"/>
          <w:szCs w:val="32"/>
        </w:rPr>
        <w:t xml:space="preserve"> následnej finančnej stabilizácie</w:t>
      </w:r>
      <w:r w:rsidRPr="009B0095">
        <w:rPr>
          <w:rFonts w:ascii="Times New Roman" w:eastAsia="Times New Roman" w:hAnsi="Times New Roman" w:cs="Times New Roman"/>
          <w:b/>
          <w:sz w:val="32"/>
          <w:szCs w:val="32"/>
        </w:rPr>
        <w:t xml:space="preserve"> zdravotníckych zariadení</w:t>
      </w:r>
      <w:r w:rsidR="00B909AC" w:rsidRPr="009B0095">
        <w:rPr>
          <w:rFonts w:ascii="Times New Roman" w:eastAsia="Times New Roman" w:hAnsi="Times New Roman" w:cs="Times New Roman"/>
          <w:b/>
          <w:sz w:val="32"/>
          <w:szCs w:val="32"/>
        </w:rPr>
        <w:t xml:space="preserve"> </w:t>
      </w:r>
    </w:p>
    <w:p w14:paraId="3C9F1791" w14:textId="773018D8" w:rsidR="00114B50" w:rsidRPr="009B0095" w:rsidRDefault="001A1F62" w:rsidP="00114B50">
      <w:pPr>
        <w:spacing w:before="240" w:after="240" w:line="360" w:lineRule="auto"/>
        <w:jc w:val="center"/>
        <w:rPr>
          <w:rFonts w:ascii="Times New Roman" w:eastAsia="Times New Roman" w:hAnsi="Times New Roman" w:cs="Times New Roman"/>
          <w:b/>
          <w:sz w:val="32"/>
          <w:szCs w:val="32"/>
        </w:rPr>
      </w:pPr>
      <w:r w:rsidRPr="009B0095">
        <w:rPr>
          <w:rFonts w:ascii="Times New Roman" w:eastAsia="Times New Roman" w:hAnsi="Times New Roman" w:cs="Times New Roman"/>
          <w:b/>
          <w:sz w:val="32"/>
          <w:szCs w:val="32"/>
        </w:rPr>
        <w:t xml:space="preserve"> </w:t>
      </w:r>
    </w:p>
    <w:p w14:paraId="3414BA01" w14:textId="31DD3F47" w:rsidR="00F17F93" w:rsidRPr="006F2C36" w:rsidRDefault="00F17F93" w:rsidP="004F30DD">
      <w:pPr>
        <w:pStyle w:val="Odsekzoznamu"/>
        <w:numPr>
          <w:ilvl w:val="0"/>
          <w:numId w:val="25"/>
        </w:numPr>
        <w:spacing w:line="360" w:lineRule="auto"/>
        <w:ind w:left="426" w:hanging="284"/>
        <w:jc w:val="both"/>
        <w:rPr>
          <w:sz w:val="28"/>
          <w:szCs w:val="28"/>
        </w:rPr>
      </w:pPr>
      <w:r w:rsidRPr="009B0095">
        <w:rPr>
          <w:b/>
          <w:bCs/>
          <w:sz w:val="28"/>
          <w:szCs w:val="28"/>
        </w:rPr>
        <w:t>Vyhodnotenie realizácie Koncepcie oddlženia zdravotníckych zariadení prijatej v r</w:t>
      </w:r>
      <w:r w:rsidR="00DA1A9B" w:rsidRPr="009B0095">
        <w:rPr>
          <w:b/>
          <w:bCs/>
          <w:sz w:val="28"/>
          <w:szCs w:val="28"/>
        </w:rPr>
        <w:t>oku</w:t>
      </w:r>
      <w:r w:rsidRPr="009B0095">
        <w:rPr>
          <w:b/>
          <w:bCs/>
          <w:sz w:val="28"/>
          <w:szCs w:val="28"/>
        </w:rPr>
        <w:t xml:space="preserve"> 2017</w:t>
      </w:r>
      <w:r w:rsidR="00AA3FF6" w:rsidRPr="009B0095">
        <w:rPr>
          <w:b/>
          <w:bCs/>
          <w:sz w:val="28"/>
          <w:szCs w:val="28"/>
        </w:rPr>
        <w:t xml:space="preserve"> až 2019</w:t>
      </w:r>
      <w:r w:rsidRPr="009B0095">
        <w:rPr>
          <w:b/>
          <w:bCs/>
          <w:sz w:val="28"/>
          <w:szCs w:val="28"/>
        </w:rPr>
        <w:t xml:space="preserve"> </w:t>
      </w:r>
    </w:p>
    <w:p w14:paraId="5B6DA2FD" w14:textId="77777777" w:rsidR="008B2945" w:rsidRPr="009B0095" w:rsidRDefault="008B2945" w:rsidP="006F2C36">
      <w:pPr>
        <w:pStyle w:val="Odsekzoznamu"/>
        <w:spacing w:line="360" w:lineRule="auto"/>
        <w:ind w:left="426"/>
        <w:jc w:val="both"/>
        <w:rPr>
          <w:sz w:val="28"/>
          <w:szCs w:val="28"/>
        </w:rPr>
      </w:pPr>
    </w:p>
    <w:p w14:paraId="1A30877D" w14:textId="3DA14C49" w:rsidR="00F17F93" w:rsidRPr="009B0095" w:rsidRDefault="00F17F93" w:rsidP="00D95701">
      <w:pPr>
        <w:pStyle w:val="Default"/>
        <w:spacing w:after="280" w:line="360" w:lineRule="auto"/>
        <w:jc w:val="both"/>
        <w:rPr>
          <w:rFonts w:ascii="Times New Roman" w:hAnsi="Times New Roman" w:cs="Times New Roman"/>
          <w:lang w:val="sk-SK"/>
        </w:rPr>
      </w:pPr>
      <w:r w:rsidRPr="009B0095">
        <w:rPr>
          <w:rFonts w:ascii="Times New Roman" w:hAnsi="Times New Roman" w:cs="Times New Roman"/>
          <w:lang w:val="sk-SK"/>
        </w:rPr>
        <w:t>1. Vláda Slovenskej republiky schválila na svojom rokovaní dňa 13. septembra 2017 materiál „Koncepcia oddlženia zdravotníckych zariadení“ (ďalej len „</w:t>
      </w:r>
      <w:r w:rsidR="00DA1A9B" w:rsidRPr="009B0095">
        <w:rPr>
          <w:rFonts w:ascii="Times New Roman" w:hAnsi="Times New Roman" w:cs="Times New Roman"/>
          <w:lang w:val="sk-SK"/>
        </w:rPr>
        <w:t>K</w:t>
      </w:r>
      <w:r w:rsidRPr="009B0095">
        <w:rPr>
          <w:rFonts w:ascii="Times New Roman" w:hAnsi="Times New Roman" w:cs="Times New Roman"/>
          <w:lang w:val="sk-SK"/>
        </w:rPr>
        <w:t xml:space="preserve">oncepcia“), ktorého cieľom bolo riešiť finančnú situáciu nemocníc vo vzťahu k ich veriteľom v oblasti existujúceho stavu záväzkov po lehote ich splatnosti, ako aj realizáciu opatrení na úrovni nemocníc s cieľom zamedzovať ich ďalšiemu zadlžovaniu sa. Dňa 30. novembra 2017 Národná rada Slovenskej republiky vyslovila súhlas s použitím štátnych finančných aktív v objeme 585 mil. </w:t>
      </w:r>
      <w:r w:rsidR="007F6C6C" w:rsidRPr="009B0095">
        <w:rPr>
          <w:rFonts w:ascii="Times New Roman" w:hAnsi="Times New Roman" w:cs="Times New Roman"/>
          <w:lang w:val="sk-SK"/>
        </w:rPr>
        <w:t>e</w:t>
      </w:r>
      <w:r w:rsidRPr="009B0095">
        <w:rPr>
          <w:rFonts w:ascii="Times New Roman" w:hAnsi="Times New Roman" w:cs="Times New Roman"/>
          <w:lang w:val="sk-SK"/>
        </w:rPr>
        <w:t>ur</w:t>
      </w:r>
      <w:r w:rsidR="00DA1A9B" w:rsidRPr="009B0095">
        <w:rPr>
          <w:rFonts w:ascii="Times New Roman" w:hAnsi="Times New Roman" w:cs="Times New Roman"/>
          <w:lang w:val="sk-SK"/>
        </w:rPr>
        <w:t>.</w:t>
      </w:r>
      <w:r w:rsidRPr="009B0095">
        <w:rPr>
          <w:rFonts w:ascii="Times New Roman" w:hAnsi="Times New Roman" w:cs="Times New Roman"/>
          <w:lang w:val="sk-SK"/>
        </w:rPr>
        <w:t xml:space="preserve"> </w:t>
      </w:r>
    </w:p>
    <w:p w14:paraId="52CA990E" w14:textId="14C24C17" w:rsidR="00F17F93" w:rsidRPr="009B0095" w:rsidRDefault="00F17F93" w:rsidP="00D95701">
      <w:pPr>
        <w:pStyle w:val="Default"/>
        <w:spacing w:after="280" w:line="360" w:lineRule="auto"/>
        <w:jc w:val="both"/>
        <w:rPr>
          <w:rFonts w:ascii="Times New Roman" w:hAnsi="Times New Roman" w:cs="Times New Roman"/>
          <w:lang w:val="sk-SK"/>
        </w:rPr>
      </w:pPr>
      <w:r w:rsidRPr="009B0095">
        <w:rPr>
          <w:rFonts w:ascii="Times New Roman" w:hAnsi="Times New Roman" w:cs="Times New Roman"/>
          <w:lang w:val="sk-SK"/>
        </w:rPr>
        <w:t xml:space="preserve">2. Záujem zúčastniť sa procesu oddlžovania v súlade s vyššie uvedenou </w:t>
      </w:r>
      <w:r w:rsidR="00DA1A9B" w:rsidRPr="009B0095">
        <w:rPr>
          <w:rFonts w:ascii="Times New Roman" w:hAnsi="Times New Roman" w:cs="Times New Roman"/>
          <w:lang w:val="sk-SK"/>
        </w:rPr>
        <w:t>K</w:t>
      </w:r>
      <w:r w:rsidRPr="009B0095">
        <w:rPr>
          <w:rFonts w:ascii="Times New Roman" w:hAnsi="Times New Roman" w:cs="Times New Roman"/>
          <w:lang w:val="sk-SK"/>
        </w:rPr>
        <w:t>oncepciou a podmienkami účasti na oddlžení zdravotníckych zariadení</w:t>
      </w:r>
      <w:r w:rsidR="001A1F62" w:rsidRPr="009B0095">
        <w:rPr>
          <w:rFonts w:ascii="Times New Roman" w:hAnsi="Times New Roman" w:cs="Times New Roman"/>
          <w:lang w:val="sk-SK"/>
        </w:rPr>
        <w:t xml:space="preserve"> v období roka 2017</w:t>
      </w:r>
      <w:r w:rsidRPr="009B0095">
        <w:rPr>
          <w:rFonts w:ascii="Times New Roman" w:hAnsi="Times New Roman" w:cs="Times New Roman"/>
          <w:lang w:val="sk-SK"/>
        </w:rPr>
        <w:t xml:space="preserve"> splnilo 29 zdravotníckych zariadení a Národná transfúzna služba SR</w:t>
      </w:r>
      <w:r w:rsidR="002F33DC">
        <w:rPr>
          <w:rFonts w:ascii="Times New Roman" w:hAnsi="Times New Roman" w:cs="Times New Roman"/>
          <w:lang w:val="sk-SK"/>
        </w:rPr>
        <w:t xml:space="preserve"> (ďalej aj ako „NTS SR“)</w:t>
      </w:r>
      <w:r w:rsidR="00DA1A9B" w:rsidRPr="009B0095">
        <w:rPr>
          <w:rFonts w:ascii="Times New Roman" w:hAnsi="Times New Roman" w:cs="Times New Roman"/>
          <w:lang w:val="sk-SK"/>
        </w:rPr>
        <w:t>.</w:t>
      </w:r>
      <w:r w:rsidRPr="009B0095">
        <w:rPr>
          <w:rFonts w:ascii="Times New Roman" w:hAnsi="Times New Roman" w:cs="Times New Roman"/>
          <w:lang w:val="sk-SK"/>
        </w:rPr>
        <w:t xml:space="preserve"> </w:t>
      </w:r>
    </w:p>
    <w:p w14:paraId="415E9556" w14:textId="58372A7B" w:rsidR="00F17F93" w:rsidRPr="009B0095" w:rsidRDefault="00F17F93" w:rsidP="006F2C36">
      <w:pPr>
        <w:pStyle w:val="Default"/>
        <w:spacing w:after="280" w:line="360" w:lineRule="auto"/>
        <w:jc w:val="both"/>
        <w:rPr>
          <w:rFonts w:ascii="Times New Roman" w:hAnsi="Times New Roman" w:cs="Times New Roman"/>
          <w:lang w:val="sk-SK"/>
        </w:rPr>
      </w:pPr>
      <w:r w:rsidRPr="009B0095">
        <w:rPr>
          <w:rFonts w:ascii="Times New Roman" w:hAnsi="Times New Roman" w:cs="Times New Roman"/>
          <w:lang w:val="sk-SK"/>
        </w:rPr>
        <w:t>3. V súlade s Koncepciou Ministerstvo zdravotníctva S</w:t>
      </w:r>
      <w:r w:rsidR="00DA1A9B" w:rsidRPr="009B0095">
        <w:rPr>
          <w:rFonts w:ascii="Times New Roman" w:hAnsi="Times New Roman" w:cs="Times New Roman"/>
          <w:lang w:val="sk-SK"/>
        </w:rPr>
        <w:t>lovenskej republiky (ďalej aj ako “</w:t>
      </w:r>
      <w:r w:rsidR="002F33DC">
        <w:rPr>
          <w:rFonts w:ascii="Times New Roman" w:hAnsi="Times New Roman" w:cs="Times New Roman"/>
          <w:lang w:val="sk-SK"/>
        </w:rPr>
        <w:t>M</w:t>
      </w:r>
      <w:r w:rsidR="00DA1A9B" w:rsidRPr="009B0095">
        <w:rPr>
          <w:rFonts w:ascii="Times New Roman" w:hAnsi="Times New Roman" w:cs="Times New Roman"/>
          <w:lang w:val="sk-SK"/>
        </w:rPr>
        <w:t>inisterstvo zdravotníctva SR”)</w:t>
      </w:r>
      <w:r w:rsidRPr="009B0095">
        <w:rPr>
          <w:rFonts w:ascii="Times New Roman" w:hAnsi="Times New Roman" w:cs="Times New Roman"/>
          <w:lang w:val="sk-SK"/>
        </w:rPr>
        <w:t xml:space="preserve">: </w:t>
      </w:r>
    </w:p>
    <w:p w14:paraId="6493E99E" w14:textId="172BB5EE" w:rsidR="00F17F93" w:rsidRPr="009B0095" w:rsidRDefault="00F17F93" w:rsidP="002F23C9">
      <w:pPr>
        <w:pStyle w:val="Default"/>
        <w:spacing w:after="280" w:line="360" w:lineRule="auto"/>
        <w:jc w:val="both"/>
        <w:rPr>
          <w:rFonts w:ascii="Times New Roman" w:hAnsi="Times New Roman" w:cs="Times New Roman"/>
          <w:lang w:val="sk-SK"/>
        </w:rPr>
      </w:pPr>
      <w:r w:rsidRPr="009B0095">
        <w:rPr>
          <w:rFonts w:ascii="Times New Roman" w:hAnsi="Times New Roman" w:cs="Times New Roman"/>
          <w:lang w:val="sk-SK"/>
        </w:rPr>
        <w:t xml:space="preserve">a) </w:t>
      </w:r>
      <w:r w:rsidR="00DA1A9B" w:rsidRPr="009B0095">
        <w:rPr>
          <w:rFonts w:ascii="Times New Roman" w:hAnsi="Times New Roman" w:cs="Times New Roman"/>
          <w:lang w:val="sk-SK"/>
        </w:rPr>
        <w:t>V</w:t>
      </w:r>
      <w:r w:rsidRPr="009B0095">
        <w:rPr>
          <w:rFonts w:ascii="Times New Roman" w:hAnsi="Times New Roman" w:cs="Times New Roman"/>
          <w:lang w:val="sk-SK"/>
        </w:rPr>
        <w:t xml:space="preserve">o vzťahu k Národnej transfúznej službe </w:t>
      </w:r>
      <w:r w:rsidR="002F33DC">
        <w:rPr>
          <w:rFonts w:ascii="Times New Roman" w:hAnsi="Times New Roman" w:cs="Times New Roman"/>
          <w:lang w:val="sk-SK"/>
        </w:rPr>
        <w:t xml:space="preserve">SR </w:t>
      </w:r>
      <w:r w:rsidRPr="009B0095">
        <w:rPr>
          <w:rFonts w:ascii="Times New Roman" w:hAnsi="Times New Roman" w:cs="Times New Roman"/>
          <w:lang w:val="sk-SK"/>
        </w:rPr>
        <w:t xml:space="preserve">zabezpečilo poskytnutie návratnej finančnej výpomoci na splatenie záväzkov po lehote splatnosti pre Národnú transfúznu službu SR v objeme 28 mil. </w:t>
      </w:r>
      <w:r w:rsidR="007F6C6C" w:rsidRPr="009B0095">
        <w:rPr>
          <w:rFonts w:ascii="Times New Roman" w:hAnsi="Times New Roman" w:cs="Times New Roman"/>
          <w:lang w:val="sk-SK"/>
        </w:rPr>
        <w:t>e</w:t>
      </w:r>
      <w:r w:rsidRPr="009B0095">
        <w:rPr>
          <w:rFonts w:ascii="Times New Roman" w:hAnsi="Times New Roman" w:cs="Times New Roman"/>
          <w:lang w:val="sk-SK"/>
        </w:rPr>
        <w:t>ur</w:t>
      </w:r>
      <w:r w:rsidR="00DA1A9B" w:rsidRPr="009B0095">
        <w:rPr>
          <w:rFonts w:ascii="Times New Roman" w:hAnsi="Times New Roman" w:cs="Times New Roman"/>
          <w:lang w:val="sk-SK"/>
        </w:rPr>
        <w:t>.</w:t>
      </w:r>
      <w:r w:rsidRPr="009B0095">
        <w:rPr>
          <w:rFonts w:ascii="Times New Roman" w:hAnsi="Times New Roman" w:cs="Times New Roman"/>
          <w:lang w:val="sk-SK"/>
        </w:rPr>
        <w:t xml:space="preserve"> </w:t>
      </w:r>
      <w:r w:rsidR="00DA1A9B" w:rsidRPr="009B0095">
        <w:rPr>
          <w:rFonts w:ascii="Times New Roman" w:hAnsi="Times New Roman" w:cs="Times New Roman"/>
          <w:lang w:val="sk-SK"/>
        </w:rPr>
        <w:t>Táto návratná finančná výpomoc nebola k dnešnému dňu so strany Národne transfúznej služby SR z objektívnych dôvodov splatená</w:t>
      </w:r>
      <w:r w:rsidR="001A1F62" w:rsidRPr="009B0095">
        <w:rPr>
          <w:rFonts w:ascii="Times New Roman" w:hAnsi="Times New Roman" w:cs="Times New Roman"/>
          <w:lang w:val="sk-SK"/>
        </w:rPr>
        <w:t xml:space="preserve">, nakoľko napriek podmienkam Koncepcie nedošlo </w:t>
      </w:r>
      <w:r w:rsidR="002F33DC">
        <w:rPr>
          <w:rFonts w:ascii="Times New Roman" w:hAnsi="Times New Roman" w:cs="Times New Roman"/>
          <w:lang w:val="sk-SK"/>
        </w:rPr>
        <w:t>v</w:t>
      </w:r>
      <w:r w:rsidR="002F33DC" w:rsidRPr="009B0095">
        <w:rPr>
          <w:rFonts w:ascii="Times New Roman" w:hAnsi="Times New Roman" w:cs="Times New Roman"/>
          <w:lang w:val="sk-SK"/>
        </w:rPr>
        <w:t xml:space="preserve"> </w:t>
      </w:r>
      <w:r w:rsidR="001A1F62" w:rsidRPr="009B0095">
        <w:rPr>
          <w:rFonts w:ascii="Times New Roman" w:hAnsi="Times New Roman" w:cs="Times New Roman"/>
          <w:lang w:val="sk-SK"/>
        </w:rPr>
        <w:t xml:space="preserve">stanovených </w:t>
      </w:r>
      <w:r w:rsidR="002F33DC" w:rsidRPr="009B0095">
        <w:rPr>
          <w:rFonts w:ascii="Times New Roman" w:hAnsi="Times New Roman" w:cs="Times New Roman"/>
          <w:lang w:val="sk-SK"/>
        </w:rPr>
        <w:t>zdravotnícky</w:t>
      </w:r>
      <w:r w:rsidR="002F33DC">
        <w:rPr>
          <w:rFonts w:ascii="Times New Roman" w:hAnsi="Times New Roman" w:cs="Times New Roman"/>
          <w:lang w:val="sk-SK"/>
        </w:rPr>
        <w:t>ch</w:t>
      </w:r>
      <w:r w:rsidR="002F33DC" w:rsidRPr="009B0095">
        <w:rPr>
          <w:rFonts w:ascii="Times New Roman" w:hAnsi="Times New Roman" w:cs="Times New Roman"/>
          <w:lang w:val="sk-SK"/>
        </w:rPr>
        <w:t xml:space="preserve"> zariadenia</w:t>
      </w:r>
      <w:r w:rsidR="002F33DC">
        <w:rPr>
          <w:rFonts w:ascii="Times New Roman" w:hAnsi="Times New Roman" w:cs="Times New Roman"/>
          <w:lang w:val="sk-SK"/>
        </w:rPr>
        <w:t>ch</w:t>
      </w:r>
      <w:r w:rsidR="002F33DC" w:rsidRPr="009B0095">
        <w:rPr>
          <w:rFonts w:ascii="Times New Roman" w:hAnsi="Times New Roman" w:cs="Times New Roman"/>
          <w:lang w:val="sk-SK"/>
        </w:rPr>
        <w:t xml:space="preserve"> </w:t>
      </w:r>
      <w:r w:rsidR="001A1F62" w:rsidRPr="009B0095">
        <w:rPr>
          <w:rFonts w:ascii="Times New Roman" w:hAnsi="Times New Roman" w:cs="Times New Roman"/>
          <w:lang w:val="sk-SK"/>
        </w:rPr>
        <w:t>k vytvoreniu takých podmienok, ktoré by boli spôsobilé eliminovať ich ďalšie zadlžovanie</w:t>
      </w:r>
      <w:r w:rsidR="00C07815" w:rsidRPr="009B0095">
        <w:rPr>
          <w:rFonts w:ascii="Times New Roman" w:hAnsi="Times New Roman" w:cs="Times New Roman"/>
          <w:lang w:val="sk-SK"/>
        </w:rPr>
        <w:t>,</w:t>
      </w:r>
      <w:r w:rsidR="001A1F62" w:rsidRPr="009B0095">
        <w:rPr>
          <w:rFonts w:ascii="Times New Roman" w:hAnsi="Times New Roman" w:cs="Times New Roman"/>
          <w:lang w:val="sk-SK"/>
        </w:rPr>
        <w:t xml:space="preserve"> aby tieto boli schopné uhrádzať svoje záväzky voči Národnej transfúznej službe SR v lehote splatnosti </w:t>
      </w:r>
      <w:r w:rsidR="00C07815" w:rsidRPr="009B0095">
        <w:rPr>
          <w:rFonts w:ascii="Times New Roman" w:hAnsi="Times New Roman" w:cs="Times New Roman"/>
          <w:lang w:val="sk-SK"/>
        </w:rPr>
        <w:t xml:space="preserve">resp. </w:t>
      </w:r>
      <w:r w:rsidR="001A1F62" w:rsidRPr="009B0095">
        <w:rPr>
          <w:rFonts w:ascii="Times New Roman" w:hAnsi="Times New Roman" w:cs="Times New Roman"/>
          <w:lang w:val="sk-SK"/>
        </w:rPr>
        <w:t>ani po lehote splatnosti</w:t>
      </w:r>
      <w:r w:rsidR="00DA1A9B" w:rsidRPr="009B0095">
        <w:rPr>
          <w:rFonts w:ascii="Times New Roman" w:hAnsi="Times New Roman" w:cs="Times New Roman"/>
          <w:lang w:val="sk-SK"/>
        </w:rPr>
        <w:t>.</w:t>
      </w:r>
    </w:p>
    <w:p w14:paraId="19764963" w14:textId="5F7CA3FD" w:rsidR="00F17F93" w:rsidRPr="009B0095" w:rsidRDefault="00F17F93" w:rsidP="00D95701">
      <w:pPr>
        <w:pStyle w:val="Default"/>
        <w:spacing w:after="280" w:line="360" w:lineRule="auto"/>
        <w:jc w:val="both"/>
        <w:rPr>
          <w:rFonts w:ascii="Times New Roman" w:hAnsi="Times New Roman" w:cs="Times New Roman"/>
          <w:lang w:val="sk-SK"/>
        </w:rPr>
      </w:pPr>
      <w:r w:rsidRPr="009B0095">
        <w:rPr>
          <w:rFonts w:ascii="Times New Roman" w:hAnsi="Times New Roman" w:cs="Times New Roman"/>
          <w:lang w:val="sk-SK"/>
        </w:rPr>
        <w:t xml:space="preserve">b) </w:t>
      </w:r>
      <w:r w:rsidR="00DA1A9B" w:rsidRPr="009B0095">
        <w:rPr>
          <w:rFonts w:ascii="Times New Roman" w:hAnsi="Times New Roman" w:cs="Times New Roman"/>
          <w:lang w:val="sk-SK"/>
        </w:rPr>
        <w:t>V</w:t>
      </w:r>
      <w:r w:rsidRPr="009B0095">
        <w:rPr>
          <w:rFonts w:ascii="Times New Roman" w:hAnsi="Times New Roman" w:cs="Times New Roman"/>
          <w:lang w:val="sk-SK"/>
        </w:rPr>
        <w:t xml:space="preserve">o vzťahu k Sociálnej poisťovni zabezpečilo v roku 2018 odplatné postúpenie pohľadávok Sociálnej poisťovne voči zdravotníckym zariadeniam v objeme 198 mil. </w:t>
      </w:r>
      <w:r w:rsidR="007F6C6C" w:rsidRPr="009B0095">
        <w:rPr>
          <w:rFonts w:ascii="Times New Roman" w:hAnsi="Times New Roman" w:cs="Times New Roman"/>
          <w:lang w:val="sk-SK"/>
        </w:rPr>
        <w:t>e</w:t>
      </w:r>
      <w:r w:rsidRPr="009B0095">
        <w:rPr>
          <w:rFonts w:ascii="Times New Roman" w:hAnsi="Times New Roman" w:cs="Times New Roman"/>
          <w:lang w:val="sk-SK"/>
        </w:rPr>
        <w:t xml:space="preserve">ur po lehote splatnosti do roku 2016 na akciovú spoločnosť so 100%-nou majetkovou účasťou štátu, </w:t>
      </w:r>
      <w:r w:rsidRPr="009B0095">
        <w:rPr>
          <w:rFonts w:ascii="Times New Roman" w:hAnsi="Times New Roman" w:cs="Times New Roman"/>
          <w:lang w:val="sk-SK"/>
        </w:rPr>
        <w:lastRenderedPageBreak/>
        <w:t xml:space="preserve">spoločnosť Debitum, a.s. v zmysle návrhu a za podmienok uvedených v Koncepcii, rovnako v roku 2020 v objeme 123 mil. </w:t>
      </w:r>
      <w:r w:rsidR="007F6C6C" w:rsidRPr="009B0095">
        <w:rPr>
          <w:rFonts w:ascii="Times New Roman" w:hAnsi="Times New Roman" w:cs="Times New Roman"/>
          <w:lang w:val="sk-SK"/>
        </w:rPr>
        <w:t>e</w:t>
      </w:r>
      <w:r w:rsidRPr="009B0095">
        <w:rPr>
          <w:rFonts w:ascii="Times New Roman" w:hAnsi="Times New Roman" w:cs="Times New Roman"/>
          <w:lang w:val="sk-SK"/>
        </w:rPr>
        <w:t>ur</w:t>
      </w:r>
      <w:r w:rsidR="00DA1A9B" w:rsidRPr="009B0095">
        <w:rPr>
          <w:rFonts w:ascii="Times New Roman" w:hAnsi="Times New Roman" w:cs="Times New Roman"/>
          <w:lang w:val="sk-SK"/>
        </w:rPr>
        <w:t xml:space="preserve">. Spolu teda v objeme 321 mil. </w:t>
      </w:r>
      <w:r w:rsidR="007F6C6C" w:rsidRPr="009B0095">
        <w:rPr>
          <w:rFonts w:ascii="Times New Roman" w:hAnsi="Times New Roman" w:cs="Times New Roman"/>
          <w:lang w:val="sk-SK"/>
        </w:rPr>
        <w:t>e</w:t>
      </w:r>
      <w:r w:rsidR="00DA1A9B" w:rsidRPr="009B0095">
        <w:rPr>
          <w:rFonts w:ascii="Times New Roman" w:hAnsi="Times New Roman" w:cs="Times New Roman"/>
          <w:lang w:val="sk-SK"/>
        </w:rPr>
        <w:t>ur.</w:t>
      </w:r>
    </w:p>
    <w:p w14:paraId="69EA1F86" w14:textId="27B96094" w:rsidR="00F17F93" w:rsidRPr="009B0095" w:rsidRDefault="00F17F93" w:rsidP="00D95701">
      <w:pPr>
        <w:pStyle w:val="Default"/>
        <w:spacing w:after="280" w:line="360" w:lineRule="auto"/>
        <w:jc w:val="both"/>
        <w:rPr>
          <w:rFonts w:ascii="Times New Roman" w:hAnsi="Times New Roman" w:cs="Times New Roman"/>
          <w:lang w:val="sk-SK"/>
        </w:rPr>
      </w:pPr>
      <w:r w:rsidRPr="009B0095">
        <w:rPr>
          <w:rFonts w:ascii="Times New Roman" w:hAnsi="Times New Roman" w:cs="Times New Roman"/>
          <w:lang w:val="sk-SK"/>
        </w:rPr>
        <w:t xml:space="preserve">c) </w:t>
      </w:r>
      <w:r w:rsidR="00DA1A9B" w:rsidRPr="009B0095">
        <w:rPr>
          <w:rFonts w:ascii="Times New Roman" w:hAnsi="Times New Roman" w:cs="Times New Roman"/>
          <w:lang w:val="sk-SK"/>
        </w:rPr>
        <w:t>V</w:t>
      </w:r>
      <w:r w:rsidRPr="009B0095">
        <w:rPr>
          <w:rFonts w:ascii="Times New Roman" w:hAnsi="Times New Roman" w:cs="Times New Roman"/>
          <w:lang w:val="sk-SK"/>
        </w:rPr>
        <w:t xml:space="preserve">o vzťahu k ostatným veriteľom boli v zmysle Koncepcie zrealizované tri etapy oddlžovania zdravotníckych zariadení prostredníctvom fixného diskontu a elektronickej aukcie v celkovom objeme 267 mil. </w:t>
      </w:r>
      <w:r w:rsidR="007F6C6C" w:rsidRPr="009B0095">
        <w:rPr>
          <w:rFonts w:ascii="Times New Roman" w:hAnsi="Times New Roman" w:cs="Times New Roman"/>
          <w:lang w:val="sk-SK"/>
        </w:rPr>
        <w:t>e</w:t>
      </w:r>
      <w:r w:rsidRPr="009B0095">
        <w:rPr>
          <w:rFonts w:ascii="Times New Roman" w:hAnsi="Times New Roman" w:cs="Times New Roman"/>
          <w:lang w:val="sk-SK"/>
        </w:rPr>
        <w:t xml:space="preserve">ur na úrovni istiny. </w:t>
      </w:r>
    </w:p>
    <w:p w14:paraId="55C8393C" w14:textId="5A0F8862" w:rsidR="00F17F93" w:rsidRPr="009B0095" w:rsidRDefault="00F17F93" w:rsidP="002F23C9">
      <w:pPr>
        <w:pStyle w:val="Default"/>
        <w:spacing w:after="280" w:line="360" w:lineRule="auto"/>
        <w:jc w:val="both"/>
        <w:rPr>
          <w:rFonts w:ascii="Times New Roman" w:hAnsi="Times New Roman" w:cs="Times New Roman"/>
          <w:lang w:val="sk-SK"/>
        </w:rPr>
      </w:pPr>
      <w:r w:rsidRPr="009B0095">
        <w:rPr>
          <w:rFonts w:ascii="Times New Roman" w:hAnsi="Times New Roman" w:cs="Times New Roman"/>
          <w:lang w:val="sk-SK"/>
        </w:rPr>
        <w:t xml:space="preserve">4. V procese oddlženia zdravotníckych zariadení v zmysle </w:t>
      </w:r>
      <w:r w:rsidR="00DA1A9B" w:rsidRPr="009B0095">
        <w:rPr>
          <w:rFonts w:ascii="Times New Roman" w:hAnsi="Times New Roman" w:cs="Times New Roman"/>
          <w:lang w:val="sk-SK"/>
        </w:rPr>
        <w:t>K</w:t>
      </w:r>
      <w:r w:rsidRPr="009B0095">
        <w:rPr>
          <w:rFonts w:ascii="Times New Roman" w:hAnsi="Times New Roman" w:cs="Times New Roman"/>
          <w:lang w:val="sk-SK"/>
        </w:rPr>
        <w:t xml:space="preserve">oncepcie bol </w:t>
      </w:r>
      <w:r w:rsidR="00AA3FF6" w:rsidRPr="009B0095">
        <w:rPr>
          <w:rFonts w:ascii="Times New Roman" w:hAnsi="Times New Roman" w:cs="Times New Roman"/>
          <w:lang w:val="sk-SK"/>
        </w:rPr>
        <w:t>v období rokov 2017 až 2019</w:t>
      </w:r>
      <w:r w:rsidR="00AA3FF6" w:rsidRPr="009B0095">
        <w:rPr>
          <w:rStyle w:val="Odkaznapoznmkupodiarou"/>
          <w:rFonts w:ascii="Times New Roman" w:hAnsi="Times New Roman" w:cs="Times New Roman"/>
          <w:lang w:val="sk-SK"/>
        </w:rPr>
        <w:footnoteReference w:id="1"/>
      </w:r>
      <w:r w:rsidR="00AA3FF6" w:rsidRPr="009B0095">
        <w:rPr>
          <w:rFonts w:ascii="Times New Roman" w:hAnsi="Times New Roman" w:cs="Times New Roman"/>
          <w:lang w:val="sk-SK"/>
        </w:rPr>
        <w:t xml:space="preserve"> </w:t>
      </w:r>
      <w:r w:rsidRPr="009B0095">
        <w:rPr>
          <w:rFonts w:ascii="Times New Roman" w:hAnsi="Times New Roman" w:cs="Times New Roman"/>
          <w:lang w:val="sk-SK"/>
        </w:rPr>
        <w:t xml:space="preserve">oddlžený objem záväzkov po zaokrúhlení na úrovni istiny vo výške 589 mil. </w:t>
      </w:r>
      <w:r w:rsidR="007F6C6C" w:rsidRPr="009B0095">
        <w:rPr>
          <w:rFonts w:ascii="Times New Roman" w:hAnsi="Times New Roman" w:cs="Times New Roman"/>
          <w:lang w:val="sk-SK"/>
        </w:rPr>
        <w:t>e</w:t>
      </w:r>
      <w:r w:rsidRPr="009B0095">
        <w:rPr>
          <w:rFonts w:ascii="Times New Roman" w:hAnsi="Times New Roman" w:cs="Times New Roman"/>
          <w:lang w:val="sk-SK"/>
        </w:rPr>
        <w:t xml:space="preserve">ur. </w:t>
      </w:r>
    </w:p>
    <w:p w14:paraId="7D489FAA" w14:textId="3D607934" w:rsidR="00F17F93" w:rsidRPr="009B0095" w:rsidRDefault="00F17F93" w:rsidP="00D95701">
      <w:pPr>
        <w:pStyle w:val="Default"/>
        <w:spacing w:after="280" w:line="360" w:lineRule="auto"/>
        <w:jc w:val="both"/>
        <w:rPr>
          <w:rFonts w:ascii="Times New Roman" w:hAnsi="Times New Roman" w:cs="Times New Roman"/>
          <w:lang w:val="sk-SK"/>
        </w:rPr>
      </w:pPr>
      <w:r w:rsidRPr="009B0095">
        <w:rPr>
          <w:rFonts w:ascii="Times New Roman" w:hAnsi="Times New Roman" w:cs="Times New Roman"/>
          <w:lang w:val="sk-SK"/>
        </w:rPr>
        <w:t xml:space="preserve">5. Vo vzťahu k dodávateľom zdravotníckych zariadení bol oddlžený objem záväzkov po lehote splatnosti v objeme 267 mil. </w:t>
      </w:r>
      <w:r w:rsidR="007F6C6C" w:rsidRPr="009B0095">
        <w:rPr>
          <w:rFonts w:ascii="Times New Roman" w:hAnsi="Times New Roman" w:cs="Times New Roman"/>
          <w:lang w:val="sk-SK"/>
        </w:rPr>
        <w:t>e</w:t>
      </w:r>
      <w:r w:rsidRPr="009B0095">
        <w:rPr>
          <w:rFonts w:ascii="Times New Roman" w:hAnsi="Times New Roman" w:cs="Times New Roman"/>
          <w:lang w:val="sk-SK"/>
        </w:rPr>
        <w:t>ur (oddlžených 209</w:t>
      </w:r>
      <w:r w:rsidR="006E6045" w:rsidRPr="009B0095">
        <w:rPr>
          <w:rFonts w:ascii="Times New Roman" w:hAnsi="Times New Roman" w:cs="Times New Roman"/>
          <w:lang w:val="sk-SK"/>
        </w:rPr>
        <w:t xml:space="preserve"> </w:t>
      </w:r>
      <w:r w:rsidRPr="009B0095">
        <w:rPr>
          <w:rFonts w:ascii="Times New Roman" w:hAnsi="Times New Roman" w:cs="Times New Roman"/>
          <w:lang w:val="sk-SK"/>
        </w:rPr>
        <w:t xml:space="preserve">115 pohľadávok, 307 dodávateľov). Národná transfúzna služba SR z prijatej návratnej finančnej výpomoci 28 mil. eur uhradila svoje záväzky po lehote splatnosti. </w:t>
      </w:r>
    </w:p>
    <w:p w14:paraId="4A54B26B" w14:textId="68261564" w:rsidR="00DA1A9B" w:rsidRPr="009B0095" w:rsidRDefault="00F17F93" w:rsidP="00D95701">
      <w:pPr>
        <w:pStyle w:val="Default"/>
        <w:spacing w:line="360" w:lineRule="auto"/>
        <w:jc w:val="both"/>
        <w:rPr>
          <w:rFonts w:ascii="Times New Roman" w:hAnsi="Times New Roman" w:cs="Times New Roman"/>
          <w:lang w:val="sk-SK"/>
        </w:rPr>
      </w:pPr>
      <w:r w:rsidRPr="009B0095">
        <w:rPr>
          <w:rFonts w:ascii="Times New Roman" w:hAnsi="Times New Roman" w:cs="Times New Roman"/>
          <w:lang w:val="sk-SK"/>
        </w:rPr>
        <w:t xml:space="preserve">6. V súlade s uznesením vlády </w:t>
      </w:r>
      <w:r w:rsidR="002F33DC">
        <w:rPr>
          <w:rFonts w:ascii="Times New Roman" w:hAnsi="Times New Roman" w:cs="Times New Roman"/>
          <w:lang w:val="sk-SK"/>
        </w:rPr>
        <w:t xml:space="preserve">SR </w:t>
      </w:r>
      <w:r w:rsidRPr="009B0095">
        <w:rPr>
          <w:rFonts w:ascii="Times New Roman" w:hAnsi="Times New Roman" w:cs="Times New Roman"/>
          <w:lang w:val="sk-SK"/>
        </w:rPr>
        <w:t>č. 425/2017 bola dňa 16. septembra 2019 ukončená tretia etapa oddlženia zdravotníckych zariadení vo vzťahu k dodávateľom, ktorými sa na účely oddlženia rozumeli všeobecné nemocnice, ktorým podľa § 11 zákona č. 578/2004 Z. z. o poskytovateľoch zdravotnej starostlivosti</w:t>
      </w:r>
      <w:r w:rsidR="002F33DC" w:rsidRPr="001F04ED">
        <w:rPr>
          <w:rFonts w:ascii="Times New Roman" w:hAnsi="Times New Roman" w:cs="Times New Roman"/>
          <w:lang w:val="sk-SK"/>
        </w:rPr>
        <w:t>, zdravotníckych pracovníkoch, stavovských organizáciách v zdravotníctve a o zmene a doplnení niektorých zákonov</w:t>
      </w:r>
      <w:r w:rsidR="002F33DC">
        <w:rPr>
          <w:rFonts w:ascii="Times New Roman" w:hAnsi="Times New Roman" w:cs="Times New Roman"/>
          <w:lang w:val="sk-SK"/>
        </w:rPr>
        <w:t xml:space="preserve"> v znení neskorších predpisov (ďalej aj „zákon č. 578/2004 Z. z.)</w:t>
      </w:r>
      <w:r w:rsidRPr="009B0095">
        <w:rPr>
          <w:rFonts w:ascii="Times New Roman" w:hAnsi="Times New Roman" w:cs="Times New Roman"/>
          <w:lang w:val="sk-SK"/>
        </w:rPr>
        <w:t xml:space="preserve"> vydal povolenie samosprávny kraj v rámci preneseného výkonu štátnej správy alebo špecializované nemocnice, ktorým podľa vyššie uvedeného zákonného ustanovenia vydalo povolenie na prevádzkovanie Ministerstvo zdravotníctva</w:t>
      </w:r>
      <w:r w:rsidR="00DA1A9B" w:rsidRPr="009B0095">
        <w:rPr>
          <w:rFonts w:ascii="Times New Roman" w:hAnsi="Times New Roman" w:cs="Times New Roman"/>
          <w:lang w:val="sk-SK"/>
        </w:rPr>
        <w:t xml:space="preserve"> SR</w:t>
      </w:r>
      <w:r w:rsidRPr="009B0095">
        <w:rPr>
          <w:rFonts w:ascii="Times New Roman" w:hAnsi="Times New Roman" w:cs="Times New Roman"/>
          <w:lang w:val="sk-SK"/>
        </w:rPr>
        <w:t>.</w:t>
      </w:r>
    </w:p>
    <w:p w14:paraId="5A9A647F" w14:textId="72F2091E" w:rsidR="00F17F93" w:rsidRPr="009B0095" w:rsidRDefault="00F17F93" w:rsidP="00D95701">
      <w:pPr>
        <w:pStyle w:val="Default"/>
        <w:spacing w:line="360" w:lineRule="auto"/>
        <w:jc w:val="both"/>
        <w:rPr>
          <w:rFonts w:ascii="Times New Roman" w:hAnsi="Times New Roman" w:cs="Times New Roman"/>
          <w:lang w:val="sk-SK"/>
        </w:rPr>
      </w:pPr>
      <w:r w:rsidRPr="009B0095">
        <w:rPr>
          <w:rFonts w:ascii="Times New Roman" w:hAnsi="Times New Roman" w:cs="Times New Roman"/>
          <w:lang w:val="sk-SK"/>
        </w:rPr>
        <w:t xml:space="preserve"> </w:t>
      </w:r>
    </w:p>
    <w:p w14:paraId="700E3E24" w14:textId="1AC92DC2" w:rsidR="00F17F93" w:rsidRPr="009B0095" w:rsidRDefault="00F17F93" w:rsidP="00D95701">
      <w:pPr>
        <w:pStyle w:val="Default"/>
        <w:spacing w:line="360" w:lineRule="auto"/>
        <w:jc w:val="both"/>
        <w:rPr>
          <w:rFonts w:ascii="Times New Roman" w:hAnsi="Times New Roman" w:cs="Times New Roman"/>
          <w:lang w:val="sk-SK"/>
        </w:rPr>
      </w:pPr>
      <w:r w:rsidRPr="009B0095">
        <w:rPr>
          <w:rFonts w:ascii="Times New Roman" w:hAnsi="Times New Roman" w:cs="Times New Roman"/>
          <w:lang w:val="sk-SK"/>
        </w:rPr>
        <w:t xml:space="preserve">7. Po ukončení tretej etapy procesu oddlženia zdravotníckych zariadení v zmysle Koncepcie, ostali k 31.12.2019 zo záväzkov oprávnených na oddlženie zdravotníckym zariadeniam nevysporiadané záväzky voči veriteľom, ktorí sa nezapojili do procesu oddlženia alebo sa zapojili len čiastočne, </w:t>
      </w:r>
      <w:r w:rsidRPr="009B0095">
        <w:rPr>
          <w:rFonts w:ascii="Times New Roman" w:hAnsi="Times New Roman" w:cs="Times New Roman"/>
          <w:b/>
          <w:lang w:val="sk-SK"/>
        </w:rPr>
        <w:t>vo výške 132,8 mil</w:t>
      </w:r>
      <w:r w:rsidR="00DC66A9" w:rsidRPr="009B0095">
        <w:rPr>
          <w:rFonts w:ascii="Times New Roman" w:hAnsi="Times New Roman" w:cs="Times New Roman"/>
          <w:b/>
          <w:lang w:val="sk-SK"/>
        </w:rPr>
        <w:t>.</w:t>
      </w:r>
      <w:r w:rsidRPr="009B0095">
        <w:rPr>
          <w:rFonts w:ascii="Times New Roman" w:hAnsi="Times New Roman" w:cs="Times New Roman"/>
          <w:b/>
          <w:lang w:val="sk-SK"/>
        </w:rPr>
        <w:t xml:space="preserve"> </w:t>
      </w:r>
      <w:r w:rsidR="007F6C6C" w:rsidRPr="009B0095">
        <w:rPr>
          <w:rFonts w:ascii="Times New Roman" w:hAnsi="Times New Roman" w:cs="Times New Roman"/>
          <w:b/>
          <w:lang w:val="sk-SK"/>
        </w:rPr>
        <w:t>e</w:t>
      </w:r>
      <w:r w:rsidRPr="009B0095">
        <w:rPr>
          <w:rFonts w:ascii="Times New Roman" w:hAnsi="Times New Roman" w:cs="Times New Roman"/>
          <w:b/>
          <w:lang w:val="sk-SK"/>
        </w:rPr>
        <w:t>ur.</w:t>
      </w:r>
      <w:r w:rsidRPr="009B0095">
        <w:rPr>
          <w:rFonts w:ascii="Times New Roman" w:hAnsi="Times New Roman" w:cs="Times New Roman"/>
          <w:lang w:val="sk-SK"/>
        </w:rPr>
        <w:t xml:space="preserve"> Tieto boli a sú aj naďalej predmetom uplatňovania nárokov zo strany veriteľov</w:t>
      </w:r>
      <w:r w:rsidR="00AA3FF6" w:rsidRPr="009B0095">
        <w:rPr>
          <w:rFonts w:ascii="Times New Roman" w:hAnsi="Times New Roman" w:cs="Times New Roman"/>
          <w:lang w:val="sk-SK"/>
        </w:rPr>
        <w:t xml:space="preserve">, keďže </w:t>
      </w:r>
      <w:r w:rsidR="00C73117" w:rsidRPr="009B0095">
        <w:rPr>
          <w:rFonts w:ascii="Times New Roman" w:hAnsi="Times New Roman" w:cs="Times New Roman"/>
          <w:lang w:val="sk-SK"/>
        </w:rPr>
        <w:t xml:space="preserve">z dôvodu </w:t>
      </w:r>
      <w:r w:rsidR="00AA3FF6" w:rsidRPr="009B0095">
        <w:rPr>
          <w:rFonts w:ascii="Times New Roman" w:hAnsi="Times New Roman" w:cs="Times New Roman"/>
          <w:lang w:val="sk-SK"/>
        </w:rPr>
        <w:t>predmet</w:t>
      </w:r>
      <w:r w:rsidR="00C73117" w:rsidRPr="009B0095">
        <w:rPr>
          <w:rFonts w:ascii="Times New Roman" w:hAnsi="Times New Roman" w:cs="Times New Roman"/>
          <w:lang w:val="sk-SK"/>
        </w:rPr>
        <w:t>u</w:t>
      </w:r>
      <w:r w:rsidR="00AA3FF6" w:rsidRPr="009B0095">
        <w:rPr>
          <w:rFonts w:ascii="Times New Roman" w:hAnsi="Times New Roman" w:cs="Times New Roman"/>
          <w:lang w:val="sk-SK"/>
        </w:rPr>
        <w:t xml:space="preserve"> činnosti</w:t>
      </w:r>
      <w:r w:rsidR="00AA3FF6" w:rsidRPr="009B0095">
        <w:rPr>
          <w:rStyle w:val="Odkaznapoznmkupodiarou"/>
          <w:rFonts w:ascii="Times New Roman" w:hAnsi="Times New Roman" w:cs="Times New Roman"/>
          <w:lang w:val="sk-SK"/>
        </w:rPr>
        <w:footnoteReference w:id="2"/>
      </w:r>
      <w:r w:rsidR="00AA3FF6" w:rsidRPr="009B0095">
        <w:rPr>
          <w:rFonts w:ascii="Times New Roman" w:hAnsi="Times New Roman" w:cs="Times New Roman"/>
          <w:lang w:val="sk-SK"/>
        </w:rPr>
        <w:t xml:space="preserve"> časti veriteľov</w:t>
      </w:r>
      <w:r w:rsidR="00C73117" w:rsidRPr="009B0095">
        <w:rPr>
          <w:rFonts w:ascii="Times New Roman" w:hAnsi="Times New Roman" w:cs="Times New Roman"/>
          <w:lang w:val="sk-SK"/>
        </w:rPr>
        <w:t xml:space="preserve"> nebol tento model oddlženia akceptovaný, v dôsledku čoho v ďalších obdobiach rokov 2017 až 2022 došlo k ďalšej kapitalizácii pohľadávok</w:t>
      </w:r>
      <w:r w:rsidR="00BF4B39" w:rsidRPr="009B0095">
        <w:rPr>
          <w:rFonts w:ascii="Times New Roman" w:hAnsi="Times New Roman" w:cs="Times New Roman"/>
          <w:lang w:val="sk-SK"/>
        </w:rPr>
        <w:t xml:space="preserve"> prostredníctvom časom vygenerovaného </w:t>
      </w:r>
      <w:r w:rsidR="00BF4B39" w:rsidRPr="009B0095">
        <w:rPr>
          <w:rFonts w:ascii="Times New Roman" w:hAnsi="Times New Roman" w:cs="Times New Roman"/>
          <w:lang w:val="sk-SK"/>
        </w:rPr>
        <w:lastRenderedPageBreak/>
        <w:t>príslušenstva</w:t>
      </w:r>
      <w:r w:rsidR="00C73117" w:rsidRPr="009B0095">
        <w:rPr>
          <w:rFonts w:ascii="Times New Roman" w:hAnsi="Times New Roman" w:cs="Times New Roman"/>
          <w:lang w:val="sk-SK"/>
        </w:rPr>
        <w:t xml:space="preserve">, ktoré voči zdravotníckym zariadeniam evidovali. </w:t>
      </w:r>
      <w:r w:rsidRPr="009B0095">
        <w:rPr>
          <w:rFonts w:ascii="Times New Roman" w:hAnsi="Times New Roman" w:cs="Times New Roman"/>
          <w:lang w:val="sk-SK"/>
        </w:rPr>
        <w:t>Z uvedeného objemu pripadal na jeden subjekt s predmetom činnosti skupovania pohľadávok za účelom ich ďalšej kapitalizácie objem 112,6 mil</w:t>
      </w:r>
      <w:r w:rsidR="00DC66A9" w:rsidRPr="009B0095">
        <w:rPr>
          <w:rFonts w:ascii="Times New Roman" w:hAnsi="Times New Roman" w:cs="Times New Roman"/>
          <w:lang w:val="sk-SK"/>
        </w:rPr>
        <w:t>.</w:t>
      </w:r>
      <w:r w:rsidRPr="009B0095">
        <w:rPr>
          <w:rFonts w:ascii="Times New Roman" w:hAnsi="Times New Roman" w:cs="Times New Roman"/>
          <w:lang w:val="sk-SK"/>
        </w:rPr>
        <w:t xml:space="preserve"> </w:t>
      </w:r>
      <w:r w:rsidR="007F6C6C" w:rsidRPr="009B0095">
        <w:rPr>
          <w:rFonts w:ascii="Times New Roman" w:hAnsi="Times New Roman" w:cs="Times New Roman"/>
          <w:lang w:val="sk-SK"/>
        </w:rPr>
        <w:t>e</w:t>
      </w:r>
      <w:r w:rsidRPr="009B0095">
        <w:rPr>
          <w:rFonts w:ascii="Times New Roman" w:hAnsi="Times New Roman" w:cs="Times New Roman"/>
          <w:lang w:val="sk-SK"/>
        </w:rPr>
        <w:t>ur</w:t>
      </w:r>
      <w:r w:rsidR="00C73117" w:rsidRPr="009B0095">
        <w:rPr>
          <w:rFonts w:ascii="Times New Roman" w:hAnsi="Times New Roman" w:cs="Times New Roman"/>
          <w:lang w:val="sk-SK"/>
        </w:rPr>
        <w:t xml:space="preserve"> na úrovni istiny</w:t>
      </w:r>
      <w:r w:rsidRPr="009B0095">
        <w:rPr>
          <w:rFonts w:ascii="Times New Roman" w:hAnsi="Times New Roman" w:cs="Times New Roman"/>
          <w:lang w:val="sk-SK"/>
        </w:rPr>
        <w:t>. Vo všeobecnosti možno teda konštatovať, že ozdravné opatrenia na zlepšenie finančnej situácie zdravotníckych zariadení</w:t>
      </w:r>
      <w:r w:rsidR="00C73117" w:rsidRPr="009B0095">
        <w:rPr>
          <w:rFonts w:ascii="Times New Roman" w:hAnsi="Times New Roman" w:cs="Times New Roman"/>
          <w:lang w:val="sk-SK"/>
        </w:rPr>
        <w:t>, ktoré boli v rámci mandátnych zmlúv</w:t>
      </w:r>
      <w:r w:rsidR="002F33DC">
        <w:rPr>
          <w:rFonts w:ascii="Times New Roman" w:hAnsi="Times New Roman" w:cs="Times New Roman"/>
          <w:lang w:val="sk-SK"/>
        </w:rPr>
        <w:t xml:space="preserve">, za podmienok </w:t>
      </w:r>
      <w:r w:rsidR="00C73117" w:rsidRPr="009B0095">
        <w:rPr>
          <w:rFonts w:ascii="Times New Roman" w:hAnsi="Times New Roman" w:cs="Times New Roman"/>
          <w:lang w:val="sk-SK"/>
        </w:rPr>
        <w:t>v nich stanovených</w:t>
      </w:r>
      <w:r w:rsidR="00C07815" w:rsidRPr="009B0095">
        <w:rPr>
          <w:rFonts w:ascii="Times New Roman" w:hAnsi="Times New Roman" w:cs="Times New Roman"/>
          <w:lang w:val="sk-SK"/>
        </w:rPr>
        <w:t>,</w:t>
      </w:r>
      <w:r w:rsidR="00C73117" w:rsidRPr="009B0095">
        <w:rPr>
          <w:rFonts w:ascii="Times New Roman" w:hAnsi="Times New Roman" w:cs="Times New Roman"/>
          <w:lang w:val="sk-SK"/>
        </w:rPr>
        <w:t xml:space="preserve"> podmienkou účasti v procese oddlženia zdravotníckych zariadení</w:t>
      </w:r>
      <w:r w:rsidR="00C07815" w:rsidRPr="009B0095">
        <w:rPr>
          <w:rFonts w:ascii="Times New Roman" w:hAnsi="Times New Roman" w:cs="Times New Roman"/>
          <w:lang w:val="sk-SK"/>
        </w:rPr>
        <w:t>,</w:t>
      </w:r>
      <w:r w:rsidRPr="009B0095">
        <w:rPr>
          <w:rFonts w:ascii="Times New Roman" w:hAnsi="Times New Roman" w:cs="Times New Roman"/>
          <w:lang w:val="sk-SK"/>
        </w:rPr>
        <w:t xml:space="preserve"> boli neúspešné</w:t>
      </w:r>
      <w:r w:rsidR="002F33DC">
        <w:rPr>
          <w:rFonts w:ascii="Times New Roman" w:hAnsi="Times New Roman" w:cs="Times New Roman"/>
          <w:lang w:val="sk-SK"/>
        </w:rPr>
        <w:t>, pričom zdravotnícke zariadenia</w:t>
      </w:r>
      <w:r w:rsidRPr="009B0095">
        <w:rPr>
          <w:rFonts w:ascii="Times New Roman" w:hAnsi="Times New Roman" w:cs="Times New Roman"/>
          <w:lang w:val="sk-SK"/>
        </w:rPr>
        <w:t xml:space="preserve"> </w:t>
      </w:r>
      <w:r w:rsidR="00C73117" w:rsidRPr="009B0095">
        <w:rPr>
          <w:rFonts w:ascii="Times New Roman" w:hAnsi="Times New Roman" w:cs="Times New Roman"/>
          <w:lang w:val="sk-SK"/>
        </w:rPr>
        <w:t>mali a</w:t>
      </w:r>
      <w:r w:rsidR="002F33DC">
        <w:rPr>
          <w:rFonts w:ascii="Times New Roman" w:hAnsi="Times New Roman" w:cs="Times New Roman"/>
          <w:lang w:val="sk-SK"/>
        </w:rPr>
        <w:t xml:space="preserve"> naďalej</w:t>
      </w:r>
      <w:r w:rsidR="00C73117" w:rsidRPr="009B0095">
        <w:rPr>
          <w:rFonts w:ascii="Times New Roman" w:hAnsi="Times New Roman" w:cs="Times New Roman"/>
          <w:lang w:val="sk-SK"/>
        </w:rPr>
        <w:t xml:space="preserve"> majú </w:t>
      </w:r>
      <w:r w:rsidR="002F33DC">
        <w:rPr>
          <w:rFonts w:ascii="Times New Roman" w:hAnsi="Times New Roman" w:cs="Times New Roman"/>
          <w:lang w:val="sk-SK"/>
        </w:rPr>
        <w:t xml:space="preserve">tendenciu generovať </w:t>
      </w:r>
      <w:r w:rsidR="002F33DC" w:rsidRPr="009B0095">
        <w:rPr>
          <w:rFonts w:ascii="Times New Roman" w:hAnsi="Times New Roman" w:cs="Times New Roman"/>
          <w:lang w:val="sk-SK"/>
        </w:rPr>
        <w:t>významn</w:t>
      </w:r>
      <w:r w:rsidR="002F33DC">
        <w:rPr>
          <w:rFonts w:ascii="Times New Roman" w:hAnsi="Times New Roman" w:cs="Times New Roman"/>
          <w:lang w:val="sk-SK"/>
        </w:rPr>
        <w:t>ý</w:t>
      </w:r>
      <w:r w:rsidR="002F33DC" w:rsidRPr="009B0095">
        <w:rPr>
          <w:rFonts w:ascii="Times New Roman" w:hAnsi="Times New Roman" w:cs="Times New Roman"/>
          <w:lang w:val="sk-SK"/>
        </w:rPr>
        <w:t xml:space="preserve"> </w:t>
      </w:r>
      <w:r w:rsidR="00C73117" w:rsidRPr="009B0095">
        <w:rPr>
          <w:rFonts w:ascii="Times New Roman" w:hAnsi="Times New Roman" w:cs="Times New Roman"/>
          <w:lang w:val="sk-SK"/>
        </w:rPr>
        <w:t>dlh s identickými dôsledkami pre sektor</w:t>
      </w:r>
      <w:r w:rsidRPr="009B0095">
        <w:rPr>
          <w:rFonts w:ascii="Times New Roman" w:hAnsi="Times New Roman" w:cs="Times New Roman"/>
          <w:lang w:val="sk-SK"/>
        </w:rPr>
        <w:t xml:space="preserve">. Pre porovnanie, ak by sme do výsledkov nezohľadnili jednorazovú transakciu súvisiacu s oddlžovaním, reálne rástli záväzky na úrovni istiny v roku 2019 priemerným mesačným tempom 16,41 mil. </w:t>
      </w:r>
      <w:r w:rsidR="007F6C6C" w:rsidRPr="009B0095">
        <w:rPr>
          <w:rFonts w:ascii="Times New Roman" w:hAnsi="Times New Roman" w:cs="Times New Roman"/>
          <w:lang w:val="sk-SK"/>
        </w:rPr>
        <w:t>e</w:t>
      </w:r>
      <w:r w:rsidRPr="009B0095">
        <w:rPr>
          <w:rFonts w:ascii="Times New Roman" w:hAnsi="Times New Roman" w:cs="Times New Roman"/>
          <w:lang w:val="sk-SK"/>
        </w:rPr>
        <w:t xml:space="preserve">ur a priemerné mesačné tempo rastu záväzkov po lehote splatnosti bolo 12,24 mil. </w:t>
      </w:r>
      <w:r w:rsidR="007F6C6C" w:rsidRPr="009B0095">
        <w:rPr>
          <w:rFonts w:ascii="Times New Roman" w:hAnsi="Times New Roman" w:cs="Times New Roman"/>
          <w:lang w:val="sk-SK"/>
        </w:rPr>
        <w:t>e</w:t>
      </w:r>
      <w:r w:rsidRPr="009B0095">
        <w:rPr>
          <w:rFonts w:ascii="Times New Roman" w:hAnsi="Times New Roman" w:cs="Times New Roman"/>
          <w:lang w:val="sk-SK"/>
        </w:rPr>
        <w:t xml:space="preserve">ur. Pri celkových záväzkoch na úrovni istiny tak bol zaznamenaný nárast z 11,72 mil. </w:t>
      </w:r>
      <w:r w:rsidR="007F6C6C" w:rsidRPr="009B0095">
        <w:rPr>
          <w:rFonts w:ascii="Times New Roman" w:hAnsi="Times New Roman" w:cs="Times New Roman"/>
          <w:lang w:val="sk-SK"/>
        </w:rPr>
        <w:t>e</w:t>
      </w:r>
      <w:r w:rsidRPr="009B0095">
        <w:rPr>
          <w:rFonts w:ascii="Times New Roman" w:hAnsi="Times New Roman" w:cs="Times New Roman"/>
          <w:lang w:val="sk-SK"/>
        </w:rPr>
        <w:t xml:space="preserve">ur na 16,41 mil. eur v porovnaní s rokom 2018, pri záväzkoch po lehote splatnosti išlo o nárast priemerného mesačného tempa z 9,34 mil. eur na 12,24 mil. eur. V roku 2020 </w:t>
      </w:r>
      <w:r w:rsidR="007F6C6C" w:rsidRPr="009B0095">
        <w:rPr>
          <w:rFonts w:ascii="Times New Roman" w:hAnsi="Times New Roman" w:cs="Times New Roman"/>
          <w:lang w:val="sk-SK"/>
        </w:rPr>
        <w:t xml:space="preserve">bola </w:t>
      </w:r>
      <w:r w:rsidRPr="009B0095">
        <w:rPr>
          <w:rFonts w:ascii="Times New Roman" w:hAnsi="Times New Roman" w:cs="Times New Roman"/>
          <w:lang w:val="sk-SK"/>
        </w:rPr>
        <w:t xml:space="preserve">situácia obdobná. </w:t>
      </w:r>
    </w:p>
    <w:p w14:paraId="26BC23BF" w14:textId="26C3477C" w:rsidR="00BF4B39" w:rsidRPr="009B0095" w:rsidRDefault="00BF4B39" w:rsidP="00D95701">
      <w:pPr>
        <w:pStyle w:val="Default"/>
        <w:spacing w:line="360" w:lineRule="auto"/>
        <w:jc w:val="both"/>
        <w:rPr>
          <w:rFonts w:ascii="Times New Roman" w:hAnsi="Times New Roman" w:cs="Times New Roman"/>
          <w:lang w:val="sk-SK"/>
        </w:rPr>
      </w:pPr>
    </w:p>
    <w:p w14:paraId="5C0EAFFD" w14:textId="77777777" w:rsidR="009312A4" w:rsidRDefault="009B0095" w:rsidP="009312A4">
      <w:pPr>
        <w:spacing w:line="360" w:lineRule="auto"/>
        <w:ind w:firstLine="708"/>
        <w:jc w:val="both"/>
        <w:rPr>
          <w:rFonts w:ascii="Times New Roman" w:hAnsi="Times New Roman" w:cs="Times New Roman"/>
          <w:sz w:val="24"/>
          <w:szCs w:val="24"/>
        </w:rPr>
      </w:pPr>
      <w:r w:rsidRPr="009B0095">
        <w:rPr>
          <w:rFonts w:ascii="Times New Roman" w:hAnsi="Times New Roman" w:cs="Times New Roman"/>
          <w:b/>
        </w:rPr>
        <w:t>Zhrnutie</w:t>
      </w:r>
      <w:r w:rsidR="009312A4" w:rsidRPr="009312A4">
        <w:rPr>
          <w:rFonts w:ascii="Times New Roman" w:hAnsi="Times New Roman" w:cs="Times New Roman"/>
          <w:sz w:val="24"/>
          <w:szCs w:val="24"/>
        </w:rPr>
        <w:t xml:space="preserve"> </w:t>
      </w:r>
    </w:p>
    <w:p w14:paraId="6655ECD9" w14:textId="77777777" w:rsidR="009312A4" w:rsidRDefault="009312A4" w:rsidP="009312A4">
      <w:pPr>
        <w:spacing w:line="360" w:lineRule="auto"/>
        <w:ind w:firstLine="708"/>
        <w:jc w:val="both"/>
        <w:rPr>
          <w:rFonts w:ascii="Times New Roman" w:hAnsi="Times New Roman" w:cs="Times New Roman"/>
          <w:sz w:val="24"/>
          <w:szCs w:val="24"/>
        </w:rPr>
      </w:pPr>
    </w:p>
    <w:p w14:paraId="1A93EF0F" w14:textId="197135EF" w:rsidR="009312A4" w:rsidRPr="00E475B2" w:rsidRDefault="009312A4" w:rsidP="009312A4">
      <w:pPr>
        <w:spacing w:line="360" w:lineRule="auto"/>
        <w:ind w:firstLine="708"/>
        <w:jc w:val="both"/>
        <w:rPr>
          <w:rFonts w:ascii="Times New Roman" w:hAnsi="Times New Roman" w:cs="Times New Roman"/>
          <w:sz w:val="24"/>
          <w:szCs w:val="24"/>
        </w:rPr>
      </w:pPr>
      <w:r w:rsidRPr="00E475B2">
        <w:rPr>
          <w:rFonts w:ascii="Times New Roman" w:hAnsi="Times New Roman" w:cs="Times New Roman"/>
          <w:sz w:val="24"/>
          <w:szCs w:val="24"/>
        </w:rPr>
        <w:t xml:space="preserve">Vzhľadom na výsledok oddlženia zdravotníckych zariadení v rámci Koncepcie, ktorej východiská boli dobrovoľnosť, transparentnosť a obmedzené finančné zdroje došlo k materializovaniu rizík, ktoré boli v dôsledku takto nastavených podmienok oddlženia stanovené, a to najmä aktívne konanie veriteľov, pri ktorých Koncepcia vyžadovala aktívne konanie smerujúce k uzatvoreniu právnych úkonov. Zároveň došlo k absolútnej materializácii rizika vyplývajúceho zo samotného modelu oddlženia, ktorý požadoval vzdanie sa príslušenstva pohľadávok a diskontu z istiny, kedy bolo dôvodné už v čase schvaľovania Koncepcie očakávať, že časť subjektov, ktoré skúpili pohľadávky za účelom ich kapitalizácie by sa účasťou v takto nastavenom </w:t>
      </w:r>
      <w:r w:rsidR="004C4AA0" w:rsidRPr="00E475B2">
        <w:rPr>
          <w:rFonts w:ascii="Times New Roman" w:hAnsi="Times New Roman" w:cs="Times New Roman"/>
          <w:sz w:val="24"/>
          <w:szCs w:val="24"/>
        </w:rPr>
        <w:t>model</w:t>
      </w:r>
      <w:r w:rsidR="004C4AA0">
        <w:rPr>
          <w:rFonts w:ascii="Times New Roman" w:hAnsi="Times New Roman" w:cs="Times New Roman"/>
          <w:sz w:val="24"/>
          <w:szCs w:val="24"/>
        </w:rPr>
        <w:t>i</w:t>
      </w:r>
      <w:r w:rsidR="004C4AA0" w:rsidRPr="00E475B2">
        <w:rPr>
          <w:rFonts w:ascii="Times New Roman" w:hAnsi="Times New Roman" w:cs="Times New Roman"/>
          <w:sz w:val="24"/>
          <w:szCs w:val="24"/>
        </w:rPr>
        <w:t xml:space="preserve"> </w:t>
      </w:r>
      <w:r w:rsidRPr="00E475B2">
        <w:rPr>
          <w:rFonts w:ascii="Times New Roman" w:hAnsi="Times New Roman" w:cs="Times New Roman"/>
          <w:sz w:val="24"/>
          <w:szCs w:val="24"/>
        </w:rPr>
        <w:t xml:space="preserve">oddlženia zdravotníckych </w:t>
      </w:r>
      <w:r w:rsidR="006E651D" w:rsidRPr="00E475B2">
        <w:rPr>
          <w:rFonts w:ascii="Times New Roman" w:hAnsi="Times New Roman" w:cs="Times New Roman"/>
          <w:sz w:val="24"/>
          <w:szCs w:val="24"/>
        </w:rPr>
        <w:t>zariaden</w:t>
      </w:r>
      <w:r w:rsidR="006E651D">
        <w:rPr>
          <w:rFonts w:ascii="Times New Roman" w:hAnsi="Times New Roman" w:cs="Times New Roman"/>
          <w:sz w:val="24"/>
          <w:szCs w:val="24"/>
        </w:rPr>
        <w:t>í</w:t>
      </w:r>
      <w:r w:rsidR="006E651D" w:rsidRPr="00E475B2">
        <w:rPr>
          <w:rFonts w:ascii="Times New Roman" w:hAnsi="Times New Roman" w:cs="Times New Roman"/>
          <w:sz w:val="24"/>
          <w:szCs w:val="24"/>
        </w:rPr>
        <w:t xml:space="preserve"> </w:t>
      </w:r>
      <w:r w:rsidRPr="00E475B2">
        <w:rPr>
          <w:rFonts w:ascii="Times New Roman" w:hAnsi="Times New Roman" w:cs="Times New Roman"/>
          <w:sz w:val="24"/>
          <w:szCs w:val="24"/>
        </w:rPr>
        <w:t xml:space="preserve">vedome </w:t>
      </w:r>
      <w:r w:rsidR="006E651D" w:rsidRPr="00E475B2">
        <w:rPr>
          <w:rFonts w:ascii="Times New Roman" w:hAnsi="Times New Roman" w:cs="Times New Roman"/>
          <w:sz w:val="24"/>
          <w:szCs w:val="24"/>
        </w:rPr>
        <w:t>vystavi</w:t>
      </w:r>
      <w:r w:rsidR="006E651D">
        <w:rPr>
          <w:rFonts w:ascii="Times New Roman" w:hAnsi="Times New Roman" w:cs="Times New Roman"/>
          <w:sz w:val="24"/>
          <w:szCs w:val="24"/>
        </w:rPr>
        <w:t>li</w:t>
      </w:r>
      <w:r w:rsidR="006E651D" w:rsidRPr="00E475B2">
        <w:rPr>
          <w:rFonts w:ascii="Times New Roman" w:hAnsi="Times New Roman" w:cs="Times New Roman"/>
          <w:sz w:val="24"/>
          <w:szCs w:val="24"/>
        </w:rPr>
        <w:t xml:space="preserve"> </w:t>
      </w:r>
      <w:r w:rsidRPr="00E475B2">
        <w:rPr>
          <w:rFonts w:ascii="Times New Roman" w:hAnsi="Times New Roman" w:cs="Times New Roman"/>
          <w:sz w:val="24"/>
          <w:szCs w:val="24"/>
        </w:rPr>
        <w:t>finančnej strate v rozpore s predmetom svojej činnosti. Preto Koncepcia ani po skončení jej tretej etapy v období roka 2019 neodstránila samotné dôvody zadlžovania zdravotníckych zariadení ani nevyriešila ich zadlženie, ktoré bolo jej cieľom.</w:t>
      </w:r>
    </w:p>
    <w:p w14:paraId="7BDBBF87" w14:textId="3846CF38" w:rsidR="00BF4B39" w:rsidRPr="009312A4" w:rsidRDefault="009312A4" w:rsidP="009312A4">
      <w:pPr>
        <w:pStyle w:val="Popis"/>
        <w:keepNext/>
        <w:spacing w:line="360" w:lineRule="auto"/>
        <w:ind w:firstLine="708"/>
        <w:jc w:val="both"/>
        <w:rPr>
          <w:rFonts w:ascii="Times New Roman" w:hAnsi="Times New Roman" w:cs="Times New Roman"/>
          <w:b/>
          <w:i w:val="0"/>
          <w:color w:val="auto"/>
        </w:rPr>
      </w:pPr>
      <w:r w:rsidRPr="009312A4">
        <w:rPr>
          <w:rFonts w:ascii="Times New Roman" w:hAnsi="Times New Roman" w:cs="Times New Roman"/>
          <w:i w:val="0"/>
          <w:color w:val="auto"/>
          <w:sz w:val="24"/>
          <w:szCs w:val="24"/>
        </w:rPr>
        <w:t xml:space="preserve">Naďalej aj po skončení poslednej 3. etapy oddlženia pretrvávali a pretrvávajú nedostatky v aplikácii smernice Európskeho parlamentu a Rady 2011/7/EÚ zo dňa 16. februára 2011 o boji proti oneskoreným platbám v obchodných transakciách pokiaľ ide o uplatnenie </w:t>
      </w:r>
      <w:r w:rsidRPr="009312A4">
        <w:rPr>
          <w:rFonts w:ascii="Times New Roman" w:hAnsi="Times New Roman" w:cs="Times New Roman"/>
          <w:i w:val="0"/>
          <w:color w:val="auto"/>
          <w:sz w:val="24"/>
          <w:szCs w:val="24"/>
        </w:rPr>
        <w:lastRenderedPageBreak/>
        <w:t>predmetnej smernice v otázke úhrad faktúr od zdravotníckych zariadení v prospech dodávateľov.</w:t>
      </w:r>
    </w:p>
    <w:p w14:paraId="3319FE5F" w14:textId="77777777" w:rsidR="009312A4" w:rsidRPr="009B0095" w:rsidRDefault="009312A4" w:rsidP="00D95701">
      <w:pPr>
        <w:spacing w:line="360" w:lineRule="auto"/>
        <w:jc w:val="both"/>
        <w:rPr>
          <w:rFonts w:ascii="Times New Roman" w:hAnsi="Times New Roman" w:cs="Times New Roman"/>
          <w:b/>
          <w:sz w:val="24"/>
          <w:szCs w:val="24"/>
        </w:rPr>
      </w:pPr>
    </w:p>
    <w:p w14:paraId="00EADEBA" w14:textId="406C64D7" w:rsidR="000C6F0E" w:rsidRPr="009312A4" w:rsidRDefault="007F6C6C" w:rsidP="009312A4">
      <w:pPr>
        <w:pStyle w:val="Odsekzoznamu"/>
        <w:numPr>
          <w:ilvl w:val="0"/>
          <w:numId w:val="25"/>
        </w:numPr>
        <w:spacing w:line="360" w:lineRule="auto"/>
        <w:ind w:left="426" w:hanging="426"/>
        <w:jc w:val="both"/>
        <w:rPr>
          <w:b/>
          <w:sz w:val="28"/>
          <w:szCs w:val="28"/>
        </w:rPr>
      </w:pPr>
      <w:r w:rsidRPr="009312A4">
        <w:rPr>
          <w:b/>
          <w:sz w:val="28"/>
          <w:szCs w:val="28"/>
        </w:rPr>
        <w:t xml:space="preserve">Vyhodnotenie realizácie </w:t>
      </w:r>
      <w:r w:rsidR="00B130E0" w:rsidRPr="009312A4">
        <w:rPr>
          <w:b/>
          <w:sz w:val="28"/>
          <w:szCs w:val="28"/>
        </w:rPr>
        <w:t>Návrh</w:t>
      </w:r>
      <w:r w:rsidRPr="009312A4">
        <w:rPr>
          <w:b/>
          <w:sz w:val="28"/>
          <w:szCs w:val="28"/>
        </w:rPr>
        <w:t>u</w:t>
      </w:r>
      <w:r w:rsidR="00B130E0" w:rsidRPr="009312A4">
        <w:rPr>
          <w:b/>
          <w:sz w:val="28"/>
          <w:szCs w:val="28"/>
        </w:rPr>
        <w:t xml:space="preserve"> finančnej stabilizácie zdravotníckych zariadení </w:t>
      </w:r>
      <w:r w:rsidR="006D5E87" w:rsidRPr="009312A4">
        <w:rPr>
          <w:b/>
          <w:sz w:val="28"/>
          <w:szCs w:val="28"/>
        </w:rPr>
        <w:t>(ďalej aj ako „návrh finančnej stabilizácie“ alebo „</w:t>
      </w:r>
      <w:r w:rsidR="004279CA">
        <w:rPr>
          <w:b/>
          <w:sz w:val="28"/>
          <w:szCs w:val="28"/>
        </w:rPr>
        <w:t>F</w:t>
      </w:r>
      <w:r w:rsidR="006D5E87" w:rsidRPr="009312A4">
        <w:rPr>
          <w:b/>
          <w:sz w:val="28"/>
          <w:szCs w:val="28"/>
        </w:rPr>
        <w:t xml:space="preserve">inančná stabilizácia“) </w:t>
      </w:r>
      <w:r w:rsidR="00B130E0" w:rsidRPr="009312A4">
        <w:rPr>
          <w:b/>
          <w:sz w:val="28"/>
          <w:szCs w:val="28"/>
        </w:rPr>
        <w:t xml:space="preserve">a jeho implementácia v roku 2021 a v prvom polroku 2022. </w:t>
      </w:r>
    </w:p>
    <w:p w14:paraId="4D6F493B" w14:textId="77777777" w:rsidR="0034108D" w:rsidRPr="009B0095" w:rsidRDefault="0034108D" w:rsidP="00D95701">
      <w:pPr>
        <w:spacing w:line="360" w:lineRule="auto"/>
        <w:jc w:val="both"/>
        <w:rPr>
          <w:rFonts w:ascii="Times New Roman" w:hAnsi="Times New Roman" w:cs="Times New Roman"/>
          <w:b/>
          <w:sz w:val="24"/>
          <w:szCs w:val="24"/>
        </w:rPr>
      </w:pPr>
    </w:p>
    <w:p w14:paraId="03B41316" w14:textId="20BFB4C0" w:rsidR="009312A4" w:rsidRDefault="00C52C81" w:rsidP="00D95701">
      <w:pPr>
        <w:spacing w:line="360" w:lineRule="auto"/>
        <w:jc w:val="both"/>
        <w:rPr>
          <w:rFonts w:ascii="Times New Roman" w:hAnsi="Times New Roman" w:cs="Times New Roman"/>
          <w:sz w:val="24"/>
          <w:szCs w:val="24"/>
        </w:rPr>
      </w:pPr>
      <w:r w:rsidRPr="009312A4">
        <w:rPr>
          <w:rFonts w:ascii="Times New Roman" w:hAnsi="Times New Roman" w:cs="Times New Roman"/>
          <w:sz w:val="24"/>
          <w:szCs w:val="24"/>
        </w:rPr>
        <w:tab/>
      </w:r>
      <w:r w:rsidR="00337A92" w:rsidRPr="009312A4">
        <w:rPr>
          <w:rFonts w:ascii="Times New Roman" w:hAnsi="Times New Roman" w:cs="Times New Roman"/>
          <w:sz w:val="24"/>
          <w:szCs w:val="24"/>
        </w:rPr>
        <w:t xml:space="preserve">Vzhľadom na skutočnosti a závery z oddlženia zdravotníckych zariadení v období rokov 2017 až 2019 Ministerstvo zdravotníctva </w:t>
      </w:r>
      <w:r w:rsidR="006E651D">
        <w:rPr>
          <w:rFonts w:ascii="Times New Roman" w:hAnsi="Times New Roman" w:cs="Times New Roman"/>
          <w:sz w:val="24"/>
          <w:szCs w:val="24"/>
        </w:rPr>
        <w:t xml:space="preserve">SR </w:t>
      </w:r>
      <w:r w:rsidR="00337A92" w:rsidRPr="009312A4">
        <w:rPr>
          <w:rFonts w:ascii="Times New Roman" w:hAnsi="Times New Roman" w:cs="Times New Roman"/>
          <w:sz w:val="24"/>
          <w:szCs w:val="24"/>
        </w:rPr>
        <w:t>predložilo v období roka 2020  vláde SR na schválenie materiál „</w:t>
      </w:r>
      <w:r w:rsidR="00C339C2" w:rsidRPr="009312A4">
        <w:rPr>
          <w:rFonts w:ascii="Times New Roman" w:hAnsi="Times New Roman" w:cs="Times New Roman"/>
          <w:sz w:val="24"/>
          <w:szCs w:val="24"/>
        </w:rPr>
        <w:t xml:space="preserve">Návrh finančnej stabilizácie zdravotníckych zariadení“, ktorého cieľom bola eliminácia rizika ohrozenia činnosti zdravotníckych zariadení, v dôsledku veriteľmi uplatnených nárokov bez možností aktívnej procesnej obrany v rámci súdnych konaní alebo v rámci exekučných konaní, ktoré sa ako dôsledok výsledku oddlženia zdravotníckych zariadení v období rokov 2017 až 2019 takisto materializoval. </w:t>
      </w:r>
      <w:r w:rsidR="004866B2">
        <w:rPr>
          <w:rFonts w:ascii="Times New Roman" w:hAnsi="Times New Roman" w:cs="Times New Roman"/>
          <w:sz w:val="24"/>
          <w:szCs w:val="24"/>
        </w:rPr>
        <w:t>Zdravotnícke zariadenia</w:t>
      </w:r>
      <w:r w:rsidR="004866B2" w:rsidRPr="009312A4">
        <w:rPr>
          <w:rFonts w:ascii="Times New Roman" w:hAnsi="Times New Roman" w:cs="Times New Roman"/>
          <w:sz w:val="24"/>
          <w:szCs w:val="24"/>
        </w:rPr>
        <w:t xml:space="preserve"> </w:t>
      </w:r>
      <w:r w:rsidR="00C339C2" w:rsidRPr="009312A4">
        <w:rPr>
          <w:rFonts w:ascii="Times New Roman" w:hAnsi="Times New Roman" w:cs="Times New Roman"/>
          <w:sz w:val="24"/>
          <w:szCs w:val="24"/>
        </w:rPr>
        <w:t xml:space="preserve">ani pri zlepšení svojho hospodárenia v rámci podmienok stanovených v predchádzajúcom oddlžení neboli schopné vygenerovať dostatočné zdroje na úhradu svojich záväzkov po lehote splatnosti. </w:t>
      </w:r>
      <w:r w:rsidR="002F7FEA" w:rsidRPr="009312A4">
        <w:rPr>
          <w:rFonts w:ascii="Times New Roman" w:hAnsi="Times New Roman" w:cs="Times New Roman"/>
          <w:sz w:val="24"/>
          <w:szCs w:val="24"/>
        </w:rPr>
        <w:t>Ministerstvo zdravotníctva</w:t>
      </w:r>
      <w:r w:rsidR="008A6C75" w:rsidRPr="009312A4">
        <w:rPr>
          <w:rFonts w:ascii="Times New Roman" w:hAnsi="Times New Roman" w:cs="Times New Roman"/>
          <w:sz w:val="24"/>
          <w:szCs w:val="24"/>
        </w:rPr>
        <w:t xml:space="preserve"> </w:t>
      </w:r>
      <w:r w:rsidR="00DD0190" w:rsidRPr="009312A4">
        <w:rPr>
          <w:rFonts w:ascii="Times New Roman" w:hAnsi="Times New Roman" w:cs="Times New Roman"/>
          <w:sz w:val="24"/>
          <w:szCs w:val="24"/>
        </w:rPr>
        <w:t>SR</w:t>
      </w:r>
      <w:r w:rsidR="00C339C2" w:rsidRPr="009312A4">
        <w:rPr>
          <w:rFonts w:ascii="Times New Roman" w:hAnsi="Times New Roman" w:cs="Times New Roman"/>
          <w:sz w:val="24"/>
          <w:szCs w:val="24"/>
        </w:rPr>
        <w:t xml:space="preserve"> kontinuálne a nepretržite</w:t>
      </w:r>
      <w:r w:rsidR="00DD0190" w:rsidRPr="009312A4">
        <w:rPr>
          <w:rFonts w:ascii="Times New Roman" w:hAnsi="Times New Roman" w:cs="Times New Roman"/>
          <w:sz w:val="24"/>
          <w:szCs w:val="24"/>
        </w:rPr>
        <w:t xml:space="preserve"> monitoruje vývoj obchodných záväzkov zdravotníckych zariadení a realizuje opatrenia na zníženie </w:t>
      </w:r>
      <w:r w:rsidR="00C339C2" w:rsidRPr="009312A4">
        <w:rPr>
          <w:rFonts w:ascii="Times New Roman" w:hAnsi="Times New Roman" w:cs="Times New Roman"/>
          <w:sz w:val="24"/>
          <w:szCs w:val="24"/>
        </w:rPr>
        <w:t xml:space="preserve">ich </w:t>
      </w:r>
      <w:r w:rsidR="00DD0190" w:rsidRPr="009312A4">
        <w:rPr>
          <w:rFonts w:ascii="Times New Roman" w:hAnsi="Times New Roman" w:cs="Times New Roman"/>
          <w:sz w:val="24"/>
          <w:szCs w:val="24"/>
        </w:rPr>
        <w:t xml:space="preserve">zadlženosti. Všeobecne dlhodobým problémom </w:t>
      </w:r>
      <w:r w:rsidR="0091406C" w:rsidRPr="009312A4">
        <w:rPr>
          <w:rFonts w:ascii="Times New Roman" w:hAnsi="Times New Roman" w:cs="Times New Roman"/>
          <w:sz w:val="24"/>
          <w:szCs w:val="24"/>
        </w:rPr>
        <w:t xml:space="preserve">však </w:t>
      </w:r>
      <w:r w:rsidR="00DD0190" w:rsidRPr="009312A4">
        <w:rPr>
          <w:rFonts w:ascii="Times New Roman" w:hAnsi="Times New Roman" w:cs="Times New Roman"/>
          <w:sz w:val="24"/>
          <w:szCs w:val="24"/>
        </w:rPr>
        <w:t xml:space="preserve">je, že náklady najväčších fakultných a univerzitných nemocníc nie sú v dostatočnej miere pokryté výnosmi od zdravotných poisťovní. Generovanie prevádzkových strát v </w:t>
      </w:r>
      <w:r w:rsidR="004866B2">
        <w:rPr>
          <w:rFonts w:ascii="Times New Roman" w:hAnsi="Times New Roman" w:cs="Times New Roman"/>
          <w:sz w:val="24"/>
          <w:szCs w:val="24"/>
        </w:rPr>
        <w:t>zdravotníckych zariadeniach</w:t>
      </w:r>
      <w:r w:rsidR="004866B2" w:rsidRPr="009312A4">
        <w:rPr>
          <w:rFonts w:ascii="Times New Roman" w:hAnsi="Times New Roman" w:cs="Times New Roman"/>
          <w:sz w:val="24"/>
          <w:szCs w:val="24"/>
        </w:rPr>
        <w:t xml:space="preserve"> </w:t>
      </w:r>
      <w:r w:rsidR="00DD0190" w:rsidRPr="009312A4">
        <w:rPr>
          <w:rFonts w:ascii="Times New Roman" w:hAnsi="Times New Roman" w:cs="Times New Roman"/>
          <w:sz w:val="24"/>
          <w:szCs w:val="24"/>
        </w:rPr>
        <w:t>v pôsobnosti Ministerstva zdravotníctva SR je spôsobené okrem iného aj tým, že v týchto zariadeniach sa uskutočňuje najväčší rozsah finančne náročných výkonov poskytovanej zdravotnej starostlivosti.</w:t>
      </w:r>
      <w:r w:rsidRPr="009312A4">
        <w:rPr>
          <w:rFonts w:ascii="Times New Roman" w:hAnsi="Times New Roman" w:cs="Times New Roman"/>
          <w:sz w:val="24"/>
          <w:szCs w:val="24"/>
        </w:rPr>
        <w:t xml:space="preserve"> Medziročne rastú</w:t>
      </w:r>
      <w:r w:rsidR="00DD0190" w:rsidRPr="009312A4">
        <w:rPr>
          <w:rFonts w:ascii="Times New Roman" w:hAnsi="Times New Roman" w:cs="Times New Roman"/>
          <w:sz w:val="24"/>
          <w:szCs w:val="24"/>
        </w:rPr>
        <w:t xml:space="preserve"> prevádzkové náklady predovšetkým v oblasti osobných nákladov</w:t>
      </w:r>
      <w:r w:rsidRPr="009312A4">
        <w:rPr>
          <w:rFonts w:ascii="Times New Roman" w:hAnsi="Times New Roman" w:cs="Times New Roman"/>
          <w:sz w:val="24"/>
          <w:szCs w:val="24"/>
        </w:rPr>
        <w:t xml:space="preserve">. </w:t>
      </w:r>
      <w:r w:rsidR="0091406C" w:rsidRPr="009312A4">
        <w:rPr>
          <w:rFonts w:ascii="Times New Roman" w:hAnsi="Times New Roman" w:cs="Times New Roman"/>
          <w:sz w:val="24"/>
          <w:szCs w:val="24"/>
        </w:rPr>
        <w:t>Podiel osobných nákladov v pomere k výnosom od zdravotných poisťovní</w:t>
      </w:r>
      <w:r w:rsidR="006E6045" w:rsidRPr="009312A4">
        <w:rPr>
          <w:rFonts w:ascii="Times New Roman" w:hAnsi="Times New Roman" w:cs="Times New Roman"/>
          <w:sz w:val="24"/>
          <w:szCs w:val="24"/>
        </w:rPr>
        <w:t xml:space="preserve"> </w:t>
      </w:r>
      <w:r w:rsidR="0091406C" w:rsidRPr="009312A4">
        <w:rPr>
          <w:rFonts w:ascii="Times New Roman" w:hAnsi="Times New Roman" w:cs="Times New Roman"/>
          <w:sz w:val="24"/>
          <w:szCs w:val="24"/>
        </w:rPr>
        <w:t xml:space="preserve">sa medziročne neustále zvyšuje a významne komplikuje situáciu pri zlepšovaní finančnej  kondície </w:t>
      </w:r>
      <w:r w:rsidR="004866B2">
        <w:rPr>
          <w:rFonts w:ascii="Times New Roman" w:hAnsi="Times New Roman" w:cs="Times New Roman"/>
          <w:sz w:val="24"/>
          <w:szCs w:val="24"/>
        </w:rPr>
        <w:t>zdravotníckych zariadení</w:t>
      </w:r>
      <w:r w:rsidR="0091406C" w:rsidRPr="009312A4">
        <w:rPr>
          <w:rFonts w:ascii="Times New Roman" w:hAnsi="Times New Roman" w:cs="Times New Roman"/>
          <w:sz w:val="24"/>
          <w:szCs w:val="24"/>
        </w:rPr>
        <w:t>.  Tento podiel  v roku 2021  predstavoval v priemere 85 %, pre porovnanie v roku 2020 to bolo v priemere 77 %</w:t>
      </w:r>
      <w:r w:rsidR="007F6C6C" w:rsidRPr="009312A4">
        <w:rPr>
          <w:rFonts w:ascii="Times New Roman" w:hAnsi="Times New Roman" w:cs="Times New Roman"/>
          <w:sz w:val="24"/>
          <w:szCs w:val="24"/>
        </w:rPr>
        <w:t xml:space="preserve"> a v roku 2018 to bolo </w:t>
      </w:r>
      <w:r w:rsidR="009312A4">
        <w:rPr>
          <w:rFonts w:ascii="Times New Roman" w:hAnsi="Times New Roman" w:cs="Times New Roman"/>
          <w:sz w:val="24"/>
          <w:szCs w:val="24"/>
        </w:rPr>
        <w:t xml:space="preserve">72 </w:t>
      </w:r>
      <w:r w:rsidR="009312A4" w:rsidRPr="009312A4">
        <w:rPr>
          <w:rFonts w:ascii="Times New Roman" w:hAnsi="Times New Roman" w:cs="Times New Roman"/>
          <w:sz w:val="24"/>
          <w:szCs w:val="24"/>
        </w:rPr>
        <w:t>%</w:t>
      </w:r>
      <w:r w:rsidR="009312A4">
        <w:rPr>
          <w:rFonts w:ascii="Times New Roman" w:hAnsi="Times New Roman" w:cs="Times New Roman"/>
          <w:sz w:val="24"/>
          <w:szCs w:val="24"/>
        </w:rPr>
        <w:t xml:space="preserve"> (viď graf č. 1 nižšie)</w:t>
      </w:r>
      <w:r w:rsidR="009312A4" w:rsidRPr="009312A4">
        <w:rPr>
          <w:rFonts w:ascii="Times New Roman" w:hAnsi="Times New Roman" w:cs="Times New Roman"/>
          <w:sz w:val="24"/>
          <w:szCs w:val="24"/>
        </w:rPr>
        <w:t>.</w:t>
      </w:r>
      <w:r w:rsidR="00151773" w:rsidRPr="009B0095">
        <w:rPr>
          <w:rFonts w:ascii="Times New Roman" w:hAnsi="Times New Roman" w:cs="Times New Roman"/>
          <w:sz w:val="24"/>
          <w:szCs w:val="24"/>
        </w:rPr>
        <w:t xml:space="preserve"> Zvyšovanie tohto podielu je spôsobené predovšetkým</w:t>
      </w:r>
      <w:r w:rsidR="00C339C2" w:rsidRPr="009B0095">
        <w:rPr>
          <w:rFonts w:ascii="Times New Roman" w:hAnsi="Times New Roman" w:cs="Times New Roman"/>
          <w:sz w:val="24"/>
          <w:szCs w:val="24"/>
        </w:rPr>
        <w:t xml:space="preserve"> </w:t>
      </w:r>
      <w:r w:rsidR="006E651D">
        <w:rPr>
          <w:rFonts w:ascii="Times New Roman" w:hAnsi="Times New Roman" w:cs="Times New Roman"/>
          <w:sz w:val="24"/>
          <w:szCs w:val="24"/>
        </w:rPr>
        <w:t xml:space="preserve">v dôsledku </w:t>
      </w:r>
      <w:r w:rsidR="006E651D" w:rsidRPr="009B0095">
        <w:rPr>
          <w:rFonts w:ascii="Times New Roman" w:hAnsi="Times New Roman" w:cs="Times New Roman"/>
          <w:sz w:val="24"/>
          <w:szCs w:val="24"/>
        </w:rPr>
        <w:t>zákonn</w:t>
      </w:r>
      <w:r w:rsidR="006E651D">
        <w:rPr>
          <w:rFonts w:ascii="Times New Roman" w:hAnsi="Times New Roman" w:cs="Times New Roman"/>
          <w:sz w:val="24"/>
          <w:szCs w:val="24"/>
        </w:rPr>
        <w:t>ej</w:t>
      </w:r>
      <w:r w:rsidR="006E651D" w:rsidRPr="009B0095">
        <w:rPr>
          <w:rFonts w:ascii="Times New Roman" w:hAnsi="Times New Roman" w:cs="Times New Roman"/>
          <w:sz w:val="24"/>
          <w:szCs w:val="24"/>
        </w:rPr>
        <w:t xml:space="preserve"> úprav</w:t>
      </w:r>
      <w:r w:rsidR="006E651D">
        <w:rPr>
          <w:rFonts w:ascii="Times New Roman" w:hAnsi="Times New Roman" w:cs="Times New Roman"/>
          <w:sz w:val="24"/>
          <w:szCs w:val="24"/>
        </w:rPr>
        <w:t>y</w:t>
      </w:r>
      <w:r w:rsidR="006E651D" w:rsidRPr="009B0095">
        <w:rPr>
          <w:rFonts w:ascii="Times New Roman" w:hAnsi="Times New Roman" w:cs="Times New Roman"/>
          <w:sz w:val="24"/>
          <w:szCs w:val="24"/>
        </w:rPr>
        <w:t xml:space="preserve"> </w:t>
      </w:r>
      <w:r w:rsidR="006E651D">
        <w:rPr>
          <w:rFonts w:ascii="Times New Roman" w:hAnsi="Times New Roman" w:cs="Times New Roman"/>
          <w:sz w:val="24"/>
          <w:szCs w:val="24"/>
        </w:rPr>
        <w:t>určujúcej</w:t>
      </w:r>
      <w:r w:rsidR="006E651D" w:rsidRPr="009B0095">
        <w:rPr>
          <w:rFonts w:ascii="Times New Roman" w:hAnsi="Times New Roman" w:cs="Times New Roman"/>
          <w:sz w:val="24"/>
          <w:szCs w:val="24"/>
        </w:rPr>
        <w:t xml:space="preserve"> </w:t>
      </w:r>
      <w:r w:rsidR="00C339C2" w:rsidRPr="009B0095">
        <w:rPr>
          <w:rFonts w:ascii="Times New Roman" w:hAnsi="Times New Roman" w:cs="Times New Roman"/>
          <w:sz w:val="24"/>
          <w:szCs w:val="24"/>
        </w:rPr>
        <w:t>mzdové nároky zamestnancov zdravotníckych zariadení</w:t>
      </w:r>
      <w:r w:rsidR="00151773" w:rsidRPr="009B0095">
        <w:rPr>
          <w:rFonts w:ascii="Times New Roman" w:hAnsi="Times New Roman" w:cs="Times New Roman"/>
          <w:sz w:val="24"/>
          <w:szCs w:val="24"/>
        </w:rPr>
        <w:t xml:space="preserve"> a</w:t>
      </w:r>
      <w:r w:rsidR="009312A4">
        <w:rPr>
          <w:rFonts w:ascii="Times New Roman" w:hAnsi="Times New Roman" w:cs="Times New Roman"/>
          <w:sz w:val="24"/>
          <w:szCs w:val="24"/>
        </w:rPr>
        <w:t xml:space="preserve"> </w:t>
      </w:r>
      <w:r w:rsidR="00151773" w:rsidRPr="009B0095">
        <w:rPr>
          <w:rFonts w:ascii="Times New Roman" w:hAnsi="Times New Roman" w:cs="Times New Roman"/>
          <w:sz w:val="24"/>
          <w:szCs w:val="24"/>
        </w:rPr>
        <w:t>vplyvom kolektívnych zmlúv</w:t>
      </w:r>
      <w:r w:rsidR="007F6C6C" w:rsidRPr="009B0095">
        <w:rPr>
          <w:rFonts w:ascii="Times New Roman" w:hAnsi="Times New Roman" w:cs="Times New Roman"/>
          <w:sz w:val="24"/>
          <w:szCs w:val="24"/>
        </w:rPr>
        <w:t>,</w:t>
      </w:r>
      <w:r w:rsidR="00151773" w:rsidRPr="009B0095">
        <w:rPr>
          <w:rFonts w:ascii="Times New Roman" w:hAnsi="Times New Roman" w:cs="Times New Roman"/>
          <w:sz w:val="24"/>
          <w:szCs w:val="24"/>
        </w:rPr>
        <w:t xml:space="preserve"> ktorých priemerný podiel na ročnej cene práce za 13 univerzitných a fakultných nemocníc je na úrovni približne 25</w:t>
      </w:r>
      <w:r w:rsidR="007F6C6C" w:rsidRPr="009312A4">
        <w:rPr>
          <w:rFonts w:ascii="Times New Roman" w:hAnsi="Times New Roman" w:cs="Times New Roman"/>
          <w:sz w:val="24"/>
          <w:szCs w:val="24"/>
        </w:rPr>
        <w:t xml:space="preserve"> </w:t>
      </w:r>
      <w:r w:rsidR="00151773" w:rsidRPr="009312A4">
        <w:rPr>
          <w:rFonts w:ascii="Times New Roman" w:hAnsi="Times New Roman" w:cs="Times New Roman"/>
          <w:sz w:val="24"/>
          <w:szCs w:val="24"/>
        </w:rPr>
        <w:t>%. Platové zvýhodnenia formou kolektívnych zmlúv sú však nevyhnutné pre stabilizáciu personálnych kapacít</w:t>
      </w:r>
      <w:r w:rsidR="00FA31AB" w:rsidRPr="009312A4">
        <w:rPr>
          <w:rFonts w:ascii="Times New Roman" w:hAnsi="Times New Roman" w:cs="Times New Roman"/>
          <w:sz w:val="24"/>
          <w:szCs w:val="24"/>
        </w:rPr>
        <w:t xml:space="preserve"> a dosiahnutia sociálneho zmieru</w:t>
      </w:r>
      <w:r w:rsidR="00151773" w:rsidRPr="009312A4">
        <w:rPr>
          <w:rFonts w:ascii="Times New Roman" w:hAnsi="Times New Roman" w:cs="Times New Roman"/>
          <w:sz w:val="24"/>
          <w:szCs w:val="24"/>
        </w:rPr>
        <w:t>.</w:t>
      </w:r>
    </w:p>
    <w:p w14:paraId="289D3D31" w14:textId="53E67AA5" w:rsidR="009312A4" w:rsidRPr="00C11A51" w:rsidRDefault="009312A4" w:rsidP="00D95701">
      <w:pPr>
        <w:spacing w:line="360" w:lineRule="auto"/>
        <w:jc w:val="both"/>
        <w:rPr>
          <w:rFonts w:ascii="Times New Roman" w:hAnsi="Times New Roman" w:cs="Times New Roman"/>
          <w:sz w:val="20"/>
          <w:szCs w:val="20"/>
        </w:rPr>
      </w:pPr>
      <w:r w:rsidRPr="00C11A51">
        <w:rPr>
          <w:rFonts w:ascii="Times New Roman" w:hAnsi="Times New Roman" w:cs="Times New Roman"/>
          <w:sz w:val="20"/>
          <w:szCs w:val="20"/>
        </w:rPr>
        <w:lastRenderedPageBreak/>
        <w:t>graf č. 1</w:t>
      </w:r>
    </w:p>
    <w:p w14:paraId="79CE6094" w14:textId="18B71B4B" w:rsidR="009312A4" w:rsidRPr="009312A4" w:rsidRDefault="009312A4" w:rsidP="00D95701">
      <w:pPr>
        <w:spacing w:line="360" w:lineRule="auto"/>
        <w:jc w:val="both"/>
        <w:rPr>
          <w:rFonts w:ascii="Times New Roman" w:hAnsi="Times New Roman" w:cs="Times New Roman"/>
          <w:sz w:val="24"/>
          <w:szCs w:val="24"/>
        </w:rPr>
      </w:pPr>
      <w:r>
        <w:rPr>
          <w:noProof/>
          <w:lang w:eastAsia="sk-SK"/>
        </w:rPr>
        <w:drawing>
          <wp:inline distT="0" distB="0" distL="0" distR="0" wp14:anchorId="439EBC46" wp14:editId="2ECB90E9">
            <wp:extent cx="5731510" cy="3495040"/>
            <wp:effectExtent l="0" t="0" r="2540" b="1016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2BB2E9" w14:textId="77777777" w:rsidR="00C11A51" w:rsidRDefault="0091406C" w:rsidP="00D95701">
      <w:pPr>
        <w:spacing w:line="360" w:lineRule="auto"/>
        <w:jc w:val="both"/>
        <w:rPr>
          <w:rFonts w:ascii="Times New Roman" w:hAnsi="Times New Roman" w:cs="Times New Roman"/>
          <w:sz w:val="24"/>
          <w:szCs w:val="24"/>
        </w:rPr>
      </w:pPr>
      <w:r w:rsidRPr="009312A4">
        <w:rPr>
          <w:rFonts w:ascii="Times New Roman" w:hAnsi="Times New Roman" w:cs="Times New Roman"/>
          <w:sz w:val="24"/>
          <w:szCs w:val="24"/>
        </w:rPr>
        <w:tab/>
      </w:r>
    </w:p>
    <w:p w14:paraId="16A39725" w14:textId="4FE6B1D0" w:rsidR="00B130E0" w:rsidRDefault="00B130E0" w:rsidP="00C11A51">
      <w:pPr>
        <w:spacing w:line="360" w:lineRule="auto"/>
        <w:ind w:firstLine="708"/>
        <w:jc w:val="both"/>
        <w:rPr>
          <w:rFonts w:ascii="Times New Roman" w:hAnsi="Times New Roman" w:cs="Times New Roman"/>
          <w:sz w:val="24"/>
          <w:szCs w:val="24"/>
        </w:rPr>
      </w:pPr>
      <w:r w:rsidRPr="009312A4">
        <w:rPr>
          <w:rFonts w:ascii="Times New Roman" w:hAnsi="Times New Roman" w:cs="Times New Roman"/>
          <w:sz w:val="24"/>
          <w:szCs w:val="24"/>
        </w:rPr>
        <w:t xml:space="preserve">Vzhľadom na </w:t>
      </w:r>
      <w:r w:rsidR="0091406C" w:rsidRPr="009312A4">
        <w:rPr>
          <w:rFonts w:ascii="Times New Roman" w:hAnsi="Times New Roman" w:cs="Times New Roman"/>
          <w:sz w:val="24"/>
          <w:szCs w:val="24"/>
        </w:rPr>
        <w:t xml:space="preserve">rastúce a medziročne </w:t>
      </w:r>
      <w:r w:rsidRPr="009312A4">
        <w:rPr>
          <w:rFonts w:ascii="Times New Roman" w:hAnsi="Times New Roman" w:cs="Times New Roman"/>
          <w:sz w:val="24"/>
          <w:szCs w:val="24"/>
        </w:rPr>
        <w:t>preukázateľne vyššie náklady v zdravotníckych zariadeniach a nevyhnutnosť ich finančnej stabilizácie</w:t>
      </w:r>
      <w:r w:rsidR="00C11A51">
        <w:rPr>
          <w:rFonts w:ascii="Times New Roman" w:hAnsi="Times New Roman" w:cs="Times New Roman"/>
          <w:sz w:val="24"/>
          <w:szCs w:val="24"/>
        </w:rPr>
        <w:t>,</w:t>
      </w:r>
      <w:r w:rsidRPr="009312A4">
        <w:rPr>
          <w:rFonts w:ascii="Times New Roman" w:hAnsi="Times New Roman" w:cs="Times New Roman"/>
          <w:sz w:val="24"/>
          <w:szCs w:val="24"/>
        </w:rPr>
        <w:t xml:space="preserve"> bol uznesením vlády </w:t>
      </w:r>
      <w:r w:rsidR="006E651D">
        <w:rPr>
          <w:rFonts w:ascii="Times New Roman" w:hAnsi="Times New Roman" w:cs="Times New Roman"/>
          <w:sz w:val="24"/>
          <w:szCs w:val="24"/>
        </w:rPr>
        <w:t>SR</w:t>
      </w:r>
      <w:r w:rsidRPr="009312A4">
        <w:rPr>
          <w:rFonts w:ascii="Times New Roman" w:hAnsi="Times New Roman" w:cs="Times New Roman"/>
          <w:sz w:val="24"/>
          <w:szCs w:val="24"/>
        </w:rPr>
        <w:t xml:space="preserve"> č. 757 z 2. decembra 2020 schválený materiál Návrh finančnej stabilizácie zdravotníckych zariadení</w:t>
      </w:r>
      <w:r w:rsidR="00FA31AB" w:rsidRPr="009312A4">
        <w:rPr>
          <w:rFonts w:ascii="Times New Roman" w:hAnsi="Times New Roman" w:cs="Times New Roman"/>
          <w:sz w:val="24"/>
          <w:szCs w:val="24"/>
        </w:rPr>
        <w:t>, ktor</w:t>
      </w:r>
      <w:r w:rsidR="00CF2DAE" w:rsidRPr="00C11A51">
        <w:rPr>
          <w:rFonts w:ascii="Times New Roman" w:hAnsi="Times New Roman" w:cs="Times New Roman"/>
          <w:sz w:val="24"/>
          <w:szCs w:val="24"/>
        </w:rPr>
        <w:t>ý</w:t>
      </w:r>
      <w:r w:rsidR="00FA31AB" w:rsidRPr="00C11A51">
        <w:rPr>
          <w:rFonts w:ascii="Times New Roman" w:hAnsi="Times New Roman" w:cs="Times New Roman"/>
          <w:sz w:val="24"/>
          <w:szCs w:val="24"/>
        </w:rPr>
        <w:t xml:space="preserve"> obdobne ako predchádzajúce oddlženie v období rokov 2017 až 2019 vytváral transparentný mechanizmus na princípe prístupu veriteľov za rovnakých podmienok pre všetkých, avšak takisto identicky vyžadoval aktívnu participáciu veriteľov, t.</w:t>
      </w:r>
      <w:r w:rsidR="004279CA">
        <w:rPr>
          <w:rFonts w:ascii="Times New Roman" w:hAnsi="Times New Roman" w:cs="Times New Roman"/>
          <w:sz w:val="24"/>
          <w:szCs w:val="24"/>
        </w:rPr>
        <w:t xml:space="preserve"> </w:t>
      </w:r>
      <w:r w:rsidR="00FA31AB" w:rsidRPr="00C11A51">
        <w:rPr>
          <w:rFonts w:ascii="Times New Roman" w:hAnsi="Times New Roman" w:cs="Times New Roman"/>
          <w:sz w:val="24"/>
          <w:szCs w:val="24"/>
        </w:rPr>
        <w:t xml:space="preserve">j. aktívne konanie veriteľov realizovať právne úkony a prijať podmienky </w:t>
      </w:r>
      <w:r w:rsidR="006E651D">
        <w:rPr>
          <w:rFonts w:ascii="Times New Roman" w:hAnsi="Times New Roman" w:cs="Times New Roman"/>
          <w:sz w:val="24"/>
          <w:szCs w:val="24"/>
        </w:rPr>
        <w:t>F</w:t>
      </w:r>
      <w:r w:rsidR="00FA31AB" w:rsidRPr="00C11A51">
        <w:rPr>
          <w:rFonts w:ascii="Times New Roman" w:hAnsi="Times New Roman" w:cs="Times New Roman"/>
          <w:sz w:val="24"/>
          <w:szCs w:val="24"/>
        </w:rPr>
        <w:t>inančnej stabilizácie</w:t>
      </w:r>
      <w:r w:rsidRPr="00C11A51">
        <w:rPr>
          <w:rFonts w:ascii="Times New Roman" w:hAnsi="Times New Roman" w:cs="Times New Roman"/>
          <w:sz w:val="24"/>
          <w:szCs w:val="24"/>
        </w:rPr>
        <w:t xml:space="preserve">. </w:t>
      </w:r>
      <w:r w:rsidR="00C80BFD" w:rsidRPr="00C11A51">
        <w:rPr>
          <w:rFonts w:ascii="Times New Roman" w:hAnsi="Times New Roman" w:cs="Times New Roman"/>
          <w:sz w:val="24"/>
          <w:szCs w:val="24"/>
        </w:rPr>
        <w:t>Nepriaznivá situácia v sektore zdravotníctva si vyžiadala</w:t>
      </w:r>
      <w:r w:rsidR="00FA31AB" w:rsidRPr="00C11A51">
        <w:rPr>
          <w:rFonts w:ascii="Times New Roman" w:hAnsi="Times New Roman" w:cs="Times New Roman"/>
          <w:sz w:val="24"/>
          <w:szCs w:val="24"/>
        </w:rPr>
        <w:t xml:space="preserve"> uvoľnenie  </w:t>
      </w:r>
      <w:r w:rsidR="00E023CC">
        <w:rPr>
          <w:rFonts w:ascii="Times New Roman" w:hAnsi="Times New Roman" w:cs="Times New Roman"/>
          <w:sz w:val="24"/>
          <w:szCs w:val="24"/>
        </w:rPr>
        <w:t>575 000 000,</w:t>
      </w:r>
      <w:r w:rsidR="002F54C4" w:rsidRPr="002F54C4">
        <w:rPr>
          <w:rFonts w:ascii="Times New Roman" w:hAnsi="Times New Roman" w:cs="Times New Roman"/>
          <w:sz w:val="24"/>
          <w:szCs w:val="24"/>
        </w:rPr>
        <w:t>00 eur</w:t>
      </w:r>
      <w:r w:rsidR="00C80BFD" w:rsidRPr="00C11A51">
        <w:rPr>
          <w:rFonts w:ascii="Times New Roman" w:hAnsi="Times New Roman" w:cs="Times New Roman"/>
          <w:sz w:val="24"/>
          <w:szCs w:val="24"/>
        </w:rPr>
        <w:t xml:space="preserve"> zo zdrojov štátnych finančných aktív. </w:t>
      </w:r>
      <w:r w:rsidRPr="00C11A51">
        <w:rPr>
          <w:rFonts w:ascii="Times New Roman" w:hAnsi="Times New Roman" w:cs="Times New Roman"/>
          <w:sz w:val="24"/>
          <w:szCs w:val="24"/>
        </w:rPr>
        <w:t xml:space="preserve">Realizácia procesov </w:t>
      </w:r>
      <w:r w:rsidR="006E651D">
        <w:rPr>
          <w:rFonts w:ascii="Times New Roman" w:hAnsi="Times New Roman" w:cs="Times New Roman"/>
          <w:sz w:val="24"/>
          <w:szCs w:val="24"/>
        </w:rPr>
        <w:t>F</w:t>
      </w:r>
      <w:r w:rsidRPr="00C11A51">
        <w:rPr>
          <w:rFonts w:ascii="Times New Roman" w:hAnsi="Times New Roman" w:cs="Times New Roman"/>
          <w:sz w:val="24"/>
          <w:szCs w:val="24"/>
        </w:rPr>
        <w:t xml:space="preserve">inančnej stabilizácie a implementácia racionalizačných opatrení je plánovaná do 31. decembra 2022. </w:t>
      </w:r>
    </w:p>
    <w:p w14:paraId="18153FFB" w14:textId="77777777" w:rsidR="00C11A51" w:rsidRPr="00C11A51" w:rsidRDefault="00C11A51" w:rsidP="00C11A51">
      <w:pPr>
        <w:spacing w:line="360" w:lineRule="auto"/>
        <w:ind w:firstLine="708"/>
        <w:jc w:val="both"/>
        <w:rPr>
          <w:rFonts w:ascii="Times New Roman" w:hAnsi="Times New Roman" w:cs="Times New Roman"/>
          <w:sz w:val="24"/>
          <w:szCs w:val="24"/>
        </w:rPr>
      </w:pPr>
    </w:p>
    <w:p w14:paraId="5F60B678" w14:textId="687931AC" w:rsidR="00722194" w:rsidRPr="00C11A51" w:rsidRDefault="0091406C" w:rsidP="00D95701">
      <w:pPr>
        <w:spacing w:line="360" w:lineRule="auto"/>
        <w:jc w:val="both"/>
        <w:rPr>
          <w:rFonts w:ascii="Times New Roman" w:hAnsi="Times New Roman" w:cs="Times New Roman"/>
          <w:sz w:val="24"/>
          <w:szCs w:val="24"/>
        </w:rPr>
      </w:pPr>
      <w:r w:rsidRPr="00C11A51">
        <w:rPr>
          <w:rFonts w:ascii="Times New Roman" w:hAnsi="Times New Roman" w:cs="Times New Roman"/>
          <w:sz w:val="24"/>
          <w:szCs w:val="24"/>
        </w:rPr>
        <w:tab/>
      </w:r>
      <w:r w:rsidR="00C80BFD" w:rsidRPr="00C11A51">
        <w:rPr>
          <w:rFonts w:ascii="Times New Roman" w:hAnsi="Times New Roman" w:cs="Times New Roman"/>
          <w:sz w:val="24"/>
          <w:szCs w:val="24"/>
        </w:rPr>
        <w:t xml:space="preserve">Pre realizáciu procesov opísaných v Návrhu finančnej stabilizácie </w:t>
      </w:r>
      <w:r w:rsidR="006E651D">
        <w:rPr>
          <w:rFonts w:ascii="Times New Roman" w:hAnsi="Times New Roman" w:cs="Times New Roman"/>
          <w:sz w:val="24"/>
          <w:szCs w:val="24"/>
        </w:rPr>
        <w:t xml:space="preserve">zdravotníckych zariadení </w:t>
      </w:r>
      <w:r w:rsidR="00C80BFD" w:rsidRPr="00C11A51">
        <w:rPr>
          <w:rFonts w:ascii="Times New Roman" w:hAnsi="Times New Roman" w:cs="Times New Roman"/>
          <w:sz w:val="24"/>
          <w:szCs w:val="24"/>
        </w:rPr>
        <w:t xml:space="preserve">bolo nevyhnutné </w:t>
      </w:r>
      <w:r w:rsidR="009C7410" w:rsidRPr="00C11A51">
        <w:rPr>
          <w:rFonts w:ascii="Times New Roman" w:hAnsi="Times New Roman" w:cs="Times New Roman"/>
          <w:sz w:val="24"/>
          <w:szCs w:val="24"/>
        </w:rPr>
        <w:t xml:space="preserve">vzhľadom </w:t>
      </w:r>
      <w:r w:rsidR="0034108D" w:rsidRPr="00C11A51">
        <w:rPr>
          <w:rFonts w:ascii="Times New Roman" w:hAnsi="Times New Roman" w:cs="Times New Roman"/>
          <w:sz w:val="24"/>
          <w:szCs w:val="24"/>
        </w:rPr>
        <w:t xml:space="preserve">na </w:t>
      </w:r>
      <w:r w:rsidR="009C7410" w:rsidRPr="00C11A51">
        <w:rPr>
          <w:rFonts w:ascii="Times New Roman" w:hAnsi="Times New Roman" w:cs="Times New Roman"/>
          <w:sz w:val="24"/>
          <w:szCs w:val="24"/>
        </w:rPr>
        <w:t xml:space="preserve">veľký rozsah vstupných </w:t>
      </w:r>
      <w:r w:rsidR="00722194" w:rsidRPr="00C11A51">
        <w:rPr>
          <w:rFonts w:ascii="Times New Roman" w:hAnsi="Times New Roman" w:cs="Times New Roman"/>
          <w:sz w:val="24"/>
          <w:szCs w:val="24"/>
        </w:rPr>
        <w:t>údajov</w:t>
      </w:r>
      <w:r w:rsidR="009C7410" w:rsidRPr="00C11A51">
        <w:rPr>
          <w:rFonts w:ascii="Times New Roman" w:hAnsi="Times New Roman" w:cs="Times New Roman"/>
          <w:sz w:val="24"/>
          <w:szCs w:val="24"/>
        </w:rPr>
        <w:t xml:space="preserve"> </w:t>
      </w:r>
      <w:r w:rsidR="00C80BFD" w:rsidRPr="00C11A51">
        <w:rPr>
          <w:rFonts w:ascii="Times New Roman" w:hAnsi="Times New Roman" w:cs="Times New Roman"/>
          <w:sz w:val="24"/>
          <w:szCs w:val="24"/>
        </w:rPr>
        <w:t>zabezpečiť</w:t>
      </w:r>
      <w:r w:rsidR="00E12000" w:rsidRPr="00C11A51">
        <w:rPr>
          <w:rFonts w:ascii="Times New Roman" w:hAnsi="Times New Roman" w:cs="Times New Roman"/>
          <w:sz w:val="24"/>
          <w:szCs w:val="24"/>
        </w:rPr>
        <w:t xml:space="preserve"> riešenie prostredníctvom informačného systému spôsobilého zabezpečiť spracovávanie všetkých relevantných informácií o pohľadávkach veriteľov a záväzkoch zdravotníckych zariadení s dôrazom na kybernetickú bezpečnosť, dostatočnú kapacitu dát a to za súčasného dodržania všeobecne záväzných právnych predpisov</w:t>
      </w:r>
      <w:r w:rsidR="00C80BFD" w:rsidRPr="00C11A51">
        <w:rPr>
          <w:rFonts w:ascii="Times New Roman" w:hAnsi="Times New Roman" w:cs="Times New Roman"/>
          <w:sz w:val="24"/>
          <w:szCs w:val="24"/>
        </w:rPr>
        <w:t xml:space="preserve"> </w:t>
      </w:r>
      <w:r w:rsidR="00E12000" w:rsidRPr="00C11A51">
        <w:rPr>
          <w:rFonts w:ascii="Times New Roman" w:hAnsi="Times New Roman" w:cs="Times New Roman"/>
          <w:sz w:val="24"/>
          <w:szCs w:val="24"/>
        </w:rPr>
        <w:t>(</w:t>
      </w:r>
      <w:r w:rsidR="006E651D">
        <w:rPr>
          <w:rFonts w:ascii="Times New Roman" w:hAnsi="Times New Roman" w:cs="Times New Roman"/>
          <w:sz w:val="24"/>
          <w:szCs w:val="24"/>
        </w:rPr>
        <w:t>z</w:t>
      </w:r>
      <w:r w:rsidR="00722194" w:rsidRPr="00C11A51">
        <w:rPr>
          <w:rFonts w:ascii="Times New Roman" w:hAnsi="Times New Roman" w:cs="Times New Roman"/>
          <w:sz w:val="24"/>
          <w:szCs w:val="24"/>
        </w:rPr>
        <w:t>ákon</w:t>
      </w:r>
      <w:r w:rsidR="006E651D">
        <w:rPr>
          <w:rFonts w:ascii="Times New Roman" w:hAnsi="Times New Roman" w:cs="Times New Roman"/>
          <w:sz w:val="24"/>
          <w:szCs w:val="24"/>
        </w:rPr>
        <w:t xml:space="preserve"> č. 431/2002 Z. z.</w:t>
      </w:r>
      <w:r w:rsidR="00722194" w:rsidRPr="00C11A51">
        <w:rPr>
          <w:rFonts w:ascii="Times New Roman" w:hAnsi="Times New Roman" w:cs="Times New Roman"/>
          <w:sz w:val="24"/>
          <w:szCs w:val="24"/>
        </w:rPr>
        <w:t xml:space="preserve"> o</w:t>
      </w:r>
      <w:r w:rsidR="006E651D">
        <w:rPr>
          <w:rFonts w:ascii="Times New Roman" w:hAnsi="Times New Roman" w:cs="Times New Roman"/>
          <w:sz w:val="24"/>
          <w:szCs w:val="24"/>
        </w:rPr>
        <w:t> </w:t>
      </w:r>
      <w:r w:rsidR="00722194" w:rsidRPr="00C11A51">
        <w:rPr>
          <w:rFonts w:ascii="Times New Roman" w:hAnsi="Times New Roman" w:cs="Times New Roman"/>
          <w:sz w:val="24"/>
          <w:szCs w:val="24"/>
        </w:rPr>
        <w:t>účtovníctve</w:t>
      </w:r>
      <w:r w:rsidR="006E651D">
        <w:rPr>
          <w:rFonts w:ascii="Times New Roman" w:hAnsi="Times New Roman" w:cs="Times New Roman"/>
          <w:sz w:val="24"/>
          <w:szCs w:val="24"/>
        </w:rPr>
        <w:t xml:space="preserve"> v znení neskorších predpisov</w:t>
      </w:r>
      <w:r w:rsidR="00722194" w:rsidRPr="00C11A51">
        <w:rPr>
          <w:rFonts w:ascii="Times New Roman" w:hAnsi="Times New Roman" w:cs="Times New Roman"/>
          <w:sz w:val="24"/>
          <w:szCs w:val="24"/>
        </w:rPr>
        <w:t xml:space="preserve">, </w:t>
      </w:r>
      <w:r w:rsidR="006E651D" w:rsidRPr="00BA248B">
        <w:rPr>
          <w:rFonts w:ascii="Times New Roman" w:hAnsi="Times New Roman" w:cs="Times New Roman"/>
          <w:sz w:val="24"/>
          <w:szCs w:val="24"/>
        </w:rPr>
        <w:t>zákon č. 513/1991 Zb.</w:t>
      </w:r>
      <w:r w:rsidR="006E651D">
        <w:rPr>
          <w:rFonts w:ascii="Times New Roman" w:hAnsi="Times New Roman" w:cs="Times New Roman"/>
          <w:sz w:val="24"/>
          <w:szCs w:val="24"/>
        </w:rPr>
        <w:t xml:space="preserve"> </w:t>
      </w:r>
      <w:r w:rsidR="006E651D" w:rsidRPr="00C11A51">
        <w:rPr>
          <w:rFonts w:ascii="Times New Roman" w:hAnsi="Times New Roman" w:cs="Times New Roman"/>
          <w:sz w:val="24"/>
          <w:szCs w:val="24"/>
        </w:rPr>
        <w:t>Obchodn</w:t>
      </w:r>
      <w:r w:rsidR="006E651D">
        <w:rPr>
          <w:rFonts w:ascii="Times New Roman" w:hAnsi="Times New Roman" w:cs="Times New Roman"/>
          <w:sz w:val="24"/>
          <w:szCs w:val="24"/>
        </w:rPr>
        <w:t>ý</w:t>
      </w:r>
      <w:r w:rsidR="006E651D" w:rsidRPr="00C11A51">
        <w:rPr>
          <w:rFonts w:ascii="Times New Roman" w:hAnsi="Times New Roman" w:cs="Times New Roman"/>
          <w:sz w:val="24"/>
          <w:szCs w:val="24"/>
        </w:rPr>
        <w:t xml:space="preserve"> </w:t>
      </w:r>
      <w:r w:rsidR="00722194" w:rsidRPr="00C11A51">
        <w:rPr>
          <w:rFonts w:ascii="Times New Roman" w:hAnsi="Times New Roman" w:cs="Times New Roman"/>
          <w:sz w:val="24"/>
          <w:szCs w:val="24"/>
        </w:rPr>
        <w:t>zákonník</w:t>
      </w:r>
      <w:r w:rsidR="00340B76">
        <w:rPr>
          <w:rFonts w:ascii="Times New Roman" w:hAnsi="Times New Roman" w:cs="Times New Roman"/>
          <w:sz w:val="24"/>
          <w:szCs w:val="24"/>
        </w:rPr>
        <w:t xml:space="preserve"> v znení neskorších </w:t>
      </w:r>
      <w:r w:rsidR="00340B76">
        <w:rPr>
          <w:rFonts w:ascii="Times New Roman" w:hAnsi="Times New Roman" w:cs="Times New Roman"/>
          <w:sz w:val="24"/>
          <w:szCs w:val="24"/>
        </w:rPr>
        <w:lastRenderedPageBreak/>
        <w:t>predpisov</w:t>
      </w:r>
      <w:r w:rsidR="00722194" w:rsidRPr="00C11A51">
        <w:rPr>
          <w:rFonts w:ascii="Times New Roman" w:hAnsi="Times New Roman" w:cs="Times New Roman"/>
          <w:sz w:val="24"/>
          <w:szCs w:val="24"/>
        </w:rPr>
        <w:t xml:space="preserve">, </w:t>
      </w:r>
      <w:r w:rsidR="006E651D" w:rsidRPr="006E651D">
        <w:rPr>
          <w:rFonts w:ascii="Times New Roman" w:hAnsi="Times New Roman" w:cs="Times New Roman"/>
          <w:sz w:val="24"/>
          <w:szCs w:val="24"/>
        </w:rPr>
        <w:t>nariadenie Európskeho parlamentu a Rady (EÚ) 2016/679 z 27. apríla 2016 o ochrane fyzických osôb pri spracúvaní osobných údajov a o voľnom pohybe takýchto údajov, ktorým sa zrušuje smernica 95/46/ES (všeobecné nariadenie o ochrane údajov) v znení neskorších zmien</w:t>
      </w:r>
      <w:r w:rsidR="00722194" w:rsidRPr="00C11A51">
        <w:rPr>
          <w:rFonts w:ascii="Times New Roman" w:hAnsi="Times New Roman" w:cs="Times New Roman"/>
          <w:sz w:val="24"/>
          <w:szCs w:val="24"/>
        </w:rPr>
        <w:t>).</w:t>
      </w:r>
    </w:p>
    <w:p w14:paraId="1C44F7EE" w14:textId="39F64492" w:rsidR="00722194" w:rsidRDefault="0034108D" w:rsidP="00D95701">
      <w:pPr>
        <w:spacing w:line="360" w:lineRule="auto"/>
        <w:jc w:val="both"/>
        <w:rPr>
          <w:rFonts w:ascii="Times New Roman" w:hAnsi="Times New Roman" w:cs="Times New Roman"/>
          <w:sz w:val="24"/>
          <w:szCs w:val="24"/>
        </w:rPr>
      </w:pPr>
      <w:r w:rsidRPr="00C11A51">
        <w:rPr>
          <w:rFonts w:ascii="Times New Roman" w:hAnsi="Times New Roman" w:cs="Times New Roman"/>
          <w:sz w:val="24"/>
          <w:szCs w:val="24"/>
        </w:rPr>
        <w:tab/>
      </w:r>
      <w:r w:rsidR="00722194" w:rsidRPr="00C11A51">
        <w:rPr>
          <w:rFonts w:ascii="Times New Roman" w:hAnsi="Times New Roman" w:cs="Times New Roman"/>
          <w:sz w:val="24"/>
          <w:szCs w:val="24"/>
        </w:rPr>
        <w:t xml:space="preserve">V rámci tohto procesu finančnej stabilizácie bolo zapojených 27 </w:t>
      </w:r>
      <w:r w:rsidR="008B2945">
        <w:rPr>
          <w:rFonts w:ascii="Times New Roman" w:hAnsi="Times New Roman" w:cs="Times New Roman"/>
          <w:sz w:val="24"/>
          <w:szCs w:val="24"/>
        </w:rPr>
        <w:t>zdravotníckych zariadení</w:t>
      </w:r>
      <w:r w:rsidR="00722194" w:rsidRPr="00C11A51">
        <w:rPr>
          <w:rFonts w:ascii="Times New Roman" w:hAnsi="Times New Roman" w:cs="Times New Roman"/>
          <w:sz w:val="24"/>
          <w:szCs w:val="24"/>
        </w:rPr>
        <w:t>. Obdobie</w:t>
      </w:r>
      <w:r w:rsidR="00114B50" w:rsidRPr="00C11A51">
        <w:rPr>
          <w:rFonts w:ascii="Times New Roman" w:hAnsi="Times New Roman" w:cs="Times New Roman"/>
          <w:sz w:val="24"/>
          <w:szCs w:val="24"/>
        </w:rPr>
        <w:t xml:space="preserve"> </w:t>
      </w:r>
      <w:r w:rsidR="00A6682D" w:rsidRPr="00C11A51">
        <w:rPr>
          <w:rFonts w:ascii="Times New Roman" w:hAnsi="Times New Roman" w:cs="Times New Roman"/>
          <w:sz w:val="24"/>
          <w:szCs w:val="24"/>
        </w:rPr>
        <w:t>bolo</w:t>
      </w:r>
      <w:r w:rsidR="00722194" w:rsidRPr="00C11A51">
        <w:rPr>
          <w:rFonts w:ascii="Times New Roman" w:hAnsi="Times New Roman" w:cs="Times New Roman"/>
          <w:sz w:val="24"/>
          <w:szCs w:val="24"/>
        </w:rPr>
        <w:t xml:space="preserve">  </w:t>
      </w:r>
      <w:r w:rsidR="00A6682D" w:rsidRPr="00C11A51">
        <w:rPr>
          <w:rFonts w:ascii="Times New Roman" w:hAnsi="Times New Roman" w:cs="Times New Roman"/>
          <w:sz w:val="24"/>
          <w:szCs w:val="24"/>
        </w:rPr>
        <w:t xml:space="preserve">vymedzené </w:t>
      </w:r>
      <w:r w:rsidR="00722194" w:rsidRPr="00C11A51">
        <w:rPr>
          <w:rFonts w:ascii="Times New Roman" w:hAnsi="Times New Roman" w:cs="Times New Roman"/>
          <w:sz w:val="24"/>
          <w:szCs w:val="24"/>
        </w:rPr>
        <w:t>materiál</w:t>
      </w:r>
      <w:r w:rsidR="00A6682D" w:rsidRPr="00C11A51">
        <w:rPr>
          <w:rFonts w:ascii="Times New Roman" w:hAnsi="Times New Roman" w:cs="Times New Roman"/>
          <w:sz w:val="24"/>
          <w:szCs w:val="24"/>
        </w:rPr>
        <w:t>om</w:t>
      </w:r>
      <w:r w:rsidR="00722194" w:rsidRPr="00C11A51">
        <w:rPr>
          <w:rFonts w:ascii="Times New Roman" w:hAnsi="Times New Roman" w:cs="Times New Roman"/>
          <w:sz w:val="24"/>
          <w:szCs w:val="24"/>
        </w:rPr>
        <w:t xml:space="preserve"> </w:t>
      </w:r>
      <w:r w:rsidR="00D9621B" w:rsidRPr="00C11A51">
        <w:rPr>
          <w:rFonts w:ascii="Times New Roman" w:hAnsi="Times New Roman" w:cs="Times New Roman"/>
          <w:sz w:val="24"/>
          <w:szCs w:val="24"/>
        </w:rPr>
        <w:t xml:space="preserve">a to </w:t>
      </w:r>
      <w:r w:rsidR="00A6682D" w:rsidRPr="00C11A51">
        <w:rPr>
          <w:rFonts w:ascii="Times New Roman" w:hAnsi="Times New Roman" w:cs="Times New Roman"/>
          <w:sz w:val="24"/>
          <w:szCs w:val="24"/>
        </w:rPr>
        <w:t xml:space="preserve">na </w:t>
      </w:r>
      <w:r w:rsidR="00D9621B" w:rsidRPr="00C11A51">
        <w:rPr>
          <w:rFonts w:ascii="Times New Roman" w:hAnsi="Times New Roman" w:cs="Times New Roman"/>
          <w:sz w:val="24"/>
          <w:szCs w:val="24"/>
        </w:rPr>
        <w:t>záväzky po lehote splatnosti do 30. novembra 2020.</w:t>
      </w:r>
      <w:r w:rsidR="00722194" w:rsidRPr="00C11A51">
        <w:rPr>
          <w:rFonts w:ascii="Times New Roman" w:hAnsi="Times New Roman" w:cs="Times New Roman"/>
          <w:sz w:val="24"/>
          <w:szCs w:val="24"/>
        </w:rPr>
        <w:t xml:space="preserve"> Počet aktívnych veriteľov zdravotníckych zariadení</w:t>
      </w:r>
      <w:r w:rsidR="00D9621B" w:rsidRPr="00C11A51">
        <w:rPr>
          <w:rFonts w:ascii="Times New Roman" w:hAnsi="Times New Roman" w:cs="Times New Roman"/>
          <w:sz w:val="24"/>
          <w:szCs w:val="24"/>
        </w:rPr>
        <w:t xml:space="preserve">, </w:t>
      </w:r>
      <w:r w:rsidR="0059360A" w:rsidRPr="00C11A51">
        <w:rPr>
          <w:rFonts w:ascii="Times New Roman" w:hAnsi="Times New Roman" w:cs="Times New Roman"/>
          <w:sz w:val="24"/>
          <w:szCs w:val="24"/>
        </w:rPr>
        <w:t>ktoré prejavili záujem o dofinancovanie a ich pohľadávky boli importované do Elektronického aukčného systému bol 444, objem záväzkov</w:t>
      </w:r>
      <w:r w:rsidR="00722194" w:rsidRPr="00C11A51">
        <w:rPr>
          <w:rFonts w:ascii="Times New Roman" w:hAnsi="Times New Roman" w:cs="Times New Roman"/>
          <w:sz w:val="24"/>
          <w:szCs w:val="24"/>
        </w:rPr>
        <w:t xml:space="preserve"> nemocníc po lehote splatnosti </w:t>
      </w:r>
      <w:r w:rsidR="0059360A" w:rsidRPr="00C11A51">
        <w:rPr>
          <w:rFonts w:ascii="Times New Roman" w:hAnsi="Times New Roman" w:cs="Times New Roman"/>
          <w:sz w:val="24"/>
          <w:szCs w:val="24"/>
        </w:rPr>
        <w:t xml:space="preserve">importovaných pre </w:t>
      </w:r>
      <w:r w:rsidR="00A6682D" w:rsidRPr="00C11A51">
        <w:rPr>
          <w:rFonts w:ascii="Times New Roman" w:hAnsi="Times New Roman" w:cs="Times New Roman"/>
          <w:sz w:val="24"/>
          <w:szCs w:val="24"/>
        </w:rPr>
        <w:t xml:space="preserve">obchodovanie </w:t>
      </w:r>
      <w:r w:rsidR="0059360A" w:rsidRPr="00C11A51">
        <w:rPr>
          <w:rFonts w:ascii="Times New Roman" w:hAnsi="Times New Roman" w:cs="Times New Roman"/>
          <w:sz w:val="24"/>
          <w:szCs w:val="24"/>
        </w:rPr>
        <w:t>so zľavou bol</w:t>
      </w:r>
      <w:r w:rsidR="005C3316" w:rsidRPr="00C11A51">
        <w:rPr>
          <w:rFonts w:ascii="Times New Roman" w:hAnsi="Times New Roman" w:cs="Times New Roman"/>
          <w:sz w:val="24"/>
          <w:szCs w:val="24"/>
        </w:rPr>
        <w:t xml:space="preserve"> 320 mil. eur a počet pohľadávok predstavoval viac ako 158</w:t>
      </w:r>
      <w:r w:rsidR="00C11A51">
        <w:rPr>
          <w:rFonts w:ascii="Times New Roman" w:hAnsi="Times New Roman" w:cs="Times New Roman"/>
          <w:sz w:val="24"/>
          <w:szCs w:val="24"/>
        </w:rPr>
        <w:t> </w:t>
      </w:r>
      <w:r w:rsidR="005C3316" w:rsidRPr="00C11A51">
        <w:rPr>
          <w:rFonts w:ascii="Times New Roman" w:hAnsi="Times New Roman" w:cs="Times New Roman"/>
          <w:sz w:val="24"/>
          <w:szCs w:val="24"/>
        </w:rPr>
        <w:t>000</w:t>
      </w:r>
      <w:r w:rsidR="00722194" w:rsidRPr="00C11A51">
        <w:rPr>
          <w:rFonts w:ascii="Times New Roman" w:hAnsi="Times New Roman" w:cs="Times New Roman"/>
          <w:sz w:val="24"/>
          <w:szCs w:val="24"/>
        </w:rPr>
        <w:t>.</w:t>
      </w:r>
    </w:p>
    <w:p w14:paraId="741112D0" w14:textId="77777777" w:rsidR="00C11A51" w:rsidRPr="009B0095" w:rsidRDefault="00C11A51" w:rsidP="00D95701">
      <w:pPr>
        <w:spacing w:line="360" w:lineRule="auto"/>
        <w:jc w:val="both"/>
        <w:rPr>
          <w:rFonts w:ascii="Times New Roman" w:hAnsi="Times New Roman" w:cs="Times New Roman"/>
          <w:sz w:val="24"/>
          <w:szCs w:val="24"/>
        </w:rPr>
      </w:pPr>
    </w:p>
    <w:p w14:paraId="49205C12" w14:textId="77777777" w:rsidR="00107B60" w:rsidRDefault="00C0194A" w:rsidP="00CC1775">
      <w:pPr>
        <w:spacing w:line="360" w:lineRule="auto"/>
        <w:jc w:val="both"/>
        <w:rPr>
          <w:rFonts w:ascii="Times New Roman" w:hAnsi="Times New Roman" w:cs="Times New Roman"/>
          <w:sz w:val="24"/>
          <w:szCs w:val="24"/>
        </w:rPr>
      </w:pPr>
      <w:r w:rsidRPr="00C11A51">
        <w:rPr>
          <w:rFonts w:ascii="Times New Roman" w:hAnsi="Times New Roman" w:cs="Times New Roman"/>
          <w:sz w:val="24"/>
          <w:szCs w:val="24"/>
        </w:rPr>
        <w:tab/>
      </w:r>
      <w:r w:rsidR="002F7FEA" w:rsidRPr="00C11A51">
        <w:rPr>
          <w:rFonts w:ascii="Times New Roman" w:hAnsi="Times New Roman" w:cs="Times New Roman"/>
          <w:sz w:val="24"/>
          <w:szCs w:val="24"/>
        </w:rPr>
        <w:t>Ministerstvo zdravotníctva</w:t>
      </w:r>
      <w:r w:rsidR="008A6C75" w:rsidRPr="00C11A51">
        <w:rPr>
          <w:rFonts w:ascii="Times New Roman" w:hAnsi="Times New Roman" w:cs="Times New Roman"/>
          <w:sz w:val="24"/>
          <w:szCs w:val="24"/>
        </w:rPr>
        <w:t xml:space="preserve"> </w:t>
      </w:r>
      <w:r w:rsidR="00C80BFD" w:rsidRPr="00C11A51">
        <w:rPr>
          <w:rFonts w:ascii="Times New Roman" w:hAnsi="Times New Roman" w:cs="Times New Roman"/>
          <w:sz w:val="24"/>
          <w:szCs w:val="24"/>
        </w:rPr>
        <w:t xml:space="preserve">SR pri konsolidovaní a oddlžovaní zdravotníckych zariadení, so zameraním na oddlženie istiny pohľadávok po splatnosti, </w:t>
      </w:r>
      <w:r w:rsidRPr="00C11A51">
        <w:rPr>
          <w:rFonts w:ascii="Times New Roman" w:hAnsi="Times New Roman" w:cs="Times New Roman"/>
          <w:sz w:val="24"/>
          <w:szCs w:val="24"/>
        </w:rPr>
        <w:t>využilo</w:t>
      </w:r>
      <w:r w:rsidR="00C80BFD" w:rsidRPr="00C11A51">
        <w:rPr>
          <w:rFonts w:ascii="Times New Roman" w:hAnsi="Times New Roman" w:cs="Times New Roman"/>
          <w:sz w:val="24"/>
          <w:szCs w:val="24"/>
        </w:rPr>
        <w:t xml:space="preserve"> EAS (Elektronický Aukčný Systém), podsystém </w:t>
      </w:r>
      <w:r w:rsidRPr="00C11A51">
        <w:rPr>
          <w:rFonts w:ascii="Times New Roman" w:hAnsi="Times New Roman" w:cs="Times New Roman"/>
          <w:sz w:val="24"/>
          <w:szCs w:val="24"/>
        </w:rPr>
        <w:t>Elektronického kontraktačného systému (</w:t>
      </w:r>
      <w:r w:rsidR="00C80BFD" w:rsidRPr="00C11A51">
        <w:rPr>
          <w:rFonts w:ascii="Times New Roman" w:hAnsi="Times New Roman" w:cs="Times New Roman"/>
          <w:sz w:val="24"/>
          <w:szCs w:val="24"/>
        </w:rPr>
        <w:t>EKS</w:t>
      </w:r>
      <w:r w:rsidRPr="00C11A51">
        <w:rPr>
          <w:rFonts w:ascii="Times New Roman" w:hAnsi="Times New Roman" w:cs="Times New Roman"/>
          <w:sz w:val="24"/>
          <w:szCs w:val="24"/>
        </w:rPr>
        <w:t>)</w:t>
      </w:r>
      <w:r w:rsidR="00C80BFD" w:rsidRPr="00C11A51">
        <w:rPr>
          <w:rFonts w:ascii="Times New Roman" w:hAnsi="Times New Roman" w:cs="Times New Roman"/>
          <w:sz w:val="24"/>
          <w:szCs w:val="24"/>
        </w:rPr>
        <w:t>.</w:t>
      </w:r>
    </w:p>
    <w:p w14:paraId="601480EF" w14:textId="6EC5B335" w:rsidR="00C80BFD" w:rsidRPr="00107B60" w:rsidRDefault="00744D87" w:rsidP="00107B60">
      <w:pPr>
        <w:spacing w:line="360" w:lineRule="auto"/>
        <w:ind w:firstLine="708"/>
        <w:jc w:val="both"/>
        <w:rPr>
          <w:rFonts w:ascii="Times New Roman" w:hAnsi="Times New Roman" w:cs="Times New Roman"/>
          <w:sz w:val="24"/>
          <w:szCs w:val="24"/>
        </w:rPr>
      </w:pPr>
      <w:r w:rsidRPr="00107B60">
        <w:rPr>
          <w:rFonts w:ascii="Times New Roman" w:hAnsi="Times New Roman" w:cs="Times New Roman"/>
          <w:sz w:val="24"/>
          <w:szCs w:val="24"/>
        </w:rPr>
        <w:t xml:space="preserve">V rámci procesu </w:t>
      </w:r>
      <w:r w:rsidR="004C4AA0">
        <w:rPr>
          <w:rFonts w:ascii="Times New Roman" w:hAnsi="Times New Roman" w:cs="Times New Roman"/>
          <w:sz w:val="24"/>
          <w:szCs w:val="24"/>
        </w:rPr>
        <w:t>F</w:t>
      </w:r>
      <w:r w:rsidRPr="00107B60">
        <w:rPr>
          <w:rFonts w:ascii="Times New Roman" w:hAnsi="Times New Roman" w:cs="Times New Roman"/>
          <w:sz w:val="24"/>
          <w:szCs w:val="24"/>
        </w:rPr>
        <w:t xml:space="preserve">inančnej stabilizácie bolo </w:t>
      </w:r>
      <w:r w:rsidR="00B314AF" w:rsidRPr="00107B60">
        <w:rPr>
          <w:rFonts w:ascii="Times New Roman" w:hAnsi="Times New Roman" w:cs="Times New Roman"/>
          <w:sz w:val="24"/>
          <w:szCs w:val="24"/>
        </w:rPr>
        <w:t xml:space="preserve">v júni 2022 </w:t>
      </w:r>
      <w:r w:rsidR="006624CE" w:rsidRPr="00107B60">
        <w:rPr>
          <w:rFonts w:ascii="Times New Roman" w:hAnsi="Times New Roman" w:cs="Times New Roman"/>
          <w:sz w:val="24"/>
          <w:szCs w:val="24"/>
        </w:rPr>
        <w:t>zaplatených 73 218 faktúr</w:t>
      </w:r>
      <w:r w:rsidR="00C80BFD" w:rsidRPr="00107B60">
        <w:rPr>
          <w:rFonts w:ascii="Times New Roman" w:hAnsi="Times New Roman" w:cs="Times New Roman"/>
          <w:sz w:val="24"/>
          <w:szCs w:val="24"/>
        </w:rPr>
        <w:t xml:space="preserve"> zo štátnych finančných aktív</w:t>
      </w:r>
      <w:r w:rsidR="00B314AF" w:rsidRPr="00107B60">
        <w:rPr>
          <w:rFonts w:ascii="Times New Roman" w:hAnsi="Times New Roman" w:cs="Times New Roman"/>
          <w:sz w:val="24"/>
          <w:szCs w:val="24"/>
        </w:rPr>
        <w:t xml:space="preserve"> v sume </w:t>
      </w:r>
      <w:r w:rsidR="002F54C4" w:rsidRPr="002F54C4">
        <w:rPr>
          <w:rFonts w:ascii="Times New Roman" w:hAnsi="Times New Roman" w:cs="Times New Roman"/>
          <w:sz w:val="24"/>
          <w:szCs w:val="24"/>
        </w:rPr>
        <w:t>118 197 882,30 eur</w:t>
      </w:r>
      <w:r w:rsidR="006624CE" w:rsidRPr="00107B60">
        <w:rPr>
          <w:rFonts w:ascii="Times New Roman" w:hAnsi="Times New Roman" w:cs="Times New Roman"/>
          <w:sz w:val="24"/>
          <w:szCs w:val="24"/>
        </w:rPr>
        <w:t>.</w:t>
      </w:r>
      <w:r w:rsidR="00C80BFD" w:rsidRPr="00107B60">
        <w:rPr>
          <w:rFonts w:ascii="Times New Roman" w:hAnsi="Times New Roman" w:cs="Times New Roman"/>
          <w:sz w:val="24"/>
          <w:szCs w:val="24"/>
        </w:rPr>
        <w:t xml:space="preserve"> </w:t>
      </w:r>
      <w:r w:rsidR="00426484" w:rsidRPr="00107B60">
        <w:rPr>
          <w:rFonts w:ascii="Times New Roman" w:hAnsi="Times New Roman" w:cs="Times New Roman"/>
          <w:sz w:val="24"/>
          <w:szCs w:val="24"/>
        </w:rPr>
        <w:t>Celkovo boli v systéme EAS</w:t>
      </w:r>
      <w:r w:rsidRPr="00107B60">
        <w:rPr>
          <w:rFonts w:ascii="Times New Roman" w:hAnsi="Times New Roman" w:cs="Times New Roman"/>
          <w:sz w:val="24"/>
          <w:szCs w:val="24"/>
        </w:rPr>
        <w:t xml:space="preserve"> zaevidované</w:t>
      </w:r>
      <w:r w:rsidR="00426484" w:rsidRPr="00107B60">
        <w:rPr>
          <w:rFonts w:ascii="Times New Roman" w:hAnsi="Times New Roman" w:cs="Times New Roman"/>
          <w:sz w:val="24"/>
          <w:szCs w:val="24"/>
        </w:rPr>
        <w:t xml:space="preserve"> záväzky</w:t>
      </w:r>
      <w:r w:rsidRPr="00107B60">
        <w:rPr>
          <w:rFonts w:ascii="Times New Roman" w:hAnsi="Times New Roman" w:cs="Times New Roman"/>
          <w:sz w:val="24"/>
          <w:szCs w:val="24"/>
        </w:rPr>
        <w:t xml:space="preserve"> zdravotníckych zariadení</w:t>
      </w:r>
      <w:r w:rsidR="00426484" w:rsidRPr="00107B60">
        <w:rPr>
          <w:rFonts w:ascii="Times New Roman" w:hAnsi="Times New Roman" w:cs="Times New Roman"/>
          <w:sz w:val="24"/>
          <w:szCs w:val="24"/>
        </w:rPr>
        <w:t xml:space="preserve"> vo výške 321 mil. eur, pričom v objeme 62</w:t>
      </w:r>
      <w:r w:rsidR="0034108D" w:rsidRPr="00107B60">
        <w:rPr>
          <w:rFonts w:ascii="Times New Roman" w:hAnsi="Times New Roman" w:cs="Times New Roman"/>
          <w:sz w:val="24"/>
          <w:szCs w:val="24"/>
        </w:rPr>
        <w:t xml:space="preserve"> </w:t>
      </w:r>
      <w:r w:rsidR="00426484" w:rsidRPr="00107B60">
        <w:rPr>
          <w:rFonts w:ascii="Times New Roman" w:hAnsi="Times New Roman" w:cs="Times New Roman"/>
          <w:sz w:val="24"/>
          <w:szCs w:val="24"/>
        </w:rPr>
        <w:t>mil. eur boli vylúčené z dôvodu zaplatenia alebo iného dôvodu, a v sume 141 miliónov eur neboli akceptované podmienky oddlžovania veriteľmi.</w:t>
      </w:r>
    </w:p>
    <w:p w14:paraId="4A5A4CD2" w14:textId="526FFEFB" w:rsidR="00744D87" w:rsidRPr="00107B60" w:rsidRDefault="008A6C75" w:rsidP="006F2C36">
      <w:pPr>
        <w:spacing w:line="360" w:lineRule="auto"/>
        <w:jc w:val="both"/>
      </w:pPr>
      <w:r w:rsidRPr="00107B60">
        <w:rPr>
          <w:rFonts w:ascii="Times New Roman" w:hAnsi="Times New Roman" w:cs="Times New Roman"/>
          <w:sz w:val="24"/>
          <w:szCs w:val="24"/>
        </w:rPr>
        <w:tab/>
      </w:r>
    </w:p>
    <w:p w14:paraId="771606AB" w14:textId="77777777" w:rsidR="00107B60" w:rsidRDefault="00107B60" w:rsidP="00107B60">
      <w:pPr>
        <w:spacing w:line="360" w:lineRule="auto"/>
        <w:jc w:val="both"/>
        <w:rPr>
          <w:rFonts w:ascii="Times New Roman" w:hAnsi="Times New Roman" w:cs="Times New Roman"/>
          <w:sz w:val="24"/>
          <w:szCs w:val="24"/>
        </w:rPr>
      </w:pPr>
      <w:r w:rsidRPr="00107B60">
        <w:rPr>
          <w:rFonts w:ascii="Times New Roman" w:hAnsi="Times New Roman" w:cs="Times New Roman"/>
          <w:b/>
          <w:i/>
        </w:rPr>
        <w:t>Zhrnutie</w:t>
      </w:r>
      <w:r w:rsidRPr="00107B60">
        <w:rPr>
          <w:rFonts w:ascii="Times New Roman" w:hAnsi="Times New Roman" w:cs="Times New Roman"/>
          <w:sz w:val="24"/>
          <w:szCs w:val="24"/>
        </w:rPr>
        <w:t xml:space="preserve"> </w:t>
      </w:r>
    </w:p>
    <w:p w14:paraId="34371CCA" w14:textId="77777777" w:rsidR="00107B60" w:rsidRDefault="00107B60" w:rsidP="00107B60">
      <w:pPr>
        <w:spacing w:line="360" w:lineRule="auto"/>
        <w:jc w:val="both"/>
        <w:rPr>
          <w:rFonts w:ascii="Times New Roman" w:hAnsi="Times New Roman" w:cs="Times New Roman"/>
          <w:sz w:val="24"/>
          <w:szCs w:val="24"/>
        </w:rPr>
      </w:pPr>
    </w:p>
    <w:p w14:paraId="23F4FD1A" w14:textId="21A4986A" w:rsidR="00107B60" w:rsidRPr="007B61AB" w:rsidRDefault="00107B60" w:rsidP="00107B60">
      <w:pPr>
        <w:spacing w:line="360" w:lineRule="auto"/>
        <w:ind w:firstLine="708"/>
        <w:jc w:val="both"/>
        <w:rPr>
          <w:rFonts w:ascii="Times New Roman" w:hAnsi="Times New Roman" w:cs="Times New Roman"/>
          <w:sz w:val="24"/>
          <w:szCs w:val="24"/>
        </w:rPr>
      </w:pPr>
      <w:r w:rsidRPr="009312A4">
        <w:rPr>
          <w:rFonts w:ascii="Times New Roman" w:hAnsi="Times New Roman" w:cs="Times New Roman"/>
          <w:sz w:val="24"/>
          <w:szCs w:val="24"/>
        </w:rPr>
        <w:t xml:space="preserve">Vzhľadom na výsledok oddlženia zdravotníckych zariadení v rámci procesu </w:t>
      </w:r>
      <w:r w:rsidR="004C4AA0">
        <w:rPr>
          <w:rFonts w:ascii="Times New Roman" w:hAnsi="Times New Roman" w:cs="Times New Roman"/>
          <w:sz w:val="24"/>
          <w:szCs w:val="24"/>
        </w:rPr>
        <w:t>F</w:t>
      </w:r>
      <w:r w:rsidRPr="009312A4">
        <w:rPr>
          <w:rFonts w:ascii="Times New Roman" w:hAnsi="Times New Roman" w:cs="Times New Roman"/>
          <w:sz w:val="24"/>
          <w:szCs w:val="24"/>
        </w:rPr>
        <w:t>inančnej stabilizácie, ktorej východiská boli obdobne ako v prípade realizácie oddlženia zdravotníckych zariadení v</w:t>
      </w:r>
      <w:r w:rsidRPr="00107B60">
        <w:rPr>
          <w:rFonts w:ascii="Times New Roman" w:hAnsi="Times New Roman" w:cs="Times New Roman"/>
          <w:sz w:val="24"/>
          <w:szCs w:val="24"/>
        </w:rPr>
        <w:t xml:space="preserve"> období rokov 2017 až 2019 dobrovoľnosť, transparentnosť a obmedzené finančné zdroje, došlo aj v prípade realizácie </w:t>
      </w:r>
      <w:r w:rsidR="004C4AA0">
        <w:rPr>
          <w:rFonts w:ascii="Times New Roman" w:hAnsi="Times New Roman" w:cs="Times New Roman"/>
          <w:sz w:val="24"/>
          <w:szCs w:val="24"/>
        </w:rPr>
        <w:t>F</w:t>
      </w:r>
      <w:r w:rsidRPr="00107B60">
        <w:rPr>
          <w:rFonts w:ascii="Times New Roman" w:hAnsi="Times New Roman" w:cs="Times New Roman"/>
          <w:sz w:val="24"/>
          <w:szCs w:val="24"/>
        </w:rPr>
        <w:t xml:space="preserve">inančnej stabilizácie k materializovaniu rizík, ktoré boli v dôsledku </w:t>
      </w:r>
      <w:r w:rsidRPr="007B61AB">
        <w:rPr>
          <w:rFonts w:ascii="Times New Roman" w:hAnsi="Times New Roman" w:cs="Times New Roman"/>
          <w:sz w:val="24"/>
          <w:szCs w:val="24"/>
        </w:rPr>
        <w:t xml:space="preserve">identicky nastavených východiskových podmienok oddlženia stanovené, a to najmä aktívne konanie veriteľov, pri ktorých </w:t>
      </w:r>
      <w:r w:rsidR="004C4AA0">
        <w:rPr>
          <w:rFonts w:ascii="Times New Roman" w:hAnsi="Times New Roman" w:cs="Times New Roman"/>
          <w:sz w:val="24"/>
          <w:szCs w:val="24"/>
        </w:rPr>
        <w:t>F</w:t>
      </w:r>
      <w:r w:rsidRPr="007B61AB">
        <w:rPr>
          <w:rFonts w:ascii="Times New Roman" w:hAnsi="Times New Roman" w:cs="Times New Roman"/>
          <w:sz w:val="24"/>
          <w:szCs w:val="24"/>
        </w:rPr>
        <w:t xml:space="preserve">inančná stabilizácia vyžadovala aktívne konanie smerujúce k uzatvoreniu právnych úkonov. Takisto aj v prípade </w:t>
      </w:r>
      <w:r w:rsidR="004C4AA0">
        <w:rPr>
          <w:rFonts w:ascii="Times New Roman" w:hAnsi="Times New Roman" w:cs="Times New Roman"/>
          <w:sz w:val="24"/>
          <w:szCs w:val="24"/>
        </w:rPr>
        <w:t>F</w:t>
      </w:r>
      <w:r w:rsidRPr="007B61AB">
        <w:rPr>
          <w:rFonts w:ascii="Times New Roman" w:hAnsi="Times New Roman" w:cs="Times New Roman"/>
          <w:sz w:val="24"/>
          <w:szCs w:val="24"/>
        </w:rPr>
        <w:t>inančnej stabilizácie došlo k absolútnej materializácii rizika vyplývajúceho zo samotného modelu oddlženia, ktorý požadoval vzdanie sa príslušenstva pohľadávok a diskontu z istiny, kedy bolo dôvodné</w:t>
      </w:r>
      <w:r>
        <w:rPr>
          <w:rFonts w:ascii="Times New Roman" w:hAnsi="Times New Roman" w:cs="Times New Roman"/>
          <w:sz w:val="24"/>
          <w:szCs w:val="24"/>
        </w:rPr>
        <w:t>,</w:t>
      </w:r>
      <w:r w:rsidRPr="007B61AB">
        <w:rPr>
          <w:rFonts w:ascii="Times New Roman" w:hAnsi="Times New Roman" w:cs="Times New Roman"/>
          <w:sz w:val="24"/>
          <w:szCs w:val="24"/>
        </w:rPr>
        <w:t xml:space="preserve"> už v čase schvaľovania </w:t>
      </w:r>
      <w:r w:rsidR="004C4AA0">
        <w:rPr>
          <w:rFonts w:ascii="Times New Roman" w:hAnsi="Times New Roman" w:cs="Times New Roman"/>
          <w:sz w:val="24"/>
          <w:szCs w:val="24"/>
        </w:rPr>
        <w:t>F</w:t>
      </w:r>
      <w:r w:rsidRPr="007B61AB">
        <w:rPr>
          <w:rFonts w:ascii="Times New Roman" w:hAnsi="Times New Roman" w:cs="Times New Roman"/>
          <w:sz w:val="24"/>
          <w:szCs w:val="24"/>
        </w:rPr>
        <w:t>inančnej stabilizácie na základe výsledkov Koncepcie očakávať, že časť subjektov, ktoré skúpili pohľadávky za účelom ich kapitalizácie by sa ú</w:t>
      </w:r>
      <w:r>
        <w:rPr>
          <w:rFonts w:ascii="Times New Roman" w:hAnsi="Times New Roman" w:cs="Times New Roman"/>
          <w:sz w:val="24"/>
          <w:szCs w:val="24"/>
        </w:rPr>
        <w:t>časťou v takto nastavenom modeli</w:t>
      </w:r>
      <w:r w:rsidRPr="007B61AB">
        <w:rPr>
          <w:rFonts w:ascii="Times New Roman" w:hAnsi="Times New Roman" w:cs="Times New Roman"/>
          <w:sz w:val="24"/>
          <w:szCs w:val="24"/>
        </w:rPr>
        <w:t xml:space="preserve"> oddlženia zdravotníckych </w:t>
      </w:r>
      <w:r w:rsidR="004C4AA0" w:rsidRPr="007B61AB">
        <w:rPr>
          <w:rFonts w:ascii="Times New Roman" w:hAnsi="Times New Roman" w:cs="Times New Roman"/>
          <w:sz w:val="24"/>
          <w:szCs w:val="24"/>
        </w:rPr>
        <w:t>zariaden</w:t>
      </w:r>
      <w:r w:rsidR="004C4AA0">
        <w:rPr>
          <w:rFonts w:ascii="Times New Roman" w:hAnsi="Times New Roman" w:cs="Times New Roman"/>
          <w:sz w:val="24"/>
          <w:szCs w:val="24"/>
        </w:rPr>
        <w:t>í</w:t>
      </w:r>
      <w:r w:rsidR="004C4AA0" w:rsidRPr="007B61AB">
        <w:rPr>
          <w:rFonts w:ascii="Times New Roman" w:hAnsi="Times New Roman" w:cs="Times New Roman"/>
          <w:sz w:val="24"/>
          <w:szCs w:val="24"/>
        </w:rPr>
        <w:t xml:space="preserve"> </w:t>
      </w:r>
      <w:r w:rsidRPr="007B61AB">
        <w:rPr>
          <w:rFonts w:ascii="Times New Roman" w:hAnsi="Times New Roman" w:cs="Times New Roman"/>
          <w:sz w:val="24"/>
          <w:szCs w:val="24"/>
        </w:rPr>
        <w:t xml:space="preserve">vedome </w:t>
      </w:r>
      <w:r w:rsidR="004C4AA0" w:rsidRPr="007B61AB">
        <w:rPr>
          <w:rFonts w:ascii="Times New Roman" w:hAnsi="Times New Roman" w:cs="Times New Roman"/>
          <w:sz w:val="24"/>
          <w:szCs w:val="24"/>
        </w:rPr>
        <w:t>vystavi</w:t>
      </w:r>
      <w:r w:rsidR="004C4AA0">
        <w:rPr>
          <w:rFonts w:ascii="Times New Roman" w:hAnsi="Times New Roman" w:cs="Times New Roman"/>
          <w:sz w:val="24"/>
          <w:szCs w:val="24"/>
        </w:rPr>
        <w:t>li</w:t>
      </w:r>
      <w:r w:rsidR="004C4AA0" w:rsidRPr="007B61AB">
        <w:rPr>
          <w:rFonts w:ascii="Times New Roman" w:hAnsi="Times New Roman" w:cs="Times New Roman"/>
          <w:sz w:val="24"/>
          <w:szCs w:val="24"/>
        </w:rPr>
        <w:t xml:space="preserve"> </w:t>
      </w:r>
      <w:r w:rsidRPr="007B61AB">
        <w:rPr>
          <w:rFonts w:ascii="Times New Roman" w:hAnsi="Times New Roman" w:cs="Times New Roman"/>
          <w:sz w:val="24"/>
          <w:szCs w:val="24"/>
        </w:rPr>
        <w:t xml:space="preserve">finančnej strate </w:t>
      </w:r>
      <w:r w:rsidRPr="007B61AB">
        <w:rPr>
          <w:rFonts w:ascii="Times New Roman" w:hAnsi="Times New Roman" w:cs="Times New Roman"/>
          <w:sz w:val="24"/>
          <w:szCs w:val="24"/>
        </w:rPr>
        <w:lastRenderedPageBreak/>
        <w:t xml:space="preserve">v rozpore s predmetom svojej činnosti. Preto tak, ako Koncepcia v období rokov 2017 – 2019, ani </w:t>
      </w:r>
      <w:r w:rsidR="004C4AA0">
        <w:rPr>
          <w:rFonts w:ascii="Times New Roman" w:hAnsi="Times New Roman" w:cs="Times New Roman"/>
          <w:sz w:val="24"/>
          <w:szCs w:val="24"/>
        </w:rPr>
        <w:t>F</w:t>
      </w:r>
      <w:r w:rsidRPr="007B61AB">
        <w:rPr>
          <w:rFonts w:ascii="Times New Roman" w:hAnsi="Times New Roman" w:cs="Times New Roman"/>
          <w:sz w:val="24"/>
          <w:szCs w:val="24"/>
        </w:rPr>
        <w:t>inančná stabilizácia neodstránila samotné dôvody zadlžovania zdravotníckych zariadení ani nevyriešila ich zadlženie, ktoré bolo jej cieľom.</w:t>
      </w:r>
    </w:p>
    <w:p w14:paraId="45895EED" w14:textId="4C86256D" w:rsidR="00744D87" w:rsidRPr="009312A4" w:rsidRDefault="00107B60" w:rsidP="006F2C36">
      <w:pPr>
        <w:pStyle w:val="Popis"/>
        <w:keepNext/>
        <w:spacing w:line="360" w:lineRule="auto"/>
        <w:ind w:firstLine="708"/>
        <w:jc w:val="both"/>
      </w:pPr>
      <w:r w:rsidRPr="00107B60">
        <w:rPr>
          <w:rFonts w:ascii="Times New Roman" w:hAnsi="Times New Roman" w:cs="Times New Roman"/>
          <w:i w:val="0"/>
          <w:iCs w:val="0"/>
          <w:color w:val="auto"/>
          <w:sz w:val="24"/>
        </w:rPr>
        <w:t>Aj po skončení procesov finančnej stabilizácie pretrvávajú nedostatky v aplikácii smernice Európskeho parlamentu a Rady 2011/7/EÚ zo dňa 16. februára 2011 o boji proti oneskoreným platbám v obchodných transakciách pokiaľ ide o uplatnenie predmetnej smernice v otázke úhrad faktúr od zdravotníckych zariadení v prospech dodávateľov.</w:t>
      </w:r>
    </w:p>
    <w:p w14:paraId="570F0409" w14:textId="77777777" w:rsidR="00744D87" w:rsidRPr="00107B60" w:rsidRDefault="00744D87" w:rsidP="00D95701">
      <w:pPr>
        <w:spacing w:line="360" w:lineRule="auto"/>
        <w:jc w:val="both"/>
        <w:rPr>
          <w:rFonts w:ascii="Times New Roman" w:hAnsi="Times New Roman" w:cs="Times New Roman"/>
          <w:sz w:val="24"/>
          <w:szCs w:val="24"/>
        </w:rPr>
      </w:pPr>
    </w:p>
    <w:p w14:paraId="0DA32F76" w14:textId="4E029FF7" w:rsidR="00EE4EAB" w:rsidRPr="00C101AD" w:rsidRDefault="00ED6E6B" w:rsidP="002F23C9">
      <w:pPr>
        <w:spacing w:line="360" w:lineRule="auto"/>
        <w:ind w:firstLine="708"/>
        <w:jc w:val="both"/>
        <w:rPr>
          <w:rFonts w:ascii="Times New Roman" w:hAnsi="Times New Roman" w:cs="Times New Roman"/>
          <w:sz w:val="24"/>
          <w:szCs w:val="24"/>
        </w:rPr>
      </w:pPr>
      <w:r w:rsidRPr="00107B60">
        <w:rPr>
          <w:rFonts w:ascii="Times New Roman" w:hAnsi="Times New Roman" w:cs="Times New Roman"/>
          <w:sz w:val="24"/>
          <w:szCs w:val="24"/>
        </w:rPr>
        <w:t xml:space="preserve">V rámci výsledkov Koncepcie ako aj realizácie </w:t>
      </w:r>
      <w:r w:rsidRPr="00C101AD">
        <w:rPr>
          <w:rFonts w:ascii="Times New Roman" w:hAnsi="Times New Roman" w:cs="Times New Roman"/>
          <w:sz w:val="24"/>
          <w:szCs w:val="24"/>
        </w:rPr>
        <w:t>procesu Finančnej stabilizácie</w:t>
      </w:r>
      <w:r w:rsidR="00CF2DAE" w:rsidRPr="00C101AD">
        <w:rPr>
          <w:rFonts w:ascii="Times New Roman" w:hAnsi="Times New Roman" w:cs="Times New Roman"/>
          <w:sz w:val="24"/>
          <w:szCs w:val="24"/>
        </w:rPr>
        <w:t>,</w:t>
      </w:r>
      <w:r w:rsidRPr="00C101AD">
        <w:rPr>
          <w:rFonts w:ascii="Times New Roman" w:hAnsi="Times New Roman" w:cs="Times New Roman"/>
          <w:sz w:val="24"/>
          <w:szCs w:val="24"/>
        </w:rPr>
        <w:t xml:space="preserve"> Ministerstvo zdravotníctva SR verifikovaním záverov oboch procesov identifikovalo skutočnost</w:t>
      </w:r>
      <w:r w:rsidR="00CF2DAE" w:rsidRPr="00C101AD">
        <w:rPr>
          <w:rFonts w:ascii="Times New Roman" w:hAnsi="Times New Roman" w:cs="Times New Roman"/>
          <w:sz w:val="24"/>
          <w:szCs w:val="24"/>
        </w:rPr>
        <w:t>i</w:t>
      </w:r>
      <w:r w:rsidRPr="00C101AD">
        <w:rPr>
          <w:rFonts w:ascii="Times New Roman" w:hAnsi="Times New Roman" w:cs="Times New Roman"/>
          <w:sz w:val="24"/>
          <w:szCs w:val="24"/>
        </w:rPr>
        <w:t xml:space="preserve">, podľa ktorých aj za splnenia predpokladu, že by zo strany oddlžovaných zdravotníckych zariadení došlo k postupnému zlepšeniu ukazovateľa </w:t>
      </w:r>
      <w:r w:rsidR="00EE4EAB" w:rsidRPr="00C101AD">
        <w:rPr>
          <w:rFonts w:ascii="Times New Roman" w:hAnsi="Times New Roman" w:cs="Times New Roman"/>
          <w:sz w:val="24"/>
          <w:szCs w:val="24"/>
        </w:rPr>
        <w:t xml:space="preserve"> EBITDA,</w:t>
      </w:r>
      <w:r w:rsidRPr="00C101AD">
        <w:rPr>
          <w:rFonts w:ascii="Times New Roman" w:hAnsi="Times New Roman" w:cs="Times New Roman"/>
          <w:sz w:val="24"/>
          <w:szCs w:val="24"/>
        </w:rPr>
        <w:t xml:space="preserve"> naďalej by pretrvával </w:t>
      </w:r>
      <w:r w:rsidR="00EE4EAB" w:rsidRPr="00C101AD">
        <w:rPr>
          <w:rFonts w:ascii="Times New Roman" w:hAnsi="Times New Roman" w:cs="Times New Roman"/>
          <w:sz w:val="24"/>
          <w:szCs w:val="24"/>
        </w:rPr>
        <w:t xml:space="preserve"> problém s</w:t>
      </w:r>
      <w:r w:rsidRPr="00C101AD">
        <w:rPr>
          <w:rFonts w:ascii="Times New Roman" w:hAnsi="Times New Roman" w:cs="Times New Roman"/>
          <w:sz w:val="24"/>
          <w:szCs w:val="24"/>
        </w:rPr>
        <w:t> likviditou</w:t>
      </w:r>
      <w:r w:rsidRPr="009B0095">
        <w:rPr>
          <w:rFonts w:ascii="Times New Roman" w:hAnsi="Times New Roman" w:cs="Times New Roman"/>
          <w:sz w:val="24"/>
          <w:szCs w:val="24"/>
        </w:rPr>
        <w:t xml:space="preserve"> zdravotníckych zariadení a ich schopnosťou platiť splatné záväzky v</w:t>
      </w:r>
      <w:r w:rsidRPr="009312A4">
        <w:rPr>
          <w:rFonts w:ascii="Times New Roman" w:hAnsi="Times New Roman" w:cs="Times New Roman"/>
          <w:sz w:val="24"/>
          <w:szCs w:val="24"/>
        </w:rPr>
        <w:t xml:space="preserve"> lehote splatnosti, keďže </w:t>
      </w:r>
      <w:r w:rsidR="00EE4EAB" w:rsidRPr="00C11A51">
        <w:rPr>
          <w:rFonts w:ascii="Times New Roman" w:hAnsi="Times New Roman" w:cs="Times New Roman"/>
          <w:sz w:val="24"/>
          <w:szCs w:val="24"/>
        </w:rPr>
        <w:t>zdroje z priaznivého trendu vývoja v oblasti výnosov nedokážu v krátkom časovom úseku vyriešiť problém s</w:t>
      </w:r>
      <w:r w:rsidRPr="00C11A51">
        <w:rPr>
          <w:rFonts w:ascii="Times New Roman" w:hAnsi="Times New Roman" w:cs="Times New Roman"/>
          <w:sz w:val="24"/>
          <w:szCs w:val="24"/>
        </w:rPr>
        <w:t xml:space="preserve"> ich</w:t>
      </w:r>
      <w:r w:rsidR="00EE4EAB" w:rsidRPr="00C11A51">
        <w:rPr>
          <w:rFonts w:ascii="Times New Roman" w:hAnsi="Times New Roman" w:cs="Times New Roman"/>
          <w:sz w:val="24"/>
          <w:szCs w:val="24"/>
        </w:rPr>
        <w:t xml:space="preserve"> likviditou</w:t>
      </w:r>
      <w:r w:rsidRPr="00C101AD">
        <w:rPr>
          <w:rFonts w:ascii="Times New Roman" w:hAnsi="Times New Roman" w:cs="Times New Roman"/>
          <w:sz w:val="24"/>
          <w:szCs w:val="24"/>
        </w:rPr>
        <w:t xml:space="preserve"> popri povinnosti splácať svoje záväzky po lehote splatnosti z minulosti</w:t>
      </w:r>
      <w:r w:rsidR="00EE4EAB" w:rsidRPr="00C101AD">
        <w:rPr>
          <w:rFonts w:ascii="Times New Roman" w:hAnsi="Times New Roman" w:cs="Times New Roman"/>
          <w:sz w:val="24"/>
          <w:szCs w:val="24"/>
        </w:rPr>
        <w:t>.</w:t>
      </w:r>
    </w:p>
    <w:p w14:paraId="03D3F04E" w14:textId="77777777" w:rsidR="00A6682D" w:rsidRPr="00C101AD" w:rsidRDefault="00A6682D" w:rsidP="002F23C9">
      <w:pPr>
        <w:spacing w:line="360" w:lineRule="auto"/>
        <w:ind w:firstLine="708"/>
        <w:jc w:val="both"/>
        <w:rPr>
          <w:rFonts w:ascii="Times New Roman" w:hAnsi="Times New Roman" w:cs="Times New Roman"/>
          <w:sz w:val="24"/>
          <w:szCs w:val="24"/>
        </w:rPr>
      </w:pPr>
    </w:p>
    <w:p w14:paraId="48608527" w14:textId="6B10D40A" w:rsidR="00EE4EAB" w:rsidRPr="00107B60" w:rsidRDefault="00EE4EAB" w:rsidP="00D95701">
      <w:pPr>
        <w:spacing w:line="360" w:lineRule="auto"/>
        <w:jc w:val="both"/>
        <w:rPr>
          <w:rFonts w:ascii="Times New Roman" w:hAnsi="Times New Roman" w:cs="Times New Roman"/>
          <w:b/>
          <w:sz w:val="24"/>
          <w:szCs w:val="24"/>
        </w:rPr>
      </w:pPr>
      <w:r w:rsidRPr="00C101AD">
        <w:rPr>
          <w:rFonts w:ascii="Times New Roman" w:hAnsi="Times New Roman" w:cs="Times New Roman"/>
          <w:sz w:val="24"/>
          <w:szCs w:val="24"/>
        </w:rPr>
        <w:tab/>
        <w:t>Riešenie situácie v oblasti finančnej stabilizácie nemocníc spočíva v realizovaní úsporných opatrení, zvýšením ich efektivity, pri ich súčasnom dofinancovaní</w:t>
      </w:r>
      <w:r w:rsidR="00D53718" w:rsidRPr="00C101AD">
        <w:rPr>
          <w:rFonts w:ascii="Times New Roman" w:hAnsi="Times New Roman" w:cs="Times New Roman"/>
          <w:sz w:val="24"/>
          <w:szCs w:val="24"/>
        </w:rPr>
        <w:t>,</w:t>
      </w:r>
      <w:r w:rsidRPr="00C101AD">
        <w:rPr>
          <w:rFonts w:ascii="Times New Roman" w:hAnsi="Times New Roman" w:cs="Times New Roman"/>
          <w:sz w:val="24"/>
          <w:szCs w:val="24"/>
        </w:rPr>
        <w:t xml:space="preserve"> ako</w:t>
      </w:r>
      <w:r w:rsidR="00ED6E6B" w:rsidRPr="00C101AD">
        <w:rPr>
          <w:rFonts w:ascii="Times New Roman" w:hAnsi="Times New Roman" w:cs="Times New Roman"/>
          <w:sz w:val="24"/>
          <w:szCs w:val="24"/>
        </w:rPr>
        <w:t xml:space="preserve"> nevyhnutného</w:t>
      </w:r>
      <w:r w:rsidRPr="00C101AD">
        <w:rPr>
          <w:rFonts w:ascii="Times New Roman" w:hAnsi="Times New Roman" w:cs="Times New Roman"/>
          <w:sz w:val="24"/>
          <w:szCs w:val="24"/>
        </w:rPr>
        <w:t xml:space="preserve"> predpokladu pre realizáciu úsporných opatrení</w:t>
      </w:r>
      <w:r w:rsidR="00ED6E6B" w:rsidRPr="00C101AD">
        <w:rPr>
          <w:rFonts w:ascii="Times New Roman" w:hAnsi="Times New Roman" w:cs="Times New Roman"/>
          <w:sz w:val="24"/>
          <w:szCs w:val="24"/>
        </w:rPr>
        <w:t>, avšak za splnenia podmienky, že bude prijatý taký model oddlženia, prostredníctvom, ktorého dôjde k oddlženiu majoritnej časti pohľadávok veriteľov a nie len ich časti</w:t>
      </w:r>
      <w:r w:rsidRPr="009B0095">
        <w:rPr>
          <w:rFonts w:ascii="Times New Roman" w:hAnsi="Times New Roman" w:cs="Times New Roman"/>
          <w:sz w:val="24"/>
          <w:szCs w:val="24"/>
        </w:rPr>
        <w:t>. Popri projektoch smerujúcich k optimalizácii nákladov, ako aj zlepšovaní procesov v nemocniciach, je nevyhnutné navýšenie výnosov zo zdravotných poisťovní za poskytovanú zdravotnú starostlivosť predovšetkým v univerzitných a fakultných nemocniciach na takú úroveň, ktorá pokr</w:t>
      </w:r>
      <w:r w:rsidRPr="009312A4">
        <w:rPr>
          <w:rFonts w:ascii="Times New Roman" w:hAnsi="Times New Roman" w:cs="Times New Roman"/>
          <w:sz w:val="24"/>
          <w:szCs w:val="24"/>
        </w:rPr>
        <w:t>yje reálne oprávnené náklady na poskytovanie zdravotnej starostlivosti. Jednou z podstatných príčin, prečo sa doposiaľ nepodarilo ďalšie zadlžovanie eliminovať</w:t>
      </w:r>
      <w:r w:rsidR="00ED6E6B" w:rsidRPr="009312A4">
        <w:rPr>
          <w:rFonts w:ascii="Times New Roman" w:hAnsi="Times New Roman" w:cs="Times New Roman"/>
          <w:sz w:val="24"/>
          <w:szCs w:val="24"/>
        </w:rPr>
        <w:t xml:space="preserve"> </w:t>
      </w:r>
      <w:r w:rsidR="00330B43" w:rsidRPr="009312A4">
        <w:rPr>
          <w:rFonts w:ascii="Times New Roman" w:hAnsi="Times New Roman" w:cs="Times New Roman"/>
          <w:sz w:val="24"/>
          <w:szCs w:val="24"/>
        </w:rPr>
        <w:t xml:space="preserve"> </w:t>
      </w:r>
      <w:r w:rsidRPr="009312A4">
        <w:rPr>
          <w:rFonts w:ascii="Times New Roman" w:hAnsi="Times New Roman" w:cs="Times New Roman"/>
          <w:sz w:val="24"/>
          <w:szCs w:val="24"/>
        </w:rPr>
        <w:t xml:space="preserve">je </w:t>
      </w:r>
      <w:r w:rsidRPr="00C11A51">
        <w:rPr>
          <w:rFonts w:ascii="Times New Roman" w:hAnsi="Times New Roman" w:cs="Times New Roman"/>
          <w:sz w:val="24"/>
          <w:szCs w:val="24"/>
        </w:rPr>
        <w:t>nenaplnenie vyššie uvedených predpokladov</w:t>
      </w:r>
      <w:r w:rsidR="00ED6E6B" w:rsidRPr="00C11A51">
        <w:rPr>
          <w:rFonts w:ascii="Times New Roman" w:hAnsi="Times New Roman" w:cs="Times New Roman"/>
          <w:sz w:val="24"/>
          <w:szCs w:val="24"/>
        </w:rPr>
        <w:t>, pri súčasnom implementovaní podmienok Koncepcie</w:t>
      </w:r>
      <w:r w:rsidR="00D53718" w:rsidRPr="00C11A51">
        <w:rPr>
          <w:rFonts w:ascii="Times New Roman" w:hAnsi="Times New Roman" w:cs="Times New Roman"/>
          <w:sz w:val="24"/>
          <w:szCs w:val="24"/>
        </w:rPr>
        <w:t>,</w:t>
      </w:r>
      <w:r w:rsidR="00ED6E6B" w:rsidRPr="00C11A51">
        <w:rPr>
          <w:rFonts w:ascii="Times New Roman" w:hAnsi="Times New Roman" w:cs="Times New Roman"/>
          <w:sz w:val="24"/>
          <w:szCs w:val="24"/>
        </w:rPr>
        <w:t xml:space="preserve"> ako aj Finančnej stabilizácie</w:t>
      </w:r>
      <w:r w:rsidRPr="00107B60">
        <w:rPr>
          <w:rFonts w:ascii="Times New Roman" w:hAnsi="Times New Roman" w:cs="Times New Roman"/>
          <w:sz w:val="24"/>
          <w:szCs w:val="24"/>
        </w:rPr>
        <w:t xml:space="preserve">. </w:t>
      </w:r>
    </w:p>
    <w:p w14:paraId="4D528A79" w14:textId="77777777" w:rsidR="00A6682D" w:rsidRPr="00C101AD" w:rsidRDefault="008F1D06" w:rsidP="00D95701">
      <w:pPr>
        <w:spacing w:line="360" w:lineRule="auto"/>
        <w:jc w:val="both"/>
        <w:rPr>
          <w:rFonts w:ascii="Times New Roman" w:hAnsi="Times New Roman" w:cs="Times New Roman"/>
          <w:sz w:val="24"/>
          <w:szCs w:val="24"/>
        </w:rPr>
      </w:pPr>
      <w:r w:rsidRPr="00C101AD">
        <w:rPr>
          <w:rFonts w:ascii="Times New Roman" w:hAnsi="Times New Roman" w:cs="Times New Roman"/>
          <w:sz w:val="24"/>
          <w:szCs w:val="24"/>
        </w:rPr>
        <w:tab/>
      </w:r>
    </w:p>
    <w:p w14:paraId="3B8D0521" w14:textId="0CD0103E" w:rsidR="00A6682D" w:rsidRPr="00C101AD" w:rsidRDefault="00B130E0" w:rsidP="00735E5A">
      <w:pPr>
        <w:spacing w:line="360" w:lineRule="auto"/>
        <w:ind w:firstLine="708"/>
        <w:jc w:val="both"/>
        <w:rPr>
          <w:rFonts w:ascii="Times New Roman" w:hAnsi="Times New Roman" w:cs="Times New Roman"/>
          <w:b/>
          <w:sz w:val="24"/>
          <w:szCs w:val="24"/>
        </w:rPr>
      </w:pPr>
      <w:r w:rsidRPr="00C101AD">
        <w:rPr>
          <w:rFonts w:ascii="Times New Roman" w:hAnsi="Times New Roman" w:cs="Times New Roman"/>
          <w:sz w:val="24"/>
          <w:szCs w:val="24"/>
        </w:rPr>
        <w:t>Nakoľko samotné oddlženie nemôže nahradiť komplexné opatrenia na systémové riešenie nahromadených príčin nepriaznivého hospodárenia zdravotníckych zariadení</w:t>
      </w:r>
      <w:r w:rsidR="0034108D" w:rsidRPr="00C101AD">
        <w:rPr>
          <w:rFonts w:ascii="Times New Roman" w:hAnsi="Times New Roman" w:cs="Times New Roman"/>
          <w:sz w:val="24"/>
          <w:szCs w:val="24"/>
        </w:rPr>
        <w:t>,</w:t>
      </w:r>
      <w:r w:rsidRPr="00C101AD">
        <w:rPr>
          <w:rFonts w:ascii="Times New Roman" w:hAnsi="Times New Roman" w:cs="Times New Roman"/>
          <w:sz w:val="24"/>
          <w:szCs w:val="24"/>
        </w:rPr>
        <w:t xml:space="preserve"> boli definované opatrenia na úrovní vlády Slovenskej republiky a súčasne na úrovni Ministerstva zdravotníctva SR s cieľom </w:t>
      </w:r>
      <w:r w:rsidR="008F1D06" w:rsidRPr="00C101AD">
        <w:rPr>
          <w:rFonts w:ascii="Times New Roman" w:hAnsi="Times New Roman" w:cs="Times New Roman"/>
          <w:sz w:val="24"/>
          <w:szCs w:val="24"/>
        </w:rPr>
        <w:t>obmedzenia tvorb</w:t>
      </w:r>
      <w:r w:rsidR="0034108D" w:rsidRPr="00C101AD">
        <w:rPr>
          <w:rFonts w:ascii="Times New Roman" w:hAnsi="Times New Roman" w:cs="Times New Roman"/>
          <w:sz w:val="24"/>
          <w:szCs w:val="24"/>
        </w:rPr>
        <w:t>y</w:t>
      </w:r>
      <w:r w:rsidR="008F1D06" w:rsidRPr="00C101AD">
        <w:rPr>
          <w:rFonts w:ascii="Times New Roman" w:hAnsi="Times New Roman" w:cs="Times New Roman"/>
          <w:sz w:val="24"/>
          <w:szCs w:val="24"/>
        </w:rPr>
        <w:t xml:space="preserve"> ďalšieho dlhu, ktoré sú dlhodobého charakteru.</w:t>
      </w:r>
    </w:p>
    <w:p w14:paraId="783AFB66" w14:textId="77777777" w:rsidR="004A40F8" w:rsidRPr="00124DAA" w:rsidRDefault="004A40F8" w:rsidP="004A40F8">
      <w:pPr>
        <w:pStyle w:val="Odsekzoznamu"/>
        <w:numPr>
          <w:ilvl w:val="0"/>
          <w:numId w:val="25"/>
        </w:numPr>
        <w:spacing w:line="360" w:lineRule="auto"/>
        <w:ind w:left="709" w:hanging="567"/>
        <w:jc w:val="both"/>
        <w:rPr>
          <w:b/>
          <w:sz w:val="28"/>
          <w:szCs w:val="28"/>
        </w:rPr>
      </w:pPr>
      <w:r w:rsidRPr="00124DAA">
        <w:rPr>
          <w:b/>
          <w:sz w:val="28"/>
          <w:szCs w:val="28"/>
        </w:rPr>
        <w:lastRenderedPageBreak/>
        <w:t>Oneskorené platby</w:t>
      </w:r>
    </w:p>
    <w:p w14:paraId="09CB7257" w14:textId="77777777" w:rsidR="004A40F8" w:rsidRPr="009B0095" w:rsidRDefault="004A40F8" w:rsidP="004A40F8">
      <w:pPr>
        <w:spacing w:line="360" w:lineRule="auto"/>
        <w:jc w:val="both"/>
        <w:rPr>
          <w:rFonts w:ascii="Times New Roman" w:hAnsi="Times New Roman" w:cs="Times New Roman"/>
          <w:b/>
          <w:sz w:val="24"/>
          <w:szCs w:val="24"/>
        </w:rPr>
      </w:pPr>
    </w:p>
    <w:p w14:paraId="5CEE37DD" w14:textId="77777777" w:rsidR="004A40F8" w:rsidRPr="00124DAA" w:rsidRDefault="004A40F8" w:rsidP="004A40F8">
      <w:pPr>
        <w:spacing w:line="360" w:lineRule="auto"/>
        <w:ind w:left="142" w:firstLine="566"/>
        <w:jc w:val="both"/>
        <w:rPr>
          <w:rFonts w:ascii="Times New Roman" w:hAnsi="Times New Roman" w:cs="Times New Roman"/>
          <w:sz w:val="24"/>
          <w:szCs w:val="24"/>
        </w:rPr>
      </w:pPr>
      <w:r w:rsidRPr="009B0095">
        <w:rPr>
          <w:rFonts w:ascii="Times New Roman" w:hAnsi="Times New Roman" w:cs="Times New Roman"/>
          <w:sz w:val="24"/>
          <w:szCs w:val="24"/>
        </w:rPr>
        <w:t>Ministerstvo zdravotníctva SR v súvislosti so situáciou týkajúcou sa oneskoreného uhrádzania platieb súkromným dodávateľom ústavnými zdravotníckymi zariadeniami eviduje aktuálne prebiehajúce konanie v</w:t>
      </w:r>
      <w:r w:rsidRPr="009312A4">
        <w:rPr>
          <w:rFonts w:ascii="Times New Roman" w:hAnsi="Times New Roman" w:cs="Times New Roman"/>
          <w:sz w:val="24"/>
          <w:szCs w:val="24"/>
        </w:rPr>
        <w:t> štádiu odôvodneného stanoviska, keďže od začatia konani</w:t>
      </w:r>
      <w:r w:rsidRPr="00C11A51">
        <w:rPr>
          <w:rFonts w:ascii="Times New Roman" w:hAnsi="Times New Roman" w:cs="Times New Roman"/>
          <w:sz w:val="24"/>
          <w:szCs w:val="24"/>
        </w:rPr>
        <w:t xml:space="preserve">a v roku 2016 nenastal zásadný pokrok v dodržiavaní úhrad splatných záväzkov nemocníc. </w:t>
      </w:r>
      <w:r w:rsidRPr="00124DAA">
        <w:rPr>
          <w:rFonts w:ascii="Times New Roman" w:hAnsi="Times New Roman" w:cs="Times New Roman"/>
          <w:sz w:val="24"/>
          <w:szCs w:val="24"/>
        </w:rPr>
        <w:t>Uvedené konanie má právny základ v nesprávnom uplatňovaní smernice Európskeho parlamentu a Rady 2011/7 EÚ zo 16. februára 2011 o boji proti oneskoreným platbám v obchodných transakciách (ďalej aj ako „smernica“).</w:t>
      </w:r>
    </w:p>
    <w:p w14:paraId="39E20555" w14:textId="77777777" w:rsidR="004A40F8" w:rsidRPr="00124DAA" w:rsidRDefault="004A40F8" w:rsidP="004A40F8">
      <w:pPr>
        <w:spacing w:line="360" w:lineRule="auto"/>
        <w:ind w:left="142"/>
        <w:jc w:val="both"/>
        <w:rPr>
          <w:rFonts w:ascii="Times New Roman" w:hAnsi="Times New Roman" w:cs="Times New Roman"/>
          <w:sz w:val="24"/>
          <w:szCs w:val="24"/>
        </w:rPr>
      </w:pPr>
    </w:p>
    <w:p w14:paraId="2EF364DF" w14:textId="77777777" w:rsidR="004A40F8" w:rsidRPr="00124DAA" w:rsidRDefault="004A40F8" w:rsidP="004A40F8">
      <w:pPr>
        <w:spacing w:line="360" w:lineRule="auto"/>
        <w:ind w:left="142" w:firstLine="566"/>
        <w:jc w:val="both"/>
        <w:rPr>
          <w:rFonts w:ascii="Times New Roman" w:hAnsi="Times New Roman" w:cs="Times New Roman"/>
          <w:sz w:val="24"/>
          <w:szCs w:val="24"/>
        </w:rPr>
      </w:pPr>
      <w:r w:rsidRPr="00124DAA">
        <w:rPr>
          <w:rFonts w:ascii="Times New Roman" w:hAnsi="Times New Roman" w:cs="Times New Roman"/>
          <w:sz w:val="24"/>
          <w:szCs w:val="24"/>
        </w:rPr>
        <w:t xml:space="preserve">Z dôvodu dlhodobo pretrvávajúcej negatívnej situácie v úhradách splatných záväzkov zo strany nemocníc voči súkromným dodávateľom bolo voči Slovenskej republike iniciované konanie do štádia infringementu prostredníctvom formálneho oznámenia, ktorým Európska komisia vytýkala priemerné oneskorenie platieb v zdravotníctve v dĺžke 397 dní a celkovú výšku dlhu voči súkromným dodávateľom oscilujúcu na úrovni 396 mil. </w:t>
      </w:r>
      <w:r>
        <w:rPr>
          <w:rFonts w:ascii="Times New Roman" w:hAnsi="Times New Roman" w:cs="Times New Roman"/>
          <w:sz w:val="24"/>
          <w:szCs w:val="24"/>
        </w:rPr>
        <w:t>eur</w:t>
      </w:r>
      <w:r w:rsidRPr="00124DAA">
        <w:rPr>
          <w:rFonts w:ascii="Times New Roman" w:hAnsi="Times New Roman" w:cs="Times New Roman"/>
          <w:sz w:val="24"/>
          <w:szCs w:val="24"/>
        </w:rPr>
        <w:t>.</w:t>
      </w:r>
    </w:p>
    <w:p w14:paraId="4A71946E" w14:textId="77777777" w:rsidR="004A40F8" w:rsidRPr="00124DAA" w:rsidRDefault="004A40F8" w:rsidP="004A40F8">
      <w:pPr>
        <w:spacing w:line="360" w:lineRule="auto"/>
        <w:ind w:left="142"/>
        <w:jc w:val="both"/>
        <w:rPr>
          <w:rFonts w:ascii="Times New Roman" w:hAnsi="Times New Roman" w:cs="Times New Roman"/>
          <w:sz w:val="24"/>
          <w:szCs w:val="24"/>
        </w:rPr>
      </w:pPr>
    </w:p>
    <w:p w14:paraId="02581C80" w14:textId="77777777" w:rsidR="004A40F8" w:rsidRPr="00124DAA" w:rsidRDefault="004A40F8" w:rsidP="004A40F8">
      <w:pPr>
        <w:spacing w:line="360" w:lineRule="auto"/>
        <w:ind w:left="142" w:firstLine="566"/>
        <w:jc w:val="both"/>
        <w:rPr>
          <w:rFonts w:ascii="Times New Roman" w:hAnsi="Times New Roman" w:cs="Times New Roman"/>
          <w:sz w:val="24"/>
          <w:szCs w:val="24"/>
        </w:rPr>
      </w:pPr>
      <w:r w:rsidRPr="00124DAA">
        <w:rPr>
          <w:rFonts w:ascii="Times New Roman" w:hAnsi="Times New Roman" w:cs="Times New Roman"/>
          <w:sz w:val="24"/>
          <w:szCs w:val="24"/>
        </w:rPr>
        <w:t>Napriek skutočnosti, že Slovenská republika reagovala na predmetné odôvodnenie poukázaním na hlavné príčiny zadlženosti nemocníc, uvedené v tomto materiál</w:t>
      </w:r>
      <w:r>
        <w:rPr>
          <w:rFonts w:ascii="Times New Roman" w:hAnsi="Times New Roman" w:cs="Times New Roman"/>
          <w:sz w:val="24"/>
          <w:szCs w:val="24"/>
        </w:rPr>
        <w:t>i</w:t>
      </w:r>
      <w:r w:rsidRPr="00124DAA">
        <w:rPr>
          <w:rFonts w:ascii="Times New Roman" w:hAnsi="Times New Roman" w:cs="Times New Roman"/>
          <w:sz w:val="24"/>
          <w:szCs w:val="24"/>
        </w:rPr>
        <w:t xml:space="preserve"> popri uvedení všetkých relevantných opatrení prijímaných Ministerstvom zdravotníctva SR na zlepšenie aktuálneho stavu (zefektívnením postupov a procesov verejného obstarávania, implementovaním opatrení hodnoty za peniaze, zavádzanie DRG a pod.) ani v rámci dialógu medzi Slovenskou republikou a Európskou komisiou nedošlo k odstráneni</w:t>
      </w:r>
      <w:r>
        <w:rPr>
          <w:rFonts w:ascii="Times New Roman" w:hAnsi="Times New Roman" w:cs="Times New Roman"/>
          <w:sz w:val="24"/>
          <w:szCs w:val="24"/>
        </w:rPr>
        <w:t>u</w:t>
      </w:r>
      <w:r w:rsidRPr="00124DAA">
        <w:rPr>
          <w:rFonts w:ascii="Times New Roman" w:hAnsi="Times New Roman" w:cs="Times New Roman"/>
          <w:sz w:val="24"/>
          <w:szCs w:val="24"/>
        </w:rPr>
        <w:t xml:space="preserve"> negatívneho stavu prostredníctvom realizácie Finančnej stabilizácie, ako uvádza kapitola II. tohto materiálu.</w:t>
      </w:r>
    </w:p>
    <w:p w14:paraId="094A1A7E" w14:textId="77777777" w:rsidR="004A40F8" w:rsidRPr="00124DAA" w:rsidRDefault="004A40F8" w:rsidP="004A40F8">
      <w:pPr>
        <w:spacing w:line="360" w:lineRule="auto"/>
        <w:ind w:left="142"/>
        <w:jc w:val="both"/>
        <w:rPr>
          <w:rFonts w:ascii="Times New Roman" w:hAnsi="Times New Roman" w:cs="Times New Roman"/>
          <w:sz w:val="24"/>
          <w:szCs w:val="24"/>
        </w:rPr>
      </w:pPr>
    </w:p>
    <w:p w14:paraId="7AE70BE5" w14:textId="77777777" w:rsidR="004A40F8" w:rsidRPr="00124DAA" w:rsidRDefault="004A40F8" w:rsidP="004A40F8">
      <w:pPr>
        <w:spacing w:line="360" w:lineRule="auto"/>
        <w:ind w:left="142" w:firstLine="566"/>
        <w:jc w:val="both"/>
        <w:rPr>
          <w:rFonts w:ascii="Times New Roman" w:hAnsi="Times New Roman" w:cs="Times New Roman"/>
          <w:sz w:val="24"/>
          <w:szCs w:val="24"/>
        </w:rPr>
      </w:pPr>
      <w:r w:rsidRPr="00124DAA">
        <w:rPr>
          <w:rFonts w:ascii="Times New Roman" w:hAnsi="Times New Roman" w:cs="Times New Roman"/>
          <w:sz w:val="24"/>
          <w:szCs w:val="24"/>
        </w:rPr>
        <w:t>Z uvedených dôvodov existuje naďalej aj po ukončení procesu Finančnej stabilizácie riziko pokračovania v konaní voči Slovenskej republike, ktoré môže mať za následok :</w:t>
      </w:r>
    </w:p>
    <w:p w14:paraId="0CC042E7" w14:textId="77777777" w:rsidR="004A40F8" w:rsidRPr="00124DAA" w:rsidRDefault="004A40F8" w:rsidP="004A40F8">
      <w:pPr>
        <w:spacing w:line="360" w:lineRule="auto"/>
        <w:ind w:left="142"/>
        <w:jc w:val="both"/>
        <w:rPr>
          <w:rFonts w:ascii="Times New Roman" w:hAnsi="Times New Roman" w:cs="Times New Roman"/>
          <w:sz w:val="24"/>
          <w:szCs w:val="24"/>
        </w:rPr>
      </w:pPr>
    </w:p>
    <w:p w14:paraId="46D33FB4" w14:textId="77777777" w:rsidR="004A40F8" w:rsidRPr="00124DAA" w:rsidRDefault="004A40F8" w:rsidP="004A40F8">
      <w:pPr>
        <w:pStyle w:val="Odsekzoznamu"/>
        <w:spacing w:line="360" w:lineRule="auto"/>
        <w:ind w:left="993" w:hanging="850"/>
        <w:jc w:val="both"/>
      </w:pPr>
      <w:r w:rsidRPr="00124DAA">
        <w:t>i)</w:t>
      </w:r>
      <w:r w:rsidRPr="00124DAA">
        <w:rPr>
          <w:sz w:val="14"/>
          <w:szCs w:val="14"/>
        </w:rPr>
        <w:t xml:space="preserve">                    </w:t>
      </w:r>
      <w:r w:rsidRPr="00124DAA">
        <w:rPr>
          <w:i/>
          <w:iCs/>
        </w:rPr>
        <w:t>uzavretie konania</w:t>
      </w:r>
      <w:r w:rsidRPr="00124DAA">
        <w:t xml:space="preserve"> – predpokladom by však bolo odstránenie porušenia, t.j. zásadné zníženie dlhu a najmä úhrada „zdravotníckych pohľadávok“ v lehote predvídanej smernicou (30 kalendárnych dní s prípadným maximálnym predĺžením na 60 kalendárnych dní);</w:t>
      </w:r>
    </w:p>
    <w:p w14:paraId="313FC78A" w14:textId="77777777" w:rsidR="004A40F8" w:rsidRPr="00124DAA" w:rsidRDefault="004A40F8" w:rsidP="004A40F8">
      <w:pPr>
        <w:pStyle w:val="Odsekzoznamu"/>
        <w:spacing w:line="360" w:lineRule="auto"/>
        <w:ind w:left="993" w:hanging="850"/>
        <w:jc w:val="both"/>
      </w:pPr>
      <w:r w:rsidRPr="00124DAA">
        <w:rPr>
          <w:b/>
          <w:bCs/>
        </w:rPr>
        <w:t> </w:t>
      </w:r>
    </w:p>
    <w:p w14:paraId="76D6C93A" w14:textId="77777777" w:rsidR="004A40F8" w:rsidRPr="00124DAA" w:rsidRDefault="004A40F8" w:rsidP="004A40F8">
      <w:pPr>
        <w:pStyle w:val="Odsekzoznamu"/>
        <w:spacing w:line="360" w:lineRule="auto"/>
        <w:ind w:left="993" w:hanging="850"/>
        <w:jc w:val="both"/>
      </w:pPr>
      <w:r w:rsidRPr="00124DAA">
        <w:lastRenderedPageBreak/>
        <w:t>ii)</w:t>
      </w:r>
      <w:r w:rsidRPr="00124DAA">
        <w:rPr>
          <w:sz w:val="14"/>
          <w:szCs w:val="14"/>
        </w:rPr>
        <w:t xml:space="preserve">                   </w:t>
      </w:r>
      <w:r w:rsidRPr="00124DAA">
        <w:rPr>
          <w:i/>
          <w:iCs/>
        </w:rPr>
        <w:t xml:space="preserve">„posunutie“ konania do štádia </w:t>
      </w:r>
      <w:r w:rsidRPr="00124DAA">
        <w:rPr>
          <w:b/>
          <w:bCs/>
          <w:i/>
          <w:iCs/>
        </w:rPr>
        <w:t>súdneho konania</w:t>
      </w:r>
      <w:r w:rsidRPr="00124DAA">
        <w:t xml:space="preserve"> (t.</w:t>
      </w:r>
      <w:r>
        <w:t xml:space="preserve"> </w:t>
      </w:r>
      <w:r w:rsidRPr="00124DAA">
        <w:t xml:space="preserve">j. prijatie rozhodnutia o podaní žaloby na Súdny dvor a jej následné podanie) – Európska komisia má plnú diskréciu, pokiaľ ide o rozhodnutie, či a kedy tak urobí. V zásade však pristupuje k tomuto kroku vtedy, ak sa s odpoveďou na odôvodnené stanovisko nestotožní a porušenie (podľa jej názoru) pretrváva aj naďalej. V tomto kontexte, vzhľadom na aktuálny skutkový a právny stav sa nedá vylúčiť prijatie rozhodnutia o podaní žaloby v najbližšej dobe. </w:t>
      </w:r>
    </w:p>
    <w:p w14:paraId="28F2BCF1" w14:textId="77777777" w:rsidR="004A40F8" w:rsidRPr="00124DAA" w:rsidRDefault="004A40F8" w:rsidP="004A40F8">
      <w:pPr>
        <w:spacing w:line="360" w:lineRule="auto"/>
        <w:ind w:left="142"/>
        <w:jc w:val="both"/>
        <w:rPr>
          <w:rFonts w:ascii="Times New Roman" w:hAnsi="Times New Roman" w:cs="Times New Roman"/>
          <w:sz w:val="24"/>
          <w:szCs w:val="24"/>
        </w:rPr>
      </w:pPr>
    </w:p>
    <w:p w14:paraId="03474198" w14:textId="77777777" w:rsidR="004A40F8" w:rsidRPr="00124DAA" w:rsidRDefault="004A40F8" w:rsidP="004A40F8">
      <w:pPr>
        <w:spacing w:line="360" w:lineRule="auto"/>
        <w:ind w:left="142" w:firstLine="566"/>
        <w:jc w:val="both"/>
        <w:rPr>
          <w:rFonts w:ascii="Times New Roman" w:hAnsi="Times New Roman" w:cs="Times New Roman"/>
          <w:sz w:val="24"/>
          <w:szCs w:val="24"/>
        </w:rPr>
      </w:pPr>
      <w:r w:rsidRPr="00124DAA">
        <w:rPr>
          <w:rFonts w:ascii="Times New Roman" w:hAnsi="Times New Roman" w:cs="Times New Roman"/>
          <w:sz w:val="24"/>
          <w:szCs w:val="24"/>
        </w:rPr>
        <w:t>Vzhľadom na naďalej pretrvávajúce systémové a právne riziká je cieľom Ministerstva zdravotníctva SR prostredníctvom predkladaného materiálu predložiť taký model riešenia zadlženosti zdravotníckych zariadení, ktorý bude spôsobilý vychádzajúc z poznatkov predchádzajúcich modelov oddlženia vytvoriť predpoklady pre vyriešenie súčasného stavu.</w:t>
      </w:r>
    </w:p>
    <w:p w14:paraId="5FAC281A" w14:textId="77777777" w:rsidR="004A40F8" w:rsidRDefault="004A40F8" w:rsidP="004A40F8">
      <w:pPr>
        <w:spacing w:line="360" w:lineRule="auto"/>
        <w:ind w:left="142"/>
        <w:jc w:val="both"/>
        <w:rPr>
          <w:rFonts w:ascii="Times New Roman" w:hAnsi="Times New Roman" w:cs="Times New Roman"/>
          <w:sz w:val="24"/>
          <w:szCs w:val="24"/>
        </w:rPr>
      </w:pPr>
      <w:r w:rsidRPr="00124DAA">
        <w:rPr>
          <w:rFonts w:ascii="Times New Roman" w:hAnsi="Times New Roman" w:cs="Times New Roman"/>
          <w:sz w:val="24"/>
          <w:szCs w:val="24"/>
        </w:rPr>
        <w:t xml:space="preserve">V prípade pretrvávajúceho súčasného stavu existuje riziko, že sa infringement môže dostať do rámca súdneho konania s prípadnými negatívnymi dôsledkami </w:t>
      </w:r>
      <w:r w:rsidRPr="006F2C36">
        <w:rPr>
          <w:rFonts w:ascii="Times New Roman" w:hAnsi="Times New Roman" w:cs="Times New Roman"/>
          <w:sz w:val="24"/>
          <w:szCs w:val="24"/>
        </w:rPr>
        <w:t>pre Slovenskú republiku.</w:t>
      </w:r>
    </w:p>
    <w:p w14:paraId="6A8B5D03" w14:textId="77777777" w:rsidR="004A40F8" w:rsidRDefault="004A40F8" w:rsidP="004A40F8">
      <w:pPr>
        <w:spacing w:line="360" w:lineRule="auto"/>
        <w:ind w:left="142" w:firstLine="566"/>
        <w:jc w:val="both"/>
        <w:rPr>
          <w:rFonts w:ascii="Times New Roman" w:hAnsi="Times New Roman" w:cs="Times New Roman"/>
          <w:sz w:val="24"/>
          <w:szCs w:val="24"/>
        </w:rPr>
      </w:pPr>
      <w:r w:rsidRPr="006F2C36">
        <w:rPr>
          <w:rFonts w:ascii="Times New Roman" w:hAnsi="Times New Roman" w:cs="Times New Roman"/>
          <w:sz w:val="24"/>
          <w:szCs w:val="24"/>
        </w:rPr>
        <w:t>Ak napriek rozsudku Súdneho dvora EÚ o porušení práva EÚ (prvé rozhodnutie Súdneho dvora) členský štát nenapraví vzniknutú situáciu, Komisia sa môže s predmetnou vecou opätovne obrátiť na Súdny dvor s návrhom na uloženie peňažnej sankcie, a to vo forme paušálnej pokuty a/alebo penále. Súdny dvor nie je viazaný návrhom Komisie pokiaľ ide o navrhovanú výšku peňažnej sankcie.</w:t>
      </w:r>
      <w:r w:rsidRPr="009B0095">
        <w:rPr>
          <w:rFonts w:ascii="Times New Roman" w:hAnsi="Times New Roman" w:cs="Times New Roman"/>
          <w:sz w:val="24"/>
          <w:szCs w:val="24"/>
        </w:rPr>
        <w:t xml:space="preserve"> </w:t>
      </w:r>
    </w:p>
    <w:p w14:paraId="7F7C3EB0" w14:textId="77777777" w:rsidR="004A40F8" w:rsidRDefault="004A40F8" w:rsidP="004A40F8">
      <w:pPr>
        <w:spacing w:line="360" w:lineRule="auto"/>
        <w:ind w:firstLine="708"/>
        <w:jc w:val="both"/>
        <w:rPr>
          <w:rFonts w:ascii="Times New Roman" w:hAnsi="Times New Roman" w:cs="Times New Roman"/>
          <w:sz w:val="24"/>
          <w:szCs w:val="24"/>
        </w:rPr>
      </w:pPr>
    </w:p>
    <w:p w14:paraId="5C7DD6C7" w14:textId="77777777" w:rsidR="004A40F8" w:rsidRDefault="004A40F8" w:rsidP="004A40F8">
      <w:pPr>
        <w:spacing w:line="360" w:lineRule="auto"/>
        <w:ind w:firstLine="708"/>
        <w:jc w:val="both"/>
        <w:rPr>
          <w:rFonts w:ascii="Times New Roman" w:hAnsi="Times New Roman" w:cs="Times New Roman"/>
          <w:sz w:val="24"/>
          <w:szCs w:val="24"/>
        </w:rPr>
      </w:pPr>
      <w:r w:rsidRPr="00CD3D62">
        <w:rPr>
          <w:rFonts w:ascii="Times New Roman" w:hAnsi="Times New Roman" w:cs="Times New Roman"/>
          <w:sz w:val="24"/>
          <w:szCs w:val="24"/>
        </w:rPr>
        <w:t>Pri výpočte výšky sankcie sa zohľadní význam porušených pravidiel a dôsledky tohto porušenia na všeobecné a osobitné záujmy,</w:t>
      </w:r>
      <w:r w:rsidRPr="00FC78A7">
        <w:rPr>
          <w:rFonts w:ascii="Times New Roman" w:hAnsi="Times New Roman" w:cs="Times New Roman"/>
          <w:sz w:val="24"/>
          <w:szCs w:val="24"/>
        </w:rPr>
        <w:t xml:space="preserve"> </w:t>
      </w:r>
      <w:r w:rsidRPr="00CD3D62">
        <w:rPr>
          <w:rFonts w:ascii="Times New Roman" w:hAnsi="Times New Roman" w:cs="Times New Roman"/>
          <w:sz w:val="24"/>
          <w:szCs w:val="24"/>
        </w:rPr>
        <w:t>ďalej obdobie, počas ktorého trvalo porušenie práva EÚ,</w:t>
      </w:r>
      <w:r w:rsidRPr="00FC78A7">
        <w:rPr>
          <w:rFonts w:ascii="Times New Roman" w:hAnsi="Times New Roman" w:cs="Times New Roman"/>
          <w:sz w:val="24"/>
          <w:szCs w:val="24"/>
        </w:rPr>
        <w:t xml:space="preserve"> ako aj </w:t>
      </w:r>
      <w:r w:rsidRPr="00CD3D62">
        <w:rPr>
          <w:rFonts w:ascii="Times New Roman" w:hAnsi="Times New Roman" w:cs="Times New Roman"/>
          <w:sz w:val="24"/>
          <w:szCs w:val="24"/>
        </w:rPr>
        <w:t>schopnosť krajiny uhradiť sankcie, pričom sa má zabezpečiť, aby sankcie mali odradzujúci účinok.</w:t>
      </w:r>
      <w:r w:rsidRPr="00FC78A7">
        <w:rPr>
          <w:rFonts w:ascii="Times New Roman" w:hAnsi="Times New Roman" w:cs="Times New Roman"/>
          <w:sz w:val="24"/>
          <w:szCs w:val="24"/>
        </w:rPr>
        <w:t xml:space="preserve"> </w:t>
      </w:r>
      <w:r w:rsidRPr="00CD3D62">
        <w:rPr>
          <w:rFonts w:ascii="Times New Roman" w:hAnsi="Times New Roman" w:cs="Times New Roman"/>
          <w:sz w:val="24"/>
          <w:szCs w:val="24"/>
        </w:rPr>
        <w:t>Spôsob výpočtu sankcie vyplýva z Oznámenia Komisie v znení Aktualizácie údajov používaných pri výpočte paušálnych pokút a penále, ktoré bude Komisia navrhovať Súdnemu dvoru Európskej únie v konaniach o nesplnení povinnosti zo dňa 13.9.2019 (2019/C 309/01).</w:t>
      </w:r>
    </w:p>
    <w:p w14:paraId="62A57F69" w14:textId="77777777" w:rsidR="004A40F8" w:rsidRDefault="004A40F8" w:rsidP="004A40F8">
      <w:pPr>
        <w:spacing w:line="360" w:lineRule="auto"/>
        <w:ind w:firstLine="708"/>
        <w:jc w:val="both"/>
        <w:rPr>
          <w:rFonts w:ascii="Times New Roman" w:hAnsi="Times New Roman" w:cs="Times New Roman"/>
          <w:sz w:val="24"/>
          <w:szCs w:val="24"/>
        </w:rPr>
      </w:pPr>
    </w:p>
    <w:p w14:paraId="0215C74D" w14:textId="77777777" w:rsidR="004A40F8" w:rsidRPr="00FC78A7" w:rsidRDefault="004A40F8" w:rsidP="004A40F8">
      <w:pPr>
        <w:spacing w:line="360" w:lineRule="auto"/>
        <w:ind w:firstLine="708"/>
        <w:jc w:val="both"/>
        <w:rPr>
          <w:rFonts w:ascii="Times New Roman" w:hAnsi="Times New Roman" w:cs="Times New Roman"/>
          <w:sz w:val="24"/>
          <w:szCs w:val="24"/>
        </w:rPr>
      </w:pPr>
      <w:r w:rsidRPr="00CD3D62">
        <w:rPr>
          <w:rFonts w:ascii="Times New Roman" w:hAnsi="Times New Roman" w:cs="Times New Roman"/>
          <w:sz w:val="24"/>
          <w:szCs w:val="24"/>
        </w:rPr>
        <w:t xml:space="preserve">Minimálna paušálna pokuta je pre SR stanovená vo výške 696.000,- € (minimálna fixná paušálna pokuta sa Súdnemu dvoru spravidla navrhne, ak súčet denných paušálnych súm neprekračuje túto minimálnu fixnú paušálnu pokutu). </w:t>
      </w:r>
    </w:p>
    <w:p w14:paraId="188B7485" w14:textId="77777777" w:rsidR="004A40F8" w:rsidRPr="00CD3D62" w:rsidRDefault="004A40F8" w:rsidP="004A40F8">
      <w:pPr>
        <w:spacing w:line="360" w:lineRule="auto"/>
        <w:jc w:val="both"/>
        <w:rPr>
          <w:rFonts w:ascii="Times New Roman" w:hAnsi="Times New Roman" w:cs="Times New Roman"/>
          <w:sz w:val="24"/>
          <w:szCs w:val="24"/>
        </w:rPr>
      </w:pPr>
    </w:p>
    <w:p w14:paraId="3901D7DA" w14:textId="179CA458" w:rsidR="004A40F8" w:rsidRDefault="004A40F8" w:rsidP="004A40F8">
      <w:pPr>
        <w:spacing w:line="360" w:lineRule="auto"/>
        <w:ind w:firstLine="708"/>
        <w:jc w:val="both"/>
        <w:rPr>
          <w:rFonts w:ascii="Times New Roman" w:hAnsi="Times New Roman" w:cs="Times New Roman"/>
          <w:sz w:val="24"/>
          <w:szCs w:val="24"/>
        </w:rPr>
      </w:pPr>
      <w:r w:rsidRPr="00CD3D62">
        <w:rPr>
          <w:rFonts w:ascii="Times New Roman" w:hAnsi="Times New Roman" w:cs="Times New Roman"/>
          <w:sz w:val="24"/>
          <w:szCs w:val="24"/>
        </w:rPr>
        <w:t xml:space="preserve">Penále ako druh sankcie Komisia navrhuje s cieľom čo najskôr odstrániť nesplnenie povinnosti, konštatovanej prvým rozsudkom Súdneho dvora EÚ podľa článku 160 ods. 1 </w:t>
      </w:r>
      <w:r w:rsidRPr="00CD3D62">
        <w:rPr>
          <w:rFonts w:ascii="Times New Roman" w:hAnsi="Times New Roman" w:cs="Times New Roman"/>
          <w:sz w:val="24"/>
          <w:szCs w:val="24"/>
        </w:rPr>
        <w:lastRenderedPageBreak/>
        <w:t>ZFEÚ. Sankcionovanie sa však nevzťahuje za obdobie od uvedeného prvého rozsudku, ale má donucovaciu funkciu až od okamihu vynesenia druhého rozsudku Súdneho dvora EÚ v prípade, že porušovanie únijného práva pokračuje, do okamihu jeho skončenia. Ak bude porušenie povinnosti SR pretrvávať v čase rozhodovania Súdneho dvora o sankciách, Súdny dvor uloží tak paušálnu pokutu</w:t>
      </w:r>
      <w:r w:rsidR="00735E5A">
        <w:rPr>
          <w:rFonts w:ascii="Times New Roman" w:hAnsi="Times New Roman" w:cs="Times New Roman"/>
          <w:sz w:val="24"/>
          <w:szCs w:val="24"/>
        </w:rPr>
        <w:t>,</w:t>
      </w:r>
      <w:r w:rsidRPr="00CD3D62">
        <w:rPr>
          <w:rFonts w:ascii="Times New Roman" w:hAnsi="Times New Roman" w:cs="Times New Roman"/>
          <w:sz w:val="24"/>
          <w:szCs w:val="24"/>
        </w:rPr>
        <w:t xml:space="preserve"> ako aj penále odo dňa vyhlásenia rozsudku.</w:t>
      </w:r>
    </w:p>
    <w:p w14:paraId="6BEDE825" w14:textId="77777777" w:rsidR="00292CCB" w:rsidRDefault="00292CCB" w:rsidP="004A40F8">
      <w:pPr>
        <w:spacing w:line="360" w:lineRule="auto"/>
        <w:jc w:val="both"/>
        <w:rPr>
          <w:rFonts w:ascii="Times New Roman" w:hAnsi="Times New Roman" w:cs="Times New Roman"/>
          <w:sz w:val="24"/>
          <w:szCs w:val="24"/>
        </w:rPr>
      </w:pPr>
    </w:p>
    <w:p w14:paraId="7E61AF9B" w14:textId="77777777" w:rsidR="00124DAA" w:rsidRPr="009B0095" w:rsidRDefault="00124DAA" w:rsidP="00D95701">
      <w:pPr>
        <w:spacing w:line="360" w:lineRule="auto"/>
        <w:jc w:val="both"/>
        <w:rPr>
          <w:rFonts w:ascii="Times New Roman" w:hAnsi="Times New Roman" w:cs="Times New Roman"/>
          <w:b/>
          <w:sz w:val="24"/>
          <w:szCs w:val="24"/>
        </w:rPr>
      </w:pPr>
    </w:p>
    <w:p w14:paraId="2B2A611B" w14:textId="14CDCDCD" w:rsidR="0073306D" w:rsidRPr="00124DAA" w:rsidRDefault="00DA2485" w:rsidP="00124DAA">
      <w:pPr>
        <w:pStyle w:val="Odsekzoznamu"/>
        <w:numPr>
          <w:ilvl w:val="0"/>
          <w:numId w:val="25"/>
        </w:numPr>
        <w:spacing w:line="360" w:lineRule="auto"/>
        <w:ind w:left="709" w:hanging="709"/>
        <w:jc w:val="both"/>
        <w:rPr>
          <w:b/>
          <w:sz w:val="28"/>
          <w:szCs w:val="28"/>
        </w:rPr>
      </w:pPr>
      <w:r w:rsidRPr="00124DAA">
        <w:rPr>
          <w:b/>
          <w:sz w:val="28"/>
          <w:szCs w:val="28"/>
        </w:rPr>
        <w:t xml:space="preserve">Aktuálne účtovné a evidenčné údaje v zdravotníckych zariadeniach v pôsobnosti Ministerstva zdravotníctva </w:t>
      </w:r>
      <w:r w:rsidR="00A6682D" w:rsidRPr="00124DAA">
        <w:rPr>
          <w:b/>
          <w:sz w:val="28"/>
          <w:szCs w:val="28"/>
        </w:rPr>
        <w:t xml:space="preserve">SR </w:t>
      </w:r>
      <w:r w:rsidRPr="00124DAA">
        <w:rPr>
          <w:b/>
          <w:sz w:val="28"/>
          <w:szCs w:val="28"/>
        </w:rPr>
        <w:t>k 30. júnu 2022</w:t>
      </w:r>
      <w:r w:rsidR="00AE77E5" w:rsidRPr="00124DAA">
        <w:rPr>
          <w:b/>
          <w:sz w:val="28"/>
          <w:szCs w:val="28"/>
        </w:rPr>
        <w:t xml:space="preserve"> a trend od 31.12.2021</w:t>
      </w:r>
    </w:p>
    <w:p w14:paraId="13DC0667" w14:textId="77777777" w:rsidR="004C37DF" w:rsidRPr="009B0095" w:rsidRDefault="004C37DF" w:rsidP="00D95701">
      <w:pPr>
        <w:spacing w:line="360" w:lineRule="auto"/>
        <w:jc w:val="both"/>
        <w:rPr>
          <w:rFonts w:ascii="Times New Roman" w:hAnsi="Times New Roman" w:cs="Times New Roman"/>
          <w:b/>
          <w:sz w:val="24"/>
          <w:szCs w:val="24"/>
        </w:rPr>
      </w:pPr>
    </w:p>
    <w:p w14:paraId="4276C5FF" w14:textId="2EF1C3E7" w:rsidR="00E57BCF" w:rsidRPr="00124DAA" w:rsidRDefault="00675065" w:rsidP="00D95701">
      <w:pPr>
        <w:spacing w:line="360" w:lineRule="auto"/>
        <w:ind w:firstLine="641"/>
        <w:jc w:val="both"/>
        <w:rPr>
          <w:rFonts w:ascii="Times New Roman" w:hAnsi="Times New Roman" w:cs="Times New Roman"/>
          <w:sz w:val="24"/>
          <w:szCs w:val="24"/>
        </w:rPr>
      </w:pPr>
      <w:r w:rsidRPr="009B0095">
        <w:rPr>
          <w:rFonts w:ascii="Times New Roman" w:hAnsi="Times New Roman" w:cs="Times New Roman"/>
          <w:sz w:val="24"/>
          <w:szCs w:val="24"/>
        </w:rPr>
        <w:t xml:space="preserve">Ministerstvo zdravotníctva SR </w:t>
      </w:r>
      <w:r w:rsidR="0002794E" w:rsidRPr="009B0095">
        <w:rPr>
          <w:rFonts w:ascii="Times New Roman" w:hAnsi="Times New Roman" w:cs="Times New Roman"/>
          <w:sz w:val="24"/>
          <w:szCs w:val="24"/>
        </w:rPr>
        <w:t>vo vzťahu k</w:t>
      </w:r>
      <w:r w:rsidRPr="009B0095">
        <w:rPr>
          <w:rFonts w:ascii="Times New Roman" w:hAnsi="Times New Roman" w:cs="Times New Roman"/>
          <w:sz w:val="24"/>
          <w:szCs w:val="24"/>
        </w:rPr>
        <w:t xml:space="preserve"> 13 najväčší</w:t>
      </w:r>
      <w:r w:rsidR="0002794E" w:rsidRPr="009B0095">
        <w:rPr>
          <w:rFonts w:ascii="Times New Roman" w:hAnsi="Times New Roman" w:cs="Times New Roman"/>
          <w:sz w:val="24"/>
          <w:szCs w:val="24"/>
        </w:rPr>
        <w:t xml:space="preserve">m </w:t>
      </w:r>
      <w:r w:rsidRPr="009B0095">
        <w:rPr>
          <w:rFonts w:ascii="Times New Roman" w:hAnsi="Times New Roman" w:cs="Times New Roman"/>
          <w:sz w:val="24"/>
          <w:szCs w:val="24"/>
        </w:rPr>
        <w:t xml:space="preserve"> zdravotnícky</w:t>
      </w:r>
      <w:r w:rsidR="0002794E" w:rsidRPr="009B0095">
        <w:rPr>
          <w:rFonts w:ascii="Times New Roman" w:hAnsi="Times New Roman" w:cs="Times New Roman"/>
          <w:sz w:val="24"/>
          <w:szCs w:val="24"/>
        </w:rPr>
        <w:t>m</w:t>
      </w:r>
      <w:r w:rsidRPr="006C0BBF">
        <w:rPr>
          <w:rFonts w:ascii="Times New Roman" w:hAnsi="Times New Roman" w:cs="Times New Roman"/>
          <w:sz w:val="24"/>
          <w:szCs w:val="24"/>
        </w:rPr>
        <w:t xml:space="preserve"> zariaden</w:t>
      </w:r>
      <w:r w:rsidR="0002794E" w:rsidRPr="006C0BBF">
        <w:rPr>
          <w:rFonts w:ascii="Times New Roman" w:hAnsi="Times New Roman" w:cs="Times New Roman"/>
          <w:sz w:val="24"/>
          <w:szCs w:val="24"/>
        </w:rPr>
        <w:t xml:space="preserve">iam v zriaďovateľskej </w:t>
      </w:r>
      <w:r w:rsidRPr="009312A4">
        <w:rPr>
          <w:rFonts w:ascii="Times New Roman" w:hAnsi="Times New Roman" w:cs="Times New Roman"/>
          <w:sz w:val="24"/>
          <w:szCs w:val="24"/>
        </w:rPr>
        <w:t xml:space="preserve">pôsobnosti </w:t>
      </w:r>
      <w:r w:rsidR="00A712E2" w:rsidRPr="009312A4">
        <w:rPr>
          <w:rFonts w:ascii="Times New Roman" w:hAnsi="Times New Roman" w:cs="Times New Roman"/>
          <w:sz w:val="24"/>
          <w:szCs w:val="24"/>
        </w:rPr>
        <w:t xml:space="preserve">a to </w:t>
      </w:r>
      <w:r w:rsidRPr="009312A4">
        <w:rPr>
          <w:rFonts w:ascii="Times New Roman" w:hAnsi="Times New Roman" w:cs="Times New Roman"/>
          <w:sz w:val="24"/>
          <w:szCs w:val="24"/>
        </w:rPr>
        <w:t xml:space="preserve">- </w:t>
      </w:r>
      <w:r w:rsidR="00A712E2" w:rsidRPr="009312A4">
        <w:rPr>
          <w:rFonts w:ascii="Times New Roman" w:hAnsi="Times New Roman" w:cs="Times New Roman"/>
          <w:sz w:val="24"/>
          <w:szCs w:val="24"/>
        </w:rPr>
        <w:t>Univerzitnej nemocnici</w:t>
      </w:r>
      <w:r w:rsidR="00A712E2" w:rsidRPr="00C11A51">
        <w:rPr>
          <w:rFonts w:ascii="Times New Roman" w:hAnsi="Times New Roman" w:cs="Times New Roman"/>
          <w:sz w:val="24"/>
          <w:szCs w:val="24"/>
        </w:rPr>
        <w:t xml:space="preserve"> </w:t>
      </w:r>
      <w:r w:rsidRPr="00C11A51">
        <w:rPr>
          <w:rFonts w:ascii="Times New Roman" w:hAnsi="Times New Roman" w:cs="Times New Roman"/>
          <w:sz w:val="24"/>
          <w:szCs w:val="24"/>
        </w:rPr>
        <w:t xml:space="preserve">Bratislava, </w:t>
      </w:r>
      <w:r w:rsidR="00A712E2" w:rsidRPr="00C11A51">
        <w:rPr>
          <w:rFonts w:ascii="Times New Roman" w:hAnsi="Times New Roman" w:cs="Times New Roman"/>
          <w:sz w:val="24"/>
          <w:szCs w:val="24"/>
        </w:rPr>
        <w:t>Univerzitnej nemocnic</w:t>
      </w:r>
      <w:r w:rsidR="00A712E2" w:rsidRPr="00107B60">
        <w:rPr>
          <w:rFonts w:ascii="Times New Roman" w:hAnsi="Times New Roman" w:cs="Times New Roman"/>
          <w:sz w:val="24"/>
          <w:szCs w:val="24"/>
        </w:rPr>
        <w:t xml:space="preserve">i </w:t>
      </w:r>
      <w:r w:rsidRPr="00107B60">
        <w:rPr>
          <w:rFonts w:ascii="Times New Roman" w:hAnsi="Times New Roman" w:cs="Times New Roman"/>
          <w:sz w:val="24"/>
          <w:szCs w:val="24"/>
        </w:rPr>
        <w:t>L. P</w:t>
      </w:r>
      <w:r w:rsidR="00A6682D" w:rsidRPr="00107B60">
        <w:rPr>
          <w:rFonts w:ascii="Times New Roman" w:hAnsi="Times New Roman" w:cs="Times New Roman"/>
          <w:sz w:val="24"/>
          <w:szCs w:val="24"/>
        </w:rPr>
        <w:t>asteura</w:t>
      </w:r>
      <w:r w:rsidRPr="00107B60">
        <w:rPr>
          <w:rFonts w:ascii="Times New Roman" w:hAnsi="Times New Roman" w:cs="Times New Roman"/>
          <w:sz w:val="24"/>
          <w:szCs w:val="24"/>
        </w:rPr>
        <w:t xml:space="preserve"> Košice, </w:t>
      </w:r>
      <w:r w:rsidR="00A712E2" w:rsidRPr="00107B60">
        <w:rPr>
          <w:rFonts w:ascii="Times New Roman" w:hAnsi="Times New Roman" w:cs="Times New Roman"/>
          <w:sz w:val="24"/>
          <w:szCs w:val="24"/>
        </w:rPr>
        <w:t xml:space="preserve">Univerzitnej nemocnici </w:t>
      </w:r>
      <w:r w:rsidRPr="00C101AD">
        <w:rPr>
          <w:rFonts w:ascii="Times New Roman" w:hAnsi="Times New Roman" w:cs="Times New Roman"/>
          <w:sz w:val="24"/>
          <w:szCs w:val="24"/>
        </w:rPr>
        <w:t>Martin, Národn</w:t>
      </w:r>
      <w:r w:rsidR="00A712E2" w:rsidRPr="00C101AD">
        <w:rPr>
          <w:rFonts w:ascii="Times New Roman" w:hAnsi="Times New Roman" w:cs="Times New Roman"/>
          <w:sz w:val="24"/>
          <w:szCs w:val="24"/>
        </w:rPr>
        <w:t>ému</w:t>
      </w:r>
      <w:r w:rsidRPr="00C101AD">
        <w:rPr>
          <w:rFonts w:ascii="Times New Roman" w:hAnsi="Times New Roman" w:cs="Times New Roman"/>
          <w:sz w:val="24"/>
          <w:szCs w:val="24"/>
        </w:rPr>
        <w:t xml:space="preserve"> ústav</w:t>
      </w:r>
      <w:r w:rsidR="00A712E2" w:rsidRPr="00124DAA">
        <w:rPr>
          <w:rFonts w:ascii="Times New Roman" w:hAnsi="Times New Roman" w:cs="Times New Roman"/>
          <w:sz w:val="24"/>
          <w:szCs w:val="24"/>
        </w:rPr>
        <w:t>u</w:t>
      </w:r>
      <w:r w:rsidRPr="00124DAA">
        <w:rPr>
          <w:rFonts w:ascii="Times New Roman" w:hAnsi="Times New Roman" w:cs="Times New Roman"/>
          <w:sz w:val="24"/>
          <w:szCs w:val="24"/>
        </w:rPr>
        <w:t xml:space="preserve"> detských chorôb Bratislava, </w:t>
      </w:r>
      <w:r w:rsidR="00A712E2" w:rsidRPr="00124DAA">
        <w:rPr>
          <w:rFonts w:ascii="Times New Roman" w:hAnsi="Times New Roman" w:cs="Times New Roman"/>
          <w:sz w:val="24"/>
          <w:szCs w:val="24"/>
        </w:rPr>
        <w:t xml:space="preserve">Detskej fakultnej nemocnici </w:t>
      </w:r>
      <w:r w:rsidRPr="00124DAA">
        <w:rPr>
          <w:rFonts w:ascii="Times New Roman" w:hAnsi="Times New Roman" w:cs="Times New Roman"/>
          <w:sz w:val="24"/>
          <w:szCs w:val="24"/>
        </w:rPr>
        <w:t xml:space="preserve">s poliklinikou Banská Bystrica, </w:t>
      </w:r>
      <w:r w:rsidR="00A712E2" w:rsidRPr="00124DAA">
        <w:rPr>
          <w:rFonts w:ascii="Times New Roman" w:hAnsi="Times New Roman" w:cs="Times New Roman"/>
          <w:sz w:val="24"/>
          <w:szCs w:val="24"/>
        </w:rPr>
        <w:t xml:space="preserve">Detskej fakultnej nemocnici </w:t>
      </w:r>
      <w:r w:rsidRPr="00124DAA">
        <w:rPr>
          <w:rFonts w:ascii="Times New Roman" w:hAnsi="Times New Roman" w:cs="Times New Roman"/>
          <w:sz w:val="24"/>
          <w:szCs w:val="24"/>
        </w:rPr>
        <w:t xml:space="preserve">Košice, </w:t>
      </w:r>
      <w:r w:rsidR="00A712E2" w:rsidRPr="00124DAA">
        <w:rPr>
          <w:rFonts w:ascii="Times New Roman" w:hAnsi="Times New Roman" w:cs="Times New Roman"/>
          <w:sz w:val="24"/>
          <w:szCs w:val="24"/>
        </w:rPr>
        <w:t xml:space="preserve">Fakultnej nemocnici </w:t>
      </w:r>
      <w:r w:rsidRPr="00124DAA">
        <w:rPr>
          <w:rFonts w:ascii="Times New Roman" w:hAnsi="Times New Roman" w:cs="Times New Roman"/>
          <w:sz w:val="24"/>
          <w:szCs w:val="24"/>
        </w:rPr>
        <w:t>s poliklinikou F. D. R</w:t>
      </w:r>
      <w:r w:rsidR="00A6682D" w:rsidRPr="00124DAA">
        <w:rPr>
          <w:rFonts w:ascii="Times New Roman" w:hAnsi="Times New Roman" w:cs="Times New Roman"/>
          <w:sz w:val="24"/>
          <w:szCs w:val="24"/>
        </w:rPr>
        <w:t>oosevelta</w:t>
      </w:r>
      <w:r w:rsidRPr="00124DAA">
        <w:rPr>
          <w:rFonts w:ascii="Times New Roman" w:hAnsi="Times New Roman" w:cs="Times New Roman"/>
          <w:sz w:val="24"/>
          <w:szCs w:val="24"/>
        </w:rPr>
        <w:t xml:space="preserve"> Banská Bystrica, </w:t>
      </w:r>
      <w:r w:rsidR="00A712E2" w:rsidRPr="00124DAA">
        <w:rPr>
          <w:rFonts w:ascii="Times New Roman" w:hAnsi="Times New Roman" w:cs="Times New Roman"/>
          <w:sz w:val="24"/>
          <w:szCs w:val="24"/>
        </w:rPr>
        <w:t xml:space="preserve">Fakultnej nemocnici </w:t>
      </w:r>
      <w:r w:rsidRPr="00124DAA">
        <w:rPr>
          <w:rFonts w:ascii="Times New Roman" w:hAnsi="Times New Roman" w:cs="Times New Roman"/>
          <w:sz w:val="24"/>
          <w:szCs w:val="24"/>
        </w:rPr>
        <w:t xml:space="preserve">Trnava, </w:t>
      </w:r>
      <w:r w:rsidR="00A712E2" w:rsidRPr="00124DAA">
        <w:rPr>
          <w:rFonts w:ascii="Times New Roman" w:hAnsi="Times New Roman" w:cs="Times New Roman"/>
          <w:sz w:val="24"/>
          <w:szCs w:val="24"/>
        </w:rPr>
        <w:t xml:space="preserve">Fakultnej nemocnici </w:t>
      </w:r>
      <w:r w:rsidRPr="00124DAA">
        <w:rPr>
          <w:rFonts w:ascii="Times New Roman" w:hAnsi="Times New Roman" w:cs="Times New Roman"/>
          <w:sz w:val="24"/>
          <w:szCs w:val="24"/>
        </w:rPr>
        <w:t xml:space="preserve">Trenčín, </w:t>
      </w:r>
      <w:r w:rsidR="00A712E2" w:rsidRPr="00124DAA">
        <w:rPr>
          <w:rFonts w:ascii="Times New Roman" w:hAnsi="Times New Roman" w:cs="Times New Roman"/>
          <w:sz w:val="24"/>
          <w:szCs w:val="24"/>
        </w:rPr>
        <w:t xml:space="preserve">Fakultnej nemocnici </w:t>
      </w:r>
      <w:r w:rsidRPr="00124DAA">
        <w:rPr>
          <w:rFonts w:ascii="Times New Roman" w:hAnsi="Times New Roman" w:cs="Times New Roman"/>
          <w:sz w:val="24"/>
          <w:szCs w:val="24"/>
        </w:rPr>
        <w:t>s poliklinikou J. A. R</w:t>
      </w:r>
      <w:r w:rsidR="00E57BCF" w:rsidRPr="00124DAA">
        <w:rPr>
          <w:rFonts w:ascii="Times New Roman" w:hAnsi="Times New Roman" w:cs="Times New Roman"/>
          <w:sz w:val="24"/>
          <w:szCs w:val="24"/>
        </w:rPr>
        <w:t>eimana</w:t>
      </w:r>
      <w:r w:rsidRPr="00124DAA">
        <w:rPr>
          <w:rFonts w:ascii="Times New Roman" w:hAnsi="Times New Roman" w:cs="Times New Roman"/>
          <w:sz w:val="24"/>
          <w:szCs w:val="24"/>
        </w:rPr>
        <w:t xml:space="preserve"> Prešov, </w:t>
      </w:r>
      <w:r w:rsidR="00A712E2" w:rsidRPr="00124DAA">
        <w:rPr>
          <w:rFonts w:ascii="Times New Roman" w:hAnsi="Times New Roman" w:cs="Times New Roman"/>
          <w:sz w:val="24"/>
          <w:szCs w:val="24"/>
        </w:rPr>
        <w:t xml:space="preserve">Fakultnej nemocnici </w:t>
      </w:r>
      <w:r w:rsidR="00E57BCF" w:rsidRPr="00124DAA">
        <w:rPr>
          <w:rFonts w:ascii="Times New Roman" w:hAnsi="Times New Roman" w:cs="Times New Roman"/>
          <w:sz w:val="24"/>
          <w:szCs w:val="24"/>
        </w:rPr>
        <w:t>s poliklinikou</w:t>
      </w:r>
      <w:r w:rsidRPr="00124DAA">
        <w:rPr>
          <w:rFonts w:ascii="Times New Roman" w:hAnsi="Times New Roman" w:cs="Times New Roman"/>
          <w:sz w:val="24"/>
          <w:szCs w:val="24"/>
        </w:rPr>
        <w:t xml:space="preserve"> Žilina, </w:t>
      </w:r>
      <w:r w:rsidR="00A712E2" w:rsidRPr="00124DAA">
        <w:rPr>
          <w:rFonts w:ascii="Times New Roman" w:hAnsi="Times New Roman" w:cs="Times New Roman"/>
          <w:sz w:val="24"/>
          <w:szCs w:val="24"/>
        </w:rPr>
        <w:t xml:space="preserve">Fakultnej nemocnici </w:t>
      </w:r>
      <w:r w:rsidRPr="00124DAA">
        <w:rPr>
          <w:rFonts w:ascii="Times New Roman" w:hAnsi="Times New Roman" w:cs="Times New Roman"/>
          <w:sz w:val="24"/>
          <w:szCs w:val="24"/>
        </w:rPr>
        <w:t xml:space="preserve">Nitra a </w:t>
      </w:r>
      <w:r w:rsidR="00A712E2" w:rsidRPr="00124DAA">
        <w:rPr>
          <w:rFonts w:ascii="Times New Roman" w:hAnsi="Times New Roman" w:cs="Times New Roman"/>
          <w:sz w:val="24"/>
          <w:szCs w:val="24"/>
        </w:rPr>
        <w:t xml:space="preserve">Fakultnej nemocnici </w:t>
      </w:r>
      <w:r w:rsidRPr="00124DAA">
        <w:rPr>
          <w:rFonts w:ascii="Times New Roman" w:hAnsi="Times New Roman" w:cs="Times New Roman"/>
          <w:sz w:val="24"/>
          <w:szCs w:val="24"/>
        </w:rPr>
        <w:t>s poliklinikou Nové Zámky</w:t>
      </w:r>
      <w:r w:rsidR="00A712E2" w:rsidRPr="00124DAA">
        <w:rPr>
          <w:rFonts w:ascii="Times New Roman" w:hAnsi="Times New Roman" w:cs="Times New Roman"/>
          <w:sz w:val="24"/>
          <w:szCs w:val="24"/>
        </w:rPr>
        <w:t>,</w:t>
      </w:r>
      <w:r w:rsidR="0002794E" w:rsidRPr="00124DAA">
        <w:rPr>
          <w:rFonts w:ascii="Times New Roman" w:hAnsi="Times New Roman" w:cs="Times New Roman"/>
          <w:sz w:val="24"/>
          <w:szCs w:val="24"/>
        </w:rPr>
        <w:t xml:space="preserve"> nepretržite eviduje vývoj finančných ukazovateľov týchto nemocníc s cieľom optimalizovať ich činnosť</w:t>
      </w:r>
      <w:r w:rsidRPr="00124DAA">
        <w:rPr>
          <w:rFonts w:ascii="Times New Roman" w:hAnsi="Times New Roman" w:cs="Times New Roman"/>
          <w:sz w:val="24"/>
          <w:szCs w:val="24"/>
        </w:rPr>
        <w:t>.</w:t>
      </w:r>
    </w:p>
    <w:p w14:paraId="7AEE5CBB" w14:textId="2B6B89CC" w:rsidR="00675065" w:rsidRPr="00124DAA" w:rsidRDefault="00675065" w:rsidP="00124DAA">
      <w:pPr>
        <w:spacing w:line="360" w:lineRule="auto"/>
        <w:jc w:val="both"/>
        <w:rPr>
          <w:rFonts w:ascii="Times New Roman" w:hAnsi="Times New Roman" w:cs="Times New Roman"/>
          <w:sz w:val="24"/>
          <w:szCs w:val="24"/>
        </w:rPr>
      </w:pPr>
    </w:p>
    <w:p w14:paraId="7C3B1DE1" w14:textId="63C236D7" w:rsidR="00E57BCF" w:rsidRPr="00124DAA" w:rsidRDefault="004C37DF" w:rsidP="00D95701">
      <w:pPr>
        <w:spacing w:line="360" w:lineRule="auto"/>
        <w:ind w:firstLine="641"/>
        <w:jc w:val="both"/>
        <w:rPr>
          <w:rFonts w:ascii="Times New Roman" w:hAnsi="Times New Roman" w:cs="Times New Roman"/>
          <w:sz w:val="24"/>
          <w:szCs w:val="24"/>
        </w:rPr>
      </w:pPr>
      <w:r w:rsidRPr="00124DAA">
        <w:rPr>
          <w:rFonts w:ascii="Times New Roman" w:hAnsi="Times New Roman" w:cs="Times New Roman"/>
          <w:sz w:val="24"/>
          <w:szCs w:val="24"/>
        </w:rPr>
        <w:t>Stav záväzkov po lehote splatnosti v zdravotníckych zariadeniach v pôsobnosti Ministerstva zdravotníctva SR k 31.12.2021</w:t>
      </w:r>
      <w:r w:rsidR="0034108D" w:rsidRPr="00124DAA">
        <w:rPr>
          <w:rFonts w:ascii="Times New Roman" w:hAnsi="Times New Roman" w:cs="Times New Roman"/>
          <w:sz w:val="24"/>
          <w:szCs w:val="24"/>
        </w:rPr>
        <w:t xml:space="preserve"> bol</w:t>
      </w:r>
      <w:r w:rsidRPr="00124DAA">
        <w:rPr>
          <w:rFonts w:ascii="Times New Roman" w:hAnsi="Times New Roman" w:cs="Times New Roman"/>
          <w:sz w:val="24"/>
          <w:szCs w:val="24"/>
        </w:rPr>
        <w:t xml:space="preserve"> 694,61 mil. eur, a záväzky po lehote splatnosti k 30.</w:t>
      </w:r>
      <w:r w:rsidR="00E57BCF" w:rsidRPr="00124DAA">
        <w:rPr>
          <w:rFonts w:ascii="Times New Roman" w:hAnsi="Times New Roman" w:cs="Times New Roman"/>
          <w:sz w:val="24"/>
          <w:szCs w:val="24"/>
        </w:rPr>
        <w:t>0</w:t>
      </w:r>
      <w:r w:rsidRPr="00124DAA">
        <w:rPr>
          <w:rFonts w:ascii="Times New Roman" w:hAnsi="Times New Roman" w:cs="Times New Roman"/>
          <w:sz w:val="24"/>
          <w:szCs w:val="24"/>
        </w:rPr>
        <w:t>6.2022 vo výške 638,10 mil. eur.</w:t>
      </w:r>
    </w:p>
    <w:p w14:paraId="25685E6F" w14:textId="676080D3" w:rsidR="004C37DF" w:rsidRPr="00124DAA" w:rsidRDefault="004C37DF" w:rsidP="00D95701">
      <w:pPr>
        <w:spacing w:line="360" w:lineRule="auto"/>
        <w:ind w:firstLine="641"/>
        <w:jc w:val="both"/>
        <w:rPr>
          <w:rFonts w:ascii="Times New Roman" w:hAnsi="Times New Roman" w:cs="Times New Roman"/>
          <w:sz w:val="24"/>
          <w:szCs w:val="24"/>
        </w:rPr>
      </w:pPr>
      <w:r w:rsidRPr="00124DAA">
        <w:rPr>
          <w:rFonts w:ascii="Times New Roman" w:hAnsi="Times New Roman" w:cs="Times New Roman"/>
          <w:sz w:val="24"/>
          <w:szCs w:val="24"/>
        </w:rPr>
        <w:t xml:space="preserve"> </w:t>
      </w:r>
    </w:p>
    <w:p w14:paraId="640CF9EC" w14:textId="21C01408" w:rsidR="00E57BCF" w:rsidRPr="00124DAA" w:rsidRDefault="00AE77E5" w:rsidP="00D95701">
      <w:pPr>
        <w:spacing w:line="360" w:lineRule="auto"/>
        <w:ind w:firstLine="641"/>
        <w:jc w:val="both"/>
        <w:rPr>
          <w:rFonts w:ascii="Times New Roman" w:hAnsi="Times New Roman" w:cs="Times New Roman"/>
          <w:sz w:val="24"/>
          <w:szCs w:val="24"/>
        </w:rPr>
      </w:pPr>
      <w:r w:rsidRPr="00124DAA">
        <w:rPr>
          <w:rFonts w:ascii="Times New Roman" w:hAnsi="Times New Roman" w:cs="Times New Roman"/>
          <w:sz w:val="24"/>
          <w:szCs w:val="24"/>
        </w:rPr>
        <w:t xml:space="preserve">Priemerné mesačné tempo rastu záväzkov spolu na úrovni istiny bolo v období január </w:t>
      </w:r>
      <w:r w:rsidR="00340943" w:rsidRPr="00124DAA">
        <w:rPr>
          <w:rFonts w:ascii="Times New Roman" w:hAnsi="Times New Roman" w:cs="Times New Roman"/>
          <w:sz w:val="24"/>
          <w:szCs w:val="24"/>
        </w:rPr>
        <w:t>až</w:t>
      </w:r>
      <w:r w:rsidRPr="00124DAA">
        <w:rPr>
          <w:rFonts w:ascii="Times New Roman" w:hAnsi="Times New Roman" w:cs="Times New Roman"/>
          <w:sz w:val="24"/>
          <w:szCs w:val="24"/>
        </w:rPr>
        <w:t xml:space="preserve"> december 2021 na úrovni 13,82 mil. eur. Za 6 mesiacov roku 2022 záväzky poklesli o 66,65 mil. eur</w:t>
      </w:r>
      <w:r w:rsidR="004C37DF" w:rsidRPr="00124DAA">
        <w:rPr>
          <w:rFonts w:ascii="Times New Roman" w:hAnsi="Times New Roman" w:cs="Times New Roman"/>
          <w:sz w:val="24"/>
          <w:szCs w:val="24"/>
        </w:rPr>
        <w:t xml:space="preserve">, pričom </w:t>
      </w:r>
      <w:r w:rsidRPr="00124DAA">
        <w:rPr>
          <w:rFonts w:ascii="Times New Roman" w:hAnsi="Times New Roman" w:cs="Times New Roman"/>
          <w:sz w:val="24"/>
          <w:szCs w:val="24"/>
        </w:rPr>
        <w:t xml:space="preserve"> priemerné mesačné tempo poklesu záväzkov na úrovni</w:t>
      </w:r>
      <w:r w:rsidR="00340943" w:rsidRPr="00124DAA">
        <w:rPr>
          <w:rFonts w:ascii="Times New Roman" w:hAnsi="Times New Roman" w:cs="Times New Roman"/>
          <w:sz w:val="24"/>
          <w:szCs w:val="24"/>
        </w:rPr>
        <w:t xml:space="preserve"> istiny</w:t>
      </w:r>
      <w:r w:rsidRPr="00124DAA">
        <w:rPr>
          <w:rFonts w:ascii="Times New Roman" w:hAnsi="Times New Roman" w:cs="Times New Roman"/>
          <w:sz w:val="24"/>
          <w:szCs w:val="24"/>
        </w:rPr>
        <w:t xml:space="preserve"> </w:t>
      </w:r>
      <w:r w:rsidR="00340943" w:rsidRPr="00124DAA">
        <w:rPr>
          <w:rFonts w:ascii="Times New Roman" w:hAnsi="Times New Roman" w:cs="Times New Roman"/>
          <w:sz w:val="24"/>
          <w:szCs w:val="24"/>
        </w:rPr>
        <w:t xml:space="preserve">bolo </w:t>
      </w:r>
      <w:r w:rsidRPr="00124DAA">
        <w:rPr>
          <w:rFonts w:ascii="Times New Roman" w:hAnsi="Times New Roman" w:cs="Times New Roman"/>
          <w:sz w:val="24"/>
          <w:szCs w:val="24"/>
        </w:rPr>
        <w:t>-11,11 mil. eur</w:t>
      </w:r>
      <w:r w:rsidR="00E57BCF" w:rsidRPr="00124DAA">
        <w:rPr>
          <w:rFonts w:ascii="Times New Roman" w:hAnsi="Times New Roman" w:cs="Times New Roman"/>
          <w:sz w:val="24"/>
          <w:szCs w:val="24"/>
        </w:rPr>
        <w:t>,</w:t>
      </w:r>
      <w:r w:rsidRPr="00124DAA">
        <w:rPr>
          <w:rFonts w:ascii="Times New Roman" w:hAnsi="Times New Roman" w:cs="Times New Roman"/>
          <w:sz w:val="24"/>
          <w:szCs w:val="24"/>
        </w:rPr>
        <w:t xml:space="preserve"> </w:t>
      </w:r>
      <w:r w:rsidR="00340943" w:rsidRPr="00124DAA">
        <w:rPr>
          <w:rFonts w:ascii="Times New Roman" w:hAnsi="Times New Roman" w:cs="Times New Roman"/>
          <w:sz w:val="24"/>
          <w:szCs w:val="24"/>
        </w:rPr>
        <w:t>vplyvom procesu oddlženia</w:t>
      </w:r>
      <w:r w:rsidRPr="00124DAA">
        <w:rPr>
          <w:rFonts w:ascii="Times New Roman" w:hAnsi="Times New Roman" w:cs="Times New Roman"/>
          <w:sz w:val="24"/>
          <w:szCs w:val="24"/>
        </w:rPr>
        <w:t>.</w:t>
      </w:r>
    </w:p>
    <w:p w14:paraId="2FFB7C67" w14:textId="36332B32" w:rsidR="00AE77E5" w:rsidRPr="00124DAA" w:rsidRDefault="00AE77E5" w:rsidP="00D95701">
      <w:pPr>
        <w:spacing w:line="360" w:lineRule="auto"/>
        <w:ind w:firstLine="641"/>
        <w:jc w:val="both"/>
        <w:rPr>
          <w:rFonts w:ascii="Times New Roman" w:hAnsi="Times New Roman" w:cs="Times New Roman"/>
          <w:sz w:val="24"/>
          <w:szCs w:val="24"/>
        </w:rPr>
      </w:pPr>
      <w:r w:rsidRPr="00124DAA">
        <w:rPr>
          <w:rFonts w:ascii="Times New Roman" w:hAnsi="Times New Roman" w:cs="Times New Roman"/>
          <w:sz w:val="24"/>
          <w:szCs w:val="24"/>
        </w:rPr>
        <w:t xml:space="preserve"> </w:t>
      </w:r>
    </w:p>
    <w:p w14:paraId="5DE0381C" w14:textId="5969E27B" w:rsidR="00AE77E5" w:rsidRPr="00124DAA" w:rsidRDefault="00AE77E5" w:rsidP="00D95701">
      <w:pPr>
        <w:spacing w:line="360" w:lineRule="auto"/>
        <w:ind w:firstLine="708"/>
        <w:jc w:val="both"/>
        <w:rPr>
          <w:rFonts w:ascii="Times New Roman" w:hAnsi="Times New Roman" w:cs="Times New Roman"/>
          <w:sz w:val="24"/>
          <w:szCs w:val="24"/>
        </w:rPr>
      </w:pPr>
      <w:r w:rsidRPr="00124DAA">
        <w:rPr>
          <w:rFonts w:ascii="Times New Roman" w:hAnsi="Times New Roman" w:cs="Times New Roman"/>
          <w:sz w:val="24"/>
          <w:szCs w:val="24"/>
        </w:rPr>
        <w:t xml:space="preserve">V kategórii záväzkov po lehote splatnosti </w:t>
      </w:r>
      <w:r w:rsidR="00E57BCF" w:rsidRPr="00124DAA">
        <w:rPr>
          <w:rFonts w:ascii="Times New Roman" w:hAnsi="Times New Roman" w:cs="Times New Roman"/>
          <w:sz w:val="24"/>
          <w:szCs w:val="24"/>
        </w:rPr>
        <w:t xml:space="preserve">v </w:t>
      </w:r>
      <w:r w:rsidRPr="00124DAA">
        <w:rPr>
          <w:rFonts w:ascii="Times New Roman" w:hAnsi="Times New Roman" w:cs="Times New Roman"/>
          <w:sz w:val="24"/>
          <w:szCs w:val="24"/>
        </w:rPr>
        <w:t xml:space="preserve">období január </w:t>
      </w:r>
      <w:r w:rsidR="00340943" w:rsidRPr="00124DAA">
        <w:rPr>
          <w:rFonts w:ascii="Times New Roman" w:hAnsi="Times New Roman" w:cs="Times New Roman"/>
          <w:sz w:val="24"/>
          <w:szCs w:val="24"/>
        </w:rPr>
        <w:t>až</w:t>
      </w:r>
      <w:r w:rsidRPr="00124DAA">
        <w:rPr>
          <w:rFonts w:ascii="Times New Roman" w:hAnsi="Times New Roman" w:cs="Times New Roman"/>
          <w:sz w:val="24"/>
          <w:szCs w:val="24"/>
        </w:rPr>
        <w:t xml:space="preserve"> december 2021 bolo  priemerné mesačné tempo rastu záväzkov na úrovni 8,45</w:t>
      </w:r>
      <w:r w:rsidRPr="00124DAA">
        <w:rPr>
          <w:rFonts w:ascii="Times New Roman" w:hAnsi="Times New Roman" w:cs="Times New Roman"/>
          <w:bCs/>
          <w:sz w:val="24"/>
          <w:szCs w:val="24"/>
        </w:rPr>
        <w:t xml:space="preserve"> mil. eur</w:t>
      </w:r>
      <w:r w:rsidRPr="00124DAA">
        <w:rPr>
          <w:rFonts w:ascii="Times New Roman" w:hAnsi="Times New Roman" w:cs="Times New Roman"/>
          <w:sz w:val="24"/>
          <w:szCs w:val="24"/>
        </w:rPr>
        <w:t xml:space="preserve">. Za 6 mesiacov roku 2022 </w:t>
      </w:r>
      <w:r w:rsidRPr="00124DAA">
        <w:rPr>
          <w:rFonts w:ascii="Times New Roman" w:hAnsi="Times New Roman" w:cs="Times New Roman"/>
          <w:sz w:val="24"/>
          <w:szCs w:val="24"/>
        </w:rPr>
        <w:lastRenderedPageBreak/>
        <w:t xml:space="preserve">bolo </w:t>
      </w:r>
      <w:r w:rsidR="00340943" w:rsidRPr="00124DAA">
        <w:rPr>
          <w:rFonts w:ascii="Times New Roman" w:hAnsi="Times New Roman" w:cs="Times New Roman"/>
          <w:sz w:val="24"/>
          <w:szCs w:val="24"/>
        </w:rPr>
        <w:t xml:space="preserve">v </w:t>
      </w:r>
      <w:r w:rsidRPr="00124DAA">
        <w:rPr>
          <w:rFonts w:ascii="Times New Roman" w:hAnsi="Times New Roman" w:cs="Times New Roman"/>
          <w:sz w:val="24"/>
          <w:szCs w:val="24"/>
        </w:rPr>
        <w:t>dôsledk</w:t>
      </w:r>
      <w:r w:rsidR="00340943" w:rsidRPr="00124DAA">
        <w:rPr>
          <w:rFonts w:ascii="Times New Roman" w:hAnsi="Times New Roman" w:cs="Times New Roman"/>
          <w:sz w:val="24"/>
          <w:szCs w:val="24"/>
        </w:rPr>
        <w:t>u</w:t>
      </w:r>
      <w:r w:rsidRPr="00124DAA">
        <w:rPr>
          <w:rFonts w:ascii="Times New Roman" w:hAnsi="Times New Roman" w:cs="Times New Roman"/>
          <w:sz w:val="24"/>
          <w:szCs w:val="24"/>
        </w:rPr>
        <w:t xml:space="preserve"> oddlženia priemerné mesačné tempo poklesu záväzkov po lehote splatnosti </w:t>
      </w:r>
      <w:r w:rsidR="004340AD" w:rsidRPr="00124DAA">
        <w:rPr>
          <w:rFonts w:ascii="Times New Roman" w:hAnsi="Times New Roman" w:cs="Times New Roman"/>
          <w:sz w:val="24"/>
          <w:szCs w:val="24"/>
        </w:rPr>
        <w:t xml:space="preserve">     </w:t>
      </w:r>
      <w:r w:rsidRPr="00124DAA">
        <w:rPr>
          <w:rFonts w:ascii="Times New Roman" w:hAnsi="Times New Roman" w:cs="Times New Roman"/>
          <w:sz w:val="24"/>
          <w:szCs w:val="24"/>
        </w:rPr>
        <w:t xml:space="preserve">-9,42 mil. eur. </w:t>
      </w:r>
    </w:p>
    <w:p w14:paraId="4E227122" w14:textId="77777777" w:rsidR="00E57BCF" w:rsidRPr="00124DAA" w:rsidRDefault="00E57BCF" w:rsidP="00D95701">
      <w:pPr>
        <w:spacing w:line="360" w:lineRule="auto"/>
        <w:ind w:firstLine="708"/>
        <w:jc w:val="both"/>
        <w:rPr>
          <w:rFonts w:ascii="Times New Roman" w:hAnsi="Times New Roman" w:cs="Times New Roman"/>
          <w:sz w:val="24"/>
          <w:szCs w:val="24"/>
        </w:rPr>
      </w:pPr>
    </w:p>
    <w:p w14:paraId="7DD568F4" w14:textId="68CB6356" w:rsidR="00AE77E5" w:rsidRDefault="00457A03" w:rsidP="00D95701">
      <w:pPr>
        <w:spacing w:line="360" w:lineRule="auto"/>
        <w:ind w:firstLine="709"/>
        <w:jc w:val="both"/>
        <w:rPr>
          <w:rFonts w:ascii="Times New Roman" w:hAnsi="Times New Roman" w:cs="Times New Roman"/>
          <w:sz w:val="24"/>
          <w:szCs w:val="24"/>
        </w:rPr>
      </w:pPr>
      <w:r w:rsidRPr="00124DAA">
        <w:rPr>
          <w:rFonts w:ascii="Times New Roman" w:hAnsi="Times New Roman" w:cs="Times New Roman"/>
          <w:sz w:val="24"/>
          <w:szCs w:val="24"/>
        </w:rPr>
        <w:t>Vysoký p</w:t>
      </w:r>
      <w:r w:rsidR="00340943" w:rsidRPr="00124DAA">
        <w:rPr>
          <w:rFonts w:ascii="Times New Roman" w:hAnsi="Times New Roman" w:cs="Times New Roman"/>
          <w:sz w:val="24"/>
          <w:szCs w:val="24"/>
        </w:rPr>
        <w:t xml:space="preserve">odiel osobných nákladov v pomere k výnosom </w:t>
      </w:r>
      <w:r w:rsidR="00124DAA">
        <w:rPr>
          <w:rFonts w:ascii="Times New Roman" w:hAnsi="Times New Roman" w:cs="Times New Roman"/>
          <w:sz w:val="24"/>
          <w:szCs w:val="24"/>
        </w:rPr>
        <w:t xml:space="preserve">(viď graf č. 1) </w:t>
      </w:r>
      <w:r w:rsidR="00340943" w:rsidRPr="009B0095">
        <w:rPr>
          <w:rFonts w:ascii="Times New Roman" w:hAnsi="Times New Roman" w:cs="Times New Roman"/>
          <w:sz w:val="24"/>
          <w:szCs w:val="24"/>
        </w:rPr>
        <w:t>od zdravotných poisťovní, ktorý sa medziročne neustále zvyšuje, značne komplikuje situáciu pri zlepšovaní finančnej  kondície nemocníc.  Tento podiel  v roku 2021  predstavoval v priemere 85 %</w:t>
      </w:r>
      <w:r w:rsidRPr="009312A4">
        <w:rPr>
          <w:rFonts w:ascii="Times New Roman" w:hAnsi="Times New Roman" w:cs="Times New Roman"/>
          <w:sz w:val="24"/>
          <w:szCs w:val="24"/>
        </w:rPr>
        <w:t xml:space="preserve"> a tento pokračuje aj v roku 2022</w:t>
      </w:r>
      <w:r w:rsidR="00E57BCF" w:rsidRPr="009312A4">
        <w:rPr>
          <w:rFonts w:ascii="Times New Roman" w:hAnsi="Times New Roman" w:cs="Times New Roman"/>
          <w:sz w:val="24"/>
          <w:szCs w:val="24"/>
        </w:rPr>
        <w:t>.</w:t>
      </w:r>
      <w:r w:rsidR="00340943" w:rsidRPr="009312A4">
        <w:rPr>
          <w:rFonts w:ascii="Times New Roman" w:hAnsi="Times New Roman" w:cs="Times New Roman"/>
          <w:sz w:val="24"/>
          <w:szCs w:val="24"/>
        </w:rPr>
        <w:t xml:space="preserve"> </w:t>
      </w:r>
      <w:r w:rsidR="00E57BCF" w:rsidRPr="009312A4">
        <w:rPr>
          <w:rFonts w:ascii="Times New Roman" w:hAnsi="Times New Roman" w:cs="Times New Roman"/>
          <w:sz w:val="24"/>
          <w:szCs w:val="24"/>
        </w:rPr>
        <w:t>P</w:t>
      </w:r>
      <w:r w:rsidR="00340943" w:rsidRPr="00C11A51">
        <w:rPr>
          <w:rFonts w:ascii="Times New Roman" w:hAnsi="Times New Roman" w:cs="Times New Roman"/>
          <w:sz w:val="24"/>
          <w:szCs w:val="24"/>
        </w:rPr>
        <w:t xml:space="preserve">re porovnanie v roku 2020 to bolo v priemere 77 %. </w:t>
      </w:r>
      <w:r w:rsidRPr="00C11A51">
        <w:rPr>
          <w:rFonts w:ascii="Times New Roman" w:hAnsi="Times New Roman" w:cs="Times New Roman"/>
          <w:sz w:val="24"/>
          <w:szCs w:val="24"/>
        </w:rPr>
        <w:t>V číselnom vyjadrení o</w:t>
      </w:r>
      <w:r w:rsidR="00AE77E5" w:rsidRPr="00C11A51">
        <w:rPr>
          <w:rFonts w:ascii="Times New Roman" w:hAnsi="Times New Roman" w:cs="Times New Roman"/>
          <w:sz w:val="24"/>
          <w:szCs w:val="24"/>
        </w:rPr>
        <w:t xml:space="preserve">sobné náklady za 12 mesiacov (kumulatívne za január až december) </w:t>
      </w:r>
      <w:r w:rsidRPr="00107B60">
        <w:rPr>
          <w:rFonts w:ascii="Times New Roman" w:hAnsi="Times New Roman" w:cs="Times New Roman"/>
          <w:sz w:val="24"/>
          <w:szCs w:val="24"/>
        </w:rPr>
        <w:t xml:space="preserve">v roku </w:t>
      </w:r>
      <w:r w:rsidR="00AE77E5" w:rsidRPr="00107B60">
        <w:rPr>
          <w:rFonts w:ascii="Times New Roman" w:hAnsi="Times New Roman" w:cs="Times New Roman"/>
          <w:sz w:val="24"/>
          <w:szCs w:val="24"/>
        </w:rPr>
        <w:t>2021 boli o 141,67 mil. eur vyššie</w:t>
      </w:r>
      <w:r w:rsidR="00E57BCF" w:rsidRPr="00C101AD">
        <w:rPr>
          <w:rFonts w:ascii="Times New Roman" w:hAnsi="Times New Roman" w:cs="Times New Roman"/>
          <w:sz w:val="24"/>
          <w:szCs w:val="24"/>
        </w:rPr>
        <w:t>,</w:t>
      </w:r>
      <w:r w:rsidR="00AE77E5" w:rsidRPr="00C101AD">
        <w:rPr>
          <w:rFonts w:ascii="Times New Roman" w:hAnsi="Times New Roman" w:cs="Times New Roman"/>
          <w:sz w:val="24"/>
          <w:szCs w:val="24"/>
        </w:rPr>
        <w:t xml:space="preserve"> ako v porovnateľnom období január </w:t>
      </w:r>
      <w:r w:rsidRPr="00C101AD">
        <w:rPr>
          <w:rFonts w:ascii="Times New Roman" w:hAnsi="Times New Roman" w:cs="Times New Roman"/>
          <w:sz w:val="24"/>
          <w:szCs w:val="24"/>
        </w:rPr>
        <w:t>až</w:t>
      </w:r>
      <w:r w:rsidR="00AE77E5" w:rsidRPr="00C101AD">
        <w:rPr>
          <w:rFonts w:ascii="Times New Roman" w:hAnsi="Times New Roman" w:cs="Times New Roman"/>
          <w:sz w:val="24"/>
          <w:szCs w:val="24"/>
        </w:rPr>
        <w:t xml:space="preserve"> december  2020 (842,25 mil. eur oproti 700,58 mil. eur). Za 6 mesiacov roku 2022 boli osobné náklady o 29,43 mil. eur vyššie ako v</w:t>
      </w:r>
      <w:r w:rsidR="00AE77E5" w:rsidRPr="00124DAA">
        <w:rPr>
          <w:rFonts w:ascii="Times New Roman" w:hAnsi="Times New Roman" w:cs="Times New Roman"/>
          <w:sz w:val="24"/>
          <w:szCs w:val="24"/>
        </w:rPr>
        <w:t xml:space="preserve"> porovnateľnom období </w:t>
      </w:r>
      <w:r w:rsidRPr="00124DAA">
        <w:rPr>
          <w:rFonts w:ascii="Times New Roman" w:hAnsi="Times New Roman" w:cs="Times New Roman"/>
          <w:sz w:val="24"/>
          <w:szCs w:val="24"/>
        </w:rPr>
        <w:t>v roku</w:t>
      </w:r>
      <w:r w:rsidR="00AE77E5" w:rsidRPr="00124DAA">
        <w:rPr>
          <w:rFonts w:ascii="Times New Roman" w:hAnsi="Times New Roman" w:cs="Times New Roman"/>
          <w:sz w:val="24"/>
          <w:szCs w:val="24"/>
        </w:rPr>
        <w:t xml:space="preserve"> 2021 (436,82 mil. eur oproti 407,39 mil. eur)</w:t>
      </w:r>
      <w:r w:rsidRPr="00124DAA">
        <w:rPr>
          <w:rFonts w:ascii="Times New Roman" w:hAnsi="Times New Roman" w:cs="Times New Roman"/>
          <w:sz w:val="24"/>
          <w:szCs w:val="24"/>
        </w:rPr>
        <w:t>.</w:t>
      </w:r>
    </w:p>
    <w:p w14:paraId="5DAED25A" w14:textId="77777777" w:rsidR="00124DAA" w:rsidRPr="00124DAA" w:rsidRDefault="00124DAA" w:rsidP="00D95701">
      <w:pPr>
        <w:spacing w:line="360" w:lineRule="auto"/>
        <w:ind w:firstLine="709"/>
        <w:jc w:val="both"/>
        <w:rPr>
          <w:rFonts w:ascii="Times New Roman" w:hAnsi="Times New Roman" w:cs="Times New Roman"/>
          <w:sz w:val="24"/>
          <w:szCs w:val="24"/>
        </w:rPr>
      </w:pPr>
    </w:p>
    <w:p w14:paraId="7F285039" w14:textId="3F47053B" w:rsidR="00DA2485" w:rsidRPr="009312A4" w:rsidRDefault="00457A03" w:rsidP="00D95701">
      <w:pPr>
        <w:spacing w:line="360" w:lineRule="auto"/>
        <w:jc w:val="both"/>
        <w:rPr>
          <w:rFonts w:ascii="Times New Roman" w:hAnsi="Times New Roman" w:cs="Times New Roman"/>
          <w:sz w:val="24"/>
          <w:szCs w:val="24"/>
        </w:rPr>
      </w:pPr>
      <w:r w:rsidRPr="00124DAA">
        <w:rPr>
          <w:rFonts w:ascii="Times New Roman" w:hAnsi="Times New Roman" w:cs="Times New Roman"/>
          <w:sz w:val="24"/>
          <w:szCs w:val="24"/>
        </w:rPr>
        <w:tab/>
        <w:t xml:space="preserve">Priemerný čas uhrádzania platieb dodávateľom vo vzťahu k vykazovaciemu obdobiu  k 31.12.2021 </w:t>
      </w:r>
      <w:r w:rsidR="004340AD" w:rsidRPr="00124DAA">
        <w:rPr>
          <w:rFonts w:ascii="Times New Roman" w:hAnsi="Times New Roman" w:cs="Times New Roman"/>
          <w:sz w:val="24"/>
          <w:szCs w:val="24"/>
        </w:rPr>
        <w:t>bol</w:t>
      </w:r>
      <w:r w:rsidRPr="00124DAA">
        <w:rPr>
          <w:rFonts w:ascii="Times New Roman" w:hAnsi="Times New Roman" w:cs="Times New Roman"/>
          <w:sz w:val="24"/>
          <w:szCs w:val="24"/>
        </w:rPr>
        <w:t xml:space="preserve"> 261 dní a k 30.</w:t>
      </w:r>
      <w:r w:rsidR="00F26D0A" w:rsidRPr="00124DAA">
        <w:rPr>
          <w:rFonts w:ascii="Times New Roman" w:hAnsi="Times New Roman" w:cs="Times New Roman"/>
          <w:sz w:val="24"/>
          <w:szCs w:val="24"/>
        </w:rPr>
        <w:t>6. 2022 poklesol na 204</w:t>
      </w:r>
      <w:r w:rsidRPr="00124DAA">
        <w:rPr>
          <w:rFonts w:ascii="Times New Roman" w:hAnsi="Times New Roman" w:cs="Times New Roman"/>
          <w:sz w:val="24"/>
          <w:szCs w:val="24"/>
        </w:rPr>
        <w:t xml:space="preserve"> dní</w:t>
      </w:r>
      <w:r w:rsidRPr="009B0095">
        <w:rPr>
          <w:rFonts w:ascii="Times New Roman" w:hAnsi="Times New Roman" w:cs="Times New Roman"/>
          <w:sz w:val="24"/>
          <w:szCs w:val="24"/>
        </w:rPr>
        <w:t>.</w:t>
      </w:r>
      <w:r w:rsidR="00F26D0A" w:rsidRPr="009B0095">
        <w:rPr>
          <w:rFonts w:ascii="Times New Roman" w:hAnsi="Times New Roman" w:cs="Times New Roman"/>
          <w:sz w:val="24"/>
          <w:szCs w:val="24"/>
        </w:rPr>
        <w:t xml:space="preserve"> V druhom polroku 2022 budú zaúčtova</w:t>
      </w:r>
      <w:r w:rsidR="00F26D0A" w:rsidRPr="009312A4">
        <w:rPr>
          <w:rFonts w:ascii="Times New Roman" w:hAnsi="Times New Roman" w:cs="Times New Roman"/>
          <w:sz w:val="24"/>
          <w:szCs w:val="24"/>
        </w:rPr>
        <w:t xml:space="preserve">né transakcie súvisiace so zaplatením pohľadávok </w:t>
      </w:r>
      <w:r w:rsidR="00E57BCF" w:rsidRPr="009312A4">
        <w:rPr>
          <w:rFonts w:ascii="Times New Roman" w:hAnsi="Times New Roman" w:cs="Times New Roman"/>
          <w:sz w:val="24"/>
          <w:szCs w:val="24"/>
        </w:rPr>
        <w:t>S</w:t>
      </w:r>
      <w:r w:rsidR="00F26D0A" w:rsidRPr="009312A4">
        <w:rPr>
          <w:rFonts w:ascii="Times New Roman" w:hAnsi="Times New Roman" w:cs="Times New Roman"/>
          <w:sz w:val="24"/>
          <w:szCs w:val="24"/>
        </w:rPr>
        <w:t>ociálne poisťovne, čo bude mať taktiež pozitívny vplyv na zníženie záväzkov po lehote splatnosti</w:t>
      </w:r>
      <w:r w:rsidR="00E57BCF" w:rsidRPr="009312A4">
        <w:rPr>
          <w:rFonts w:ascii="Times New Roman" w:hAnsi="Times New Roman" w:cs="Times New Roman"/>
          <w:sz w:val="24"/>
          <w:szCs w:val="24"/>
        </w:rPr>
        <w:t>,</w:t>
      </w:r>
      <w:r w:rsidR="00F26D0A" w:rsidRPr="00C11A51">
        <w:rPr>
          <w:rFonts w:ascii="Times New Roman" w:hAnsi="Times New Roman" w:cs="Times New Roman"/>
          <w:sz w:val="24"/>
          <w:szCs w:val="24"/>
        </w:rPr>
        <w:t xml:space="preserve"> ako aj na priemerný čas uhrádzania pohľadávok</w:t>
      </w:r>
      <w:r w:rsidR="00F26D0A" w:rsidRPr="009B0095">
        <w:rPr>
          <w:rFonts w:ascii="Times New Roman" w:hAnsi="Times New Roman" w:cs="Times New Roman"/>
          <w:sz w:val="24"/>
          <w:szCs w:val="24"/>
        </w:rPr>
        <w:t>. Pre interpretáciu počtov faktúr a objemov úhrad za jeden polrok v týchto monitorovaných nemocniciach sú hodnoty uvedené v tabuľke nižšie.</w:t>
      </w:r>
    </w:p>
    <w:p w14:paraId="489A9703" w14:textId="77777777" w:rsidR="00F26D0A" w:rsidRPr="009312A4" w:rsidRDefault="00F26D0A" w:rsidP="00D95701">
      <w:pPr>
        <w:spacing w:line="360" w:lineRule="auto"/>
        <w:jc w:val="both"/>
        <w:rPr>
          <w:rFonts w:ascii="Times New Roman" w:hAnsi="Times New Roman" w:cs="Times New Roman"/>
          <w:sz w:val="24"/>
          <w:szCs w:val="24"/>
        </w:rPr>
      </w:pPr>
    </w:p>
    <w:p w14:paraId="6DA0351D" w14:textId="77777777" w:rsidR="005B6E37" w:rsidRPr="009B0095" w:rsidRDefault="005B6E37" w:rsidP="00D95701">
      <w:pPr>
        <w:spacing w:line="360" w:lineRule="auto"/>
        <w:jc w:val="both"/>
        <w:rPr>
          <w:rFonts w:ascii="Times New Roman" w:hAnsi="Times New Roman" w:cs="Times New Roman"/>
          <w:b/>
          <w:sz w:val="24"/>
          <w:szCs w:val="24"/>
        </w:rPr>
      </w:pPr>
      <w:r w:rsidRPr="009B0095">
        <w:rPr>
          <w:rFonts w:ascii="Times New Roman" w:hAnsi="Times New Roman" w:cs="Times New Roman"/>
          <w:noProof/>
          <w:sz w:val="24"/>
          <w:szCs w:val="24"/>
          <w:lang w:eastAsia="sk-SK"/>
        </w:rPr>
        <w:drawing>
          <wp:inline distT="0" distB="0" distL="0" distR="0" wp14:anchorId="2B02736B" wp14:editId="1812AA3D">
            <wp:extent cx="5731510" cy="1269614"/>
            <wp:effectExtent l="0" t="0" r="254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269614"/>
                    </a:xfrm>
                    <a:prstGeom prst="rect">
                      <a:avLst/>
                    </a:prstGeom>
                    <a:noFill/>
                    <a:ln>
                      <a:noFill/>
                    </a:ln>
                  </pic:spPr>
                </pic:pic>
              </a:graphicData>
            </a:graphic>
          </wp:inline>
        </w:drawing>
      </w:r>
    </w:p>
    <w:p w14:paraId="3622905F" w14:textId="77777777" w:rsidR="00CB4304" w:rsidRPr="009312A4" w:rsidRDefault="00CB4304" w:rsidP="00D95701">
      <w:pPr>
        <w:spacing w:line="360" w:lineRule="auto"/>
        <w:jc w:val="both"/>
        <w:rPr>
          <w:rFonts w:ascii="Times New Roman" w:hAnsi="Times New Roman" w:cs="Times New Roman"/>
          <w:b/>
          <w:sz w:val="24"/>
          <w:szCs w:val="24"/>
        </w:rPr>
      </w:pPr>
    </w:p>
    <w:p w14:paraId="670969A5" w14:textId="46336CF5" w:rsidR="00D941B1" w:rsidRPr="00C11A51" w:rsidRDefault="00D941B1" w:rsidP="00D95701">
      <w:pPr>
        <w:spacing w:line="360" w:lineRule="auto"/>
        <w:jc w:val="both"/>
        <w:rPr>
          <w:rFonts w:ascii="Times New Roman" w:hAnsi="Times New Roman" w:cs="Times New Roman"/>
          <w:sz w:val="24"/>
          <w:szCs w:val="24"/>
        </w:rPr>
      </w:pPr>
      <w:r w:rsidRPr="009312A4">
        <w:rPr>
          <w:rFonts w:ascii="Times New Roman" w:hAnsi="Times New Roman" w:cs="Times New Roman"/>
          <w:sz w:val="24"/>
          <w:szCs w:val="24"/>
        </w:rPr>
        <w:tab/>
      </w:r>
      <w:r w:rsidRPr="006F2C36">
        <w:rPr>
          <w:rFonts w:ascii="Times New Roman" w:hAnsi="Times New Roman" w:cs="Times New Roman"/>
          <w:sz w:val="24"/>
          <w:szCs w:val="24"/>
        </w:rPr>
        <w:t>Aktualizovaná výška záväzkov</w:t>
      </w:r>
      <w:r w:rsidR="004340AD" w:rsidRPr="006F2C36">
        <w:rPr>
          <w:rFonts w:ascii="Times New Roman" w:hAnsi="Times New Roman" w:cs="Times New Roman"/>
          <w:sz w:val="24"/>
          <w:szCs w:val="24"/>
        </w:rPr>
        <w:t xml:space="preserve"> po lehote splatnosti k 30.</w:t>
      </w:r>
      <w:r w:rsidR="00E57BCF" w:rsidRPr="006F2C36">
        <w:rPr>
          <w:rFonts w:ascii="Times New Roman" w:hAnsi="Times New Roman" w:cs="Times New Roman"/>
          <w:sz w:val="24"/>
          <w:szCs w:val="24"/>
        </w:rPr>
        <w:t>0</w:t>
      </w:r>
      <w:r w:rsidR="004340AD" w:rsidRPr="006F2C36">
        <w:rPr>
          <w:rFonts w:ascii="Times New Roman" w:hAnsi="Times New Roman" w:cs="Times New Roman"/>
          <w:sz w:val="24"/>
          <w:szCs w:val="24"/>
        </w:rPr>
        <w:t xml:space="preserve">6.2022 </w:t>
      </w:r>
      <w:r w:rsidR="00CF4F14" w:rsidRPr="006F2C36">
        <w:rPr>
          <w:rFonts w:ascii="Times New Roman" w:hAnsi="Times New Roman" w:cs="Times New Roman"/>
          <w:sz w:val="24"/>
          <w:szCs w:val="24"/>
        </w:rPr>
        <w:t xml:space="preserve">je </w:t>
      </w:r>
      <w:r w:rsidR="004340AD" w:rsidRPr="006F2C36">
        <w:rPr>
          <w:rFonts w:ascii="Times New Roman" w:hAnsi="Times New Roman" w:cs="Times New Roman"/>
          <w:sz w:val="24"/>
          <w:szCs w:val="24"/>
        </w:rPr>
        <w:t>vo výške 638</w:t>
      </w:r>
      <w:r w:rsidRPr="006F2C36">
        <w:rPr>
          <w:rFonts w:ascii="Times New Roman" w:hAnsi="Times New Roman" w:cs="Times New Roman"/>
          <w:sz w:val="24"/>
          <w:szCs w:val="24"/>
        </w:rPr>
        <w:t xml:space="preserve">  </w:t>
      </w:r>
      <w:r w:rsidR="0034141F" w:rsidRPr="006F2C36">
        <w:rPr>
          <w:rFonts w:ascii="Times New Roman" w:hAnsi="Times New Roman" w:cs="Times New Roman"/>
          <w:sz w:val="24"/>
          <w:szCs w:val="24"/>
        </w:rPr>
        <w:t xml:space="preserve">mil. </w:t>
      </w:r>
      <w:r w:rsidR="004340AD" w:rsidRPr="006F2C36">
        <w:rPr>
          <w:rFonts w:ascii="Times New Roman" w:hAnsi="Times New Roman" w:cs="Times New Roman"/>
          <w:sz w:val="24"/>
          <w:szCs w:val="24"/>
        </w:rPr>
        <w:t xml:space="preserve"> eur.</w:t>
      </w:r>
      <w:r w:rsidRPr="006F2C36">
        <w:rPr>
          <w:rFonts w:ascii="Times New Roman" w:hAnsi="Times New Roman" w:cs="Times New Roman"/>
          <w:sz w:val="24"/>
          <w:szCs w:val="24"/>
        </w:rPr>
        <w:t xml:space="preserve"> Táto suma predstavuje 68</w:t>
      </w:r>
      <w:r w:rsidR="005026DF" w:rsidRPr="006F2C36">
        <w:rPr>
          <w:rFonts w:ascii="Times New Roman" w:hAnsi="Times New Roman" w:cs="Times New Roman"/>
          <w:sz w:val="24"/>
          <w:szCs w:val="24"/>
        </w:rPr>
        <w:t xml:space="preserve"> </w:t>
      </w:r>
      <w:r w:rsidRPr="006F2C36">
        <w:rPr>
          <w:rFonts w:ascii="Times New Roman" w:hAnsi="Times New Roman" w:cs="Times New Roman"/>
          <w:sz w:val="24"/>
          <w:szCs w:val="24"/>
        </w:rPr>
        <w:t>% zo všetkých záväzkov na úrovni istiny v počte 275 tisíc faktúr.</w:t>
      </w:r>
    </w:p>
    <w:p w14:paraId="21693069" w14:textId="77777777" w:rsidR="00E57BCF" w:rsidRPr="00107B60" w:rsidRDefault="00E57BCF" w:rsidP="00D95701">
      <w:pPr>
        <w:spacing w:line="360" w:lineRule="auto"/>
        <w:jc w:val="both"/>
        <w:rPr>
          <w:rFonts w:ascii="Times New Roman" w:hAnsi="Times New Roman" w:cs="Times New Roman"/>
          <w:sz w:val="24"/>
          <w:szCs w:val="24"/>
        </w:rPr>
      </w:pPr>
    </w:p>
    <w:p w14:paraId="6F26D6AD" w14:textId="2C14BFA9" w:rsidR="00497B73" w:rsidRPr="00124DAA" w:rsidRDefault="00D941B1" w:rsidP="00D95701">
      <w:pPr>
        <w:spacing w:line="360" w:lineRule="auto"/>
        <w:jc w:val="both"/>
        <w:rPr>
          <w:rFonts w:ascii="Times New Roman" w:hAnsi="Times New Roman" w:cs="Times New Roman"/>
          <w:sz w:val="24"/>
          <w:szCs w:val="24"/>
        </w:rPr>
      </w:pPr>
      <w:r w:rsidRPr="00C101AD">
        <w:rPr>
          <w:rFonts w:ascii="Times New Roman" w:hAnsi="Times New Roman" w:cs="Times New Roman"/>
          <w:sz w:val="24"/>
          <w:szCs w:val="24"/>
        </w:rPr>
        <w:tab/>
        <w:t>Implementáciou Smernice EP a Rady 2011/7/EÚ o boji proti oneskoreným platbám v obchodných transakciách sú určené lehoty splatností</w:t>
      </w:r>
      <w:r w:rsidR="00497B73" w:rsidRPr="00C101AD">
        <w:rPr>
          <w:rFonts w:ascii="Times New Roman" w:hAnsi="Times New Roman" w:cs="Times New Roman"/>
          <w:sz w:val="24"/>
          <w:szCs w:val="24"/>
        </w:rPr>
        <w:t>. Podľa</w:t>
      </w:r>
      <w:r w:rsidRPr="00C101AD">
        <w:rPr>
          <w:rFonts w:ascii="Times New Roman" w:hAnsi="Times New Roman" w:cs="Times New Roman"/>
          <w:sz w:val="24"/>
          <w:szCs w:val="24"/>
        </w:rPr>
        <w:t xml:space="preserve"> novelizácie a znenia § 340 - § 340b zákona č. 513/1991 Zb. Obchodný zákonník</w:t>
      </w:r>
      <w:r w:rsidR="004D537B">
        <w:rPr>
          <w:rFonts w:ascii="Times New Roman" w:hAnsi="Times New Roman" w:cs="Times New Roman"/>
          <w:sz w:val="24"/>
          <w:szCs w:val="24"/>
        </w:rPr>
        <w:t xml:space="preserve"> v znení neskorších predpisov</w:t>
      </w:r>
      <w:r w:rsidRPr="00C101AD">
        <w:rPr>
          <w:rFonts w:ascii="Times New Roman" w:hAnsi="Times New Roman" w:cs="Times New Roman"/>
          <w:sz w:val="24"/>
          <w:szCs w:val="24"/>
        </w:rPr>
        <w:t xml:space="preserve"> </w:t>
      </w:r>
      <w:r w:rsidR="00497B73" w:rsidRPr="00124DAA">
        <w:rPr>
          <w:rFonts w:ascii="Times New Roman" w:hAnsi="Times New Roman" w:cs="Times New Roman"/>
          <w:sz w:val="24"/>
          <w:szCs w:val="24"/>
        </w:rPr>
        <w:t xml:space="preserve">dlžník, ktorý je subjektom verejného práva a zároveň poskytovateľom zdravotnej starostlivosti podľa </w:t>
      </w:r>
      <w:r w:rsidR="00497B73" w:rsidRPr="00124DAA">
        <w:rPr>
          <w:rFonts w:ascii="Times New Roman" w:hAnsi="Times New Roman" w:cs="Times New Roman"/>
          <w:sz w:val="24"/>
          <w:szCs w:val="24"/>
        </w:rPr>
        <w:lastRenderedPageBreak/>
        <w:t xml:space="preserve">osobitného zákona, si môže v zmluve dohodnúť dlhšiu lehotu splatnosti ako 30 dní, najviac však v trvaní 60 dní. </w:t>
      </w:r>
    </w:p>
    <w:p w14:paraId="51D75C1F" w14:textId="29899653" w:rsidR="00114B50" w:rsidRPr="005026DF" w:rsidRDefault="00CC1775" w:rsidP="005026DF">
      <w:pPr>
        <w:spacing w:line="360" w:lineRule="auto"/>
        <w:ind w:firstLine="708"/>
        <w:jc w:val="both"/>
        <w:rPr>
          <w:rFonts w:ascii="Times New Roman" w:hAnsi="Times New Roman" w:cs="Times New Roman"/>
          <w:sz w:val="24"/>
          <w:szCs w:val="24"/>
        </w:rPr>
      </w:pPr>
      <w:r w:rsidRPr="00124DAA">
        <w:rPr>
          <w:rFonts w:ascii="Times New Roman" w:hAnsi="Times New Roman" w:cs="Times New Roman"/>
          <w:sz w:val="24"/>
          <w:szCs w:val="24"/>
        </w:rPr>
        <w:t>Ako uvádza kapitola III. tohto materiálu</w:t>
      </w:r>
      <w:r w:rsidR="00A712E2" w:rsidRPr="00124DAA">
        <w:rPr>
          <w:rFonts w:ascii="Times New Roman" w:hAnsi="Times New Roman" w:cs="Times New Roman"/>
          <w:sz w:val="24"/>
          <w:szCs w:val="24"/>
        </w:rPr>
        <w:t>,</w:t>
      </w:r>
      <w:r w:rsidRPr="00124DAA">
        <w:rPr>
          <w:rFonts w:ascii="Times New Roman" w:hAnsi="Times New Roman" w:cs="Times New Roman"/>
          <w:sz w:val="24"/>
          <w:szCs w:val="24"/>
        </w:rPr>
        <w:t xml:space="preserve"> </w:t>
      </w:r>
      <w:r w:rsidR="00330B43" w:rsidRPr="00124DAA">
        <w:rPr>
          <w:rFonts w:ascii="Times New Roman" w:hAnsi="Times New Roman" w:cs="Times New Roman"/>
          <w:sz w:val="24"/>
          <w:szCs w:val="24"/>
        </w:rPr>
        <w:t>Ministerstvo zdravotníctva Slovenskej republiky bolo informované, že Európska komisia vydala odôvodnené stanovisko (ref.: C(2021)794 final) a 18. februára 2021 bolo Slovenskej republike zaslané toto odôvodnené stanovisko v konaní o porušení zmlúv č. 2016/4131, ktoré je vedené voči SR na základe článku 258 Zmluvy o fungovaní Európskej únie.</w:t>
      </w:r>
      <w:r w:rsidR="00330B43" w:rsidRPr="00124DAA">
        <w:rPr>
          <w:rFonts w:ascii="Times New Roman" w:hAnsi="Times New Roman" w:cs="Times New Roman"/>
          <w:sz w:val="24"/>
          <w:szCs w:val="24"/>
        </w:rPr>
        <w:tab/>
      </w:r>
    </w:p>
    <w:p w14:paraId="40CA900F" w14:textId="4990C4B6" w:rsidR="00330B43" w:rsidRPr="009B0095" w:rsidRDefault="00330B43" w:rsidP="005026DF">
      <w:pPr>
        <w:spacing w:line="360" w:lineRule="auto"/>
        <w:ind w:firstLine="708"/>
        <w:jc w:val="both"/>
        <w:rPr>
          <w:rFonts w:ascii="Times New Roman" w:hAnsi="Times New Roman" w:cs="Times New Roman"/>
          <w:sz w:val="24"/>
          <w:szCs w:val="24"/>
        </w:rPr>
      </w:pPr>
      <w:r w:rsidRPr="005026DF">
        <w:rPr>
          <w:rFonts w:ascii="Times New Roman" w:hAnsi="Times New Roman" w:cs="Times New Roman"/>
          <w:sz w:val="24"/>
          <w:szCs w:val="24"/>
        </w:rPr>
        <w:t>Dôvodom</w:t>
      </w:r>
      <w:r w:rsidR="00114B50" w:rsidRPr="005026DF">
        <w:rPr>
          <w:rFonts w:ascii="Times New Roman" w:hAnsi="Times New Roman" w:cs="Times New Roman"/>
          <w:sz w:val="24"/>
          <w:szCs w:val="24"/>
        </w:rPr>
        <w:t xml:space="preserve"> </w:t>
      </w:r>
      <w:r w:rsidRPr="005026DF">
        <w:rPr>
          <w:rFonts w:ascii="Times New Roman" w:hAnsi="Times New Roman" w:cs="Times New Roman"/>
          <w:sz w:val="24"/>
          <w:szCs w:val="24"/>
        </w:rPr>
        <w:t>pre toto konanie je nesprávne uplatňovanie smernice Európskeho parlamentu a Rady 2011/7/EÚ o boji proti oneskoreným platbám v obchodných transakciách („neskoré“ uhrádzanie faktúr štátnymi nemocnicami v prospech dodávateľov liekov a špeciálneho zdravotníckeho materiálu). Slovenské orgány odpovedali na toto odôvodnené stanovisko 16. apríla 2021</w:t>
      </w:r>
      <w:r w:rsidRPr="009B0095">
        <w:rPr>
          <w:rFonts w:ascii="Times New Roman" w:hAnsi="Times New Roman" w:cs="Times New Roman"/>
          <w:sz w:val="24"/>
          <w:szCs w:val="24"/>
        </w:rPr>
        <w:t>.</w:t>
      </w:r>
    </w:p>
    <w:p w14:paraId="15510373" w14:textId="77777777" w:rsidR="00E57BCF" w:rsidRPr="009312A4" w:rsidRDefault="00E57BCF" w:rsidP="00D95701">
      <w:pPr>
        <w:spacing w:line="360" w:lineRule="auto"/>
        <w:jc w:val="both"/>
        <w:rPr>
          <w:rFonts w:ascii="Times New Roman" w:hAnsi="Times New Roman" w:cs="Times New Roman"/>
          <w:sz w:val="24"/>
          <w:szCs w:val="24"/>
        </w:rPr>
      </w:pPr>
    </w:p>
    <w:p w14:paraId="40068EBA" w14:textId="1D1EF68B" w:rsidR="00497B73" w:rsidRPr="005026DF" w:rsidRDefault="00497B73" w:rsidP="00D95701">
      <w:pPr>
        <w:spacing w:line="360" w:lineRule="auto"/>
        <w:jc w:val="both"/>
        <w:rPr>
          <w:rFonts w:ascii="Times New Roman" w:hAnsi="Times New Roman" w:cs="Times New Roman"/>
          <w:sz w:val="24"/>
          <w:szCs w:val="24"/>
        </w:rPr>
      </w:pPr>
      <w:r w:rsidRPr="005026DF">
        <w:rPr>
          <w:rFonts w:ascii="Times New Roman" w:hAnsi="Times New Roman" w:cs="Times New Roman"/>
          <w:sz w:val="24"/>
          <w:szCs w:val="24"/>
        </w:rPr>
        <w:tab/>
      </w:r>
      <w:r w:rsidR="00CC1775" w:rsidRPr="005026DF">
        <w:rPr>
          <w:rFonts w:ascii="Times New Roman" w:hAnsi="Times New Roman" w:cs="Times New Roman"/>
          <w:sz w:val="24"/>
          <w:szCs w:val="24"/>
        </w:rPr>
        <w:t>Z dôvodu, že predchádzajúce modely oddlženia zdravotníckych zariadení nevytvorili podmienky pre komplexné oddlženie všetkých veriteľov</w:t>
      </w:r>
      <w:r w:rsidR="00A712E2" w:rsidRPr="005026DF">
        <w:rPr>
          <w:rFonts w:ascii="Times New Roman" w:hAnsi="Times New Roman" w:cs="Times New Roman"/>
          <w:sz w:val="24"/>
          <w:szCs w:val="24"/>
        </w:rPr>
        <w:t>,</w:t>
      </w:r>
      <w:r w:rsidR="00CC1775" w:rsidRPr="005026DF">
        <w:rPr>
          <w:rFonts w:ascii="Times New Roman" w:hAnsi="Times New Roman" w:cs="Times New Roman"/>
          <w:sz w:val="24"/>
          <w:szCs w:val="24"/>
        </w:rPr>
        <w:t xml:space="preserve">  časť veriteľov, ktorí </w:t>
      </w:r>
      <w:r w:rsidR="005026DF">
        <w:rPr>
          <w:rFonts w:ascii="Times New Roman" w:hAnsi="Times New Roman" w:cs="Times New Roman"/>
          <w:sz w:val="24"/>
          <w:szCs w:val="24"/>
        </w:rPr>
        <w:t xml:space="preserve">si </w:t>
      </w:r>
      <w:r w:rsidR="00CC1775" w:rsidRPr="005026DF">
        <w:rPr>
          <w:rFonts w:ascii="Times New Roman" w:hAnsi="Times New Roman" w:cs="Times New Roman"/>
          <w:sz w:val="24"/>
          <w:szCs w:val="24"/>
        </w:rPr>
        <w:t xml:space="preserve">uplatnili svoje nároky prostredníctvom súdu a/alebo využijúc iné právne prostriedky ochrany svojich nárokov (splátkové kalendáre, dohody o uznaní dlhu a pod.) uplatňujú svoje pohľadávky spolu s príslušenstvom </w:t>
      </w:r>
      <w:r w:rsidRPr="005026DF">
        <w:rPr>
          <w:rFonts w:ascii="Times New Roman" w:hAnsi="Times New Roman" w:cs="Times New Roman"/>
          <w:sz w:val="24"/>
          <w:szCs w:val="24"/>
        </w:rPr>
        <w:t>v</w:t>
      </w:r>
      <w:r w:rsidR="00CC1775" w:rsidRPr="005026DF">
        <w:rPr>
          <w:rFonts w:ascii="Times New Roman" w:hAnsi="Times New Roman" w:cs="Times New Roman"/>
          <w:sz w:val="24"/>
          <w:szCs w:val="24"/>
        </w:rPr>
        <w:t> </w:t>
      </w:r>
      <w:r w:rsidRPr="005026DF">
        <w:rPr>
          <w:rFonts w:ascii="Times New Roman" w:hAnsi="Times New Roman" w:cs="Times New Roman"/>
          <w:sz w:val="24"/>
          <w:szCs w:val="24"/>
        </w:rPr>
        <w:t>zmysle</w:t>
      </w:r>
      <w:r w:rsidR="00CC1775" w:rsidRPr="005026DF">
        <w:rPr>
          <w:rFonts w:ascii="Times New Roman" w:hAnsi="Times New Roman" w:cs="Times New Roman"/>
          <w:sz w:val="24"/>
          <w:szCs w:val="24"/>
        </w:rPr>
        <w:t xml:space="preserve"> všeobecne záväzných právnych predpisov, kedy nie sú vylúčené od</w:t>
      </w:r>
      <w:r w:rsidRPr="005026DF">
        <w:rPr>
          <w:rFonts w:ascii="Times New Roman" w:hAnsi="Times New Roman" w:cs="Times New Roman"/>
          <w:sz w:val="24"/>
          <w:szCs w:val="24"/>
        </w:rPr>
        <w:t>chýlky</w:t>
      </w:r>
      <w:r w:rsidR="00CC1775" w:rsidRPr="005026DF">
        <w:rPr>
          <w:rFonts w:ascii="Times New Roman" w:hAnsi="Times New Roman" w:cs="Times New Roman"/>
          <w:sz w:val="24"/>
          <w:szCs w:val="24"/>
        </w:rPr>
        <w:t xml:space="preserve">, v prípade ak sa veriteľ </w:t>
      </w:r>
      <w:r w:rsidRPr="005026DF">
        <w:rPr>
          <w:rFonts w:ascii="Times New Roman" w:hAnsi="Times New Roman" w:cs="Times New Roman"/>
          <w:sz w:val="24"/>
          <w:szCs w:val="24"/>
        </w:rPr>
        <w:t>dobrovoľne vzdá svojho nároku.</w:t>
      </w:r>
    </w:p>
    <w:p w14:paraId="5DCF964B" w14:textId="77777777" w:rsidR="00E57BCF" w:rsidRPr="005026DF" w:rsidRDefault="00E57BCF" w:rsidP="00D95701">
      <w:pPr>
        <w:spacing w:line="360" w:lineRule="auto"/>
        <w:jc w:val="both"/>
        <w:rPr>
          <w:rFonts w:ascii="Times New Roman" w:hAnsi="Times New Roman" w:cs="Times New Roman"/>
          <w:sz w:val="24"/>
          <w:szCs w:val="24"/>
        </w:rPr>
      </w:pPr>
    </w:p>
    <w:p w14:paraId="569E545B" w14:textId="17AAD388" w:rsidR="00497B73" w:rsidRPr="009B0095" w:rsidRDefault="00497B73" w:rsidP="00D95701">
      <w:pPr>
        <w:spacing w:line="360" w:lineRule="auto"/>
        <w:jc w:val="both"/>
        <w:rPr>
          <w:rFonts w:ascii="Times New Roman" w:hAnsi="Times New Roman" w:cs="Times New Roman"/>
          <w:sz w:val="24"/>
          <w:szCs w:val="24"/>
        </w:rPr>
      </w:pPr>
      <w:r w:rsidRPr="005026DF">
        <w:rPr>
          <w:rFonts w:ascii="Times New Roman" w:hAnsi="Times New Roman" w:cs="Times New Roman"/>
          <w:sz w:val="24"/>
          <w:szCs w:val="24"/>
        </w:rPr>
        <w:tab/>
        <w:t xml:space="preserve">V prípade </w:t>
      </w:r>
      <w:r w:rsidR="0050074D" w:rsidRPr="005026DF">
        <w:rPr>
          <w:rFonts w:ascii="Times New Roman" w:hAnsi="Times New Roman" w:cs="Times New Roman"/>
          <w:sz w:val="24"/>
          <w:szCs w:val="24"/>
        </w:rPr>
        <w:t xml:space="preserve">vymáhania </w:t>
      </w:r>
      <w:r w:rsidRPr="005026DF">
        <w:rPr>
          <w:rFonts w:ascii="Times New Roman" w:hAnsi="Times New Roman" w:cs="Times New Roman"/>
          <w:sz w:val="24"/>
          <w:szCs w:val="24"/>
        </w:rPr>
        <w:t>pohľadávok si veritelia v rámci príslušenstva k pohľadávke uplatňujú svoj nárok na paušálnu sumu 40 eur v zmysle smernice</w:t>
      </w:r>
      <w:r w:rsidRPr="009B0095">
        <w:rPr>
          <w:rFonts w:ascii="Times New Roman" w:hAnsi="Times New Roman" w:cs="Times New Roman"/>
          <w:sz w:val="24"/>
          <w:szCs w:val="24"/>
        </w:rPr>
        <w:t>.</w:t>
      </w:r>
      <w:r w:rsidR="0050074D" w:rsidRPr="009B0095">
        <w:rPr>
          <w:rFonts w:ascii="Times New Roman" w:hAnsi="Times New Roman" w:cs="Times New Roman"/>
          <w:sz w:val="24"/>
          <w:szCs w:val="24"/>
        </w:rPr>
        <w:t xml:space="preserve"> </w:t>
      </w:r>
      <w:r w:rsidR="002A635A" w:rsidRPr="002A635A">
        <w:rPr>
          <w:rFonts w:ascii="Times New Roman" w:hAnsi="Times New Roman" w:cs="Times New Roman"/>
          <w:sz w:val="24"/>
          <w:szCs w:val="24"/>
        </w:rPr>
        <w:t>Dňa 20.10.2022 vydal Súdny dvor Európskej únie rozsudok vo veci C 585/20 (prejudiciálne konanie, ktoré súvisí s konaním BFF Finance Iberia SAU proti Gerencia Regional de Salud de la Junta de Castilla y León), ktorého zverejnené predbežné znenie uzatvára, že článok 6 smernice Európskeho parlamentu a Rady 2011/7/ES zo 16. februára 2011 o boji proti oneskoreným platbám v obchodných transakciách sa má vykladať v tom zmysle, že minimálna paušálna suma vo výške 40 eur ako náhrada nákladov veriteľa na vymáhanie vzniknutých v dôsledku oneskorenej platby dlžníka je splatná za každú obchodnú transakciu nezaplatenú po termíne splatnosti a uvedenú na faktúre, vrátane prípadu, keď je táto faktúra spomedzi ďalších faktúr predmetom jednej administratívnej sťažnosti alebo žaloby.</w:t>
      </w:r>
    </w:p>
    <w:p w14:paraId="489B1F30" w14:textId="77777777" w:rsidR="0050074D" w:rsidRPr="009312A4" w:rsidRDefault="0050074D" w:rsidP="00D95701">
      <w:pPr>
        <w:spacing w:line="360" w:lineRule="auto"/>
        <w:jc w:val="both"/>
        <w:rPr>
          <w:rFonts w:ascii="Times New Roman" w:hAnsi="Times New Roman" w:cs="Times New Roman"/>
          <w:sz w:val="24"/>
          <w:szCs w:val="24"/>
        </w:rPr>
      </w:pPr>
    </w:p>
    <w:p w14:paraId="1316F849" w14:textId="389F5A7B" w:rsidR="00497B73" w:rsidRPr="005026DF" w:rsidRDefault="00497B73" w:rsidP="00D95701">
      <w:pPr>
        <w:spacing w:line="360" w:lineRule="auto"/>
        <w:jc w:val="both"/>
        <w:rPr>
          <w:rFonts w:ascii="Times New Roman" w:hAnsi="Times New Roman" w:cs="Times New Roman"/>
          <w:sz w:val="24"/>
          <w:szCs w:val="24"/>
        </w:rPr>
      </w:pPr>
      <w:r w:rsidRPr="005026DF">
        <w:rPr>
          <w:rFonts w:ascii="Times New Roman" w:hAnsi="Times New Roman" w:cs="Times New Roman"/>
          <w:sz w:val="24"/>
          <w:szCs w:val="24"/>
        </w:rPr>
        <w:tab/>
      </w:r>
      <w:r w:rsidR="007E702F" w:rsidRPr="005026DF">
        <w:rPr>
          <w:rFonts w:ascii="Times New Roman" w:hAnsi="Times New Roman" w:cs="Times New Roman"/>
          <w:sz w:val="24"/>
          <w:szCs w:val="24"/>
        </w:rPr>
        <w:t>V oblasti digitalizácie registrácie a spracovani</w:t>
      </w:r>
      <w:r w:rsidR="00CC1775" w:rsidRPr="005026DF">
        <w:rPr>
          <w:rFonts w:ascii="Times New Roman" w:hAnsi="Times New Roman" w:cs="Times New Roman"/>
          <w:sz w:val="24"/>
          <w:szCs w:val="24"/>
        </w:rPr>
        <w:t>a</w:t>
      </w:r>
      <w:r w:rsidR="007E702F" w:rsidRPr="005026DF">
        <w:rPr>
          <w:rFonts w:ascii="Times New Roman" w:hAnsi="Times New Roman" w:cs="Times New Roman"/>
          <w:sz w:val="24"/>
          <w:szCs w:val="24"/>
        </w:rPr>
        <w:t xml:space="preserve"> faktúr je veľká príležitosť na vybudovanie tejto agendy. V súčasnosti je doručovanie faktúr prevažne v elektronickej forme, </w:t>
      </w:r>
      <w:r w:rsidR="007E702F" w:rsidRPr="005026DF">
        <w:rPr>
          <w:rFonts w:ascii="Times New Roman" w:hAnsi="Times New Roman" w:cs="Times New Roman"/>
          <w:sz w:val="24"/>
          <w:szCs w:val="24"/>
        </w:rPr>
        <w:lastRenderedPageBreak/>
        <w:t xml:space="preserve">avšak ich </w:t>
      </w:r>
      <w:r w:rsidR="00132B9B" w:rsidRPr="005026DF">
        <w:rPr>
          <w:rFonts w:ascii="Times New Roman" w:hAnsi="Times New Roman" w:cs="Times New Roman"/>
          <w:sz w:val="24"/>
          <w:szCs w:val="24"/>
        </w:rPr>
        <w:t>ďalš</w:t>
      </w:r>
      <w:r w:rsidR="007E702F" w:rsidRPr="005026DF">
        <w:rPr>
          <w:rFonts w:ascii="Times New Roman" w:hAnsi="Times New Roman" w:cs="Times New Roman"/>
          <w:sz w:val="24"/>
          <w:szCs w:val="24"/>
        </w:rPr>
        <w:t>ie spracovanie ako registrácia, evidencia a ná</w:t>
      </w:r>
      <w:r w:rsidR="00132B9B" w:rsidRPr="005026DF">
        <w:rPr>
          <w:rFonts w:ascii="Times New Roman" w:hAnsi="Times New Roman" w:cs="Times New Roman"/>
          <w:sz w:val="24"/>
          <w:szCs w:val="24"/>
        </w:rPr>
        <w:t>s</w:t>
      </w:r>
      <w:r w:rsidR="007E702F" w:rsidRPr="005026DF">
        <w:rPr>
          <w:rFonts w:ascii="Times New Roman" w:hAnsi="Times New Roman" w:cs="Times New Roman"/>
          <w:sz w:val="24"/>
          <w:szCs w:val="24"/>
        </w:rPr>
        <w:t>ledné spraco</w:t>
      </w:r>
      <w:r w:rsidR="00132B9B" w:rsidRPr="005026DF">
        <w:rPr>
          <w:rFonts w:ascii="Times New Roman" w:hAnsi="Times New Roman" w:cs="Times New Roman"/>
          <w:sz w:val="24"/>
          <w:szCs w:val="24"/>
        </w:rPr>
        <w:t>va</w:t>
      </w:r>
      <w:r w:rsidR="007E702F" w:rsidRPr="005026DF">
        <w:rPr>
          <w:rFonts w:ascii="Times New Roman" w:hAnsi="Times New Roman" w:cs="Times New Roman"/>
          <w:sz w:val="24"/>
          <w:szCs w:val="24"/>
        </w:rPr>
        <w:t>nia v systémoch manuálne. V súčasnej zložitej finančnej situácii sú priority takejto digitalizácie relatívne nízke.</w:t>
      </w:r>
    </w:p>
    <w:p w14:paraId="733FB819" w14:textId="77777777" w:rsidR="00132B9B" w:rsidRPr="005026DF" w:rsidRDefault="007D6C16" w:rsidP="00D95701">
      <w:pPr>
        <w:spacing w:line="360" w:lineRule="auto"/>
        <w:jc w:val="both"/>
        <w:rPr>
          <w:rFonts w:ascii="Times New Roman" w:hAnsi="Times New Roman" w:cs="Times New Roman"/>
          <w:sz w:val="24"/>
          <w:szCs w:val="24"/>
        </w:rPr>
      </w:pPr>
      <w:r w:rsidRPr="005026DF">
        <w:rPr>
          <w:rFonts w:ascii="Times New Roman" w:hAnsi="Times New Roman" w:cs="Times New Roman"/>
          <w:sz w:val="24"/>
          <w:szCs w:val="24"/>
        </w:rPr>
        <w:tab/>
        <w:t>V súvislosti s nákladovou optimalizáciou a kvantifikáciou nedostatkov paralelne platných úhradových mechanizmov vo väzbe na špecifiká koncových nemocníc, Ministerstvo zdravotníctva SR pokračuje v rozvoji centrálneho kontrolingového systému, ktorý predstavuje zdroj dát pre manažérske rozhodovanie na úrovni zriaďovateľa.</w:t>
      </w:r>
    </w:p>
    <w:p w14:paraId="72C2F830" w14:textId="77777777" w:rsidR="00F17C22" w:rsidRPr="005026DF" w:rsidRDefault="007D6C16" w:rsidP="00D95701">
      <w:pPr>
        <w:spacing w:line="360" w:lineRule="auto"/>
        <w:jc w:val="both"/>
        <w:rPr>
          <w:rFonts w:ascii="Times New Roman" w:hAnsi="Times New Roman" w:cs="Times New Roman"/>
          <w:sz w:val="24"/>
          <w:szCs w:val="24"/>
        </w:rPr>
      </w:pPr>
      <w:r w:rsidRPr="005026DF">
        <w:rPr>
          <w:rFonts w:ascii="Times New Roman" w:hAnsi="Times New Roman" w:cs="Times New Roman"/>
          <w:sz w:val="24"/>
          <w:szCs w:val="24"/>
        </w:rPr>
        <w:tab/>
        <w:t>Z pohľadu finančného kontrolingu je definovaný a implementovaný jednotný účtovný rozvrh, avšak pre zavedenie efektívnych opatrení je potrebná detailná znalosť prostredia, procesov a expertízy konkrétneho zdravotníckeho zariadenia, čo je výhradne kompetencia managementu nemocnice.</w:t>
      </w:r>
    </w:p>
    <w:p w14:paraId="6E867E08" w14:textId="61B4DE59" w:rsidR="007D6C16" w:rsidRPr="005026DF" w:rsidRDefault="0044373F" w:rsidP="00D95701">
      <w:pPr>
        <w:spacing w:line="360" w:lineRule="auto"/>
        <w:jc w:val="both"/>
        <w:rPr>
          <w:rFonts w:ascii="Times New Roman" w:hAnsi="Times New Roman" w:cs="Times New Roman"/>
          <w:sz w:val="24"/>
          <w:szCs w:val="24"/>
        </w:rPr>
      </w:pPr>
      <w:r w:rsidRPr="005026DF">
        <w:rPr>
          <w:rFonts w:ascii="Times New Roman" w:hAnsi="Times New Roman" w:cs="Times New Roman"/>
          <w:sz w:val="24"/>
          <w:szCs w:val="24"/>
        </w:rPr>
        <w:t xml:space="preserve"> </w:t>
      </w:r>
    </w:p>
    <w:p w14:paraId="389DE8ED" w14:textId="77777777" w:rsidR="007D6C16" w:rsidRPr="005026DF" w:rsidRDefault="0044373F" w:rsidP="00D95701">
      <w:pPr>
        <w:spacing w:line="360" w:lineRule="auto"/>
        <w:jc w:val="both"/>
        <w:rPr>
          <w:rFonts w:ascii="Times New Roman" w:hAnsi="Times New Roman" w:cs="Times New Roman"/>
          <w:sz w:val="24"/>
          <w:szCs w:val="24"/>
        </w:rPr>
      </w:pPr>
      <w:r w:rsidRPr="005026DF">
        <w:rPr>
          <w:rFonts w:ascii="Times New Roman" w:hAnsi="Times New Roman" w:cs="Times New Roman"/>
          <w:sz w:val="24"/>
          <w:szCs w:val="24"/>
        </w:rPr>
        <w:tab/>
        <w:t>Udržateľné zastavenie zadlžovania štátnych nemocníc je systémový krok, ktorého základné predpoklady budú naplnené implementáciou optimalizácie siete nemocníc a DRG, ako platného úhradového mechanizmu v kombinácii s dofinancovaním sektoru zdravotníctva, ako takého.</w:t>
      </w:r>
    </w:p>
    <w:p w14:paraId="1CFD94DB" w14:textId="497DBC1A" w:rsidR="0044373F" w:rsidRPr="005026DF" w:rsidRDefault="0034141F" w:rsidP="00D95701">
      <w:pPr>
        <w:spacing w:line="360" w:lineRule="auto"/>
        <w:jc w:val="both"/>
        <w:rPr>
          <w:rFonts w:ascii="Times New Roman" w:hAnsi="Times New Roman" w:cs="Times New Roman"/>
          <w:sz w:val="24"/>
          <w:szCs w:val="24"/>
        </w:rPr>
      </w:pPr>
      <w:r w:rsidRPr="005026DF">
        <w:rPr>
          <w:rFonts w:ascii="Times New Roman" w:hAnsi="Times New Roman" w:cs="Times New Roman"/>
          <w:sz w:val="24"/>
          <w:szCs w:val="24"/>
        </w:rPr>
        <w:t xml:space="preserve"> </w:t>
      </w:r>
    </w:p>
    <w:p w14:paraId="77A606EF" w14:textId="56EAFC11" w:rsidR="00BA514D" w:rsidRPr="005026DF" w:rsidRDefault="00D95701" w:rsidP="005026DF">
      <w:pPr>
        <w:pStyle w:val="Odsekzoznamu"/>
        <w:numPr>
          <w:ilvl w:val="0"/>
          <w:numId w:val="25"/>
        </w:numPr>
        <w:spacing w:line="360" w:lineRule="auto"/>
        <w:ind w:left="709"/>
        <w:jc w:val="both"/>
        <w:rPr>
          <w:b/>
          <w:bCs/>
          <w:sz w:val="28"/>
          <w:szCs w:val="28"/>
        </w:rPr>
      </w:pPr>
      <w:r w:rsidRPr="005026DF">
        <w:rPr>
          <w:b/>
          <w:bCs/>
          <w:sz w:val="28"/>
          <w:szCs w:val="28"/>
        </w:rPr>
        <w:t>Rekapitulácia</w:t>
      </w:r>
      <w:r w:rsidR="00F8408F" w:rsidRPr="005026DF">
        <w:rPr>
          <w:b/>
          <w:bCs/>
          <w:sz w:val="28"/>
          <w:szCs w:val="28"/>
        </w:rPr>
        <w:t xml:space="preserve"> k </w:t>
      </w:r>
      <w:r w:rsidRPr="005026DF">
        <w:rPr>
          <w:b/>
          <w:bCs/>
          <w:sz w:val="28"/>
          <w:szCs w:val="28"/>
        </w:rPr>
        <w:t>výške</w:t>
      </w:r>
      <w:r w:rsidR="00F8408F" w:rsidRPr="005026DF">
        <w:rPr>
          <w:b/>
          <w:bCs/>
          <w:sz w:val="28"/>
          <w:szCs w:val="28"/>
        </w:rPr>
        <w:t xml:space="preserve"> </w:t>
      </w:r>
      <w:r w:rsidRPr="005026DF">
        <w:rPr>
          <w:b/>
          <w:bCs/>
          <w:sz w:val="28"/>
          <w:szCs w:val="28"/>
        </w:rPr>
        <w:t>dostupných</w:t>
      </w:r>
      <w:r w:rsidR="00F8408F" w:rsidRPr="005026DF">
        <w:rPr>
          <w:b/>
          <w:bCs/>
          <w:sz w:val="28"/>
          <w:szCs w:val="28"/>
        </w:rPr>
        <w:t xml:space="preserve"> </w:t>
      </w:r>
      <w:r w:rsidR="00205C42" w:rsidRPr="005026DF">
        <w:rPr>
          <w:b/>
          <w:bCs/>
          <w:sz w:val="28"/>
          <w:szCs w:val="28"/>
        </w:rPr>
        <w:t>štátnych finančných aktív (ŠFA)</w:t>
      </w:r>
    </w:p>
    <w:p w14:paraId="6FEC1E6E" w14:textId="77777777" w:rsidR="00205C42" w:rsidRPr="009B0095" w:rsidRDefault="00205C42" w:rsidP="00D95701">
      <w:pPr>
        <w:spacing w:line="360" w:lineRule="auto"/>
        <w:jc w:val="both"/>
        <w:rPr>
          <w:rFonts w:ascii="Times New Roman" w:hAnsi="Times New Roman" w:cs="Times New Roman"/>
          <w:b/>
          <w:bCs/>
          <w:sz w:val="24"/>
          <w:szCs w:val="24"/>
        </w:rPr>
      </w:pPr>
    </w:p>
    <w:p w14:paraId="140DA9C9" w14:textId="282D7451" w:rsidR="00BA514D" w:rsidRPr="00C11A51" w:rsidRDefault="00BA514D" w:rsidP="002F23C9">
      <w:pPr>
        <w:autoSpaceDE w:val="0"/>
        <w:autoSpaceDN w:val="0"/>
        <w:adjustRightInd w:val="0"/>
        <w:spacing w:line="360" w:lineRule="auto"/>
        <w:ind w:firstLine="708"/>
        <w:jc w:val="both"/>
        <w:rPr>
          <w:rFonts w:ascii="Times New Roman" w:hAnsi="Times New Roman" w:cs="Times New Roman"/>
          <w:color w:val="000000"/>
          <w:kern w:val="24"/>
          <w:sz w:val="24"/>
          <w:szCs w:val="24"/>
        </w:rPr>
      </w:pPr>
      <w:r w:rsidRPr="009312A4">
        <w:rPr>
          <w:rFonts w:ascii="Times New Roman" w:hAnsi="Times New Roman" w:cs="Times New Roman"/>
          <w:color w:val="000000"/>
          <w:kern w:val="24"/>
          <w:sz w:val="24"/>
          <w:szCs w:val="24"/>
        </w:rPr>
        <w:t xml:space="preserve">Vo vzťahu k </w:t>
      </w:r>
      <w:r w:rsidRPr="009312A4">
        <w:rPr>
          <w:rFonts w:ascii="Times New Roman" w:hAnsi="Times New Roman" w:cs="Times New Roman"/>
          <w:b/>
          <w:bCs/>
          <w:color w:val="000000"/>
          <w:kern w:val="24"/>
          <w:sz w:val="24"/>
          <w:szCs w:val="24"/>
        </w:rPr>
        <w:t>dodávateľom</w:t>
      </w:r>
      <w:r w:rsidRPr="009312A4">
        <w:rPr>
          <w:rFonts w:ascii="Times New Roman" w:hAnsi="Times New Roman" w:cs="Times New Roman"/>
          <w:color w:val="000000"/>
          <w:kern w:val="24"/>
          <w:sz w:val="24"/>
          <w:szCs w:val="24"/>
        </w:rPr>
        <w:t xml:space="preserve"> zdravotníckych zariadení bola v júni 2022 na základe reálne uzatvorených dohôd zo štátnych finančných aktív uhradená suma </w:t>
      </w:r>
      <w:r w:rsidR="002F54C4" w:rsidRPr="002F54C4">
        <w:rPr>
          <w:rFonts w:ascii="Times New Roman" w:hAnsi="Times New Roman" w:cs="Times New Roman"/>
          <w:b/>
          <w:bCs/>
          <w:color w:val="000000"/>
          <w:kern w:val="24"/>
          <w:sz w:val="24"/>
          <w:szCs w:val="24"/>
        </w:rPr>
        <w:t>118 197 882,30 eur</w:t>
      </w:r>
      <w:r w:rsidRPr="009312A4">
        <w:rPr>
          <w:rFonts w:ascii="Times New Roman" w:hAnsi="Times New Roman" w:cs="Times New Roman"/>
          <w:color w:val="000000"/>
          <w:kern w:val="24"/>
          <w:sz w:val="24"/>
          <w:szCs w:val="24"/>
        </w:rPr>
        <w:t>.</w:t>
      </w:r>
    </w:p>
    <w:p w14:paraId="3A0B5088" w14:textId="3075B101" w:rsidR="00BA514D" w:rsidRPr="00124DAA" w:rsidRDefault="00BA514D" w:rsidP="00205C42">
      <w:pPr>
        <w:autoSpaceDE w:val="0"/>
        <w:autoSpaceDN w:val="0"/>
        <w:adjustRightInd w:val="0"/>
        <w:spacing w:line="360" w:lineRule="auto"/>
        <w:jc w:val="both"/>
        <w:rPr>
          <w:rFonts w:ascii="Times New Roman" w:hAnsi="Times New Roman" w:cs="Times New Roman"/>
          <w:color w:val="000000"/>
          <w:kern w:val="24"/>
          <w:sz w:val="24"/>
          <w:szCs w:val="24"/>
        </w:rPr>
      </w:pPr>
      <w:r w:rsidRPr="00C11A51">
        <w:rPr>
          <w:rFonts w:ascii="Times New Roman" w:hAnsi="Times New Roman" w:cs="Times New Roman"/>
          <w:color w:val="000000"/>
          <w:kern w:val="24"/>
          <w:sz w:val="24"/>
          <w:szCs w:val="24"/>
        </w:rPr>
        <w:t xml:space="preserve">Vo vzťahu k </w:t>
      </w:r>
      <w:r w:rsidRPr="00C11A51">
        <w:rPr>
          <w:rFonts w:ascii="Times New Roman" w:hAnsi="Times New Roman" w:cs="Times New Roman"/>
          <w:b/>
          <w:bCs/>
          <w:color w:val="000000"/>
          <w:kern w:val="24"/>
          <w:sz w:val="24"/>
          <w:szCs w:val="24"/>
        </w:rPr>
        <w:t xml:space="preserve">Sociálnej poisťovni </w:t>
      </w:r>
      <w:r w:rsidRPr="00107B60">
        <w:rPr>
          <w:rFonts w:ascii="Times New Roman" w:hAnsi="Times New Roman" w:cs="Times New Roman"/>
          <w:color w:val="000000"/>
          <w:kern w:val="24"/>
          <w:sz w:val="24"/>
          <w:szCs w:val="24"/>
        </w:rPr>
        <w:t xml:space="preserve">Ministerstvo zdravotníctva </w:t>
      </w:r>
      <w:r w:rsidR="006D5E87" w:rsidRPr="00107B60">
        <w:rPr>
          <w:rFonts w:ascii="Times New Roman" w:hAnsi="Times New Roman" w:cs="Times New Roman"/>
          <w:color w:val="000000"/>
          <w:kern w:val="24"/>
          <w:sz w:val="24"/>
          <w:szCs w:val="24"/>
        </w:rPr>
        <w:t>SR</w:t>
      </w:r>
      <w:r w:rsidRPr="00107B60">
        <w:rPr>
          <w:rFonts w:ascii="Times New Roman" w:hAnsi="Times New Roman" w:cs="Times New Roman"/>
          <w:color w:val="000000"/>
          <w:kern w:val="24"/>
          <w:sz w:val="24"/>
          <w:szCs w:val="24"/>
        </w:rPr>
        <w:t xml:space="preserve"> v auguste 2022 zabezpečilo odplatné postúpenie pohľadávok Sociálnej poisťovne po lehote splatnosti na spoločnosť Debitum, a. s., ktorá je v 100 % vlastníctve štátu, podľa návrhu a za podmienok uvedených v návrhu finančnej stabilizácie. Sociálnej poisťovni bola uhradená suma vo výške </w:t>
      </w:r>
      <w:r w:rsidR="002F54C4" w:rsidRPr="002F54C4">
        <w:rPr>
          <w:rFonts w:ascii="Times New Roman" w:hAnsi="Times New Roman" w:cs="Times New Roman"/>
          <w:b/>
          <w:bCs/>
          <w:color w:val="000000"/>
          <w:kern w:val="24"/>
          <w:sz w:val="24"/>
          <w:szCs w:val="24"/>
        </w:rPr>
        <w:t>198 636 207,86 eur</w:t>
      </w:r>
      <w:r w:rsidRPr="00C101AD">
        <w:rPr>
          <w:rFonts w:ascii="Times New Roman" w:hAnsi="Times New Roman" w:cs="Times New Roman"/>
          <w:color w:val="000000"/>
          <w:kern w:val="24"/>
          <w:sz w:val="24"/>
          <w:szCs w:val="24"/>
        </w:rPr>
        <w:t>.</w:t>
      </w:r>
      <w:r w:rsidR="00205C42" w:rsidRPr="00C101AD">
        <w:rPr>
          <w:rFonts w:ascii="Times New Roman" w:hAnsi="Times New Roman" w:cs="Times New Roman"/>
          <w:color w:val="000000"/>
          <w:kern w:val="24"/>
          <w:sz w:val="24"/>
          <w:szCs w:val="24"/>
        </w:rPr>
        <w:t xml:space="preserve"> </w:t>
      </w:r>
      <w:r w:rsidRPr="00124DAA">
        <w:rPr>
          <w:rFonts w:ascii="Times New Roman" w:hAnsi="Times New Roman" w:cs="Times New Roman"/>
          <w:color w:val="000000"/>
          <w:kern w:val="24"/>
          <w:sz w:val="24"/>
          <w:szCs w:val="24"/>
        </w:rPr>
        <w:t xml:space="preserve">Celkovo tak bola doteraz uhradená suma vo výške </w:t>
      </w:r>
      <w:r w:rsidRPr="00124DAA">
        <w:rPr>
          <w:rFonts w:ascii="Times New Roman" w:hAnsi="Times New Roman" w:cs="Times New Roman"/>
          <w:b/>
          <w:bCs/>
          <w:color w:val="000000"/>
          <w:kern w:val="24"/>
          <w:sz w:val="24"/>
          <w:szCs w:val="24"/>
        </w:rPr>
        <w:t>316</w:t>
      </w:r>
      <w:r w:rsidR="002F54C4">
        <w:rPr>
          <w:rFonts w:ascii="Times New Roman" w:hAnsi="Times New Roman" w:cs="Times New Roman"/>
          <w:b/>
          <w:bCs/>
          <w:color w:val="000000"/>
          <w:kern w:val="24"/>
          <w:sz w:val="24"/>
          <w:szCs w:val="24"/>
        </w:rPr>
        <w:t xml:space="preserve"> </w:t>
      </w:r>
      <w:r w:rsidRPr="00124DAA">
        <w:rPr>
          <w:rFonts w:ascii="Times New Roman" w:hAnsi="Times New Roman" w:cs="Times New Roman"/>
          <w:b/>
          <w:bCs/>
          <w:color w:val="000000"/>
          <w:kern w:val="24"/>
          <w:sz w:val="24"/>
          <w:szCs w:val="24"/>
        </w:rPr>
        <w:t>8</w:t>
      </w:r>
      <w:r w:rsidR="002F54C4">
        <w:rPr>
          <w:rFonts w:ascii="Times New Roman" w:hAnsi="Times New Roman" w:cs="Times New Roman"/>
          <w:b/>
          <w:bCs/>
          <w:color w:val="000000"/>
          <w:kern w:val="24"/>
          <w:sz w:val="24"/>
          <w:szCs w:val="24"/>
        </w:rPr>
        <w:t>34 090,16</w:t>
      </w:r>
      <w:r w:rsidRPr="00124DAA">
        <w:rPr>
          <w:rFonts w:ascii="Times New Roman" w:hAnsi="Times New Roman" w:cs="Times New Roman"/>
          <w:b/>
          <w:bCs/>
          <w:color w:val="000000"/>
          <w:kern w:val="24"/>
          <w:sz w:val="24"/>
          <w:szCs w:val="24"/>
        </w:rPr>
        <w:t xml:space="preserve"> eur</w:t>
      </w:r>
      <w:r w:rsidRPr="00124DAA">
        <w:rPr>
          <w:rFonts w:ascii="Times New Roman" w:hAnsi="Times New Roman" w:cs="Times New Roman"/>
          <w:color w:val="000000"/>
          <w:kern w:val="24"/>
          <w:sz w:val="24"/>
          <w:szCs w:val="24"/>
        </w:rPr>
        <w:t>.</w:t>
      </w:r>
    </w:p>
    <w:p w14:paraId="58E6C6F8" w14:textId="77777777" w:rsidR="006D5E87" w:rsidRPr="00124DAA" w:rsidRDefault="006D5E87" w:rsidP="002F23C9">
      <w:pPr>
        <w:autoSpaceDE w:val="0"/>
        <w:autoSpaceDN w:val="0"/>
        <w:adjustRightInd w:val="0"/>
        <w:spacing w:line="360" w:lineRule="auto"/>
        <w:ind w:firstLine="708"/>
        <w:jc w:val="both"/>
        <w:rPr>
          <w:rFonts w:ascii="Times New Roman" w:hAnsi="Times New Roman" w:cs="Times New Roman"/>
          <w:color w:val="000000"/>
          <w:kern w:val="24"/>
          <w:sz w:val="24"/>
          <w:szCs w:val="24"/>
        </w:rPr>
      </w:pPr>
    </w:p>
    <w:p w14:paraId="6484CE0D" w14:textId="46A7EB80" w:rsidR="00BA514D" w:rsidRPr="009B0095" w:rsidRDefault="00BA514D" w:rsidP="002F23C9">
      <w:pPr>
        <w:autoSpaceDE w:val="0"/>
        <w:autoSpaceDN w:val="0"/>
        <w:adjustRightInd w:val="0"/>
        <w:spacing w:line="360" w:lineRule="auto"/>
        <w:ind w:firstLine="708"/>
        <w:jc w:val="both"/>
        <w:rPr>
          <w:rFonts w:ascii="Times New Roman" w:hAnsi="Times New Roman" w:cs="Times New Roman"/>
          <w:color w:val="000000"/>
          <w:kern w:val="24"/>
          <w:sz w:val="24"/>
          <w:szCs w:val="24"/>
        </w:rPr>
      </w:pPr>
      <w:r w:rsidRPr="005026DF">
        <w:rPr>
          <w:rFonts w:ascii="Times New Roman" w:hAnsi="Times New Roman" w:cs="Times New Roman"/>
          <w:color w:val="000000"/>
          <w:kern w:val="24"/>
          <w:sz w:val="24"/>
          <w:szCs w:val="24"/>
        </w:rPr>
        <w:t>Z</w:t>
      </w:r>
      <w:r w:rsidR="005026DF" w:rsidRPr="005026DF">
        <w:rPr>
          <w:rFonts w:ascii="Times New Roman" w:hAnsi="Times New Roman" w:cs="Times New Roman"/>
          <w:color w:val="000000"/>
          <w:kern w:val="24"/>
          <w:sz w:val="24"/>
          <w:szCs w:val="24"/>
        </w:rPr>
        <w:t>o</w:t>
      </w:r>
      <w:r w:rsidR="00516476" w:rsidRPr="005026DF">
        <w:rPr>
          <w:rFonts w:ascii="Times New Roman" w:hAnsi="Times New Roman" w:cs="Times New Roman"/>
          <w:color w:val="000000"/>
          <w:kern w:val="24"/>
          <w:sz w:val="24"/>
          <w:szCs w:val="24"/>
        </w:rPr>
        <w:t> </w:t>
      </w:r>
      <w:r w:rsidRPr="005026DF">
        <w:rPr>
          <w:rFonts w:ascii="Times New Roman" w:hAnsi="Times New Roman" w:cs="Times New Roman"/>
          <w:color w:val="000000"/>
          <w:kern w:val="24"/>
          <w:sz w:val="24"/>
          <w:szCs w:val="24"/>
        </w:rPr>
        <w:t xml:space="preserve"> sumy</w:t>
      </w:r>
      <w:r w:rsidR="006D5E87" w:rsidRPr="005026DF">
        <w:rPr>
          <w:rFonts w:ascii="Times New Roman" w:hAnsi="Times New Roman" w:cs="Times New Roman"/>
          <w:color w:val="000000"/>
          <w:kern w:val="24"/>
          <w:sz w:val="24"/>
          <w:szCs w:val="24"/>
        </w:rPr>
        <w:t xml:space="preserve"> </w:t>
      </w:r>
      <w:r w:rsidR="00516476" w:rsidRPr="005026DF">
        <w:rPr>
          <w:rFonts w:ascii="Times New Roman" w:hAnsi="Times New Roman" w:cs="Times New Roman"/>
          <w:color w:val="000000"/>
          <w:kern w:val="24"/>
          <w:sz w:val="24"/>
          <w:szCs w:val="24"/>
        </w:rPr>
        <w:t xml:space="preserve"> </w:t>
      </w:r>
      <w:r w:rsidR="00E023CC">
        <w:rPr>
          <w:rFonts w:ascii="Times New Roman" w:hAnsi="Times New Roman" w:cs="Times New Roman"/>
          <w:color w:val="000000"/>
          <w:kern w:val="24"/>
          <w:sz w:val="24"/>
          <w:szCs w:val="24"/>
        </w:rPr>
        <w:t>575 000 000,</w:t>
      </w:r>
      <w:r w:rsidR="002F54C4" w:rsidRPr="002F54C4">
        <w:rPr>
          <w:rFonts w:ascii="Times New Roman" w:hAnsi="Times New Roman" w:cs="Times New Roman"/>
          <w:color w:val="000000"/>
          <w:kern w:val="24"/>
          <w:sz w:val="24"/>
          <w:szCs w:val="24"/>
        </w:rPr>
        <w:t>00 eur</w:t>
      </w:r>
      <w:r w:rsidR="00516476" w:rsidRPr="005026DF">
        <w:rPr>
          <w:rFonts w:ascii="Times New Roman" w:hAnsi="Times New Roman" w:cs="Times New Roman"/>
          <w:color w:val="000000"/>
          <w:kern w:val="24"/>
          <w:sz w:val="24"/>
          <w:szCs w:val="24"/>
        </w:rPr>
        <w:t xml:space="preserve"> </w:t>
      </w:r>
      <w:r w:rsidR="006D5E87" w:rsidRPr="005026DF">
        <w:rPr>
          <w:rFonts w:ascii="Times New Roman" w:hAnsi="Times New Roman" w:cs="Times New Roman"/>
          <w:color w:val="000000"/>
          <w:kern w:val="24"/>
          <w:sz w:val="24"/>
          <w:szCs w:val="24"/>
        </w:rPr>
        <w:t>štátnych finančných aktív</w:t>
      </w:r>
      <w:r w:rsidR="005026DF" w:rsidRPr="005026DF">
        <w:rPr>
          <w:rFonts w:ascii="Times New Roman" w:hAnsi="Times New Roman" w:cs="Times New Roman"/>
          <w:color w:val="000000"/>
          <w:kern w:val="24"/>
          <w:sz w:val="24"/>
          <w:szCs w:val="24"/>
        </w:rPr>
        <w:t xml:space="preserve"> schválenej uznesením vlády SR č. 757 zo dňa 2. decembra 2020, </w:t>
      </w:r>
      <w:r w:rsidR="00516476" w:rsidRPr="005026DF">
        <w:rPr>
          <w:rFonts w:ascii="Times New Roman" w:hAnsi="Times New Roman" w:cs="Times New Roman"/>
          <w:sz w:val="24"/>
          <w:szCs w:val="24"/>
        </w:rPr>
        <w:t xml:space="preserve"> nebolo z dôvodov uvedených v kapitole II. tohto materiálu ku dňu jeho predloženia použitých </w:t>
      </w:r>
      <w:r w:rsidRPr="005026DF">
        <w:rPr>
          <w:rFonts w:ascii="Times New Roman" w:hAnsi="Times New Roman" w:cs="Times New Roman"/>
          <w:color w:val="000000"/>
          <w:kern w:val="24"/>
          <w:sz w:val="24"/>
          <w:szCs w:val="24"/>
        </w:rPr>
        <w:t xml:space="preserve"> </w:t>
      </w:r>
      <w:r w:rsidR="002F54C4" w:rsidRPr="002F54C4">
        <w:rPr>
          <w:rFonts w:ascii="Times New Roman" w:hAnsi="Times New Roman" w:cs="Times New Roman"/>
          <w:b/>
          <w:bCs/>
          <w:color w:val="000000"/>
          <w:kern w:val="24"/>
          <w:sz w:val="24"/>
          <w:szCs w:val="24"/>
        </w:rPr>
        <w:t>258 165 909,84 eur</w:t>
      </w:r>
      <w:r w:rsidRPr="005026DF">
        <w:rPr>
          <w:rFonts w:ascii="Times New Roman" w:hAnsi="Times New Roman" w:cs="Times New Roman"/>
          <w:color w:val="000000"/>
          <w:kern w:val="24"/>
          <w:sz w:val="24"/>
          <w:szCs w:val="24"/>
        </w:rPr>
        <w:t>.</w:t>
      </w:r>
    </w:p>
    <w:p w14:paraId="319C604D" w14:textId="77777777" w:rsidR="00205C42" w:rsidRPr="009312A4" w:rsidRDefault="00205C42" w:rsidP="00D95701">
      <w:pPr>
        <w:autoSpaceDE w:val="0"/>
        <w:autoSpaceDN w:val="0"/>
        <w:adjustRightInd w:val="0"/>
        <w:spacing w:line="360" w:lineRule="auto"/>
        <w:rPr>
          <w:rFonts w:ascii="Times New Roman" w:hAnsi="Times New Roman" w:cs="Times New Roman"/>
          <w:color w:val="000000"/>
          <w:kern w:val="24"/>
          <w:sz w:val="24"/>
          <w:szCs w:val="24"/>
        </w:rPr>
      </w:pPr>
    </w:p>
    <w:p w14:paraId="55E1C447" w14:textId="4CC40C1E" w:rsidR="00BA514D" w:rsidRPr="00124DAA" w:rsidRDefault="00516476" w:rsidP="002F23C9">
      <w:pPr>
        <w:autoSpaceDE w:val="0"/>
        <w:autoSpaceDN w:val="0"/>
        <w:adjustRightInd w:val="0"/>
        <w:spacing w:line="360" w:lineRule="auto"/>
        <w:ind w:firstLine="708"/>
        <w:jc w:val="both"/>
        <w:rPr>
          <w:rFonts w:ascii="Times New Roman" w:hAnsi="Times New Roman" w:cs="Times New Roman"/>
          <w:color w:val="000000"/>
          <w:kern w:val="24"/>
          <w:sz w:val="24"/>
          <w:szCs w:val="24"/>
        </w:rPr>
      </w:pPr>
      <w:r w:rsidRPr="009312A4">
        <w:rPr>
          <w:rFonts w:ascii="Times New Roman" w:hAnsi="Times New Roman" w:cs="Times New Roman"/>
          <w:color w:val="000000"/>
          <w:kern w:val="24"/>
          <w:sz w:val="24"/>
          <w:szCs w:val="24"/>
        </w:rPr>
        <w:t>Ministerstvo zdravotníctva SR zároveň poukazuje na skutočnosť, že do</w:t>
      </w:r>
      <w:r w:rsidR="00BA514D" w:rsidRPr="00C11A51">
        <w:rPr>
          <w:rFonts w:ascii="Times New Roman" w:hAnsi="Times New Roman" w:cs="Times New Roman"/>
          <w:color w:val="000000"/>
          <w:kern w:val="24"/>
          <w:sz w:val="24"/>
          <w:szCs w:val="24"/>
        </w:rPr>
        <w:t xml:space="preserve"> procesu finančnej stabilizácie sa nezapojil</w:t>
      </w:r>
      <w:r w:rsidR="006D5E87" w:rsidRPr="00107B60">
        <w:rPr>
          <w:rFonts w:ascii="Times New Roman" w:hAnsi="Times New Roman" w:cs="Times New Roman"/>
          <w:color w:val="000000"/>
          <w:kern w:val="24"/>
          <w:sz w:val="24"/>
          <w:szCs w:val="24"/>
        </w:rPr>
        <w:t xml:space="preserve"> okrem in</w:t>
      </w:r>
      <w:r w:rsidRPr="00107B60">
        <w:rPr>
          <w:rFonts w:ascii="Times New Roman" w:hAnsi="Times New Roman" w:cs="Times New Roman"/>
          <w:color w:val="000000"/>
          <w:kern w:val="24"/>
          <w:sz w:val="24"/>
          <w:szCs w:val="24"/>
        </w:rPr>
        <w:t>ých aj</w:t>
      </w:r>
      <w:r w:rsidR="00BA514D" w:rsidRPr="00107B60">
        <w:rPr>
          <w:rFonts w:ascii="Times New Roman" w:hAnsi="Times New Roman" w:cs="Times New Roman"/>
          <w:color w:val="000000"/>
          <w:kern w:val="24"/>
          <w:sz w:val="24"/>
          <w:szCs w:val="24"/>
        </w:rPr>
        <w:t xml:space="preserve"> subjekt, ktorý sa špecializuje na odkupovanie</w:t>
      </w:r>
      <w:r w:rsidR="00F8408F" w:rsidRPr="00C101AD">
        <w:rPr>
          <w:rFonts w:ascii="Times New Roman" w:hAnsi="Times New Roman" w:cs="Times New Roman"/>
          <w:color w:val="000000"/>
          <w:kern w:val="24"/>
          <w:sz w:val="24"/>
          <w:szCs w:val="24"/>
        </w:rPr>
        <w:t xml:space="preserve"> a kapitalizáciu</w:t>
      </w:r>
      <w:r w:rsidR="00BA514D" w:rsidRPr="00C101AD">
        <w:rPr>
          <w:rFonts w:ascii="Times New Roman" w:hAnsi="Times New Roman" w:cs="Times New Roman"/>
          <w:color w:val="000000"/>
          <w:kern w:val="24"/>
          <w:sz w:val="24"/>
          <w:szCs w:val="24"/>
        </w:rPr>
        <w:t xml:space="preserve"> pohľadávok a je najväčším veriteľom voči zdravotníckym zariadeniam. </w:t>
      </w:r>
    </w:p>
    <w:p w14:paraId="70E4FEE6" w14:textId="5793F6DA" w:rsidR="00BA514D" w:rsidRDefault="00BA514D" w:rsidP="008442D8">
      <w:pPr>
        <w:autoSpaceDE w:val="0"/>
        <w:autoSpaceDN w:val="0"/>
        <w:adjustRightInd w:val="0"/>
        <w:spacing w:line="360" w:lineRule="auto"/>
        <w:ind w:firstLine="708"/>
        <w:jc w:val="both"/>
        <w:rPr>
          <w:rFonts w:ascii="Times New Roman" w:hAnsi="Times New Roman" w:cs="Times New Roman"/>
          <w:color w:val="000000"/>
          <w:kern w:val="24"/>
          <w:sz w:val="24"/>
          <w:szCs w:val="24"/>
        </w:rPr>
      </w:pPr>
      <w:r w:rsidRPr="00124DAA">
        <w:rPr>
          <w:rFonts w:ascii="Times New Roman" w:hAnsi="Times New Roman" w:cs="Times New Roman"/>
          <w:color w:val="000000"/>
          <w:kern w:val="24"/>
          <w:sz w:val="24"/>
          <w:szCs w:val="24"/>
        </w:rPr>
        <w:lastRenderedPageBreak/>
        <w:t>V</w:t>
      </w:r>
      <w:r w:rsidR="006D5E87" w:rsidRPr="00124DAA">
        <w:rPr>
          <w:rFonts w:ascii="Times New Roman" w:hAnsi="Times New Roman" w:cs="Times New Roman"/>
          <w:color w:val="000000"/>
          <w:kern w:val="24"/>
          <w:sz w:val="24"/>
          <w:szCs w:val="24"/>
        </w:rPr>
        <w:t>o svojom</w:t>
      </w:r>
      <w:r w:rsidRPr="00124DAA">
        <w:rPr>
          <w:rFonts w:ascii="Times New Roman" w:hAnsi="Times New Roman" w:cs="Times New Roman"/>
          <w:color w:val="000000"/>
          <w:kern w:val="24"/>
          <w:sz w:val="24"/>
          <w:szCs w:val="24"/>
        </w:rPr>
        <w:t xml:space="preserve"> portfóliu k 30. júnu 2022 eviduje pohľadávky voči nemocniciam na úrovni istiny v objeme </w:t>
      </w:r>
      <w:r w:rsidRPr="00124DAA">
        <w:rPr>
          <w:rFonts w:ascii="Times New Roman" w:hAnsi="Times New Roman" w:cs="Times New Roman"/>
          <w:b/>
          <w:bCs/>
          <w:color w:val="000000"/>
          <w:kern w:val="24"/>
          <w:sz w:val="24"/>
          <w:szCs w:val="24"/>
        </w:rPr>
        <w:t xml:space="preserve">141,3 mil. eur </w:t>
      </w:r>
      <w:r w:rsidRPr="00124DAA">
        <w:rPr>
          <w:rFonts w:ascii="Times New Roman" w:hAnsi="Times New Roman" w:cs="Times New Roman"/>
          <w:color w:val="000000"/>
          <w:kern w:val="24"/>
          <w:sz w:val="24"/>
          <w:szCs w:val="24"/>
        </w:rPr>
        <w:t xml:space="preserve">a voči Národnej transfúznej službe SR v sume </w:t>
      </w:r>
      <w:r w:rsidRPr="00124DAA">
        <w:rPr>
          <w:rFonts w:ascii="Times New Roman" w:hAnsi="Times New Roman" w:cs="Times New Roman"/>
          <w:b/>
          <w:bCs/>
          <w:color w:val="000000"/>
          <w:kern w:val="24"/>
          <w:sz w:val="24"/>
          <w:szCs w:val="24"/>
        </w:rPr>
        <w:t>5,7 mil. eur</w:t>
      </w:r>
      <w:r w:rsidRPr="005026DF">
        <w:rPr>
          <w:rFonts w:ascii="Times New Roman" w:hAnsi="Times New Roman" w:cs="Times New Roman"/>
          <w:color w:val="000000"/>
          <w:kern w:val="24"/>
          <w:sz w:val="24"/>
          <w:szCs w:val="24"/>
        </w:rPr>
        <w:t xml:space="preserve">. V prípade uplatnenia si príslušenstva v odhadovanej výške </w:t>
      </w:r>
      <w:r w:rsidRPr="008442D8">
        <w:rPr>
          <w:rFonts w:ascii="Times New Roman" w:hAnsi="Times New Roman" w:cs="Times New Roman"/>
          <w:b/>
          <w:bCs/>
          <w:color w:val="000000"/>
          <w:kern w:val="24"/>
          <w:sz w:val="24"/>
          <w:szCs w:val="24"/>
        </w:rPr>
        <w:t xml:space="preserve">80 mil. eur </w:t>
      </w:r>
      <w:r w:rsidRPr="008442D8">
        <w:rPr>
          <w:rFonts w:ascii="Times New Roman" w:hAnsi="Times New Roman" w:cs="Times New Roman"/>
          <w:color w:val="000000"/>
          <w:kern w:val="24"/>
          <w:sz w:val="24"/>
          <w:szCs w:val="24"/>
        </w:rPr>
        <w:t>to môže do budúcnosti predstavovať</w:t>
      </w:r>
      <w:r w:rsidR="00516476" w:rsidRPr="008442D8">
        <w:rPr>
          <w:rFonts w:ascii="Times New Roman" w:hAnsi="Times New Roman" w:cs="Times New Roman"/>
          <w:color w:val="000000"/>
          <w:kern w:val="24"/>
          <w:sz w:val="24"/>
          <w:szCs w:val="24"/>
        </w:rPr>
        <w:t xml:space="preserve"> ďalšie</w:t>
      </w:r>
      <w:r w:rsidRPr="008442D8">
        <w:rPr>
          <w:rFonts w:ascii="Times New Roman" w:hAnsi="Times New Roman" w:cs="Times New Roman"/>
          <w:color w:val="000000"/>
          <w:kern w:val="24"/>
          <w:sz w:val="24"/>
          <w:szCs w:val="24"/>
        </w:rPr>
        <w:t xml:space="preserve"> významné riziko</w:t>
      </w:r>
      <w:r w:rsidR="00516476" w:rsidRPr="008442D8">
        <w:rPr>
          <w:rFonts w:ascii="Times New Roman" w:hAnsi="Times New Roman" w:cs="Times New Roman"/>
          <w:color w:val="000000"/>
          <w:kern w:val="24"/>
          <w:sz w:val="24"/>
          <w:szCs w:val="24"/>
        </w:rPr>
        <w:t>, ktorému môžu byť ústavné zdravotnícke zariadenia vystavené</w:t>
      </w:r>
      <w:r w:rsidR="00B103F0" w:rsidRPr="008442D8">
        <w:rPr>
          <w:rFonts w:ascii="Times New Roman" w:hAnsi="Times New Roman" w:cs="Times New Roman"/>
          <w:color w:val="000000"/>
          <w:kern w:val="24"/>
          <w:sz w:val="24"/>
          <w:szCs w:val="24"/>
        </w:rPr>
        <w:t xml:space="preserve">, na čo </w:t>
      </w:r>
      <w:r w:rsidRPr="008442D8">
        <w:rPr>
          <w:rFonts w:ascii="Times New Roman" w:hAnsi="Times New Roman" w:cs="Times New Roman"/>
          <w:color w:val="000000"/>
          <w:kern w:val="24"/>
          <w:sz w:val="24"/>
          <w:szCs w:val="24"/>
        </w:rPr>
        <w:t xml:space="preserve">Ministerstvo zdravotníctva </w:t>
      </w:r>
      <w:r w:rsidR="006D5E87" w:rsidRPr="008442D8">
        <w:rPr>
          <w:rFonts w:ascii="Times New Roman" w:hAnsi="Times New Roman" w:cs="Times New Roman"/>
          <w:color w:val="000000"/>
          <w:kern w:val="24"/>
          <w:sz w:val="24"/>
          <w:szCs w:val="24"/>
        </w:rPr>
        <w:t>SR</w:t>
      </w:r>
      <w:r w:rsidRPr="008442D8">
        <w:rPr>
          <w:rFonts w:ascii="Times New Roman" w:hAnsi="Times New Roman" w:cs="Times New Roman"/>
          <w:color w:val="000000"/>
          <w:kern w:val="24"/>
          <w:sz w:val="24"/>
          <w:szCs w:val="24"/>
        </w:rPr>
        <w:t xml:space="preserve"> dlhodobo</w:t>
      </w:r>
      <w:r w:rsidR="00B103F0" w:rsidRPr="008442D8">
        <w:rPr>
          <w:rFonts w:ascii="Times New Roman" w:hAnsi="Times New Roman" w:cs="Times New Roman"/>
          <w:color w:val="000000"/>
          <w:kern w:val="24"/>
          <w:sz w:val="24"/>
          <w:szCs w:val="24"/>
        </w:rPr>
        <w:t xml:space="preserve"> už v minulosti poukazovalo</w:t>
      </w:r>
      <w:r w:rsidRPr="008442D8">
        <w:rPr>
          <w:rFonts w:ascii="Times New Roman" w:hAnsi="Times New Roman" w:cs="Times New Roman"/>
          <w:color w:val="000000"/>
          <w:kern w:val="24"/>
          <w:sz w:val="24"/>
          <w:szCs w:val="24"/>
        </w:rPr>
        <w:t>.</w:t>
      </w:r>
    </w:p>
    <w:p w14:paraId="6271E5E1" w14:textId="4F1A8F93" w:rsidR="008442D8" w:rsidRDefault="008442D8" w:rsidP="008442D8">
      <w:pPr>
        <w:autoSpaceDE w:val="0"/>
        <w:autoSpaceDN w:val="0"/>
        <w:adjustRightInd w:val="0"/>
        <w:spacing w:line="360" w:lineRule="auto"/>
        <w:ind w:firstLine="708"/>
        <w:jc w:val="both"/>
        <w:rPr>
          <w:rFonts w:ascii="Times New Roman" w:hAnsi="Times New Roman" w:cs="Times New Roman"/>
          <w:color w:val="000000"/>
          <w:kern w:val="24"/>
          <w:sz w:val="24"/>
          <w:szCs w:val="24"/>
        </w:rPr>
      </w:pPr>
    </w:p>
    <w:p w14:paraId="4123C4AC" w14:textId="77777777" w:rsidR="00E20DBC" w:rsidRDefault="00E20DBC" w:rsidP="00E20DBC">
      <w:pPr>
        <w:pStyle w:val="Odsekzoznamu"/>
        <w:numPr>
          <w:ilvl w:val="0"/>
          <w:numId w:val="25"/>
        </w:numPr>
        <w:spacing w:before="240" w:after="240" w:line="360" w:lineRule="auto"/>
        <w:ind w:left="0" w:firstLine="0"/>
        <w:jc w:val="both"/>
        <w:rPr>
          <w:rFonts w:eastAsia="Times New Roman"/>
          <w:b/>
          <w:sz w:val="28"/>
          <w:szCs w:val="28"/>
        </w:rPr>
      </w:pPr>
      <w:r w:rsidRPr="008442D8">
        <w:rPr>
          <w:rFonts w:eastAsia="Times New Roman"/>
          <w:b/>
          <w:sz w:val="28"/>
          <w:szCs w:val="28"/>
        </w:rPr>
        <w:t>Riziká súvisiace s neoddlženými záväzkami v predchádzajúcich obdobiach</w:t>
      </w:r>
    </w:p>
    <w:p w14:paraId="143CE03E" w14:textId="77777777" w:rsidR="00E20DBC" w:rsidRPr="008442D8" w:rsidRDefault="00E20DBC" w:rsidP="00E20DBC">
      <w:pPr>
        <w:pStyle w:val="Odsekzoznamu"/>
        <w:spacing w:before="240" w:after="240" w:line="360" w:lineRule="auto"/>
        <w:ind w:left="0"/>
        <w:rPr>
          <w:rFonts w:eastAsia="Times New Roman"/>
          <w:b/>
          <w:sz w:val="28"/>
          <w:szCs w:val="28"/>
        </w:rPr>
      </w:pPr>
    </w:p>
    <w:p w14:paraId="7E735CB9" w14:textId="77777777" w:rsidR="00E20DBC" w:rsidRDefault="00E20DBC" w:rsidP="00E20DBC">
      <w:pPr>
        <w:spacing w:before="240" w:after="240" w:line="360" w:lineRule="auto"/>
        <w:ind w:firstLine="567"/>
        <w:jc w:val="both"/>
        <w:rPr>
          <w:rFonts w:ascii="Times New Roman" w:hAnsi="Times New Roman" w:cs="Times New Roman"/>
          <w:sz w:val="24"/>
          <w:szCs w:val="24"/>
        </w:rPr>
      </w:pPr>
      <w:r>
        <w:rPr>
          <w:rFonts w:ascii="Times New Roman" w:hAnsi="Times New Roman" w:cs="Times New Roman"/>
          <w:sz w:val="24"/>
          <w:szCs w:val="24"/>
        </w:rPr>
        <w:t>Vo všeobecnosti je možné konštatovať, že vzhľadom na skutočnosť, že niektorí veritelia neakceptovali podmienky predchádzajúcich modelov oddlženia, nedošlo k odstráneniu hlavných dôvodov, pre ktoré boli oddlženia v období rokov 2017 až 2022 realizované, pretrvávajú  i naďalej nasledovné skutočnosti:</w:t>
      </w:r>
    </w:p>
    <w:p w14:paraId="2AB919DF" w14:textId="77777777" w:rsidR="00E20DBC" w:rsidRDefault="00E20DBC" w:rsidP="00E20DBC">
      <w:pPr>
        <w:numPr>
          <w:ilvl w:val="0"/>
          <w:numId w:val="33"/>
        </w:numPr>
        <w:spacing w:before="240" w:after="24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V súčasnosti už viac ako 13 nemocníc z celkového počtu hospodári tak, že má predpoklady na vytváranie nových záväzkov po lehote splatnosti a záporného hospodárskeho výsledku.</w:t>
      </w:r>
    </w:p>
    <w:p w14:paraId="1A2252CF" w14:textId="77777777" w:rsidR="00E20DBC" w:rsidRDefault="00E20DBC" w:rsidP="00E20DBC">
      <w:pPr>
        <w:numPr>
          <w:ilvl w:val="0"/>
          <w:numId w:val="33"/>
        </w:numPr>
        <w:spacing w:before="240" w:after="24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Naďalej pretrvávajú nedostatky v aplikácii smernice Európskeho parlamentu a Rady 2011/7/EÚ zo dňa 16. februára 2011 o boji proti oneskoreným platbám v obchodných transakciách pokiaľ ide o uplatnenie predmetnej smernice v otázke úhrad faktúr od zdravotníckych zariadení v prospech dodávateľov.</w:t>
      </w:r>
    </w:p>
    <w:p w14:paraId="31CF9E06" w14:textId="77777777" w:rsidR="00E20DBC" w:rsidRDefault="00E20DBC" w:rsidP="00E20DBC">
      <w:pPr>
        <w:numPr>
          <w:ilvl w:val="0"/>
          <w:numId w:val="33"/>
        </w:numPr>
        <w:spacing w:before="240" w:after="24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Nemocnice, ktorých veriteľom je aj obchodník s pohľadávkami na slovenskom finančnom trhu sú vystavené riziku neprimeraných nákladov na obsluhu dlhu. Veriteľ si úročí svoje pohľadávky ročnou úrokovou sadzbou 9 percent. </w:t>
      </w:r>
    </w:p>
    <w:p w14:paraId="04EE2952" w14:textId="77777777" w:rsidR="00E20DBC" w:rsidRDefault="00E20DBC" w:rsidP="00E20DB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Zároveň sú pohľadávky veriteľov, ktorí sa nezúčastnili procesov oddlženia v rokoch 2017 až 2022 v zmysle vyššie uvedeného:</w:t>
      </w:r>
    </w:p>
    <w:p w14:paraId="3FB3D9CC" w14:textId="77777777" w:rsidR="00E20DBC" w:rsidRDefault="00E20DBC" w:rsidP="00E20DBC">
      <w:pPr>
        <w:numPr>
          <w:ilvl w:val="0"/>
          <w:numId w:val="34"/>
        </w:numPr>
        <w:spacing w:before="240" w:after="240"/>
        <w:ind w:left="1134" w:hanging="567"/>
        <w:jc w:val="both"/>
        <w:rPr>
          <w:rFonts w:ascii="Times New Roman" w:hAnsi="Times New Roman" w:cs="Times New Roman"/>
          <w:sz w:val="24"/>
          <w:szCs w:val="24"/>
          <w:lang w:eastAsia="sk-SK"/>
        </w:rPr>
      </w:pPr>
      <w:r>
        <w:rPr>
          <w:rFonts w:ascii="Times New Roman" w:hAnsi="Times New Roman" w:cs="Times New Roman"/>
          <w:sz w:val="24"/>
          <w:szCs w:val="24"/>
        </w:rPr>
        <w:t>predmetom súdnych konaní a/alebo,</w:t>
      </w:r>
    </w:p>
    <w:p w14:paraId="71B74AFC" w14:textId="77777777" w:rsidR="00E20DBC" w:rsidRDefault="00E20DBC" w:rsidP="00E20DBC">
      <w:pPr>
        <w:numPr>
          <w:ilvl w:val="0"/>
          <w:numId w:val="34"/>
        </w:numPr>
        <w:spacing w:before="240" w:after="240"/>
        <w:ind w:left="1134" w:hanging="567"/>
        <w:jc w:val="both"/>
        <w:rPr>
          <w:rFonts w:ascii="Times New Roman" w:hAnsi="Times New Roman" w:cs="Times New Roman"/>
          <w:sz w:val="24"/>
          <w:szCs w:val="24"/>
          <w:lang w:eastAsia="sk-SK"/>
        </w:rPr>
      </w:pPr>
      <w:r>
        <w:rPr>
          <w:rFonts w:ascii="Times New Roman" w:hAnsi="Times New Roman" w:cs="Times New Roman"/>
          <w:sz w:val="24"/>
          <w:szCs w:val="24"/>
        </w:rPr>
        <w:t>predmetom dohôd o uznaní dlhu zo strany zdravotníckych zariadení, alebo</w:t>
      </w:r>
    </w:p>
    <w:p w14:paraId="1FC4AA9F" w14:textId="77777777" w:rsidR="00E20DBC" w:rsidRDefault="00E20DBC" w:rsidP="00E20DBC">
      <w:pPr>
        <w:numPr>
          <w:ilvl w:val="0"/>
          <w:numId w:val="34"/>
        </w:numPr>
        <w:spacing w:before="240" w:after="240"/>
        <w:ind w:left="1134" w:hanging="567"/>
        <w:jc w:val="both"/>
        <w:rPr>
          <w:rFonts w:ascii="Times New Roman" w:hAnsi="Times New Roman" w:cs="Times New Roman"/>
          <w:sz w:val="24"/>
          <w:szCs w:val="24"/>
          <w:lang w:eastAsia="sk-SK"/>
        </w:rPr>
      </w:pPr>
      <w:r>
        <w:rPr>
          <w:rFonts w:ascii="Times New Roman" w:hAnsi="Times New Roman" w:cs="Times New Roman"/>
          <w:sz w:val="24"/>
          <w:szCs w:val="24"/>
        </w:rPr>
        <w:t>predmetom iných konaní o uznaní dlhu a jeho zaplatení,</w:t>
      </w:r>
    </w:p>
    <w:p w14:paraId="56D26004" w14:textId="77777777" w:rsidR="00E20DBC" w:rsidRDefault="00E20DBC" w:rsidP="00E20DB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dôsledku čoho absentuje spornosť týchto nárokov veriteľov. Z uvedeného dôvodu, preto existuje  dôvodný predpoklad, že tieto nároky veriteľov budú predmetom exekučných konaní, s čím priamo súvisí bezprostredné  ť ohrozenie činnosti zdravotníckych zariadení.  </w:t>
      </w:r>
    </w:p>
    <w:p w14:paraId="5FBA5384" w14:textId="77777777" w:rsidR="00E20DBC" w:rsidRDefault="00E20DBC" w:rsidP="00E20DBC">
      <w:pPr>
        <w:spacing w:before="24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Za účelom zachovania dostupnosti poskytovania zdravotnej starostlivosti a za účelom zabezpečenia ústavného práva občanov na ochranu zdravia v zmysle Článku 40 Ústavy Slovenskej republiky a Článku 31 Listiny základných práv a slobôd, zo strany zdravotníckych zariadení, ktorých činnosť bola ohrozená v dôsledku hroziacich exekučných konaní sa pristúpilo k prijatiu novely zákona č. 578/2004 Z. z, ktorá v ustanovení § 91 ods. 1 a ods. 2 upravila tzv. „exekučnú imunitu“.</w:t>
      </w:r>
    </w:p>
    <w:p w14:paraId="0A22D589" w14:textId="77777777" w:rsidR="00E20DBC" w:rsidRDefault="00E20DBC" w:rsidP="00E20DB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Podľa ustanovenia § 91 ods. 1. a ods. 2 Zákona č. 578/2004 Z. z.:</w:t>
      </w:r>
    </w:p>
    <w:p w14:paraId="75668F6E" w14:textId="77777777" w:rsidR="00E20DBC" w:rsidRDefault="00E20DBC" w:rsidP="00E20DBC">
      <w:pPr>
        <w:spacing w:before="240"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„(1) Z exekúcií podľa osobitného predpisu80) sa za splnenia podmienok uvedených v odseku 2 vylučuje</w:t>
      </w:r>
    </w:p>
    <w:p w14:paraId="7A9964AC" w14:textId="77777777" w:rsidR="00E20DBC" w:rsidRDefault="00E20DBC" w:rsidP="00E20DBC">
      <w:pPr>
        <w:spacing w:before="240"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a) majetok v správe štátnej organizácie, ktorá bola zriadená podľa osobitného predpisu61) na poskytovanie zdravotnej starostlivosti a nebola ku dňu účinnosti tohto zákona prevedená podľa osobitného predpisu,65)</w:t>
      </w:r>
    </w:p>
    <w:p w14:paraId="69B8021C" w14:textId="77777777" w:rsidR="00E20DBC" w:rsidRDefault="00E20DBC" w:rsidP="00E20DBC">
      <w:pPr>
        <w:spacing w:before="240"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b) majetok neziskovej organizácie, ktorá vznikla premenou podľa osobitného predpisu63) zo štátnej organizácie uvedenej v písmene a),</w:t>
      </w:r>
    </w:p>
    <w:p w14:paraId="5335CE1A" w14:textId="77777777" w:rsidR="00E20DBC" w:rsidRDefault="00E20DBC" w:rsidP="00E20DBC">
      <w:pPr>
        <w:spacing w:before="240"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c) majetok obce v správe rozpočtovej organizácie alebo príspevkovej organizácie zriadenej na poskytovanie zdravotnej starostlivosti,</w:t>
      </w:r>
    </w:p>
    <w:p w14:paraId="5230A4CB" w14:textId="77777777" w:rsidR="00E20DBC" w:rsidRDefault="00E20DBC" w:rsidP="00E20DBC">
      <w:pPr>
        <w:spacing w:before="240"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d) majetok samosprávneho kraja v správe rozpočtovej organizácie alebo príspevkovej organizácie zriadenej na poskytovanie zdravotnej starostlivosti,</w:t>
      </w:r>
    </w:p>
    <w:p w14:paraId="2F2EE86C" w14:textId="77777777" w:rsidR="00E20DBC" w:rsidRDefault="00E20DBC" w:rsidP="00E20DBC">
      <w:pPr>
        <w:spacing w:before="240"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e) majetok právnickej osoby, ktorá je poskytovateľom zdravotnej starostlivosti podľa tohto zákona a nevzťahujú sa na ňu písmená a) až d),</w:t>
      </w:r>
    </w:p>
    <w:p w14:paraId="3597478F" w14:textId="77777777" w:rsidR="00E20DBC" w:rsidRDefault="00E20DBC" w:rsidP="00E20DBC">
      <w:pPr>
        <w:spacing w:before="240"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f) finančné prostriedky na účtoch osôb uvedených v písmenách a) až e) a finančné prostriedky, ktoré sú určené pre osoby uvedené v písmenách a) až e) na poskytovanie zdravotnej starostlivosti, služieb súvisiacich s poskytovaním zdravotnej starostlivosti a služieb súvisiacich so zabezpečovaním zdravotnej starostlivosti, na zabezpečenie predmetu činností osôb uvedených v písmenách a) až e).</w:t>
      </w:r>
    </w:p>
    <w:p w14:paraId="07A10801" w14:textId="77777777" w:rsidR="00E20DBC" w:rsidRDefault="00E20DBC" w:rsidP="00E20DBC">
      <w:pPr>
        <w:spacing w:before="240"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(2) Z exekúcií podľa osobitného predpisu80) sa vylučuje majetok a finančné prostriedky podľa odseku 1, ak</w:t>
      </w:r>
    </w:p>
    <w:p w14:paraId="47BCB3AD" w14:textId="77777777" w:rsidR="00E20DBC" w:rsidRDefault="00E20DBC" w:rsidP="00E20DBC">
      <w:pPr>
        <w:spacing w:before="240"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a) ich exekúciou by boli ohrozené práva a povinnosti pacientov vyplývajúce z osobitných predpisov alebo medzinárodných zmlúv, ktorými je Slovenská republika viazaná, a právo podľa čl. 40 Ústavy Slovenskej republiky a čl. 31 Listiny základných práv a slobôd, a</w:t>
      </w:r>
    </w:p>
    <w:p w14:paraId="2D45DF39" w14:textId="77777777" w:rsidR="00E20DBC" w:rsidRDefault="00E20DBC" w:rsidP="00E20DBC">
      <w:pPr>
        <w:spacing w:before="240"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b) ich exekúciou by bolo ohrozené vykonávanie činnosti subjektu hospodárskej mobilizácie alebo by bola ohrozená činnosť prvku kritickej infraštruktúry v oblasti poskytovania zdravotnej starostlivosti.“</w:t>
      </w:r>
    </w:p>
    <w:p w14:paraId="6C914C58" w14:textId="77777777" w:rsidR="00E20DBC" w:rsidRDefault="00E20DBC" w:rsidP="00E20DBC">
      <w:pPr>
        <w:spacing w:before="24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vyššie citovaných zákonných ustanovení vyplýva, že „exekučná imunita“ neznamená úplnú apriórnu nemožnosť exekvovať zdravotnícke zariadenia, keďže exekučnej imunite v zmysle prijatej právnej úpravy nepodliehajú finančné prostriedky a celý majetok štátu, samosprávnych krajov a obcí v správe zdravotníckych zariadení ako aj právnických osôb ako poskytovateľov zdravotnej starostlivosti bez diferencovanej ochrany z titulu rôznej akcionárskej, zriaďovateľskej alebo zakladateľskej štruktúry, a teda rozsah exekučnej imunity podľa platnej právnej úpravy </w:t>
      </w:r>
      <w:r>
        <w:rPr>
          <w:rFonts w:ascii="Times New Roman" w:hAnsi="Times New Roman" w:cs="Times New Roman"/>
          <w:b/>
          <w:bCs/>
          <w:sz w:val="24"/>
          <w:szCs w:val="24"/>
        </w:rPr>
        <w:t>len zužuje možnosť legálneho domáhania sa uspokojenia veriteľovej pohľadávky voči zdravotníckym zariadeniam</w:t>
      </w:r>
      <w:r>
        <w:rPr>
          <w:rFonts w:ascii="Times New Roman" w:hAnsi="Times New Roman" w:cs="Times New Roman"/>
          <w:sz w:val="24"/>
          <w:szCs w:val="24"/>
        </w:rPr>
        <w:t xml:space="preserve">.  </w:t>
      </w:r>
      <w:r>
        <w:rPr>
          <w:rFonts w:ascii="Times New Roman" w:hAnsi="Times New Roman" w:cs="Times New Roman"/>
          <w:b/>
          <w:bCs/>
          <w:sz w:val="24"/>
          <w:szCs w:val="24"/>
        </w:rPr>
        <w:t>Aktuálna právna úprava neposkytuje zdravotníckym zariadeniam absolútnu exekučnú imunitu</w:t>
      </w:r>
      <w:r>
        <w:rPr>
          <w:rFonts w:ascii="Times New Roman" w:hAnsi="Times New Roman" w:cs="Times New Roman"/>
          <w:sz w:val="24"/>
          <w:szCs w:val="24"/>
        </w:rPr>
        <w:t xml:space="preserve">. Exekučná imunita sa podľa platnej právnej úpravy vzťahuje len na majetok a finančné prostriedky zdravotníckych zariadení určené na poskytovanie zdravotnej starostlivosti a služieb súvisiacich s poskytovaním zdravotnej starostlivosti a služieb súvisiacich so zabezpečovaním zdravotnej starostlivosti. </w:t>
      </w:r>
    </w:p>
    <w:p w14:paraId="1D2AC67B" w14:textId="77777777" w:rsidR="00E20DBC" w:rsidRDefault="00E20DBC" w:rsidP="00E20DBC">
      <w:pPr>
        <w:spacing w:before="24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Podľa ustanovenia §  61q ods. 1 zákona Národnej rady Slovenskej republiky č. 233/1995 Z. z. o súdnych exekútoroch a exekučnej činnosti (Exekučný poriadok) a o zmene a doplnení ďalších zákonov v znení neskorších predpisov (ďalej aj ako „Exekučný poriadok“): </w:t>
      </w:r>
      <w:r>
        <w:rPr>
          <w:rFonts w:ascii="Times New Roman" w:hAnsi="Times New Roman" w:cs="Times New Roman"/>
          <w:i/>
          <w:iCs/>
          <w:sz w:val="24"/>
          <w:szCs w:val="24"/>
        </w:rPr>
        <w:t>„Exekúciou nemožno postihnúť majetok alebo práva, ktoré podľa tohto zákona alebo podľa osobitných predpisov nepodliehajú exekúcii alebo sú z exekúcie vylúčené, alebo na ktoré je exekúcia neprípustná“</w:t>
      </w:r>
      <w:r>
        <w:rPr>
          <w:rFonts w:ascii="Times New Roman" w:hAnsi="Times New Roman" w:cs="Times New Roman"/>
          <w:sz w:val="24"/>
          <w:szCs w:val="24"/>
        </w:rPr>
        <w:t>.</w:t>
      </w:r>
    </w:p>
    <w:p w14:paraId="0D0D0F90" w14:textId="77777777" w:rsidR="00E20DBC" w:rsidRDefault="00E20DBC" w:rsidP="00E20DBC">
      <w:pPr>
        <w:spacing w:before="24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Podľa ustanovenia §  61s ods. 1 písm. e) Exekučného poriadku: </w:t>
      </w:r>
      <w:r>
        <w:rPr>
          <w:rFonts w:ascii="Times New Roman" w:hAnsi="Times New Roman" w:cs="Times New Roman"/>
          <w:i/>
          <w:iCs/>
          <w:sz w:val="24"/>
          <w:szCs w:val="24"/>
        </w:rPr>
        <w:t>„Exekúcii nepodlieha iný majetok štátu, o ktorom tak ustanoví osobitný zákon“</w:t>
      </w:r>
      <w:r>
        <w:rPr>
          <w:rFonts w:ascii="Times New Roman" w:hAnsi="Times New Roman" w:cs="Times New Roman"/>
          <w:sz w:val="24"/>
          <w:szCs w:val="24"/>
        </w:rPr>
        <w:t xml:space="preserve"> (v tomto prípade Zákon č. 578/2004 Z. z.).</w:t>
      </w:r>
    </w:p>
    <w:p w14:paraId="491AC79A" w14:textId="77777777" w:rsidR="00E20DBC" w:rsidRDefault="00E20DBC" w:rsidP="00E20DBC">
      <w:pPr>
        <w:spacing w:before="24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Cieľom právnej úpravy zakotvujúcej „exekučnú imunitu“ bolo vytvoriť právny základ pre zachovanie činností zdravotníckych zariadení pri súčasnom zachovávaní majetkových práv veriteľov zdravotníckych zariadení, výsledkom čoho však nie je absolútna ochrana majetku zdravotníckych zariadení, keďže de facto nemôže úplne zabrániť vymoženiu veriteľovej pohľadávky judikovanej platným a vykonateľným exekučným titulom, a to aj jej uspokojením z majetku neslúžiacom bezprostredne na poskytovanie zdravotnej starostlivosti. </w:t>
      </w:r>
    </w:p>
    <w:p w14:paraId="236832F1" w14:textId="77777777" w:rsidR="00E20DBC" w:rsidRDefault="00E20DBC" w:rsidP="00E20DBC">
      <w:pPr>
        <w:spacing w:before="24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Napriek aktuálne platnej a účinnej zákonnej úprave Ministerstvo zdravotníctva SR, na základe informácií a podkladov nemocníc vo svojej v zriaďovateľskej pôsobnosti, identifikovalo prípady, kedy došlo k vykonaniu exekúcie zdravotníckych zariadení formou prikázania inej peňažnej pohľadávky v zmysle ustanovenia § 105 a nasl. Exekučného poriadku, t. j. blokovaním a následnou exekúciou úhrad zdravotných poisťovní zdravotníckym zariadeniam, čím bolo zdravotnícke zariadenie vystavené priamej hrozbe obmedzenia činnosti spočívajúcej v poskytovaní zdravotnej starostlivosti, keďže  platby uhrádzané zdravotníckym zariadeniam zo zdravotných poisťovní slúžia najmä na úhradu osobných nákladov (viď graf č. 1) a vo zvyšnej časti na úhradu energií a iných nákladov spojených s poskytovaním zdravotnej starostlivosti. </w:t>
      </w:r>
    </w:p>
    <w:p w14:paraId="6F7712C7" w14:textId="77777777" w:rsidR="00E20DBC" w:rsidRDefault="00E20DBC" w:rsidP="00E20DBC">
      <w:pPr>
        <w:spacing w:before="24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vyššie uvedeného vyplýva, že v dôsledku exekučného konania môže nastať priame ohrozenie života a zdravia pacienta z dôvodu nemožnosti zabezpečenia základných činností zdravotníckych zariadení zaťažených exekučnými konaniami, kedy majetok zdravotníckych zariadení a finančné prostriedky nevyhnutné na zabezpečenie poskytovania zdravotnej starostlivosti, alebo služieb súvisiacich s poskytovaním zdravotnej starostlivosti by mohli byť poukazované na úhradu pohľadávok vymáhaných v rámci exekučných konaní. Z tohto dôvodu zdravotnícke zariadenia pod hrozbou exekúcie pristupujú k podpísaniu splátkových kalendárov a nevystavujú sa rizikám exekučného konania, v rámci ktorých  by použitie prostriedkov procesnej obrany malo za následok vznik ďalších nákladov , za súčasného predpokladu nevyriešenia svojich záväzkov. Zároveň  je potrebné poukázať, že využitie prostriedkov  súdnej ochrany , ktorá je vzhľadom na dĺžku súdneho procesu neefektívne a problematické aj s ohľadom na vyselektovanie majetku a finančných prostriedkov, ktoré nemôžu byť predmetom exekúcie v zmysle ustanovenia § 91  ods. 1 a ods. 2 Zákona č. 578/2004 Z. z.. Zároveň je dôležité poukázať, že v prípade prikázania pohľadávok, ktoré eviduje zdravotnícke zariadenie voči zdravotným poisťovniam zo strany exekútorov, a  ktoré  pri súčasnom skutkovom stave predstavujú nevyhnutné finančné prostriedky pre </w:t>
      </w:r>
      <w:r>
        <w:rPr>
          <w:rFonts w:ascii="Times New Roman" w:hAnsi="Times New Roman" w:cs="Times New Roman"/>
          <w:sz w:val="24"/>
          <w:szCs w:val="24"/>
        </w:rPr>
        <w:lastRenderedPageBreak/>
        <w:t>zabezpečenie riadneho prevádzkovania zdravotníckeho zariadenia v súlade s podmienkami vydaného povolenia.</w:t>
      </w:r>
    </w:p>
    <w:p w14:paraId="46184438" w14:textId="223207B1" w:rsidR="00E20DBC" w:rsidRDefault="00E20DBC" w:rsidP="00E20DBC">
      <w:pPr>
        <w:spacing w:before="240" w:after="240" w:line="360" w:lineRule="auto"/>
        <w:ind w:firstLine="708"/>
        <w:jc w:val="both"/>
        <w:rPr>
          <w:rFonts w:ascii="Times New Roman" w:eastAsia="Times New Roman" w:hAnsi="Times New Roman" w:cs="Times New Roman"/>
          <w:sz w:val="24"/>
          <w:szCs w:val="24"/>
        </w:rPr>
      </w:pPr>
      <w:r w:rsidRPr="008B3678">
        <w:rPr>
          <w:rFonts w:ascii="Times New Roman" w:eastAsia="Times New Roman" w:hAnsi="Times New Roman" w:cs="Times New Roman"/>
          <w:sz w:val="24"/>
          <w:szCs w:val="24"/>
        </w:rPr>
        <w:t xml:space="preserve"> </w:t>
      </w:r>
      <w:r>
        <w:rPr>
          <w:rFonts w:ascii="Times New Roman" w:hAnsi="Times New Roman" w:cs="Times New Roman"/>
          <w:sz w:val="24"/>
          <w:szCs w:val="24"/>
        </w:rPr>
        <w:t>Ministerstvo zdravotníctva SR eviduje prípady, kedy zdravotnícke zariadenie pristúpilo k uplatneniu zákonných prostriedkov procesnej obrany, konkrétne v prípade podania návrhu na zastavenie exekúcie, v obsahu ktorého sa zdravotnícke zariadenie oprelo o argumentáciu, že jeho majetok ako majetok  poskytovateľa zdravotnej starostlivosti je v zmysle ustanovenia § 91 ods. 1. a ods. 2 Zákona č. 578/2004 Z. z. v spojení s ustanovením §  61s ods. 1 písm. e) Exekučného poriadku je vylúčený z výkonu exekúcie a je určený výlučne len na poskytovanie zdravotnej starostlivosti, v dôsledku čoho je nesporné, že takýto majetok nie je možné postihnúť výkonom rozhodnutia, avšak exekučný súd predmetný návrh na zastavenie exekúcie zamietol. Zamietajúce rozhodnutie exekučný súd argumentoval tým, že z ustanovení právnych predpisov, na ktoré zdravotnícke zariadenie v danom prípade poukazovalo, nevyplýva ochrana konkrétneho subjektu, ktorá by koncipovala absolútnu exekučno-právnu imunitu, ktorá by viedla ex lege k vyňatiu povinného ako pasívne legitimovaného subjektu, čím konštatoval, že na majetok zdravotníckeho zariadenia je naďalej možné vedenie exekúcie, pričom určenie konkrétneho výkonu exekúcie nie je úlohou exekučného súdu, ale povereného súdneho exekútora. V uvedenom prípade súdny exekútor pristúpil k výkonu exekúcie formou prikázania pohľadávky, ktoré eviduje zdravotnícke zariadenie voči zdravotným poisťovniam, a to aj bez náležitého preskúmania či uvedený majetok resp. finančné prostriedky zdravotníckeho zariadenia nie sú vylúčené z výkonu exekúcie v zmysle vyššie uvedených ustanovení. Zdravotnícke zariadenia majú napriek vyššie uvedenému ďalšie zákonné prostriedky procesnej obrany (napr. námietky, excindačná žaloba), avšak vzhľadom na zákonom stanovené lehoty sú takéto prostriedky procesnej obrany neefektívne, keďže pri súčasnej zadlženosti zdravotníckych zariadení nie sú tieto po obmedzení finančného toku schopné zabezpečiť plynulé a plnohodnotné poskytovanie zdravotnej starostlivosti, čím sú následne pod takouto hrozbou namiesto uplatnenia prostriedkov procesnej obrany, nútené pristupovať k uzatváraniu  splátkových kalendárov.</w:t>
      </w:r>
      <w:r w:rsidRPr="008B3678" w:rsidDel="0064045E">
        <w:rPr>
          <w:rFonts w:ascii="Times New Roman" w:eastAsia="Times New Roman" w:hAnsi="Times New Roman" w:cs="Times New Roman"/>
          <w:sz w:val="24"/>
          <w:szCs w:val="24"/>
        </w:rPr>
        <w:t xml:space="preserve"> </w:t>
      </w:r>
    </w:p>
    <w:p w14:paraId="2BFDEFC9" w14:textId="244CF53B" w:rsidR="00E20DBC" w:rsidRDefault="00E20DBC" w:rsidP="00E20DBC">
      <w:pPr>
        <w:spacing w:before="24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základe uvedeného  skutkového a právneho stavu nie je aktuálna právna úprava vzhľadom na súčasnú mieru platobnej disciplíny zdravotníckych zariadení a časovo náročný proces súdnej obrany aplikovateľná do takej miery</w:t>
      </w:r>
      <w:r w:rsidR="00140053">
        <w:rPr>
          <w:rFonts w:ascii="Times New Roman" w:hAnsi="Times New Roman" w:cs="Times New Roman"/>
          <w:sz w:val="24"/>
          <w:szCs w:val="24"/>
        </w:rPr>
        <w:t>,</w:t>
      </w:r>
      <w:r>
        <w:rPr>
          <w:rFonts w:ascii="Times New Roman" w:hAnsi="Times New Roman" w:cs="Times New Roman"/>
          <w:sz w:val="24"/>
          <w:szCs w:val="24"/>
        </w:rPr>
        <w:t xml:space="preserve"> aby nedochádzalo k ohrozeniu poskytovania zdravotnej starostlivosti. Zároveň ako uvádza tento materiál vyššie ani využitie prostriedkov procesnej obrany by nevyriešilo zánik záväzkov zdravotníckych zariadení, ktoré </w:t>
      </w:r>
      <w:r>
        <w:rPr>
          <w:rFonts w:ascii="Times New Roman" w:hAnsi="Times New Roman" w:cs="Times New Roman"/>
          <w:sz w:val="24"/>
          <w:szCs w:val="24"/>
        </w:rPr>
        <w:lastRenderedPageBreak/>
        <w:t>nie sú sporné, kedy absentujú zo strany zdravotníckych zariadení dôvody pre ich ďalšie spochybnenie z dôvodu neoprávnenosti, spornosti a pod. V prípade pohľadávok veriteľov, ktoré sú exekučnými titulmi by preto samotná aplikácia týchto prostriedkov procesnej obrany mala za následok len oddialenie úhrady záväzkov zdravotníckych zariadení po lehote splatnosti.</w:t>
      </w:r>
    </w:p>
    <w:p w14:paraId="47E4CAE2" w14:textId="77777777" w:rsidR="00E20DBC" w:rsidRPr="008442D8" w:rsidRDefault="00E20DBC" w:rsidP="00E20DBC">
      <w:pPr>
        <w:spacing w:before="240" w:after="240" w:line="360" w:lineRule="auto"/>
        <w:ind w:firstLine="708"/>
        <w:jc w:val="both"/>
        <w:rPr>
          <w:rFonts w:ascii="Times New Roman" w:eastAsia="Times New Roman" w:hAnsi="Times New Roman" w:cs="Times New Roman"/>
          <w:b/>
          <w:sz w:val="28"/>
          <w:szCs w:val="28"/>
        </w:rPr>
      </w:pPr>
    </w:p>
    <w:p w14:paraId="2F482A47" w14:textId="77777777" w:rsidR="00E20DBC" w:rsidRPr="001E301A" w:rsidRDefault="00E20DBC" w:rsidP="00E20DBC">
      <w:pPr>
        <w:pStyle w:val="Odsekzoznamu"/>
        <w:numPr>
          <w:ilvl w:val="0"/>
          <w:numId w:val="25"/>
        </w:numPr>
        <w:spacing w:before="240" w:after="240" w:line="360" w:lineRule="auto"/>
        <w:ind w:left="142" w:hanging="142"/>
        <w:rPr>
          <w:b/>
          <w:sz w:val="28"/>
          <w:szCs w:val="28"/>
        </w:rPr>
      </w:pPr>
      <w:r w:rsidRPr="008442D8">
        <w:rPr>
          <w:rFonts w:eastAsia="Times New Roman"/>
          <w:b/>
          <w:sz w:val="28"/>
          <w:szCs w:val="28"/>
        </w:rPr>
        <w:t xml:space="preserve">Proces následnej finančnej stabilizácie zdravotníckych zariadení </w:t>
      </w:r>
    </w:p>
    <w:p w14:paraId="7E8AA807" w14:textId="77777777" w:rsidR="00E20DBC" w:rsidRPr="008442D8" w:rsidRDefault="00E20DBC" w:rsidP="00E20DBC">
      <w:pPr>
        <w:pStyle w:val="Odsekzoznamu"/>
        <w:spacing w:before="240" w:after="240" w:line="360" w:lineRule="auto"/>
        <w:ind w:left="142"/>
        <w:rPr>
          <w:b/>
          <w:sz w:val="28"/>
          <w:szCs w:val="28"/>
        </w:rPr>
      </w:pPr>
    </w:p>
    <w:p w14:paraId="285D0443" w14:textId="77777777" w:rsidR="00E20DBC" w:rsidRPr="00C11A51" w:rsidRDefault="00E20DBC" w:rsidP="00E20DBC">
      <w:pPr>
        <w:numPr>
          <w:ilvl w:val="0"/>
          <w:numId w:val="11"/>
        </w:numPr>
        <w:spacing w:before="240" w:after="240" w:line="360" w:lineRule="auto"/>
        <w:ind w:left="284" w:hanging="284"/>
        <w:jc w:val="both"/>
        <w:rPr>
          <w:rFonts w:ascii="Times New Roman" w:eastAsia="Times New Roman" w:hAnsi="Times New Roman" w:cs="Times New Roman"/>
          <w:sz w:val="24"/>
          <w:szCs w:val="24"/>
        </w:rPr>
      </w:pPr>
      <w:r w:rsidRPr="009B0095">
        <w:rPr>
          <w:rFonts w:ascii="Times New Roman" w:eastAsia="Times New Roman" w:hAnsi="Times New Roman" w:cs="Times New Roman"/>
          <w:sz w:val="24"/>
          <w:szCs w:val="24"/>
        </w:rPr>
        <w:t xml:space="preserve">Za účelom eliminácie rizika ohrozenia činnosti zdravotníckych zariadení, v dôsledku veriteľmi uplatnených oprávnených nárokov bez možností aktívnej procesnej obrany v rámci </w:t>
      </w:r>
      <w:r w:rsidRPr="009312A4">
        <w:rPr>
          <w:rFonts w:ascii="Times New Roman" w:eastAsia="Times New Roman" w:hAnsi="Times New Roman" w:cs="Times New Roman"/>
          <w:sz w:val="24"/>
          <w:szCs w:val="24"/>
        </w:rPr>
        <w:t>súdnych konaní, alebo v rámci exekučných konaní, navrhuje</w:t>
      </w:r>
      <w:r w:rsidRPr="00C11A51">
        <w:rPr>
          <w:rFonts w:ascii="Times New Roman" w:eastAsia="Times New Roman" w:hAnsi="Times New Roman" w:cs="Times New Roman"/>
          <w:sz w:val="24"/>
          <w:szCs w:val="24"/>
        </w:rPr>
        <w:t xml:space="preserve"> rezort zdravotníctva zaplatenie </w:t>
      </w:r>
      <w:r w:rsidRPr="009B0095">
        <w:rPr>
          <w:rFonts w:ascii="Times New Roman" w:eastAsia="Times New Roman" w:hAnsi="Times New Roman" w:cs="Times New Roman"/>
          <w:sz w:val="24"/>
          <w:szCs w:val="24"/>
        </w:rPr>
        <w:t>záväzkov zdravotníckych zariadení</w:t>
      </w:r>
      <w:r>
        <w:rPr>
          <w:rFonts w:ascii="Times New Roman" w:eastAsia="Times New Roman" w:hAnsi="Times New Roman" w:cs="Times New Roman"/>
          <w:sz w:val="24"/>
          <w:szCs w:val="24"/>
        </w:rPr>
        <w:t>, ktoré v blízkej budúcnosti môžu generovať ďalšie významné výdavky zdravotníckych zariadení v súvislosti s konaniami veriteľov,</w:t>
      </w:r>
      <w:r w:rsidRPr="009B0095">
        <w:rPr>
          <w:rFonts w:ascii="Times New Roman" w:eastAsia="Times New Roman" w:hAnsi="Times New Roman" w:cs="Times New Roman"/>
          <w:sz w:val="24"/>
          <w:szCs w:val="24"/>
        </w:rPr>
        <w:t xml:space="preserve"> v zmysle  návrhu následnej finančnej stabilizácie</w:t>
      </w:r>
      <w:r w:rsidRPr="009312A4">
        <w:rPr>
          <w:rFonts w:ascii="Times New Roman" w:eastAsia="Times New Roman" w:hAnsi="Times New Roman" w:cs="Times New Roman"/>
          <w:sz w:val="24"/>
          <w:szCs w:val="24"/>
        </w:rPr>
        <w:t>.</w:t>
      </w:r>
    </w:p>
    <w:p w14:paraId="13795197" w14:textId="30239B17" w:rsidR="00E20DBC" w:rsidRPr="008442D8" w:rsidRDefault="00E20DBC" w:rsidP="00E20DBC">
      <w:pPr>
        <w:numPr>
          <w:ilvl w:val="0"/>
          <w:numId w:val="11"/>
        </w:numPr>
        <w:spacing w:before="240" w:after="240" w:line="360" w:lineRule="auto"/>
        <w:ind w:left="284" w:hanging="284"/>
        <w:jc w:val="both"/>
        <w:rPr>
          <w:rFonts w:ascii="Times New Roman" w:eastAsia="Times New Roman" w:hAnsi="Times New Roman" w:cs="Times New Roman"/>
          <w:sz w:val="24"/>
          <w:szCs w:val="24"/>
        </w:rPr>
      </w:pPr>
      <w:r w:rsidRPr="00C11A51">
        <w:rPr>
          <w:rFonts w:ascii="Times New Roman" w:eastAsia="Times New Roman" w:hAnsi="Times New Roman" w:cs="Times New Roman"/>
          <w:sz w:val="24"/>
          <w:szCs w:val="24"/>
        </w:rPr>
        <w:t xml:space="preserve">Ministerstvo zdravotníctva SR v tejto súvislosti </w:t>
      </w:r>
      <w:r>
        <w:rPr>
          <w:rFonts w:ascii="Times New Roman" w:eastAsia="Times New Roman" w:hAnsi="Times New Roman" w:cs="Times New Roman"/>
          <w:sz w:val="24"/>
          <w:szCs w:val="24"/>
        </w:rPr>
        <w:t xml:space="preserve">navrhuje  úhradu </w:t>
      </w:r>
      <w:r w:rsidRPr="00C11A51">
        <w:rPr>
          <w:rFonts w:ascii="Times New Roman" w:eastAsia="Times New Roman" w:hAnsi="Times New Roman" w:cs="Times New Roman"/>
          <w:sz w:val="24"/>
          <w:szCs w:val="24"/>
        </w:rPr>
        <w:t xml:space="preserve"> </w:t>
      </w:r>
      <w:r w:rsidRPr="009B0095">
        <w:rPr>
          <w:rFonts w:ascii="Times New Roman" w:eastAsia="Times New Roman" w:hAnsi="Times New Roman" w:cs="Times New Roman"/>
          <w:sz w:val="24"/>
          <w:szCs w:val="24"/>
        </w:rPr>
        <w:t>záväzkov</w:t>
      </w:r>
      <w:r>
        <w:rPr>
          <w:rFonts w:ascii="Times New Roman" w:eastAsia="Times New Roman" w:hAnsi="Times New Roman" w:cs="Times New Roman"/>
          <w:sz w:val="24"/>
          <w:szCs w:val="24"/>
        </w:rPr>
        <w:t xml:space="preserve"> špecifikovaných v predkladanom materiáli zo zdrojov štátnych finančných aktív do výšky </w:t>
      </w:r>
      <w:r w:rsidR="00140053" w:rsidRPr="00140053">
        <w:rPr>
          <w:rFonts w:ascii="Times New Roman" w:hAnsi="Times New Roman" w:cs="Times New Roman"/>
          <w:sz w:val="24"/>
          <w:szCs w:val="24"/>
        </w:rPr>
        <w:t>258 165 909,84 eur</w:t>
      </w:r>
      <w:r>
        <w:rPr>
          <w:rFonts w:ascii="Times New Roman" w:eastAsia="Times New Roman" w:hAnsi="Times New Roman" w:cs="Times New Roman"/>
          <w:sz w:val="24"/>
          <w:szCs w:val="24"/>
        </w:rPr>
        <w:t>.</w:t>
      </w:r>
    </w:p>
    <w:p w14:paraId="303BB9C4" w14:textId="77777777" w:rsidR="00E20DBC" w:rsidRDefault="00E20DBC" w:rsidP="00E20DBC">
      <w:pPr>
        <w:numPr>
          <w:ilvl w:val="0"/>
          <w:numId w:val="11"/>
        </w:numPr>
        <w:spacing w:before="240" w:after="240" w:line="360" w:lineRule="auto"/>
        <w:ind w:left="284" w:hanging="284"/>
        <w:jc w:val="both"/>
        <w:rPr>
          <w:rFonts w:ascii="Times New Roman" w:eastAsia="Times New Roman" w:hAnsi="Times New Roman" w:cs="Times New Roman"/>
          <w:sz w:val="24"/>
          <w:szCs w:val="24"/>
        </w:rPr>
      </w:pPr>
      <w:r w:rsidRPr="009B0095">
        <w:rPr>
          <w:rFonts w:ascii="Times New Roman" w:eastAsia="Times New Roman" w:hAnsi="Times New Roman" w:cs="Times New Roman"/>
          <w:sz w:val="24"/>
          <w:szCs w:val="24"/>
        </w:rPr>
        <w:t>Ministerstvo zdravotníctva SR z dôvodov uvedených v tomto materiál</w:t>
      </w:r>
      <w:r>
        <w:rPr>
          <w:rFonts w:ascii="Times New Roman" w:eastAsia="Times New Roman" w:hAnsi="Times New Roman" w:cs="Times New Roman"/>
          <w:sz w:val="24"/>
          <w:szCs w:val="24"/>
        </w:rPr>
        <w:t>i</w:t>
      </w:r>
      <w:r w:rsidRPr="009B0095">
        <w:rPr>
          <w:rFonts w:ascii="Times New Roman" w:eastAsia="Times New Roman" w:hAnsi="Times New Roman" w:cs="Times New Roman"/>
          <w:sz w:val="24"/>
          <w:szCs w:val="24"/>
        </w:rPr>
        <w:t xml:space="preserve"> pristúpilo k vytvoreniu návrhu následnej finančnej stab</w:t>
      </w:r>
      <w:r w:rsidRPr="009312A4">
        <w:rPr>
          <w:rFonts w:ascii="Times New Roman" w:eastAsia="Times New Roman" w:hAnsi="Times New Roman" w:cs="Times New Roman"/>
          <w:sz w:val="24"/>
          <w:szCs w:val="24"/>
        </w:rPr>
        <w:t>ilizácie zdravotníckych zariadení</w:t>
      </w:r>
      <w:r w:rsidRPr="00C11A51">
        <w:rPr>
          <w:rFonts w:ascii="Times New Roman" w:eastAsia="Times New Roman" w:hAnsi="Times New Roman" w:cs="Times New Roman"/>
          <w:sz w:val="24"/>
          <w:szCs w:val="24"/>
        </w:rPr>
        <w:t xml:space="preserve">, v rámci ktorého budú pohľadávky veriteľov uspokojené </w:t>
      </w:r>
      <w:r>
        <w:rPr>
          <w:rFonts w:ascii="Times New Roman" w:eastAsia="Times New Roman" w:hAnsi="Times New Roman" w:cs="Times New Roman"/>
          <w:sz w:val="24"/>
          <w:szCs w:val="24"/>
        </w:rPr>
        <w:t>so zreteľom na vek a riziko pohľadávky</w:t>
      </w:r>
      <w:r w:rsidRPr="00C11A51">
        <w:rPr>
          <w:rFonts w:ascii="Times New Roman" w:eastAsia="Times New Roman" w:hAnsi="Times New Roman" w:cs="Times New Roman"/>
          <w:sz w:val="24"/>
          <w:szCs w:val="24"/>
        </w:rPr>
        <w:t xml:space="preserve">. Možnosť zapojiť sa do uvedeného mechanizmu za podmienok definovaných v tomto materiáli budú mať </w:t>
      </w:r>
      <w:r>
        <w:rPr>
          <w:rFonts w:ascii="Times New Roman" w:eastAsia="Times New Roman" w:hAnsi="Times New Roman" w:cs="Times New Roman"/>
          <w:sz w:val="24"/>
          <w:szCs w:val="24"/>
        </w:rPr>
        <w:t>zdravotnícke zariadenia</w:t>
      </w:r>
      <w:r w:rsidRPr="00C11A51">
        <w:rPr>
          <w:rFonts w:ascii="Times New Roman" w:eastAsia="Times New Roman" w:hAnsi="Times New Roman" w:cs="Times New Roman"/>
          <w:sz w:val="24"/>
          <w:szCs w:val="24"/>
        </w:rPr>
        <w:t xml:space="preserve"> pôsobia</w:t>
      </w:r>
      <w:r w:rsidRPr="00C101AD">
        <w:rPr>
          <w:rFonts w:ascii="Times New Roman" w:eastAsia="Times New Roman" w:hAnsi="Times New Roman" w:cs="Times New Roman"/>
          <w:sz w:val="24"/>
          <w:szCs w:val="24"/>
        </w:rPr>
        <w:t>ce v Slovenskej republike bez ohľadu na ich právnu formu, či vlastníctvo</w:t>
      </w:r>
      <w:r w:rsidRPr="009B0095">
        <w:rPr>
          <w:rFonts w:ascii="Times New Roman" w:eastAsia="Times New Roman" w:hAnsi="Times New Roman" w:cs="Times New Roman"/>
          <w:sz w:val="24"/>
          <w:szCs w:val="24"/>
        </w:rPr>
        <w:t>.</w:t>
      </w:r>
    </w:p>
    <w:p w14:paraId="7E52589C" w14:textId="20DE6887" w:rsidR="00E20DBC" w:rsidRPr="009B0095" w:rsidRDefault="00E20DBC" w:rsidP="00E20DBC">
      <w:pPr>
        <w:numPr>
          <w:ilvl w:val="0"/>
          <w:numId w:val="11"/>
        </w:numPr>
        <w:spacing w:before="240" w:after="24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Oddlženie v zmysle  </w:t>
      </w:r>
      <w:r w:rsidRPr="009B0095">
        <w:rPr>
          <w:rFonts w:ascii="Times New Roman" w:eastAsia="Times New Roman" w:hAnsi="Times New Roman" w:cs="Times New Roman"/>
          <w:sz w:val="24"/>
          <w:szCs w:val="24"/>
        </w:rPr>
        <w:t xml:space="preserve">návrhu následnej finančnej stabilizácie </w:t>
      </w:r>
      <w:r>
        <w:rPr>
          <w:rFonts w:ascii="Times New Roman" w:eastAsia="Times New Roman" w:hAnsi="Times New Roman" w:cs="Times New Roman"/>
          <w:sz w:val="24"/>
          <w:szCs w:val="24"/>
        </w:rPr>
        <w:t xml:space="preserve">bude realizované v jednej etape prebiehajúcej najdlhšie </w:t>
      </w:r>
      <w:r w:rsidRPr="001E301A">
        <w:rPr>
          <w:rFonts w:ascii="Times New Roman" w:eastAsia="Times New Roman" w:hAnsi="Times New Roman" w:cs="Times New Roman"/>
          <w:b/>
          <w:sz w:val="24"/>
          <w:szCs w:val="24"/>
        </w:rPr>
        <w:t xml:space="preserve">do </w:t>
      </w:r>
      <w:r>
        <w:rPr>
          <w:rFonts w:ascii="Times New Roman" w:eastAsia="Times New Roman" w:hAnsi="Times New Roman" w:cs="Times New Roman"/>
          <w:b/>
          <w:sz w:val="24"/>
          <w:szCs w:val="24"/>
        </w:rPr>
        <w:t>31.12</w:t>
      </w:r>
      <w:r w:rsidRPr="001E301A">
        <w:rPr>
          <w:rFonts w:ascii="Times New Roman" w:eastAsia="Times New Roman" w:hAnsi="Times New Roman" w:cs="Times New Roman"/>
          <w:b/>
          <w:sz w:val="24"/>
          <w:szCs w:val="24"/>
        </w:rPr>
        <w:t>.202</w:t>
      </w:r>
      <w:r w:rsidR="00140053">
        <w:rPr>
          <w:rFonts w:ascii="Times New Roman" w:eastAsia="Times New Roman" w:hAnsi="Times New Roman" w:cs="Times New Roman"/>
          <w:b/>
          <w:sz w:val="24"/>
          <w:szCs w:val="24"/>
        </w:rPr>
        <w:t>4</w:t>
      </w:r>
      <w:r>
        <w:rPr>
          <w:rFonts w:ascii="Times New Roman" w:eastAsia="Times New Roman" w:hAnsi="Times New Roman" w:cs="Times New Roman"/>
          <w:sz w:val="24"/>
          <w:szCs w:val="24"/>
        </w:rPr>
        <w:t>.</w:t>
      </w:r>
    </w:p>
    <w:p w14:paraId="381E52A8" w14:textId="77777777" w:rsidR="00E20DBC" w:rsidRPr="009312A4" w:rsidRDefault="00E20DBC" w:rsidP="00E20DBC">
      <w:pPr>
        <w:numPr>
          <w:ilvl w:val="0"/>
          <w:numId w:val="11"/>
        </w:numPr>
        <w:spacing w:before="240" w:after="240" w:line="360" w:lineRule="auto"/>
        <w:ind w:left="284" w:hanging="284"/>
        <w:jc w:val="both"/>
        <w:rPr>
          <w:rFonts w:ascii="Times New Roman" w:eastAsia="Times New Roman" w:hAnsi="Times New Roman" w:cs="Times New Roman"/>
          <w:sz w:val="24"/>
          <w:szCs w:val="24"/>
        </w:rPr>
      </w:pPr>
      <w:r w:rsidRPr="009B0095">
        <w:rPr>
          <w:rFonts w:ascii="Times New Roman" w:eastAsia="Times New Roman" w:hAnsi="Times New Roman" w:cs="Times New Roman"/>
          <w:sz w:val="24"/>
          <w:szCs w:val="24"/>
        </w:rPr>
        <w:t>V rozsahu v akom nebude pohľadávka veriteľa uspokojená, práva veriteľa z titulu vlastníctva pohľadávky voči nemocnici nezanikajú a ostávajú nezmenené aj so všetkými právnymi nárokmi.</w:t>
      </w:r>
    </w:p>
    <w:p w14:paraId="7E55C5C7" w14:textId="1041A592" w:rsidR="00E20DBC" w:rsidRPr="00107B60" w:rsidRDefault="00E20DBC" w:rsidP="00E20DBC">
      <w:pPr>
        <w:spacing w:before="240" w:after="240" w:line="360" w:lineRule="auto"/>
        <w:jc w:val="both"/>
        <w:rPr>
          <w:rFonts w:ascii="Times New Roman" w:eastAsia="Times New Roman" w:hAnsi="Times New Roman" w:cs="Times New Roman"/>
          <w:sz w:val="24"/>
          <w:szCs w:val="24"/>
        </w:rPr>
      </w:pPr>
      <w:r w:rsidRPr="009312A4">
        <w:rPr>
          <w:rFonts w:ascii="Times New Roman" w:eastAsia="Times New Roman" w:hAnsi="Times New Roman" w:cs="Times New Roman"/>
          <w:sz w:val="24"/>
          <w:szCs w:val="24"/>
        </w:rPr>
        <w:lastRenderedPageBreak/>
        <w:t xml:space="preserve">Zdravotníckymi zariadeniami sa pre </w:t>
      </w:r>
      <w:r w:rsidRPr="00C11A51">
        <w:rPr>
          <w:rFonts w:ascii="Times New Roman" w:eastAsia="Times New Roman" w:hAnsi="Times New Roman" w:cs="Times New Roman"/>
          <w:sz w:val="24"/>
          <w:szCs w:val="24"/>
        </w:rPr>
        <w:t xml:space="preserve">účely </w:t>
      </w:r>
      <w:r>
        <w:rPr>
          <w:rFonts w:ascii="Times New Roman" w:eastAsia="Times New Roman" w:hAnsi="Times New Roman" w:cs="Times New Roman"/>
          <w:sz w:val="24"/>
          <w:szCs w:val="24"/>
        </w:rPr>
        <w:t>n</w:t>
      </w:r>
      <w:r w:rsidRPr="00C11A51">
        <w:rPr>
          <w:rFonts w:ascii="Times New Roman" w:eastAsia="Times New Roman" w:hAnsi="Times New Roman" w:cs="Times New Roman"/>
          <w:sz w:val="24"/>
          <w:szCs w:val="24"/>
        </w:rPr>
        <w:t xml:space="preserve">áslednej finančnej stabilizácie zdravotníckych zariadení </w:t>
      </w:r>
      <w:r w:rsidRPr="00107B60">
        <w:rPr>
          <w:rFonts w:ascii="Times New Roman" w:eastAsia="Times New Roman" w:hAnsi="Times New Roman" w:cs="Times New Roman"/>
          <w:sz w:val="24"/>
          <w:szCs w:val="24"/>
        </w:rPr>
        <w:t xml:space="preserve">rozumejú: </w:t>
      </w:r>
    </w:p>
    <w:p w14:paraId="3B915FD3" w14:textId="77777777" w:rsidR="00E20DBC" w:rsidRPr="00124DAA" w:rsidRDefault="00E20DBC" w:rsidP="00E20DBC">
      <w:pPr>
        <w:numPr>
          <w:ilvl w:val="0"/>
          <w:numId w:val="16"/>
        </w:numPr>
        <w:spacing w:before="240" w:after="240" w:line="360" w:lineRule="auto"/>
        <w:ind w:left="1134" w:hanging="567"/>
        <w:jc w:val="both"/>
        <w:rPr>
          <w:rFonts w:ascii="Times New Roman" w:eastAsia="Times New Roman" w:hAnsi="Times New Roman" w:cs="Times New Roman"/>
          <w:sz w:val="24"/>
          <w:szCs w:val="24"/>
        </w:rPr>
      </w:pPr>
      <w:r w:rsidRPr="00C101AD">
        <w:rPr>
          <w:rFonts w:ascii="Times New Roman" w:eastAsia="Times New Roman" w:hAnsi="Times New Roman" w:cs="Times New Roman"/>
          <w:sz w:val="24"/>
          <w:szCs w:val="24"/>
        </w:rPr>
        <w:t>všeobecné nemocnice, ktorým podľa § 11 zákona č. 578/2004 Z. z. vydal povolenie na prevádzkovanie samosprávny kraj v rámci preneseného výkonu štátnej správy alebo</w:t>
      </w:r>
      <w:r w:rsidRPr="00124DAA">
        <w:rPr>
          <w:rFonts w:ascii="Times New Roman" w:eastAsia="Times New Roman" w:hAnsi="Times New Roman" w:cs="Times New Roman"/>
          <w:sz w:val="24"/>
          <w:szCs w:val="24"/>
        </w:rPr>
        <w:t>,</w:t>
      </w:r>
    </w:p>
    <w:p w14:paraId="5315F74B" w14:textId="77777777" w:rsidR="00E20DBC" w:rsidRPr="00124DAA" w:rsidRDefault="00E20DBC" w:rsidP="00E20DBC">
      <w:pPr>
        <w:numPr>
          <w:ilvl w:val="0"/>
          <w:numId w:val="16"/>
        </w:numPr>
        <w:spacing w:before="240" w:after="240" w:line="360" w:lineRule="auto"/>
        <w:ind w:left="1134" w:hanging="567"/>
        <w:jc w:val="both"/>
        <w:rPr>
          <w:rFonts w:ascii="Times New Roman" w:eastAsia="Times New Roman" w:hAnsi="Times New Roman" w:cs="Times New Roman"/>
          <w:sz w:val="24"/>
          <w:szCs w:val="24"/>
        </w:rPr>
      </w:pPr>
      <w:r w:rsidRPr="00124DAA">
        <w:rPr>
          <w:rFonts w:ascii="Times New Roman" w:eastAsia="Times New Roman" w:hAnsi="Times New Roman" w:cs="Times New Roman"/>
          <w:sz w:val="24"/>
          <w:szCs w:val="24"/>
        </w:rPr>
        <w:t xml:space="preserve">špecializované nemocnice, ktorým podľa </w:t>
      </w:r>
      <w:r>
        <w:rPr>
          <w:rFonts w:ascii="Times New Roman" w:eastAsia="Times New Roman" w:hAnsi="Times New Roman" w:cs="Times New Roman"/>
          <w:sz w:val="24"/>
          <w:szCs w:val="24"/>
        </w:rPr>
        <w:t>§ 11 zákona č. 578/2004 Z. z.</w:t>
      </w:r>
      <w:r w:rsidRPr="00124DAA">
        <w:rPr>
          <w:rFonts w:ascii="Times New Roman" w:eastAsia="Times New Roman" w:hAnsi="Times New Roman" w:cs="Times New Roman"/>
          <w:sz w:val="24"/>
          <w:szCs w:val="24"/>
        </w:rPr>
        <w:t xml:space="preserve"> vydalo povolenie na prevádzkovanie </w:t>
      </w:r>
      <w:r w:rsidRPr="00124DAA">
        <w:rPr>
          <w:rFonts w:ascii="Times New Roman" w:eastAsia="Times New Roman" w:hAnsi="Times New Roman" w:cs="Times New Roman"/>
          <w:iCs/>
          <w:sz w:val="24"/>
          <w:szCs w:val="24"/>
          <w:lang w:eastAsia="sk-SK"/>
        </w:rPr>
        <w:t>Ministerstvo zdravotníctva SR,</w:t>
      </w:r>
    </w:p>
    <w:p w14:paraId="0CBCE9B1" w14:textId="77777777" w:rsidR="00E20DBC" w:rsidRPr="008442D8" w:rsidRDefault="00E20DBC" w:rsidP="00E20DBC">
      <w:pPr>
        <w:numPr>
          <w:ilvl w:val="0"/>
          <w:numId w:val="16"/>
        </w:numPr>
        <w:spacing w:before="240" w:after="240" w:line="360" w:lineRule="auto"/>
        <w:ind w:left="1134" w:hanging="567"/>
        <w:jc w:val="both"/>
        <w:rPr>
          <w:rFonts w:ascii="Times New Roman" w:eastAsia="Times New Roman" w:hAnsi="Times New Roman" w:cs="Times New Roman"/>
          <w:sz w:val="24"/>
          <w:szCs w:val="24"/>
        </w:rPr>
      </w:pPr>
      <w:r w:rsidRPr="008442D8">
        <w:rPr>
          <w:rFonts w:ascii="Times New Roman" w:eastAsia="Times New Roman" w:hAnsi="Times New Roman" w:cs="Times New Roman"/>
          <w:sz w:val="24"/>
          <w:szCs w:val="24"/>
        </w:rPr>
        <w:t>Národná transfúzna služba SR.</w:t>
      </w:r>
    </w:p>
    <w:p w14:paraId="465DDEED" w14:textId="77777777" w:rsidR="00E20DBC" w:rsidRPr="009B0095" w:rsidRDefault="00E20DBC" w:rsidP="00E20DBC">
      <w:pPr>
        <w:spacing w:before="240" w:after="240" w:line="360" w:lineRule="auto"/>
        <w:ind w:firstLine="567"/>
        <w:jc w:val="both"/>
        <w:rPr>
          <w:rFonts w:ascii="Times New Roman" w:hAnsi="Times New Roman" w:cs="Times New Roman"/>
          <w:sz w:val="24"/>
          <w:szCs w:val="24"/>
        </w:rPr>
      </w:pPr>
      <w:r w:rsidRPr="008442D8">
        <w:rPr>
          <w:rFonts w:ascii="Times New Roman" w:hAnsi="Times New Roman" w:cs="Times New Roman"/>
          <w:sz w:val="24"/>
          <w:szCs w:val="24"/>
        </w:rPr>
        <w:t xml:space="preserve">Podľa vyhlášky Ministerstva zdravotníctva </w:t>
      </w:r>
      <w:r>
        <w:rPr>
          <w:rFonts w:ascii="Times New Roman" w:hAnsi="Times New Roman" w:cs="Times New Roman"/>
          <w:sz w:val="24"/>
          <w:szCs w:val="24"/>
        </w:rPr>
        <w:t xml:space="preserve">SR </w:t>
      </w:r>
      <w:r w:rsidRPr="008442D8">
        <w:rPr>
          <w:rFonts w:ascii="Times New Roman" w:hAnsi="Times New Roman" w:cs="Times New Roman"/>
          <w:sz w:val="24"/>
          <w:szCs w:val="24"/>
        </w:rPr>
        <w:t xml:space="preserve">č. 84/2016 Z. z., ktorou sa ustanovujú určujúce znaky jednotlivých druhov zdravotníckych zariadení </w:t>
      </w:r>
      <w:r>
        <w:rPr>
          <w:rFonts w:ascii="Times New Roman" w:hAnsi="Times New Roman" w:cs="Times New Roman"/>
          <w:sz w:val="24"/>
          <w:szCs w:val="24"/>
        </w:rPr>
        <w:t xml:space="preserve">v znení neskorších predpisov </w:t>
      </w:r>
      <w:r w:rsidRPr="008442D8">
        <w:rPr>
          <w:rFonts w:ascii="Times New Roman" w:hAnsi="Times New Roman" w:cs="Times New Roman"/>
          <w:sz w:val="24"/>
          <w:szCs w:val="24"/>
        </w:rPr>
        <w:t>sa pod pojmom nemocnica rozumie zdravotnícke zariadenie ústavnej zdravotnej starostlivosti určené na poskytovanie zdravotnej starostlivosti osobe, ktorej zdravotný stav vyžaduje nepretržité poskytovanie zdravotnej starostlivosti spojené s predpokladaným pobytom na lôžku v zdravotníckom zariadení presahujúcim 24 hodín. V nemocnici sa spravidla prevádzkuje aj ambulantné zdravotnícke zariadenie a nemocničná lekáreň</w:t>
      </w:r>
    </w:p>
    <w:p w14:paraId="1A3E09B5" w14:textId="77777777" w:rsidR="00E20DBC" w:rsidRPr="008442D8" w:rsidRDefault="00E20DBC" w:rsidP="00E20DBC">
      <w:pPr>
        <w:spacing w:before="240" w:after="240" w:line="360" w:lineRule="auto"/>
        <w:ind w:firstLine="567"/>
        <w:jc w:val="both"/>
        <w:rPr>
          <w:rFonts w:ascii="Times New Roman" w:hAnsi="Times New Roman" w:cs="Times New Roman"/>
          <w:sz w:val="24"/>
          <w:szCs w:val="24"/>
        </w:rPr>
      </w:pPr>
      <w:r w:rsidRPr="008442D8">
        <w:rPr>
          <w:rFonts w:ascii="Times New Roman" w:hAnsi="Times New Roman" w:cs="Times New Roman"/>
          <w:sz w:val="24"/>
          <w:szCs w:val="24"/>
        </w:rPr>
        <w:t>Všeobecná nemocnica je určená na poskytovanie ústavnej zdravotnej starostlivosti v rôznych špecializačných odboroch</w:t>
      </w:r>
    </w:p>
    <w:p w14:paraId="590735E6" w14:textId="77777777" w:rsidR="00E20DBC" w:rsidRPr="008442D8" w:rsidRDefault="00E20DBC" w:rsidP="00735E5A">
      <w:pPr>
        <w:spacing w:before="240" w:after="240" w:line="360" w:lineRule="auto"/>
        <w:ind w:firstLine="567"/>
        <w:jc w:val="both"/>
        <w:rPr>
          <w:rFonts w:ascii="Times New Roman" w:hAnsi="Times New Roman" w:cs="Times New Roman"/>
        </w:rPr>
      </w:pPr>
      <w:r w:rsidRPr="008442D8">
        <w:rPr>
          <w:rFonts w:ascii="Times New Roman" w:hAnsi="Times New Roman" w:cs="Times New Roman"/>
          <w:sz w:val="24"/>
          <w:szCs w:val="24"/>
        </w:rPr>
        <w:t>Špecializovaná nemocnica je určená na poskytovanie ústavnej zdravotnej starostlivosti prevažne v jednom špecializačnom odbore alebo aj v špecializačných odboroch s ním súvisiacich.</w:t>
      </w:r>
    </w:p>
    <w:p w14:paraId="04ABADE5" w14:textId="77777777" w:rsidR="00E20DBC" w:rsidRPr="009B0095" w:rsidRDefault="00E20DBC" w:rsidP="00E20DBC">
      <w:pPr>
        <w:spacing w:before="240" w:after="240" w:line="360" w:lineRule="auto"/>
        <w:jc w:val="both"/>
        <w:rPr>
          <w:rFonts w:ascii="Times New Roman" w:eastAsia="Times New Roman" w:hAnsi="Times New Roman" w:cs="Times New Roman"/>
          <w:sz w:val="24"/>
          <w:szCs w:val="24"/>
        </w:rPr>
      </w:pPr>
    </w:p>
    <w:p w14:paraId="493AEEE7" w14:textId="77777777" w:rsidR="00E20DBC" w:rsidRDefault="00E20DBC" w:rsidP="00E20DBC">
      <w:pPr>
        <w:pStyle w:val="Odsekzoznamu"/>
        <w:numPr>
          <w:ilvl w:val="0"/>
          <w:numId w:val="25"/>
        </w:numPr>
        <w:spacing w:before="240" w:after="240" w:line="360" w:lineRule="auto"/>
        <w:ind w:left="0" w:firstLine="0"/>
        <w:jc w:val="both"/>
        <w:rPr>
          <w:rFonts w:eastAsia="Times New Roman"/>
          <w:b/>
          <w:sz w:val="28"/>
          <w:szCs w:val="28"/>
        </w:rPr>
      </w:pPr>
      <w:r>
        <w:rPr>
          <w:rFonts w:eastAsia="Times New Roman"/>
          <w:b/>
          <w:sz w:val="28"/>
          <w:szCs w:val="28"/>
        </w:rPr>
        <w:t>Verifikácia pohľadávok pre účely ich zaradenia do následnej finančnej stabilizácie zdravotníckych zariadení</w:t>
      </w:r>
    </w:p>
    <w:p w14:paraId="74EBDD0C" w14:textId="77777777" w:rsidR="00E20DBC" w:rsidRDefault="00E20DBC" w:rsidP="00E20DBC">
      <w:pPr>
        <w:pStyle w:val="Odsekzoznamu"/>
        <w:spacing w:before="240" w:after="120" w:line="360" w:lineRule="auto"/>
        <w:ind w:left="0" w:firstLine="360"/>
        <w:jc w:val="both"/>
        <w:rPr>
          <w:rFonts w:eastAsia="Times New Roman"/>
        </w:rPr>
      </w:pPr>
    </w:p>
    <w:p w14:paraId="178BF9FE" w14:textId="77777777" w:rsidR="00E20DBC" w:rsidRDefault="00E20DBC" w:rsidP="00E20DBC">
      <w:pPr>
        <w:pStyle w:val="Odsekzoznamu"/>
        <w:spacing w:before="240" w:after="120" w:line="360" w:lineRule="auto"/>
        <w:ind w:left="0" w:firstLine="567"/>
        <w:jc w:val="both"/>
        <w:rPr>
          <w:rFonts w:eastAsia="Times New Roman"/>
        </w:rPr>
      </w:pPr>
      <w:r>
        <w:rPr>
          <w:rFonts w:eastAsia="Times New Roman"/>
        </w:rPr>
        <w:t xml:space="preserve">Ministerstvo zdravotníctva SR za účelom odstránenia pochybností a za účelom dosiahnutia, čo možno najväčšej miery právnej istoty v procese </w:t>
      </w:r>
      <w:r w:rsidRPr="007C45F2">
        <w:rPr>
          <w:rFonts w:eastAsia="Times New Roman"/>
        </w:rPr>
        <w:t xml:space="preserve">následnej finančnej stabilizácie zdravotníckych zariadení </w:t>
      </w:r>
      <w:r>
        <w:rPr>
          <w:rFonts w:eastAsia="Times New Roman"/>
        </w:rPr>
        <w:t xml:space="preserve">pristúpilo k procesu právnej verifikácie záväzkov nemocníc v zriaďovateľskej pôsobnosti, a to s cieľom predísť neoprávneným úhradám, úhradám fiktívnych, sporných alebo pochybných pohľadávok. </w:t>
      </w:r>
    </w:p>
    <w:p w14:paraId="700236A6" w14:textId="77777777" w:rsidR="00E20DBC" w:rsidRPr="00710222" w:rsidRDefault="00E20DBC" w:rsidP="00E20DBC">
      <w:pPr>
        <w:pStyle w:val="Odsekzoznamu"/>
        <w:spacing w:before="240" w:after="120" w:line="360" w:lineRule="auto"/>
        <w:ind w:left="0" w:firstLine="360"/>
        <w:jc w:val="both"/>
        <w:rPr>
          <w:rFonts w:eastAsia="Times New Roman"/>
        </w:rPr>
      </w:pPr>
    </w:p>
    <w:p w14:paraId="1FF7730C" w14:textId="77777777" w:rsidR="00E20DBC" w:rsidRDefault="00E20DBC" w:rsidP="00E20DBC">
      <w:pPr>
        <w:pStyle w:val="Odsekzoznamu"/>
        <w:spacing w:before="240" w:after="120" w:line="360" w:lineRule="auto"/>
        <w:ind w:left="0" w:firstLine="567"/>
        <w:jc w:val="both"/>
        <w:rPr>
          <w:rFonts w:eastAsia="Times New Roman"/>
        </w:rPr>
      </w:pPr>
      <w:r>
        <w:rPr>
          <w:rFonts w:eastAsia="Times New Roman"/>
        </w:rPr>
        <w:t xml:space="preserve">Verifikácia bola vykonaná v rámci šetrení právneho a skutkového stavu, a to  na základe dostupných údajov od nemocníc, vlastných zistení Ministerstva zdravotníctva SR, ako aj na základe poznatkov aplikačnej praxe. </w:t>
      </w:r>
    </w:p>
    <w:p w14:paraId="730546D5" w14:textId="77777777" w:rsidR="00E20DBC" w:rsidRDefault="00E20DBC" w:rsidP="00E20DBC">
      <w:pPr>
        <w:pStyle w:val="Odsekzoznamu"/>
        <w:spacing w:before="240" w:after="120" w:line="360" w:lineRule="auto"/>
        <w:ind w:left="0" w:firstLine="360"/>
        <w:jc w:val="both"/>
        <w:rPr>
          <w:rFonts w:eastAsia="Times New Roman"/>
        </w:rPr>
      </w:pPr>
    </w:p>
    <w:p w14:paraId="2C7B516A" w14:textId="4EA33D36" w:rsidR="00E20DBC" w:rsidRDefault="00E20DBC" w:rsidP="00E20DBC">
      <w:pPr>
        <w:pStyle w:val="Odsekzoznamu"/>
        <w:spacing w:before="240" w:after="120" w:line="360" w:lineRule="auto"/>
        <w:ind w:left="0" w:firstLine="567"/>
        <w:jc w:val="both"/>
        <w:rPr>
          <w:rFonts w:eastAsia="Times New Roman"/>
        </w:rPr>
      </w:pPr>
      <w:r>
        <w:rPr>
          <w:rFonts w:eastAsia="Times New Roman"/>
        </w:rPr>
        <w:t>Výsledkom verifikácie bolo identifikovanie časti pohľadávok vo výške približne 31 mil. </w:t>
      </w:r>
      <w:r w:rsidR="003308C0">
        <w:rPr>
          <w:rFonts w:eastAsia="Times New Roman"/>
        </w:rPr>
        <w:t>eur</w:t>
      </w:r>
      <w:r>
        <w:rPr>
          <w:rFonts w:eastAsia="Times New Roman"/>
        </w:rPr>
        <w:t xml:space="preserve">, ktoré je možné považovať za sporné. Pokiaľ ide o sporné pohľadávky, existujú preto skutočnosti, pre ktoré je dôvodné zo strany zdravotníckych zariadení využiť dostupné právne prostriedky vrátane za účelom získania rozhodnutia súdu  vo vzťahu k takýmto sporným pohľadávkam veriteľov nakoľko v rámci verifikácie boli identifikované skutočnosti, kedy absentuje dostatočná právna argumentácia, ktorá by vo vzťahu k týmto pohľadávkam potvrdzovala ich nespornosť. </w:t>
      </w:r>
      <w:r w:rsidRPr="00710222">
        <w:rPr>
          <w:rFonts w:eastAsia="Times New Roman"/>
        </w:rPr>
        <w:t>Zostávaj</w:t>
      </w:r>
      <w:r>
        <w:rPr>
          <w:rFonts w:eastAsia="Times New Roman"/>
        </w:rPr>
        <w:t>úcu</w:t>
      </w:r>
      <w:r w:rsidRPr="00710222">
        <w:rPr>
          <w:rFonts w:eastAsia="Times New Roman"/>
        </w:rPr>
        <w:t xml:space="preserve"> časť </w:t>
      </w:r>
      <w:r>
        <w:rPr>
          <w:rFonts w:eastAsia="Times New Roman"/>
        </w:rPr>
        <w:t xml:space="preserve">verifikovaných </w:t>
      </w:r>
      <w:r w:rsidRPr="00710222">
        <w:rPr>
          <w:rFonts w:eastAsia="Times New Roman"/>
        </w:rPr>
        <w:t>pohľad</w:t>
      </w:r>
      <w:r>
        <w:rPr>
          <w:rFonts w:eastAsia="Times New Roman"/>
        </w:rPr>
        <w:t xml:space="preserve">ávok  je možné označiť za nespornú a preto Ministerstvo zdravotníctva v zmysle tohto materiálu navrhuje tieto zaradiť a uhradiť, čo do rozsahu a spôsobu v zmysle tohto materiálu v  v procese následnej finančnej </w:t>
      </w:r>
      <w:r w:rsidRPr="007C45F2">
        <w:rPr>
          <w:rFonts w:eastAsia="Times New Roman"/>
        </w:rPr>
        <w:t>stabilizácie zdravotníckych zariadení</w:t>
      </w:r>
      <w:r>
        <w:rPr>
          <w:rFonts w:eastAsia="Times New Roman"/>
        </w:rPr>
        <w:t xml:space="preserve">. </w:t>
      </w:r>
    </w:p>
    <w:p w14:paraId="11EF290D" w14:textId="77777777" w:rsidR="00E20DBC" w:rsidRPr="00710222" w:rsidRDefault="00E20DBC" w:rsidP="00E20DBC">
      <w:pPr>
        <w:pStyle w:val="Odsekzoznamu"/>
        <w:spacing w:before="240" w:after="120" w:line="360" w:lineRule="auto"/>
        <w:ind w:left="0" w:firstLine="360"/>
        <w:jc w:val="both"/>
        <w:rPr>
          <w:rFonts w:eastAsia="Times New Roman"/>
        </w:rPr>
      </w:pPr>
    </w:p>
    <w:p w14:paraId="1F068D86" w14:textId="1BE78B72" w:rsidR="00E20DBC" w:rsidRDefault="00E20DBC" w:rsidP="00E20DBC">
      <w:pPr>
        <w:pStyle w:val="Odsekzoznamu"/>
        <w:spacing w:before="240" w:after="120" w:line="360" w:lineRule="auto"/>
        <w:ind w:left="0" w:firstLine="567"/>
        <w:jc w:val="both"/>
        <w:rPr>
          <w:rFonts w:eastAsia="Times New Roman"/>
        </w:rPr>
      </w:pPr>
      <w:r>
        <w:rPr>
          <w:rFonts w:eastAsia="Times New Roman"/>
        </w:rPr>
        <w:t xml:space="preserve">Vzhľadom na výsledky právnej validácie pristúpilo Ministerstvo zdravotníctva SR v procese </w:t>
      </w:r>
      <w:r w:rsidRPr="007C45F2">
        <w:rPr>
          <w:rFonts w:eastAsia="Times New Roman"/>
        </w:rPr>
        <w:t>následnej finančnej stabil</w:t>
      </w:r>
      <w:r>
        <w:rPr>
          <w:rFonts w:eastAsia="Times New Roman"/>
        </w:rPr>
        <w:t xml:space="preserve">izácie zdravotníckych zariadení k stavu, kedy takéto pohľadávky vo výške približne 31 mil. </w:t>
      </w:r>
      <w:r w:rsidR="003308C0">
        <w:rPr>
          <w:rFonts w:eastAsia="Times New Roman"/>
        </w:rPr>
        <w:t>eur</w:t>
      </w:r>
      <w:r>
        <w:rPr>
          <w:rFonts w:eastAsia="Times New Roman"/>
        </w:rPr>
        <w:t xml:space="preserve"> nebudú predmetom oddlženia. Je úlohou každého dlžníka, aby pred poskytnutím plnenia preskúmal právny titul na základe ktorého má byť plnenie poskytnuté, vrátane preskúmania otázky platnosti právneho úkonu. Bude plne v pôsobnosti nemocníc, aby prostredníctvom všetkých dostupných prostriedkov procesnej obrany a procesného útoku zabezpečili aktívnu ochranu a výkon svojich práv v zmysle </w:t>
      </w:r>
      <w:r w:rsidRPr="00E17A09">
        <w:rPr>
          <w:rFonts w:eastAsia="Times New Roman"/>
        </w:rPr>
        <w:t>zásady</w:t>
      </w:r>
      <w:r w:rsidRPr="00710222">
        <w:rPr>
          <w:rFonts w:eastAsia="Times New Roman"/>
        </w:rPr>
        <w:t xml:space="preserve"> „práva patria len bdelým“</w:t>
      </w:r>
      <w:r>
        <w:rPr>
          <w:rFonts w:eastAsia="Times New Roman"/>
        </w:rPr>
        <w:t xml:space="preserve">. Prostriedkami procesného útoku a prostriedkami procesnej obrany sa rozumejú najmä skutkové tvrdenia, popretia skutkových tvrdení protistrany, návrhy na vykonanie dôkazov, námietky k návrhom protistrany na vykonanie dôkazov a hmotnoprávne námietky. Nemocnica ako strana sporu bude nútená konať starostlivo a predkladať tvrdenia a dôkazné návrhy včas, inak hrozí, že jej procesné úkony budú v zmysle ustanovení o koncentrácii konania neúčinné. Úspech v spore závisí od správnej a včasnej procesnej aktivity nemocnice ako strany sporu.  </w:t>
      </w:r>
    </w:p>
    <w:p w14:paraId="59701130" w14:textId="77777777" w:rsidR="00E20DBC" w:rsidRPr="00A97D26" w:rsidRDefault="00E20DBC" w:rsidP="00E20DBC">
      <w:pPr>
        <w:pStyle w:val="Odsekzoznamu"/>
        <w:spacing w:before="240" w:after="120" w:line="360" w:lineRule="auto"/>
        <w:ind w:left="0" w:firstLine="567"/>
        <w:jc w:val="both"/>
        <w:rPr>
          <w:rFonts w:eastAsia="Times New Roman"/>
        </w:rPr>
      </w:pPr>
    </w:p>
    <w:p w14:paraId="3B505187" w14:textId="77777777" w:rsidR="00E20DBC" w:rsidRPr="00710222" w:rsidRDefault="00E20DBC" w:rsidP="00E20DBC">
      <w:pPr>
        <w:pStyle w:val="Odsekzoznamu"/>
        <w:spacing w:before="240" w:after="120" w:line="360" w:lineRule="auto"/>
        <w:ind w:left="0" w:firstLine="360"/>
        <w:jc w:val="both"/>
        <w:rPr>
          <w:rFonts w:eastAsia="Times New Roman"/>
        </w:rPr>
      </w:pPr>
    </w:p>
    <w:p w14:paraId="135481E3" w14:textId="77777777" w:rsidR="00E20DBC" w:rsidRDefault="00E20DBC" w:rsidP="00E20DBC">
      <w:pPr>
        <w:pStyle w:val="Odsekzoznamu"/>
        <w:numPr>
          <w:ilvl w:val="0"/>
          <w:numId w:val="25"/>
        </w:numPr>
        <w:spacing w:before="240" w:after="240" w:line="360" w:lineRule="auto"/>
        <w:ind w:left="0" w:firstLine="0"/>
        <w:jc w:val="both"/>
        <w:rPr>
          <w:rFonts w:eastAsia="Times New Roman"/>
          <w:b/>
          <w:sz w:val="28"/>
          <w:szCs w:val="28"/>
        </w:rPr>
      </w:pPr>
      <w:r w:rsidRPr="003B1E98">
        <w:rPr>
          <w:rFonts w:eastAsia="Times New Roman"/>
          <w:b/>
          <w:sz w:val="28"/>
          <w:szCs w:val="28"/>
        </w:rPr>
        <w:lastRenderedPageBreak/>
        <w:t xml:space="preserve">Postup a podmienky </w:t>
      </w:r>
      <w:r>
        <w:rPr>
          <w:rFonts w:eastAsia="Times New Roman"/>
          <w:b/>
          <w:sz w:val="28"/>
          <w:szCs w:val="28"/>
        </w:rPr>
        <w:t xml:space="preserve">následnej </w:t>
      </w:r>
      <w:r w:rsidRPr="003B1E98">
        <w:rPr>
          <w:rFonts w:eastAsia="Times New Roman"/>
          <w:b/>
          <w:sz w:val="28"/>
          <w:szCs w:val="28"/>
        </w:rPr>
        <w:t>finančnej stabilizácie</w:t>
      </w:r>
      <w:r>
        <w:rPr>
          <w:rFonts w:eastAsia="Times New Roman"/>
          <w:b/>
          <w:sz w:val="28"/>
          <w:szCs w:val="28"/>
        </w:rPr>
        <w:t xml:space="preserve"> </w:t>
      </w:r>
      <w:r w:rsidRPr="001E301A">
        <w:rPr>
          <w:rFonts w:eastAsia="Times New Roman"/>
          <w:b/>
          <w:sz w:val="28"/>
          <w:szCs w:val="28"/>
        </w:rPr>
        <w:t xml:space="preserve">zdravotníckych </w:t>
      </w:r>
      <w:r>
        <w:rPr>
          <w:rFonts w:eastAsia="Times New Roman"/>
          <w:b/>
          <w:sz w:val="28"/>
          <w:szCs w:val="28"/>
        </w:rPr>
        <w:tab/>
      </w:r>
      <w:r w:rsidRPr="001E301A">
        <w:rPr>
          <w:rFonts w:eastAsia="Times New Roman"/>
          <w:b/>
          <w:sz w:val="28"/>
          <w:szCs w:val="28"/>
        </w:rPr>
        <w:t xml:space="preserve">zariadení </w:t>
      </w:r>
    </w:p>
    <w:p w14:paraId="2C078CC6" w14:textId="77777777" w:rsidR="00E20DBC" w:rsidRPr="003B1E98" w:rsidRDefault="00E20DBC" w:rsidP="00E20DBC">
      <w:pPr>
        <w:pStyle w:val="Odsekzoznamu"/>
        <w:spacing w:before="240" w:after="240" w:line="360" w:lineRule="auto"/>
        <w:ind w:left="0"/>
        <w:jc w:val="both"/>
        <w:rPr>
          <w:rFonts w:eastAsia="Times New Roman"/>
          <w:b/>
          <w:sz w:val="28"/>
          <w:szCs w:val="28"/>
        </w:rPr>
      </w:pPr>
    </w:p>
    <w:p w14:paraId="38B06152" w14:textId="77777777" w:rsidR="00E20DBC" w:rsidRDefault="00E20DBC" w:rsidP="00E20DBC">
      <w:pPr>
        <w:pStyle w:val="Odsekzoznamu"/>
        <w:numPr>
          <w:ilvl w:val="0"/>
          <w:numId w:val="26"/>
        </w:numPr>
        <w:spacing w:before="240" w:after="240" w:line="360" w:lineRule="auto"/>
        <w:ind w:left="567" w:hanging="425"/>
        <w:jc w:val="both"/>
        <w:rPr>
          <w:rFonts w:eastAsia="Times New Roman"/>
        </w:rPr>
      </w:pPr>
      <w:r w:rsidRPr="003B1E98">
        <w:rPr>
          <w:rFonts w:eastAsia="Times New Roman"/>
        </w:rPr>
        <w:t xml:space="preserve">Pre účely následnej finančnej stabilizácie zdravotníckych zariadení sa pohľadávkou rozumie </w:t>
      </w:r>
      <w:bookmarkStart w:id="0" w:name="_Hlk56116573"/>
      <w:r w:rsidRPr="003B1E98">
        <w:rPr>
          <w:rFonts w:eastAsia="Times New Roman"/>
        </w:rPr>
        <w:t>právo veriteľa voči zdravotníckemu zariadeniu na peňažné plnenie z titulu záväzku medzi veriteľom a zdravotníckymi zariadením.</w:t>
      </w:r>
      <w:bookmarkEnd w:id="0"/>
    </w:p>
    <w:p w14:paraId="61925503" w14:textId="77777777" w:rsidR="00E20DBC" w:rsidRPr="003B1E98" w:rsidRDefault="00E20DBC" w:rsidP="00E20DBC">
      <w:pPr>
        <w:pStyle w:val="Odsekzoznamu"/>
        <w:spacing w:before="240" w:after="240" w:line="360" w:lineRule="auto"/>
        <w:ind w:left="567"/>
        <w:jc w:val="both"/>
        <w:rPr>
          <w:rFonts w:eastAsia="Times New Roman"/>
        </w:rPr>
      </w:pPr>
    </w:p>
    <w:p w14:paraId="45D44635" w14:textId="77777777" w:rsidR="00E20DBC" w:rsidRPr="003B1E98" w:rsidRDefault="00E20DBC" w:rsidP="00E20DBC">
      <w:pPr>
        <w:pStyle w:val="Odsekzoznamu"/>
        <w:numPr>
          <w:ilvl w:val="0"/>
          <w:numId w:val="26"/>
        </w:numPr>
        <w:spacing w:before="240" w:after="240" w:line="360" w:lineRule="auto"/>
        <w:ind w:left="567" w:hanging="425"/>
        <w:jc w:val="both"/>
        <w:rPr>
          <w:rFonts w:eastAsia="Times New Roman"/>
        </w:rPr>
      </w:pPr>
      <w:bookmarkStart w:id="1" w:name="_Hlk56116608"/>
      <w:r w:rsidRPr="003B1E98">
        <w:rPr>
          <w:rFonts w:eastAsia="Times New Roman"/>
        </w:rPr>
        <w:t>Príslušenstvom pohľadávky sa rozumejú úroky, úroky z omeškania, poplatok z omeškania, náklady spojené s uplatnením pohľadávky a akékoľvek sankcie súvisiace s omeškaním dlžníka.</w:t>
      </w:r>
    </w:p>
    <w:p w14:paraId="7B962B3A" w14:textId="77777777" w:rsidR="00E20DBC" w:rsidRPr="003B1E98" w:rsidRDefault="00E20DBC" w:rsidP="00E20DBC">
      <w:pPr>
        <w:pStyle w:val="Odsekzoznamu"/>
        <w:rPr>
          <w:rFonts w:eastAsia="Times New Roman"/>
        </w:rPr>
      </w:pPr>
    </w:p>
    <w:bookmarkEnd w:id="1"/>
    <w:p w14:paraId="4B055751" w14:textId="34B47408" w:rsidR="00E20DBC" w:rsidRPr="0098210D" w:rsidRDefault="00E20DBC" w:rsidP="00E20DBC">
      <w:pPr>
        <w:pStyle w:val="Odsekzoznamu"/>
        <w:numPr>
          <w:ilvl w:val="0"/>
          <w:numId w:val="26"/>
        </w:numPr>
        <w:spacing w:before="240" w:after="240" w:line="360" w:lineRule="auto"/>
        <w:ind w:left="567" w:hanging="425"/>
        <w:jc w:val="both"/>
        <w:rPr>
          <w:rFonts w:eastAsia="Times New Roman"/>
          <w:iCs/>
        </w:rPr>
      </w:pPr>
      <w:r w:rsidRPr="003B1E98">
        <w:rPr>
          <w:rFonts w:eastAsia="Times New Roman"/>
        </w:rPr>
        <w:t>V rámci finančného mechanizmu realizácie následnej finančnej stabilizácie zdravotníckych zariadení  sa uspokojujú pohľadávky</w:t>
      </w:r>
      <w:r w:rsidR="003E4032">
        <w:rPr>
          <w:rFonts w:eastAsia="Times New Roman"/>
        </w:rPr>
        <w:t xml:space="preserve"> vo výške istiny</w:t>
      </w:r>
      <w:r w:rsidRPr="003B1E98">
        <w:rPr>
          <w:rFonts w:eastAsia="Times New Roman"/>
        </w:rPr>
        <w:t>:</w:t>
      </w:r>
      <w:bookmarkStart w:id="2" w:name="_Hlk56116823"/>
    </w:p>
    <w:p w14:paraId="26F39306" w14:textId="5EC8798F" w:rsidR="00E20DBC" w:rsidRPr="003B1E98" w:rsidRDefault="00E20DBC" w:rsidP="00E20DBC">
      <w:pPr>
        <w:numPr>
          <w:ilvl w:val="0"/>
          <w:numId w:val="14"/>
        </w:numPr>
        <w:spacing w:before="120" w:after="120" w:line="360" w:lineRule="auto"/>
        <w:ind w:left="1134" w:hanging="567"/>
        <w:jc w:val="both"/>
        <w:rPr>
          <w:rFonts w:ascii="Times New Roman" w:eastAsia="Times New Roman" w:hAnsi="Times New Roman" w:cs="Times New Roman"/>
          <w:iCs/>
          <w:sz w:val="24"/>
          <w:szCs w:val="24"/>
          <w:lang w:eastAsia="sk-SK"/>
        </w:rPr>
      </w:pPr>
      <w:r w:rsidRPr="003B1E98">
        <w:rPr>
          <w:rFonts w:ascii="Times New Roman" w:eastAsia="Times New Roman" w:hAnsi="Times New Roman" w:cs="Times New Roman"/>
          <w:sz w:val="24"/>
          <w:szCs w:val="24"/>
        </w:rPr>
        <w:t xml:space="preserve">ktoré </w:t>
      </w:r>
      <w:r>
        <w:rPr>
          <w:rFonts w:ascii="Times New Roman" w:eastAsia="Times New Roman" w:hAnsi="Times New Roman" w:cs="Times New Roman"/>
          <w:sz w:val="24"/>
          <w:szCs w:val="24"/>
        </w:rPr>
        <w:t>budú</w:t>
      </w:r>
      <w:r w:rsidRPr="003B1E98">
        <w:rPr>
          <w:rFonts w:ascii="Times New Roman" w:eastAsia="Times New Roman" w:hAnsi="Times New Roman" w:cs="Times New Roman"/>
          <w:sz w:val="24"/>
          <w:szCs w:val="24"/>
        </w:rPr>
        <w:t xml:space="preserve"> ku dňu </w:t>
      </w:r>
      <w:r>
        <w:rPr>
          <w:rFonts w:ascii="Times New Roman" w:eastAsia="Times New Roman" w:hAnsi="Times New Roman" w:cs="Times New Roman"/>
          <w:sz w:val="24"/>
          <w:szCs w:val="24"/>
        </w:rPr>
        <w:t>3</w:t>
      </w:r>
      <w:r w:rsidR="003308C0">
        <w:rPr>
          <w:rFonts w:ascii="Times New Roman" w:eastAsia="Times New Roman" w:hAnsi="Times New Roman" w:cs="Times New Roman"/>
          <w:sz w:val="24"/>
          <w:szCs w:val="24"/>
        </w:rPr>
        <w:t>0.06</w:t>
      </w:r>
      <w:r w:rsidRPr="003B1E98">
        <w:rPr>
          <w:rFonts w:ascii="Times New Roman" w:eastAsia="Times New Roman" w:hAnsi="Times New Roman" w:cs="Times New Roman"/>
          <w:sz w:val="24"/>
          <w:szCs w:val="24"/>
        </w:rPr>
        <w:t>.2022 po lehote splatnosti,</w:t>
      </w:r>
    </w:p>
    <w:p w14:paraId="695C036D" w14:textId="77777777" w:rsidR="00E20DBC" w:rsidRPr="009B0095" w:rsidRDefault="00E20DBC" w:rsidP="00E20DBC">
      <w:pPr>
        <w:numPr>
          <w:ilvl w:val="0"/>
          <w:numId w:val="14"/>
        </w:numPr>
        <w:spacing w:before="120" w:after="120" w:line="360" w:lineRule="auto"/>
        <w:ind w:left="1134" w:hanging="567"/>
        <w:jc w:val="both"/>
        <w:rPr>
          <w:rFonts w:ascii="Times New Roman" w:eastAsia="Times New Roman" w:hAnsi="Times New Roman" w:cs="Times New Roman"/>
          <w:iCs/>
          <w:sz w:val="24"/>
          <w:szCs w:val="24"/>
          <w:lang w:eastAsia="sk-SK"/>
        </w:rPr>
      </w:pPr>
      <w:r>
        <w:rPr>
          <w:rFonts w:ascii="Times New Roman" w:eastAsia="Times New Roman" w:hAnsi="Times New Roman" w:cs="Times New Roman"/>
          <w:sz w:val="24"/>
          <w:szCs w:val="24"/>
        </w:rPr>
        <w:t>ktoré nebudú k dátumu úhrady v celej výške uhradené a zároveň budú po lehote splatnosti,</w:t>
      </w:r>
    </w:p>
    <w:bookmarkEnd w:id="2"/>
    <w:p w14:paraId="09FC59EC" w14:textId="77777777" w:rsidR="00E20DBC" w:rsidRDefault="00E20DBC" w:rsidP="00E20DBC">
      <w:pPr>
        <w:pStyle w:val="Odsekzoznamu"/>
        <w:numPr>
          <w:ilvl w:val="0"/>
          <w:numId w:val="26"/>
        </w:numPr>
        <w:spacing w:before="240" w:after="240" w:line="360" w:lineRule="auto"/>
        <w:ind w:left="928"/>
        <w:jc w:val="both"/>
        <w:rPr>
          <w:rFonts w:eastAsia="Times New Roman"/>
        </w:rPr>
      </w:pPr>
      <w:r w:rsidRPr="003B1E98">
        <w:rPr>
          <w:rFonts w:eastAsia="Times New Roman"/>
        </w:rPr>
        <w:t>Pohľadávky prihlásené do tohto mechanizmu musia spĺňať zákonné náležitosti.</w:t>
      </w:r>
    </w:p>
    <w:p w14:paraId="311266BC" w14:textId="77777777" w:rsidR="00E20DBC" w:rsidRPr="003B1E98" w:rsidRDefault="00E20DBC" w:rsidP="00E20DBC">
      <w:pPr>
        <w:pStyle w:val="Odsekzoznamu"/>
        <w:spacing w:before="240" w:after="240" w:line="360" w:lineRule="auto"/>
        <w:ind w:left="644"/>
        <w:jc w:val="both"/>
        <w:rPr>
          <w:rFonts w:eastAsia="Times New Roman"/>
        </w:rPr>
      </w:pPr>
    </w:p>
    <w:p w14:paraId="29FC1663" w14:textId="1F6BE4FE" w:rsidR="00E20DBC" w:rsidRDefault="00E20DBC" w:rsidP="00E20DBC">
      <w:pPr>
        <w:pStyle w:val="Odsekzoznamu"/>
        <w:numPr>
          <w:ilvl w:val="0"/>
          <w:numId w:val="26"/>
        </w:numPr>
        <w:spacing w:before="240" w:after="240" w:line="360" w:lineRule="auto"/>
        <w:ind w:left="928"/>
        <w:jc w:val="both"/>
        <w:rPr>
          <w:rFonts w:eastAsia="Times New Roman"/>
        </w:rPr>
      </w:pPr>
      <w:r w:rsidRPr="003B1E98">
        <w:rPr>
          <w:rFonts w:eastAsia="Times New Roman"/>
        </w:rPr>
        <w:t xml:space="preserve">Predpokladom zapojenia zdravotníckych zariadení do procesu následnej finančnej stabilizácie zdravotníckych zariadení </w:t>
      </w:r>
      <w:r>
        <w:rPr>
          <w:rFonts w:eastAsia="Times New Roman"/>
        </w:rPr>
        <w:t>je e</w:t>
      </w:r>
      <w:r w:rsidRPr="003B1E98">
        <w:rPr>
          <w:rFonts w:eastAsia="Times New Roman"/>
        </w:rPr>
        <w:t xml:space="preserve">xistencia neuhradených záväzkov po lehote ich splatnosti </w:t>
      </w:r>
      <w:r>
        <w:rPr>
          <w:rFonts w:eastAsia="Times New Roman"/>
        </w:rPr>
        <w:t>k 3</w:t>
      </w:r>
      <w:r w:rsidR="003308C0">
        <w:rPr>
          <w:rFonts w:eastAsia="Times New Roman"/>
        </w:rPr>
        <w:t>0.06</w:t>
      </w:r>
      <w:r>
        <w:rPr>
          <w:rFonts w:eastAsia="Times New Roman"/>
        </w:rPr>
        <w:t xml:space="preserve">.2022 </w:t>
      </w:r>
      <w:r w:rsidRPr="007C45F2">
        <w:rPr>
          <w:rFonts w:eastAsia="Times New Roman"/>
        </w:rPr>
        <w:t>evidovaných v</w:t>
      </w:r>
      <w:r w:rsidRPr="003B1E98">
        <w:rPr>
          <w:rFonts w:eastAsia="Times New Roman"/>
        </w:rPr>
        <w:t> </w:t>
      </w:r>
      <w:r w:rsidRPr="007C45F2">
        <w:rPr>
          <w:rFonts w:eastAsia="Times New Roman"/>
        </w:rPr>
        <w:t>účtovníctve</w:t>
      </w:r>
      <w:r w:rsidRPr="003B1E98">
        <w:rPr>
          <w:rFonts w:eastAsia="Times New Roman"/>
        </w:rPr>
        <w:t xml:space="preserve"> zdravotníckeho zariadenia</w:t>
      </w:r>
      <w:r w:rsidRPr="007C45F2">
        <w:rPr>
          <w:rFonts w:eastAsia="Times New Roman"/>
        </w:rPr>
        <w:t>, ktoré spĺňajú náležitosti vyplývajúce z platnej legislatívy.</w:t>
      </w:r>
    </w:p>
    <w:p w14:paraId="46F39082" w14:textId="77777777" w:rsidR="00E20DBC" w:rsidRPr="00710222" w:rsidRDefault="00E20DBC" w:rsidP="00E20DBC">
      <w:pPr>
        <w:pStyle w:val="Odsekzoznamu"/>
        <w:rPr>
          <w:rFonts w:eastAsia="Times New Roman"/>
        </w:rPr>
      </w:pPr>
    </w:p>
    <w:p w14:paraId="77F41157" w14:textId="3E238693" w:rsidR="00E20DBC" w:rsidRDefault="00E20DBC" w:rsidP="003E4032">
      <w:pPr>
        <w:pStyle w:val="Odsekzoznamu"/>
        <w:numPr>
          <w:ilvl w:val="0"/>
          <w:numId w:val="26"/>
        </w:numPr>
        <w:spacing w:before="240" w:after="240" w:line="360" w:lineRule="auto"/>
        <w:ind w:left="928"/>
        <w:jc w:val="both"/>
        <w:rPr>
          <w:rFonts w:eastAsia="Times New Roman"/>
        </w:rPr>
      </w:pPr>
      <w:r w:rsidRPr="00741D3B">
        <w:rPr>
          <w:rFonts w:eastAsia="Times New Roman"/>
        </w:rPr>
        <w:t>Pre realizáciu procesov opísaných v Návrhu finančnej stabilizácie je nevyhnutné vzhľadom na veľký rozsah vstupných údajov zabezpečiť vhodný informačný systém.</w:t>
      </w:r>
    </w:p>
    <w:p w14:paraId="13791561" w14:textId="77777777" w:rsidR="003E4032" w:rsidRPr="003E4032" w:rsidRDefault="003E4032" w:rsidP="003E4032">
      <w:pPr>
        <w:pStyle w:val="Odsekzoznamu"/>
        <w:rPr>
          <w:rFonts w:eastAsia="Times New Roman"/>
        </w:rPr>
      </w:pPr>
    </w:p>
    <w:p w14:paraId="73EE8B6B" w14:textId="77777777" w:rsidR="003E4032" w:rsidRPr="003E4032" w:rsidRDefault="003E4032" w:rsidP="003E4032">
      <w:pPr>
        <w:pStyle w:val="Odsekzoznamu"/>
        <w:spacing w:before="240" w:after="240" w:line="360" w:lineRule="auto"/>
        <w:ind w:left="928"/>
        <w:jc w:val="both"/>
        <w:rPr>
          <w:rFonts w:eastAsia="Times New Roman"/>
        </w:rPr>
      </w:pPr>
    </w:p>
    <w:p w14:paraId="694A2499" w14:textId="77777777" w:rsidR="00E20DBC" w:rsidRDefault="00E20DBC" w:rsidP="00E20DBC">
      <w:pPr>
        <w:pStyle w:val="Odsekzoznamu"/>
        <w:numPr>
          <w:ilvl w:val="0"/>
          <w:numId w:val="26"/>
        </w:numPr>
        <w:spacing w:before="240" w:after="240" w:line="360" w:lineRule="auto"/>
        <w:ind w:left="993" w:hanging="357"/>
        <w:contextualSpacing w:val="0"/>
        <w:jc w:val="both"/>
        <w:rPr>
          <w:rFonts w:eastAsia="Times New Roman"/>
        </w:rPr>
      </w:pPr>
      <w:r w:rsidRPr="00741D3B">
        <w:rPr>
          <w:rFonts w:eastAsia="Times New Roman"/>
        </w:rPr>
        <w:t xml:space="preserve">Ministerstvo zdravotníctva Slovenskej republiky v rámci plnenia úloh vyplývajúcich z materiálu na realizáciu dofinancovania zdravotníckych zariadení zabezpečí  IT infraštruktúru a služby systému </w:t>
      </w:r>
      <w:r>
        <w:rPr>
          <w:rFonts w:eastAsia="Times New Roman"/>
        </w:rPr>
        <w:t xml:space="preserve">na </w:t>
      </w:r>
      <w:r w:rsidRPr="00741D3B">
        <w:rPr>
          <w:rFonts w:eastAsia="Times New Roman"/>
        </w:rPr>
        <w:t xml:space="preserve">spracovania citlivých obchodných aj osobných údajov tak, aby boli dodržané platné zákony a zároveň, boli údaje spracovávané v prostredí dostatočne zabezpečenom proti kybernetickým útokom. </w:t>
      </w:r>
    </w:p>
    <w:p w14:paraId="5C6AF44C" w14:textId="5676A03D" w:rsidR="00E20DBC" w:rsidRPr="00A97D26" w:rsidRDefault="00E20DBC" w:rsidP="00E20DBC">
      <w:pPr>
        <w:pStyle w:val="Odsekzoznamu"/>
        <w:numPr>
          <w:ilvl w:val="0"/>
          <w:numId w:val="26"/>
        </w:numPr>
        <w:spacing w:line="360" w:lineRule="auto"/>
        <w:ind w:left="928"/>
        <w:jc w:val="both"/>
      </w:pPr>
      <w:r>
        <w:lastRenderedPageBreak/>
        <w:t>Jednou z obligatórnych podmienok splnením</w:t>
      </w:r>
      <w:r w:rsidR="003308C0">
        <w:t>,</w:t>
      </w:r>
      <w:r>
        <w:t xml:space="preserve"> ktorej dôjde k oddlženiu zdravotníckeho zariadenia v zmysle tejto následnej finančnej stabilizácie je záväzok zo strany štatutárneho orgánu zdravotníckeho zariadenia, ktorým sa </w:t>
      </w:r>
      <w:r w:rsidR="003E4032">
        <w:t>Ministerstvu zdravotníctva</w:t>
      </w:r>
      <w:r>
        <w:t xml:space="preserve"> SR zaviaže, že pristúpi k </w:t>
      </w:r>
      <w:r w:rsidR="00583EA3">
        <w:t xml:space="preserve">verifikácii výšky neuhradených záväzkov podľa bodu 3. tohto článku </w:t>
      </w:r>
      <w:r>
        <w:t xml:space="preserve">so svojimi veriteľmi </w:t>
      </w:r>
      <w:r w:rsidR="00583EA3">
        <w:t>a následne predloží Ministerstvu zdravotníctva SR zoznam verifik</w:t>
      </w:r>
      <w:r w:rsidR="000F17DA">
        <w:t>ovaných záväzkov podpísaný štatutárnym orgánom zdravotníckeho zariadenia a štatutárnym orgánom veriteľa.</w:t>
      </w:r>
      <w:r>
        <w:t xml:space="preserve"> V prípade, že štatutárny orgán zdravotníckeho zariadenia </w:t>
      </w:r>
      <w:r w:rsidR="00AE502D">
        <w:t>nesplní záväzok uvedený v predchádzajúcej vete</w:t>
      </w:r>
      <w:r>
        <w:t xml:space="preserve">, má sa za to, že zdravotnícke zariadenie nesplnilo </w:t>
      </w:r>
      <w:r w:rsidR="00AE502D">
        <w:t xml:space="preserve">jednu z </w:t>
      </w:r>
      <w:r>
        <w:t>podmien</w:t>
      </w:r>
      <w:r w:rsidR="00AE502D">
        <w:t>ok</w:t>
      </w:r>
      <w:r>
        <w:t>, ktor</w:t>
      </w:r>
      <w:r w:rsidR="00AE502D">
        <w:t>ej</w:t>
      </w:r>
      <w:r>
        <w:t xml:space="preserve"> </w:t>
      </w:r>
      <w:r w:rsidR="00AE502D">
        <w:t xml:space="preserve">naplnenie predstavuje </w:t>
      </w:r>
      <w:r>
        <w:t>e predpoklad uzatvorenia Dohody o podmienkach oddlženia.</w:t>
      </w:r>
    </w:p>
    <w:p w14:paraId="0E2AE4F9" w14:textId="77777777" w:rsidR="00E20DBC" w:rsidRPr="00741D3B" w:rsidRDefault="00E20DBC" w:rsidP="00E20DBC">
      <w:pPr>
        <w:pStyle w:val="Odsekzoznamu"/>
        <w:numPr>
          <w:ilvl w:val="0"/>
          <w:numId w:val="26"/>
        </w:numPr>
        <w:spacing w:before="240" w:after="240" w:line="360" w:lineRule="auto"/>
        <w:ind w:left="993" w:hanging="357"/>
        <w:contextualSpacing w:val="0"/>
        <w:jc w:val="both"/>
        <w:rPr>
          <w:rFonts w:eastAsia="Times New Roman"/>
        </w:rPr>
      </w:pPr>
      <w:r w:rsidRPr="00741D3B">
        <w:rPr>
          <w:rFonts w:eastAsia="Times New Roman"/>
        </w:rPr>
        <w:t xml:space="preserve">Vzhľadom na skutočnosť, že na úhradu záväzkov nemocníc po lehote splatnosti budú vyčlenené štátne finančné aktíva, nevyhnutnou podmienkou pre spracovanie transakcií v rámci oddlženia je použitie databáz s dostatočnou kapacitou a presnosťou na spracovanie veľkého objemu dát. Všetky právne, procesné a finančné transakcie </w:t>
      </w:r>
      <w:r>
        <w:rPr>
          <w:rFonts w:eastAsia="Times New Roman"/>
        </w:rPr>
        <w:t>musia</w:t>
      </w:r>
      <w:r w:rsidRPr="00741D3B">
        <w:rPr>
          <w:rFonts w:eastAsia="Times New Roman"/>
        </w:rPr>
        <w:t xml:space="preserve"> byť  v súlade s ustanoveniami Zákona o účtovníctve, Obchodného zákonníka, GDPR (General Data Protection Regulation), teda všetkými všeobecnými nariadeniami na ochranu osobných údajov, a samozrejme museli byť dodržané všetky platné zákony, predpisy a nariadenia.</w:t>
      </w:r>
    </w:p>
    <w:p w14:paraId="1E9EE460" w14:textId="1B40D346" w:rsidR="00E20DBC" w:rsidRPr="00741D3B" w:rsidRDefault="00E20DBC" w:rsidP="005E2F5E">
      <w:pPr>
        <w:pStyle w:val="Odsekzoznamu"/>
        <w:numPr>
          <w:ilvl w:val="0"/>
          <w:numId w:val="26"/>
        </w:numPr>
        <w:tabs>
          <w:tab w:val="left" w:pos="8789"/>
        </w:tabs>
        <w:spacing w:before="240" w:after="240" w:line="360" w:lineRule="auto"/>
        <w:ind w:left="993" w:hanging="357"/>
        <w:contextualSpacing w:val="0"/>
        <w:jc w:val="both"/>
        <w:rPr>
          <w:rFonts w:eastAsia="Times New Roman"/>
        </w:rPr>
      </w:pPr>
      <w:r w:rsidRPr="00741D3B">
        <w:rPr>
          <w:rFonts w:eastAsia="Times New Roman"/>
        </w:rPr>
        <w:t xml:space="preserve">V rámci tohto procesu finančnej stabilizácie je možné predpokladať </w:t>
      </w:r>
      <w:r w:rsidR="000F17DA" w:rsidRPr="00741D3B">
        <w:rPr>
          <w:rFonts w:eastAsia="Times New Roman"/>
        </w:rPr>
        <w:t>zapojeni</w:t>
      </w:r>
      <w:r w:rsidR="000F17DA">
        <w:rPr>
          <w:rFonts w:eastAsia="Times New Roman"/>
        </w:rPr>
        <w:t>e</w:t>
      </w:r>
      <w:r w:rsidR="000F17DA" w:rsidRPr="00741D3B">
        <w:rPr>
          <w:rFonts w:eastAsia="Times New Roman"/>
        </w:rPr>
        <w:t xml:space="preserve"> </w:t>
      </w:r>
      <w:r w:rsidRPr="00741D3B">
        <w:rPr>
          <w:rFonts w:eastAsia="Times New Roman"/>
        </w:rPr>
        <w:t xml:space="preserve">30 nemocníc. </w:t>
      </w:r>
      <w:r w:rsidR="000F17DA">
        <w:rPr>
          <w:rFonts w:eastAsia="Times New Roman"/>
        </w:rPr>
        <w:t>V o</w:t>
      </w:r>
      <w:r w:rsidRPr="00741D3B">
        <w:rPr>
          <w:rFonts w:eastAsia="Times New Roman"/>
        </w:rPr>
        <w:t>bdob</w:t>
      </w:r>
      <w:r w:rsidR="000F17DA">
        <w:rPr>
          <w:rFonts w:eastAsia="Times New Roman"/>
        </w:rPr>
        <w:t>í</w:t>
      </w:r>
      <w:r w:rsidRPr="00741D3B">
        <w:rPr>
          <w:rFonts w:eastAsia="Times New Roman"/>
        </w:rPr>
        <w:t xml:space="preserve">, ktoré  vymedzil materiál a to záväzky po lehote splatnosti do </w:t>
      </w:r>
      <w:r w:rsidR="000F17DA" w:rsidRPr="00741D3B">
        <w:rPr>
          <w:rFonts w:eastAsia="Times New Roman"/>
        </w:rPr>
        <w:t>3</w:t>
      </w:r>
      <w:r w:rsidR="000F17DA">
        <w:rPr>
          <w:rFonts w:eastAsia="Times New Roman"/>
        </w:rPr>
        <w:t>0</w:t>
      </w:r>
      <w:r w:rsidRPr="00741D3B">
        <w:rPr>
          <w:rFonts w:eastAsia="Times New Roman"/>
        </w:rPr>
        <w:t xml:space="preserve">. </w:t>
      </w:r>
      <w:r w:rsidR="000F17DA">
        <w:rPr>
          <w:rFonts w:eastAsia="Times New Roman"/>
        </w:rPr>
        <w:t>júna</w:t>
      </w:r>
      <w:r w:rsidR="000F17DA" w:rsidRPr="00741D3B">
        <w:rPr>
          <w:rFonts w:eastAsia="Times New Roman"/>
        </w:rPr>
        <w:t xml:space="preserve"> </w:t>
      </w:r>
      <w:r w:rsidRPr="00741D3B">
        <w:rPr>
          <w:rFonts w:eastAsia="Times New Roman"/>
        </w:rPr>
        <w:t>2022</w:t>
      </w:r>
      <w:r w:rsidR="000F17DA">
        <w:rPr>
          <w:rFonts w:eastAsia="Times New Roman"/>
        </w:rPr>
        <w:t>,</w:t>
      </w:r>
      <w:r w:rsidRPr="00741D3B">
        <w:rPr>
          <w:rFonts w:eastAsia="Times New Roman"/>
        </w:rPr>
        <w:t xml:space="preserve"> </w:t>
      </w:r>
      <w:r w:rsidR="000F17DA">
        <w:rPr>
          <w:rFonts w:eastAsia="Times New Roman"/>
        </w:rPr>
        <w:t>je p</w:t>
      </w:r>
      <w:r w:rsidRPr="00741D3B">
        <w:rPr>
          <w:rFonts w:eastAsia="Times New Roman"/>
        </w:rPr>
        <w:t>očet aktívnych veriteľov zdravotníckych zariadení, ktorí môžu prejaviť záujem o zaplatenie  ich pohľadávky možné odhadnúť na 400, objem záväzkov nemocníc po lehote splatnosti k 30.0</w:t>
      </w:r>
      <w:r w:rsidR="000F17DA">
        <w:rPr>
          <w:rFonts w:eastAsia="Times New Roman"/>
        </w:rPr>
        <w:t>6</w:t>
      </w:r>
      <w:r w:rsidRPr="00741D3B">
        <w:rPr>
          <w:rFonts w:eastAsia="Times New Roman"/>
        </w:rPr>
        <w:t xml:space="preserve">.2022 na úrovni istiny </w:t>
      </w:r>
      <w:r w:rsidR="005E2F5E" w:rsidRPr="00622783">
        <w:rPr>
          <w:rFonts w:eastAsia="Times New Roman"/>
        </w:rPr>
        <w:t xml:space="preserve">436 </w:t>
      </w:r>
      <w:r w:rsidRPr="00622783">
        <w:rPr>
          <w:rFonts w:eastAsia="Times New Roman"/>
        </w:rPr>
        <w:t>mil. eur</w:t>
      </w:r>
      <w:r w:rsidRPr="00741D3B">
        <w:rPr>
          <w:rFonts w:eastAsia="Times New Roman"/>
        </w:rPr>
        <w:t xml:space="preserve"> a počet pohľadávok môže  viac ako </w:t>
      </w:r>
      <w:r w:rsidR="005E2F5E">
        <w:rPr>
          <w:rFonts w:eastAsia="Times New Roman"/>
        </w:rPr>
        <w:t>180 tisíc</w:t>
      </w:r>
      <w:r w:rsidRPr="00741D3B">
        <w:rPr>
          <w:rFonts w:eastAsia="Times New Roman"/>
        </w:rPr>
        <w:t xml:space="preserve">. </w:t>
      </w:r>
    </w:p>
    <w:p w14:paraId="50ABE807" w14:textId="77777777" w:rsidR="00E20DBC" w:rsidRDefault="00E20DBC" w:rsidP="00E20DBC">
      <w:pPr>
        <w:pStyle w:val="Odsekzoznamu"/>
        <w:numPr>
          <w:ilvl w:val="0"/>
          <w:numId w:val="26"/>
        </w:numPr>
        <w:spacing w:before="240" w:after="240" w:line="360" w:lineRule="auto"/>
        <w:ind w:left="993" w:hanging="357"/>
        <w:contextualSpacing w:val="0"/>
        <w:jc w:val="both"/>
        <w:rPr>
          <w:rFonts w:eastAsia="Times New Roman"/>
        </w:rPr>
      </w:pPr>
      <w:r w:rsidRPr="00741D3B">
        <w:rPr>
          <w:rFonts w:eastAsia="Times New Roman"/>
        </w:rPr>
        <w:t xml:space="preserve">Z týchto základných parametrov vyplýva, že z pohľadu informačnej bezpečnosti musí byť zabezpečená autorizácia, aj autentifikácia všetkých oprávnených subjektov elektronickej aukcie. Zároveň </w:t>
      </w:r>
      <w:r>
        <w:rPr>
          <w:rFonts w:eastAsia="Times New Roman"/>
        </w:rPr>
        <w:t>je</w:t>
      </w:r>
      <w:r w:rsidRPr="00741D3B">
        <w:rPr>
          <w:rFonts w:eastAsia="Times New Roman"/>
        </w:rPr>
        <w:t xml:space="preserve"> potrebné zabezpečiť dostatočnú kapacitu IS na spracovanie veľkého objemu transakcii, pretože s každou obchodovanou faktúrou pracovala  niekoľkokrát nemocnica a niekoľkokrát veriteľ. </w:t>
      </w:r>
    </w:p>
    <w:p w14:paraId="6DF13460" w14:textId="77777777" w:rsidR="00E20DBC" w:rsidRPr="00964497" w:rsidRDefault="00E20DBC" w:rsidP="00E20DBC">
      <w:pPr>
        <w:pStyle w:val="Odsekzoznamu"/>
        <w:widowControl w:val="0"/>
        <w:numPr>
          <w:ilvl w:val="0"/>
          <w:numId w:val="26"/>
        </w:numPr>
        <w:spacing w:after="120" w:line="276" w:lineRule="auto"/>
        <w:ind w:left="993" w:hanging="357"/>
        <w:contextualSpacing w:val="0"/>
        <w:jc w:val="both"/>
      </w:pPr>
      <w:r w:rsidRPr="00964497">
        <w:t xml:space="preserve">Na základe pokynu MZ SR adresovanému Dlžníkom je každý Dlžník povinný v období stanovenom v pokyne vykonať Kontrolu Záväzkov v rozsahu správnosti jednotlivých údajov uvedených v Prehľade záväzkov. </w:t>
      </w:r>
    </w:p>
    <w:p w14:paraId="59732CED" w14:textId="77777777" w:rsidR="00E20DBC" w:rsidRPr="00964497" w:rsidRDefault="00E20DBC" w:rsidP="00E20DBC">
      <w:pPr>
        <w:pStyle w:val="Odsekzoznamu"/>
        <w:widowControl w:val="0"/>
        <w:numPr>
          <w:ilvl w:val="0"/>
          <w:numId w:val="26"/>
        </w:numPr>
        <w:spacing w:after="120" w:line="276" w:lineRule="auto"/>
        <w:ind w:left="993" w:hanging="425"/>
        <w:contextualSpacing w:val="0"/>
        <w:jc w:val="both"/>
      </w:pPr>
      <w:r w:rsidRPr="00964497">
        <w:lastRenderedPageBreak/>
        <w:t>V prípade zistenia nesúladu stavu Záväzku evidovaného v </w:t>
      </w:r>
      <w:r>
        <w:t>systéme</w:t>
      </w:r>
      <w:r w:rsidRPr="00964497">
        <w:t xml:space="preserve"> so skutočným stavom Záväzku je Dlžník povinný  podať návrh na vylúčenie Záväzku s uvedením dôvodu jeho vylúčenia výberom jednej z ponúkaných možností vylúčenia alebo  podať požiadavku na zmenu Záväzku s uvedením rozsahu požiadavky na jeho zmenu (napr. zmena výšky Záväzku, dátumu splatnosti, identifikácie Veriteľa, zmena čísla dokladu Veriteľa), uvedením dôvodu požadovanej zmeny a pripojením relevantných dokumentov preukazujúcich požadovanú zmenu Záväzku.</w:t>
      </w:r>
    </w:p>
    <w:p w14:paraId="328F6939" w14:textId="77777777" w:rsidR="00E20DBC" w:rsidRDefault="00E20DBC" w:rsidP="00E20DBC">
      <w:pPr>
        <w:pStyle w:val="Odsekzoznamu"/>
        <w:numPr>
          <w:ilvl w:val="0"/>
          <w:numId w:val="26"/>
        </w:numPr>
        <w:spacing w:before="240" w:after="240" w:line="360" w:lineRule="auto"/>
        <w:ind w:left="993" w:hanging="357"/>
        <w:contextualSpacing w:val="0"/>
        <w:jc w:val="both"/>
        <w:rPr>
          <w:rFonts w:eastAsia="Times New Roman"/>
        </w:rPr>
      </w:pPr>
      <w:r w:rsidRPr="00964497">
        <w:t>Vylúčenie Záväzku ako aj požiadavka na zmenu Záväzku podlieha posúdeniu MZ SR</w:t>
      </w:r>
      <w:r>
        <w:t>.</w:t>
      </w:r>
      <w:r w:rsidRPr="00964497">
        <w:t xml:space="preserve"> Záväzky podliehajúce posúdeniu nadobúdajú stav „navrhnutý na vylúčenie“ alebo „rozporovaný“.</w:t>
      </w:r>
    </w:p>
    <w:p w14:paraId="42C4837A" w14:textId="77777777" w:rsidR="00E20DBC" w:rsidRDefault="00E20DBC" w:rsidP="00E20DBC">
      <w:pPr>
        <w:pStyle w:val="Odsekzoznamu"/>
        <w:numPr>
          <w:ilvl w:val="0"/>
          <w:numId w:val="26"/>
        </w:numPr>
        <w:spacing w:before="240" w:after="240" w:line="360" w:lineRule="auto"/>
        <w:ind w:left="993" w:hanging="357"/>
        <w:contextualSpacing w:val="0"/>
        <w:jc w:val="both"/>
        <w:rPr>
          <w:rFonts w:eastAsia="Times New Roman"/>
        </w:rPr>
      </w:pPr>
      <w:r w:rsidRPr="00741D3B">
        <w:rPr>
          <w:rFonts w:eastAsia="Times New Roman"/>
        </w:rPr>
        <w:t xml:space="preserve">Výsledkom evidencie a verifikácie dokladov v  systéme budú vygenerované presné údaje pre platby k aktuálnemu obdobiu posudzovania </w:t>
      </w:r>
      <w:r w:rsidRPr="00A25DB2">
        <w:rPr>
          <w:rFonts w:eastAsia="Times New Roman"/>
        </w:rPr>
        <w:t xml:space="preserve">transakcií. </w:t>
      </w:r>
    </w:p>
    <w:p w14:paraId="12B7EAEA" w14:textId="77777777" w:rsidR="00E20DBC" w:rsidRPr="007C63BE" w:rsidRDefault="00E20DBC" w:rsidP="00E20DBC">
      <w:pPr>
        <w:spacing w:before="240" w:after="240" w:line="360" w:lineRule="auto"/>
        <w:jc w:val="both"/>
        <w:rPr>
          <w:rFonts w:eastAsia="Times New Roman"/>
        </w:rPr>
      </w:pPr>
    </w:p>
    <w:p w14:paraId="34BBC91B" w14:textId="77777777" w:rsidR="00E20DBC" w:rsidRPr="007C63BE" w:rsidRDefault="00E20DBC" w:rsidP="00E20DBC">
      <w:pPr>
        <w:pStyle w:val="Odsekzoznamu"/>
        <w:numPr>
          <w:ilvl w:val="0"/>
          <w:numId w:val="25"/>
        </w:numPr>
        <w:spacing w:before="240" w:after="240" w:line="360" w:lineRule="auto"/>
        <w:ind w:left="142" w:hanging="142"/>
        <w:rPr>
          <w:rFonts w:eastAsia="Times New Roman"/>
          <w:b/>
          <w:sz w:val="28"/>
          <w:szCs w:val="28"/>
        </w:rPr>
      </w:pPr>
      <w:r w:rsidRPr="007C63BE">
        <w:rPr>
          <w:rFonts w:eastAsia="Times New Roman"/>
          <w:b/>
          <w:sz w:val="28"/>
          <w:szCs w:val="28"/>
        </w:rPr>
        <w:t xml:space="preserve">Podmienky pre zaplatenie rizikových záväzkov </w:t>
      </w:r>
    </w:p>
    <w:p w14:paraId="231EF032" w14:textId="259C9244" w:rsidR="00E20DBC" w:rsidRPr="00C101AD" w:rsidRDefault="00E20DBC" w:rsidP="00E20DBC">
      <w:pPr>
        <w:spacing w:before="240" w:after="240" w:line="360" w:lineRule="auto"/>
        <w:ind w:firstLine="708"/>
        <w:jc w:val="both"/>
        <w:rPr>
          <w:rFonts w:ascii="Times New Roman" w:eastAsia="Times New Roman" w:hAnsi="Times New Roman" w:cs="Times New Roman"/>
          <w:sz w:val="24"/>
          <w:szCs w:val="24"/>
        </w:rPr>
      </w:pPr>
      <w:r w:rsidRPr="009B0095">
        <w:rPr>
          <w:rFonts w:ascii="Times New Roman" w:eastAsia="Times New Roman" w:hAnsi="Times New Roman" w:cs="Times New Roman"/>
          <w:sz w:val="24"/>
          <w:szCs w:val="24"/>
        </w:rPr>
        <w:t xml:space="preserve">Za dôsledné preukázanie nároku na zaplatenie rizikových záväzkov zo štátnych finančných aktív </w:t>
      </w:r>
      <w:r w:rsidRPr="009312A4">
        <w:rPr>
          <w:rFonts w:ascii="Times New Roman" w:eastAsia="Times New Roman" w:hAnsi="Times New Roman" w:cs="Times New Roman"/>
          <w:sz w:val="24"/>
          <w:szCs w:val="24"/>
        </w:rPr>
        <w:t>je zodpovedný štatutárny orgán zdravotníckeho zariadenia</w:t>
      </w:r>
      <w:r w:rsidRPr="00C11A51">
        <w:rPr>
          <w:rFonts w:ascii="Times New Roman" w:eastAsia="Times New Roman" w:hAnsi="Times New Roman" w:cs="Times New Roman"/>
          <w:sz w:val="24"/>
          <w:szCs w:val="24"/>
        </w:rPr>
        <w:t xml:space="preserve">. Uspokojovanie pohľadávok veriteľov </w:t>
      </w:r>
      <w:r w:rsidRPr="00107B60">
        <w:rPr>
          <w:rFonts w:ascii="Times New Roman" w:eastAsia="Times New Roman" w:hAnsi="Times New Roman" w:cs="Times New Roman"/>
          <w:sz w:val="24"/>
          <w:szCs w:val="24"/>
        </w:rPr>
        <w:t>predpokladá zohľadnenie veku a </w:t>
      </w:r>
      <w:r w:rsidR="00626A5A" w:rsidRPr="00107B60" w:rsidDel="00626A5A">
        <w:rPr>
          <w:rFonts w:ascii="Times New Roman" w:eastAsia="Times New Roman" w:hAnsi="Times New Roman" w:cs="Times New Roman"/>
          <w:sz w:val="24"/>
          <w:szCs w:val="24"/>
        </w:rPr>
        <w:t xml:space="preserve"> </w:t>
      </w:r>
      <w:r w:rsidRPr="00C101AD">
        <w:rPr>
          <w:rFonts w:ascii="Times New Roman" w:eastAsia="Times New Roman" w:hAnsi="Times New Roman" w:cs="Times New Roman"/>
          <w:sz w:val="24"/>
          <w:szCs w:val="24"/>
        </w:rPr>
        <w:t>to konkrétne:</w:t>
      </w:r>
    </w:p>
    <w:p w14:paraId="74F16A67" w14:textId="77777777" w:rsidR="00E20DBC" w:rsidRDefault="00E20DBC" w:rsidP="00E20DBC">
      <w:pPr>
        <w:pStyle w:val="Odsekzoznamu"/>
        <w:numPr>
          <w:ilvl w:val="0"/>
          <w:numId w:val="23"/>
        </w:numPr>
        <w:spacing w:before="240" w:after="240" w:line="360" w:lineRule="auto"/>
        <w:jc w:val="both"/>
        <w:rPr>
          <w:rFonts w:eastAsia="Times New Roman"/>
        </w:rPr>
      </w:pPr>
      <w:r w:rsidRPr="00124DAA">
        <w:rPr>
          <w:rFonts w:eastAsia="Times New Roman"/>
        </w:rPr>
        <w:t>Pohľadávky priznané právoplatným a vykonateľným rozhodnutím všeobecného súdu Slovenskej republiky, ktorým súd priznal veriteľovi právo na úhradu pohľadávky, a pri ktorom nebude zdravotnícke zariadenie v postavení dlžníka pohľadávku rozporovať,</w:t>
      </w:r>
    </w:p>
    <w:p w14:paraId="4FFAAFEC" w14:textId="77777777" w:rsidR="00E20DBC" w:rsidRPr="009312A4" w:rsidRDefault="00E20DBC" w:rsidP="00E20DBC">
      <w:pPr>
        <w:pStyle w:val="Odsekzoznamu"/>
        <w:numPr>
          <w:ilvl w:val="0"/>
          <w:numId w:val="23"/>
        </w:numPr>
        <w:spacing w:before="240" w:after="240" w:line="360" w:lineRule="auto"/>
        <w:jc w:val="both"/>
        <w:rPr>
          <w:rFonts w:eastAsia="Times New Roman"/>
        </w:rPr>
      </w:pPr>
      <w:r w:rsidRPr="006C0BBF">
        <w:rPr>
          <w:rFonts w:eastAsia="Times New Roman"/>
        </w:rPr>
        <w:t xml:space="preserve">pohľadávky priznané právoplatným a vykonateľným rozhodnutím orgánu verejnej moci Slovenskej republiky iného než všeobecného súdu, </w:t>
      </w:r>
    </w:p>
    <w:p w14:paraId="5F3BCB79" w14:textId="77777777" w:rsidR="00E20DBC" w:rsidRPr="00C11A51" w:rsidRDefault="00E20DBC" w:rsidP="00E20DBC">
      <w:pPr>
        <w:pStyle w:val="Odsekzoznamu"/>
        <w:numPr>
          <w:ilvl w:val="0"/>
          <w:numId w:val="23"/>
        </w:numPr>
        <w:spacing w:before="240" w:after="240" w:line="360" w:lineRule="auto"/>
        <w:jc w:val="both"/>
        <w:rPr>
          <w:rFonts w:eastAsia="Times New Roman"/>
        </w:rPr>
      </w:pPr>
      <w:r w:rsidRPr="009312A4">
        <w:rPr>
          <w:rFonts w:eastAsia="Times New Roman"/>
        </w:rPr>
        <w:t xml:space="preserve">pohľadávky priznané notárskou zápisnicou, ktorá obsahuje </w:t>
      </w:r>
      <w:r w:rsidRPr="00C11A51">
        <w:rPr>
          <w:rFonts w:eastAsia="Times New Roman"/>
        </w:rPr>
        <w:t xml:space="preserve">právny záväzok, a v ktorej je vyznačená oprávnená osoba a povinná osoba, právny dôvod, predmet a čas plnenia, ak povinná osoba v notárskej zápisnici s vykonateľnosťou súhlasila, </w:t>
      </w:r>
    </w:p>
    <w:p w14:paraId="13F9B986" w14:textId="77777777" w:rsidR="00E20DBC" w:rsidRPr="009B0095" w:rsidRDefault="00E20DBC" w:rsidP="00E20DBC">
      <w:pPr>
        <w:pStyle w:val="Odsekzoznamu"/>
        <w:numPr>
          <w:ilvl w:val="0"/>
          <w:numId w:val="23"/>
        </w:numPr>
        <w:spacing w:before="240" w:after="240" w:line="360" w:lineRule="auto"/>
        <w:jc w:val="both"/>
        <w:rPr>
          <w:rFonts w:eastAsia="Times New Roman"/>
        </w:rPr>
      </w:pPr>
      <w:r w:rsidRPr="00C11A51">
        <w:rPr>
          <w:rFonts w:eastAsia="Times New Roman"/>
        </w:rPr>
        <w:t xml:space="preserve">iný exekučný titul, ktorý nebude dlžník rozporovať, </w:t>
      </w:r>
    </w:p>
    <w:p w14:paraId="6E4F17FA" w14:textId="45016741" w:rsidR="00E20DBC" w:rsidRPr="00B62C3A" w:rsidRDefault="00E20DBC" w:rsidP="00E20DBC">
      <w:pPr>
        <w:pStyle w:val="Odsekzoznamu"/>
        <w:numPr>
          <w:ilvl w:val="0"/>
          <w:numId w:val="23"/>
        </w:numPr>
        <w:spacing w:before="240" w:after="120" w:line="360" w:lineRule="auto"/>
        <w:jc w:val="both"/>
        <w:rPr>
          <w:rFonts w:eastAsia="Times New Roman"/>
        </w:rPr>
      </w:pPr>
      <w:r w:rsidRPr="009B0095">
        <w:rPr>
          <w:rFonts w:eastAsia="Times New Roman"/>
        </w:rPr>
        <w:t xml:space="preserve">pohľadávky, ktoré </w:t>
      </w:r>
      <w:r w:rsidRPr="006C0BBF">
        <w:rPr>
          <w:rFonts w:eastAsia="Times New Roman"/>
        </w:rPr>
        <w:t>spĺňajú kritérium z titulu veku a rizika spojeného z kapitalizáciou istiny a</w:t>
      </w:r>
      <w:r w:rsidRPr="009312A4">
        <w:rPr>
          <w:rFonts w:eastAsia="Times New Roman"/>
        </w:rPr>
        <w:t xml:space="preserve"> príslušenstva. </w:t>
      </w:r>
    </w:p>
    <w:p w14:paraId="6B57CAE7" w14:textId="6F6C2B7D" w:rsidR="00E20DBC" w:rsidRDefault="00E20DBC" w:rsidP="00E20DBC">
      <w:pPr>
        <w:pStyle w:val="Odsekzoznamu"/>
        <w:spacing w:line="360" w:lineRule="auto"/>
        <w:ind w:left="709"/>
        <w:jc w:val="both"/>
        <w:rPr>
          <w:rFonts w:eastAsia="Times New Roman"/>
        </w:rPr>
      </w:pPr>
    </w:p>
    <w:p w14:paraId="23CD494E" w14:textId="59E1FB97" w:rsidR="00735E5A" w:rsidRDefault="00735E5A" w:rsidP="00E20DBC">
      <w:pPr>
        <w:pStyle w:val="Odsekzoznamu"/>
        <w:spacing w:line="360" w:lineRule="auto"/>
        <w:ind w:left="709"/>
        <w:jc w:val="both"/>
        <w:rPr>
          <w:rFonts w:eastAsia="Times New Roman"/>
        </w:rPr>
      </w:pPr>
    </w:p>
    <w:p w14:paraId="4D7DBD7A" w14:textId="77777777" w:rsidR="00735E5A" w:rsidRPr="008442D8" w:rsidRDefault="00735E5A" w:rsidP="00E20DBC">
      <w:pPr>
        <w:pStyle w:val="Odsekzoznamu"/>
        <w:spacing w:line="360" w:lineRule="auto"/>
        <w:ind w:left="709"/>
        <w:jc w:val="both"/>
        <w:rPr>
          <w:rFonts w:eastAsia="Times New Roman"/>
        </w:rPr>
      </w:pPr>
    </w:p>
    <w:p w14:paraId="220FEE24" w14:textId="77777777" w:rsidR="00E20DBC" w:rsidRPr="00F95F39" w:rsidRDefault="00E20DBC" w:rsidP="00E20DBC">
      <w:pPr>
        <w:jc w:val="both"/>
        <w:rPr>
          <w:rFonts w:ascii="Times New Roman" w:eastAsia="Times New Roman" w:hAnsi="Times New Roman" w:cs="Times New Roman"/>
        </w:rPr>
      </w:pPr>
    </w:p>
    <w:p w14:paraId="582F960C" w14:textId="77777777" w:rsidR="00E20DBC" w:rsidRPr="00F95F39" w:rsidRDefault="00E20DBC" w:rsidP="00E20DBC">
      <w:pPr>
        <w:pStyle w:val="Odsekzoznamu"/>
        <w:numPr>
          <w:ilvl w:val="0"/>
          <w:numId w:val="25"/>
        </w:numPr>
        <w:ind w:left="426" w:hanging="426"/>
        <w:jc w:val="both"/>
        <w:rPr>
          <w:rFonts w:eastAsia="Times New Roman"/>
          <w:b/>
          <w:sz w:val="28"/>
          <w:szCs w:val="28"/>
        </w:rPr>
      </w:pPr>
      <w:r w:rsidRPr="00F95F39">
        <w:rPr>
          <w:rFonts w:eastAsia="Times New Roman"/>
          <w:b/>
          <w:sz w:val="28"/>
          <w:szCs w:val="28"/>
        </w:rPr>
        <w:lastRenderedPageBreak/>
        <w:t>Právne dokumenty</w:t>
      </w:r>
    </w:p>
    <w:p w14:paraId="349C2254" w14:textId="77777777" w:rsidR="00E20DBC" w:rsidRPr="009B0095" w:rsidRDefault="00E20DBC" w:rsidP="00E20DBC">
      <w:pPr>
        <w:spacing w:line="360" w:lineRule="auto"/>
        <w:jc w:val="both"/>
        <w:rPr>
          <w:rFonts w:ascii="Times New Roman" w:hAnsi="Times New Roman" w:cs="Times New Roman"/>
          <w:sz w:val="24"/>
          <w:szCs w:val="24"/>
        </w:rPr>
      </w:pPr>
    </w:p>
    <w:p w14:paraId="64DDAD6E" w14:textId="77777777" w:rsidR="00E20DBC" w:rsidRPr="009B33A2" w:rsidRDefault="00E20DBC" w:rsidP="00E20DBC">
      <w:pPr>
        <w:pStyle w:val="Odsekzoznamu"/>
        <w:numPr>
          <w:ilvl w:val="0"/>
          <w:numId w:val="30"/>
        </w:numPr>
        <w:spacing w:line="360" w:lineRule="auto"/>
        <w:ind w:left="851" w:hanging="851"/>
        <w:jc w:val="both"/>
        <w:rPr>
          <w:b/>
        </w:rPr>
      </w:pPr>
      <w:r>
        <w:rPr>
          <w:b/>
        </w:rPr>
        <w:t xml:space="preserve">Dohoda o podmienkach oddlženia </w:t>
      </w:r>
    </w:p>
    <w:p w14:paraId="275348A7" w14:textId="77777777" w:rsidR="00E20DBC" w:rsidRPr="009B33A2" w:rsidRDefault="00E20DBC" w:rsidP="00E20DBC">
      <w:pPr>
        <w:pStyle w:val="Odsekzoznamu"/>
        <w:spacing w:line="360" w:lineRule="auto"/>
        <w:ind w:left="1065"/>
        <w:jc w:val="both"/>
        <w:rPr>
          <w:b/>
        </w:rPr>
      </w:pPr>
    </w:p>
    <w:p w14:paraId="4116F387" w14:textId="77777777" w:rsidR="00E20DBC" w:rsidRPr="00710222" w:rsidRDefault="00E20DBC" w:rsidP="00E20DBC">
      <w:pPr>
        <w:pStyle w:val="Odsekzoznamu"/>
        <w:numPr>
          <w:ilvl w:val="0"/>
          <w:numId w:val="32"/>
        </w:numPr>
        <w:spacing w:line="360" w:lineRule="auto"/>
        <w:ind w:left="1134" w:hanging="567"/>
        <w:jc w:val="both"/>
      </w:pPr>
      <w:r w:rsidRPr="007C63BE">
        <w:t xml:space="preserve">Ministerstvo zdravotníctva SR uzatvorí so zdravotníckym zariadením, ktoré bude mať záujem zapojiť sa do následnej finančnej stabilizácie zdravotníckych zariadení, </w:t>
      </w:r>
      <w:r w:rsidRPr="00710222">
        <w:t xml:space="preserve">dohodu o podmienkach oddlženia </w:t>
      </w:r>
      <w:r w:rsidRPr="007C63BE">
        <w:t xml:space="preserve">podľa § </w:t>
      </w:r>
      <w:r w:rsidRPr="00710222">
        <w:t xml:space="preserve">269 ods. 2 </w:t>
      </w:r>
      <w:r w:rsidRPr="007C63BE">
        <w:t xml:space="preserve"> zákona č. 513/1991 Zb. Obchodný zákonník v znení neskorších predpisov. </w:t>
      </w:r>
    </w:p>
    <w:p w14:paraId="2889591D" w14:textId="77777777" w:rsidR="00E20DBC" w:rsidRPr="005254D2" w:rsidRDefault="00E20DBC" w:rsidP="00E20DBC">
      <w:pPr>
        <w:spacing w:line="360" w:lineRule="auto"/>
        <w:ind w:firstLine="360"/>
        <w:jc w:val="both"/>
        <w:rPr>
          <w:rFonts w:ascii="Times New Roman" w:hAnsi="Times New Roman" w:cs="Times New Roman"/>
          <w:sz w:val="24"/>
          <w:szCs w:val="24"/>
        </w:rPr>
      </w:pPr>
    </w:p>
    <w:p w14:paraId="382C638F" w14:textId="77777777" w:rsidR="00E20DBC" w:rsidRDefault="00E20DBC" w:rsidP="00E20DBC">
      <w:pPr>
        <w:pStyle w:val="Odsekzoznamu"/>
        <w:numPr>
          <w:ilvl w:val="0"/>
          <w:numId w:val="32"/>
        </w:numPr>
        <w:spacing w:line="360" w:lineRule="auto"/>
        <w:ind w:left="1134" w:hanging="567"/>
        <w:jc w:val="both"/>
      </w:pPr>
      <w:r>
        <w:t>O</w:t>
      </w:r>
      <w:r w:rsidRPr="007C63BE">
        <w:t xml:space="preserve">bsahom </w:t>
      </w:r>
      <w:r>
        <w:t xml:space="preserve">dohody o podmienkach oddlženia </w:t>
      </w:r>
      <w:r w:rsidRPr="007C63BE">
        <w:t xml:space="preserve">bude úprava práv a povinnosti </w:t>
      </w:r>
      <w:r>
        <w:t xml:space="preserve">účastníkov dohody </w:t>
      </w:r>
      <w:r w:rsidRPr="007C63BE">
        <w:t xml:space="preserve">za účelom realizácie oddlženia. </w:t>
      </w:r>
    </w:p>
    <w:p w14:paraId="19F43D5E" w14:textId="77777777" w:rsidR="00E20DBC" w:rsidRDefault="00E20DBC" w:rsidP="00E20DBC">
      <w:pPr>
        <w:pStyle w:val="Odsekzoznamu"/>
        <w:spacing w:line="360" w:lineRule="auto"/>
        <w:ind w:left="1134"/>
        <w:jc w:val="both"/>
      </w:pPr>
    </w:p>
    <w:p w14:paraId="24711F8E" w14:textId="77777777" w:rsidR="00E20DBC" w:rsidRDefault="00E20DBC" w:rsidP="00E20DBC">
      <w:pPr>
        <w:pStyle w:val="Odsekzoznamu"/>
      </w:pPr>
    </w:p>
    <w:p w14:paraId="22D451B2" w14:textId="65A3282E" w:rsidR="00E20DBC" w:rsidRDefault="00E20DBC" w:rsidP="00735E5A">
      <w:pPr>
        <w:pStyle w:val="Odsekzoznamu"/>
        <w:numPr>
          <w:ilvl w:val="0"/>
          <w:numId w:val="32"/>
        </w:numPr>
        <w:spacing w:line="360" w:lineRule="auto"/>
        <w:ind w:hanging="513"/>
        <w:jc w:val="both"/>
      </w:pPr>
      <w:r>
        <w:t xml:space="preserve">Dlžník – zdravotnícke zariadenie sa zaviaže, </w:t>
      </w:r>
      <w:r w:rsidR="00F471FB">
        <w:t>že pristúpi k verifikácii výšky neuhradených záväzkov podľa bodu 3. článku IX. so svojimi veriteľmi a následne predloží Ministerstvu zdravotníctva SR zoznam verifikovaných záväzkov podpísaný štatutárnym orgánom zdravotníckeho zariadenia a štatutárnym orgánom veriteľa.</w:t>
      </w:r>
    </w:p>
    <w:p w14:paraId="464EDB9A" w14:textId="77777777" w:rsidR="00E20DBC" w:rsidRDefault="00E20DBC" w:rsidP="00E20DBC">
      <w:pPr>
        <w:pStyle w:val="Odsekzoznamu"/>
        <w:spacing w:line="360" w:lineRule="auto"/>
        <w:ind w:left="1134"/>
        <w:jc w:val="both"/>
      </w:pPr>
    </w:p>
    <w:p w14:paraId="5A4B76CA" w14:textId="77777777" w:rsidR="00E20DBC" w:rsidRDefault="00E20DBC" w:rsidP="00E20DBC">
      <w:pPr>
        <w:pStyle w:val="Odsekzoznamu"/>
      </w:pPr>
    </w:p>
    <w:p w14:paraId="1C19070A" w14:textId="77777777" w:rsidR="00E20DBC" w:rsidRPr="009B33A2" w:rsidRDefault="00E20DBC" w:rsidP="00E20DBC">
      <w:pPr>
        <w:pStyle w:val="Odsekzoznamu"/>
        <w:numPr>
          <w:ilvl w:val="0"/>
          <w:numId w:val="32"/>
        </w:numPr>
        <w:spacing w:line="360" w:lineRule="auto"/>
        <w:ind w:left="1134" w:hanging="567"/>
        <w:jc w:val="both"/>
      </w:pPr>
      <w:r>
        <w:t>Na základe dohody o podmienkach oddlženia sa Ministerstvo</w:t>
      </w:r>
      <w:r w:rsidRPr="003923BB">
        <w:t xml:space="preserve"> zdravotníctva SR</w:t>
      </w:r>
      <w:r>
        <w:t xml:space="preserve"> zaviaže uhradiť dlh zdravotníckych zariadení, a to v zmysle Dohody o urovnaní uzatvorenej medzi zdravotníckym zariadením - dlžníkom a veriteľom a na základe Dohody o pristúpení k záväzku uzatvorenej medzi Ministerstvom zdravotníctva SR a zdravotníckym zariadením.  </w:t>
      </w:r>
    </w:p>
    <w:p w14:paraId="072FD471" w14:textId="77777777" w:rsidR="00E20DBC" w:rsidRPr="00710222" w:rsidRDefault="00E20DBC" w:rsidP="00E20DBC">
      <w:pPr>
        <w:pStyle w:val="Odsekzoznamu"/>
        <w:spacing w:line="360" w:lineRule="auto"/>
        <w:ind w:left="1134"/>
        <w:jc w:val="both"/>
      </w:pPr>
    </w:p>
    <w:p w14:paraId="50F5A34E" w14:textId="77777777" w:rsidR="00E20DBC" w:rsidRPr="00A97D26" w:rsidRDefault="00E20DBC" w:rsidP="00E20DBC">
      <w:pPr>
        <w:pStyle w:val="Odsekzoznamu"/>
        <w:numPr>
          <w:ilvl w:val="0"/>
          <w:numId w:val="32"/>
        </w:numPr>
        <w:spacing w:line="360" w:lineRule="auto"/>
        <w:ind w:left="1134" w:hanging="567"/>
        <w:jc w:val="both"/>
      </w:pPr>
      <w:r w:rsidRPr="007C63BE">
        <w:t>Dohoda o podmienkach oddlženia</w:t>
      </w:r>
      <w:r w:rsidRPr="00710222">
        <w:t xml:space="preserve"> bude zverejnená a bude v súlade s ustanovením § 5a zákona č. 211/2000 Z. z. o slobodnom prístupe k informáciám a o zmene a doplnení niektorých zákonov (zákon o slobode informácií) v znení neskorších predpisov a nadobudne účinnosť deň nasledujúci po dni jej zverejnenia.</w:t>
      </w:r>
    </w:p>
    <w:p w14:paraId="7A86C046" w14:textId="79AEE6DA" w:rsidR="00E20DBC" w:rsidRDefault="00E20DBC" w:rsidP="00E20DBC">
      <w:pPr>
        <w:spacing w:line="360" w:lineRule="auto"/>
        <w:jc w:val="both"/>
        <w:rPr>
          <w:b/>
        </w:rPr>
      </w:pPr>
    </w:p>
    <w:p w14:paraId="45DB26F7" w14:textId="25010C73" w:rsidR="00735E5A" w:rsidRDefault="00735E5A" w:rsidP="00E20DBC">
      <w:pPr>
        <w:spacing w:line="360" w:lineRule="auto"/>
        <w:jc w:val="both"/>
        <w:rPr>
          <w:b/>
        </w:rPr>
      </w:pPr>
    </w:p>
    <w:p w14:paraId="344755F8" w14:textId="53E6B457" w:rsidR="00735E5A" w:rsidRDefault="00735E5A" w:rsidP="00E20DBC">
      <w:pPr>
        <w:spacing w:line="360" w:lineRule="auto"/>
        <w:jc w:val="both"/>
        <w:rPr>
          <w:b/>
        </w:rPr>
      </w:pPr>
    </w:p>
    <w:p w14:paraId="54A15BAD" w14:textId="7C00AAA5" w:rsidR="00735E5A" w:rsidRDefault="00735E5A" w:rsidP="00E20DBC">
      <w:pPr>
        <w:spacing w:line="360" w:lineRule="auto"/>
        <w:jc w:val="both"/>
        <w:rPr>
          <w:b/>
        </w:rPr>
      </w:pPr>
    </w:p>
    <w:p w14:paraId="409F6D62" w14:textId="77777777" w:rsidR="00735E5A" w:rsidRPr="007C63BE" w:rsidRDefault="00735E5A" w:rsidP="00E20DBC">
      <w:pPr>
        <w:spacing w:line="360" w:lineRule="auto"/>
        <w:jc w:val="both"/>
        <w:rPr>
          <w:b/>
        </w:rPr>
      </w:pPr>
    </w:p>
    <w:p w14:paraId="1E8B2E93" w14:textId="77777777" w:rsidR="00E20DBC" w:rsidRDefault="00E20DBC" w:rsidP="00E20DBC">
      <w:pPr>
        <w:pStyle w:val="Odsekzoznamu"/>
        <w:numPr>
          <w:ilvl w:val="0"/>
          <w:numId w:val="30"/>
        </w:numPr>
        <w:spacing w:line="360" w:lineRule="auto"/>
        <w:ind w:left="851" w:hanging="851"/>
        <w:jc w:val="both"/>
        <w:rPr>
          <w:b/>
        </w:rPr>
      </w:pPr>
      <w:r>
        <w:rPr>
          <w:b/>
        </w:rPr>
        <w:lastRenderedPageBreak/>
        <w:t>Dohoda o urovnaní</w:t>
      </w:r>
    </w:p>
    <w:p w14:paraId="5C867BAB" w14:textId="77777777" w:rsidR="00E20DBC" w:rsidRPr="007C63BE" w:rsidRDefault="00E20DBC" w:rsidP="00E20DBC">
      <w:pPr>
        <w:pStyle w:val="Odsekzoznamu"/>
        <w:spacing w:line="360" w:lineRule="auto"/>
        <w:ind w:left="851"/>
        <w:jc w:val="both"/>
        <w:rPr>
          <w:b/>
        </w:rPr>
      </w:pPr>
    </w:p>
    <w:p w14:paraId="2E4326CA" w14:textId="77777777" w:rsidR="00E20DBC" w:rsidRPr="007C63BE" w:rsidRDefault="00E20DBC" w:rsidP="00E20DBC">
      <w:pPr>
        <w:pStyle w:val="Odsekzoznamu"/>
        <w:numPr>
          <w:ilvl w:val="0"/>
          <w:numId w:val="31"/>
        </w:numPr>
        <w:spacing w:before="240" w:after="240" w:line="360" w:lineRule="auto"/>
        <w:ind w:left="1134" w:hanging="567"/>
        <w:jc w:val="both"/>
      </w:pPr>
      <w:r>
        <w:t xml:space="preserve">Dlžník – zdravotnícke zariadenie uzatvorí s veriteľom písomnú dohodu o urovnaní v zmysle § 585 zákona č. 40/1964 Zb. </w:t>
      </w:r>
      <w:r w:rsidRPr="00F95F39">
        <w:t>Občiansk</w:t>
      </w:r>
      <w:r>
        <w:t>y</w:t>
      </w:r>
      <w:r w:rsidRPr="00F95F39">
        <w:t xml:space="preserve"> zákonník</w:t>
      </w:r>
      <w:r>
        <w:t xml:space="preserve"> v znení neskorších predpisov. </w:t>
      </w:r>
    </w:p>
    <w:p w14:paraId="6133DACA" w14:textId="77777777" w:rsidR="00E20DBC" w:rsidRPr="007C63BE" w:rsidRDefault="00E20DBC" w:rsidP="00E20DBC">
      <w:pPr>
        <w:pStyle w:val="Odsekzoznamu"/>
        <w:spacing w:before="240" w:after="240" w:line="360" w:lineRule="auto"/>
        <w:ind w:left="1134"/>
        <w:jc w:val="both"/>
        <w:rPr>
          <w:highlight w:val="lightGray"/>
        </w:rPr>
      </w:pPr>
    </w:p>
    <w:p w14:paraId="1D5D5532" w14:textId="4A3F1FEB" w:rsidR="00E20DBC" w:rsidRDefault="00E20DBC" w:rsidP="00E20DBC">
      <w:pPr>
        <w:pStyle w:val="Odsekzoznamu"/>
        <w:numPr>
          <w:ilvl w:val="0"/>
          <w:numId w:val="31"/>
        </w:numPr>
        <w:spacing w:before="240" w:after="240" w:line="360" w:lineRule="auto"/>
        <w:ind w:left="1134" w:hanging="567"/>
        <w:jc w:val="both"/>
      </w:pPr>
      <w:r>
        <w:t xml:space="preserve">Účinnosťou dohody o urovnaní sa budú považovať všetky pohľadávky, ktoré sú predmetom tejto dohody o urovnaní, za urovnané.  </w:t>
      </w:r>
    </w:p>
    <w:p w14:paraId="209A2287" w14:textId="77777777" w:rsidR="00E20DBC" w:rsidRDefault="00E20DBC" w:rsidP="00E20DBC">
      <w:pPr>
        <w:pStyle w:val="Odsekzoznamu"/>
      </w:pPr>
    </w:p>
    <w:p w14:paraId="542B53D5" w14:textId="77777777" w:rsidR="00E20DBC" w:rsidRDefault="00E20DBC" w:rsidP="00E20DBC">
      <w:pPr>
        <w:pStyle w:val="Odsekzoznamu"/>
        <w:numPr>
          <w:ilvl w:val="0"/>
          <w:numId w:val="31"/>
        </w:numPr>
        <w:spacing w:before="240" w:after="240" w:line="360" w:lineRule="auto"/>
        <w:ind w:left="1134" w:hanging="567"/>
        <w:jc w:val="both"/>
      </w:pPr>
      <w:r w:rsidRPr="003923BB">
        <w:t xml:space="preserve">Ministerstvo zdravotníctva SR uzatvorí do 90 dní odo dňa účinnosti Dohody o urovnaní </w:t>
      </w:r>
      <w:r>
        <w:t xml:space="preserve">so zdravotníckym zariadením </w:t>
      </w:r>
      <w:r w:rsidRPr="003923BB">
        <w:t xml:space="preserve">Dohodu o pristúpení k záväzku a oddlží zdravotnícke zariadenie. </w:t>
      </w:r>
    </w:p>
    <w:p w14:paraId="1D3BF476" w14:textId="77777777" w:rsidR="00E20DBC" w:rsidRDefault="00E20DBC" w:rsidP="00E20DBC">
      <w:pPr>
        <w:pStyle w:val="Odsekzoznamu"/>
      </w:pPr>
    </w:p>
    <w:p w14:paraId="201E23CB" w14:textId="77777777" w:rsidR="00E20DBC" w:rsidRPr="009B33A2" w:rsidRDefault="00E20DBC" w:rsidP="00E20DBC">
      <w:pPr>
        <w:pStyle w:val="Odsekzoznamu"/>
        <w:spacing w:before="240" w:after="240" w:line="360" w:lineRule="auto"/>
        <w:ind w:left="1080"/>
        <w:jc w:val="both"/>
      </w:pPr>
    </w:p>
    <w:p w14:paraId="3F4FDCD1" w14:textId="77777777" w:rsidR="00E20DBC" w:rsidRPr="007C63BE" w:rsidRDefault="00E20DBC" w:rsidP="00E20DBC">
      <w:pPr>
        <w:pStyle w:val="Odsekzoznamu"/>
        <w:numPr>
          <w:ilvl w:val="0"/>
          <w:numId w:val="30"/>
        </w:numPr>
        <w:spacing w:line="360" w:lineRule="auto"/>
        <w:ind w:left="851" w:hanging="851"/>
        <w:jc w:val="both"/>
        <w:rPr>
          <w:b/>
        </w:rPr>
      </w:pPr>
      <w:r w:rsidRPr="007C63BE">
        <w:rPr>
          <w:b/>
        </w:rPr>
        <w:t>Dohoda o</w:t>
      </w:r>
      <w:r>
        <w:rPr>
          <w:b/>
        </w:rPr>
        <w:t> </w:t>
      </w:r>
      <w:r w:rsidRPr="009B33A2">
        <w:rPr>
          <w:b/>
        </w:rPr>
        <w:t>pristúpení</w:t>
      </w:r>
      <w:r>
        <w:rPr>
          <w:b/>
        </w:rPr>
        <w:t xml:space="preserve"> k</w:t>
      </w:r>
      <w:r w:rsidRPr="007C63BE">
        <w:rPr>
          <w:b/>
        </w:rPr>
        <w:t xml:space="preserve"> záväzku </w:t>
      </w:r>
    </w:p>
    <w:p w14:paraId="75D70EFF" w14:textId="77777777" w:rsidR="00E20DBC" w:rsidRDefault="00E20DBC" w:rsidP="00E20DBC">
      <w:pPr>
        <w:pStyle w:val="Odsekzoznamu"/>
        <w:spacing w:line="360" w:lineRule="auto"/>
        <w:ind w:left="1065"/>
        <w:jc w:val="both"/>
        <w:rPr>
          <w:b/>
        </w:rPr>
      </w:pPr>
    </w:p>
    <w:p w14:paraId="56673B01" w14:textId="77777777" w:rsidR="00E20DBC" w:rsidRPr="009312A4" w:rsidRDefault="00E20DBC" w:rsidP="00E20DBC">
      <w:pPr>
        <w:pStyle w:val="Odsekzoznamu"/>
        <w:numPr>
          <w:ilvl w:val="0"/>
          <w:numId w:val="28"/>
        </w:numPr>
        <w:spacing w:before="240" w:after="240" w:line="360" w:lineRule="auto"/>
        <w:ind w:left="1134" w:hanging="567"/>
        <w:jc w:val="both"/>
      </w:pPr>
      <w:r w:rsidRPr="009B0095">
        <w:t xml:space="preserve">Ministerstvo zdravotníctva </w:t>
      </w:r>
      <w:r>
        <w:t xml:space="preserve">SR </w:t>
      </w:r>
      <w:r w:rsidRPr="009B0095">
        <w:t>pristúpi k záväzkom dlžníka – z</w:t>
      </w:r>
      <w:r w:rsidRPr="006C0BBF">
        <w:t>dravotníckeho zariadenia</w:t>
      </w:r>
      <w:r w:rsidRPr="009312A4">
        <w:t xml:space="preserve">. </w:t>
      </w:r>
    </w:p>
    <w:p w14:paraId="514F84A2" w14:textId="77777777" w:rsidR="00E20DBC" w:rsidRPr="009312A4" w:rsidRDefault="00E20DBC" w:rsidP="00E20DBC">
      <w:pPr>
        <w:pStyle w:val="Odsekzoznamu"/>
        <w:spacing w:before="240" w:after="240"/>
        <w:jc w:val="both"/>
      </w:pPr>
    </w:p>
    <w:p w14:paraId="72A00A93" w14:textId="77777777" w:rsidR="00E20DBC" w:rsidRDefault="00E20DBC" w:rsidP="00E20DBC">
      <w:pPr>
        <w:pStyle w:val="Odsekzoznamu"/>
        <w:numPr>
          <w:ilvl w:val="0"/>
          <w:numId w:val="28"/>
        </w:numPr>
        <w:spacing w:before="240" w:after="240" w:line="360" w:lineRule="auto"/>
        <w:ind w:left="1134" w:hanging="567"/>
        <w:jc w:val="both"/>
      </w:pPr>
      <w:r w:rsidRPr="00F95F39">
        <w:t>Pristúpenie k záväzku zdravotníckeho zariadenia bude realizované analogicky podľa § 53</w:t>
      </w:r>
      <w:r>
        <w:t>4</w:t>
      </w:r>
      <w:r w:rsidRPr="00F95F39">
        <w:t xml:space="preserve"> </w:t>
      </w:r>
      <w:r>
        <w:t xml:space="preserve">zákona č. 40/1964 Zb. </w:t>
      </w:r>
      <w:r w:rsidRPr="00F95F39">
        <w:t>Občiansk</w:t>
      </w:r>
      <w:r>
        <w:t>y</w:t>
      </w:r>
      <w:r w:rsidRPr="00F95F39">
        <w:t xml:space="preserve"> zákonník</w:t>
      </w:r>
      <w:r>
        <w:t xml:space="preserve"> v znení neskorších predpisov</w:t>
      </w:r>
      <w:r w:rsidRPr="00F95F39">
        <w:t xml:space="preserve">. Uvedené platí aj vo vzťahu k pohľadávkam NTS. Ministerstvo zdravotníctva </w:t>
      </w:r>
      <w:r>
        <w:t xml:space="preserve">SR na základe tohto nového, samostatného záväzkovo-právneho vzťahu </w:t>
      </w:r>
      <w:r w:rsidRPr="00F95F39">
        <w:t xml:space="preserve"> uhradí dlžnú sumu veriteľom a  Ministerstvu zdravotníctva </w:t>
      </w:r>
      <w:r>
        <w:t xml:space="preserve">SR </w:t>
      </w:r>
      <w:r w:rsidRPr="00F95F39">
        <w:t>vznikne regresný nárok vo vzťahu k</w:t>
      </w:r>
      <w:r w:rsidRPr="009B0095">
        <w:t> zdravotníckym zariadeniam</w:t>
      </w:r>
      <w:r w:rsidRPr="00F95F39">
        <w:t>.</w:t>
      </w:r>
    </w:p>
    <w:p w14:paraId="00C28D70" w14:textId="77777777" w:rsidR="00E20DBC" w:rsidRDefault="00E20DBC" w:rsidP="00E20DBC">
      <w:pPr>
        <w:pStyle w:val="Odsekzoznamu"/>
      </w:pPr>
    </w:p>
    <w:p w14:paraId="42B8A1AF" w14:textId="77777777" w:rsidR="00E20DBC" w:rsidRPr="00F95F39" w:rsidRDefault="00E20DBC" w:rsidP="00E20DBC">
      <w:pPr>
        <w:pStyle w:val="Odsekzoznamu"/>
        <w:spacing w:before="240" w:after="240" w:line="360" w:lineRule="auto"/>
        <w:ind w:left="1134"/>
        <w:jc w:val="both"/>
      </w:pPr>
    </w:p>
    <w:p w14:paraId="401F7F8E" w14:textId="77777777" w:rsidR="00E20DBC" w:rsidRPr="009312A4" w:rsidRDefault="00E20DBC" w:rsidP="00E20DBC">
      <w:pPr>
        <w:pStyle w:val="Odsekzoznamu"/>
        <w:numPr>
          <w:ilvl w:val="0"/>
          <w:numId w:val="28"/>
        </w:numPr>
        <w:spacing w:before="240" w:after="240" w:line="360" w:lineRule="auto"/>
        <w:ind w:left="1134" w:hanging="567"/>
        <w:jc w:val="both"/>
      </w:pPr>
      <w:r w:rsidRPr="009B0095">
        <w:t xml:space="preserve">Ministerstvu zdravotníctva SR vznikne </w:t>
      </w:r>
      <w:r>
        <w:t xml:space="preserve">oprávnenie splniť dlh </w:t>
      </w:r>
      <w:r w:rsidRPr="009B0095">
        <w:t xml:space="preserve">voči </w:t>
      </w:r>
      <w:r>
        <w:t xml:space="preserve">veriteľovi namiesto </w:t>
      </w:r>
      <w:r w:rsidRPr="009B0095">
        <w:t>zdravotnícke</w:t>
      </w:r>
      <w:r>
        <w:t>ho</w:t>
      </w:r>
      <w:r w:rsidRPr="009B0095">
        <w:t xml:space="preserve"> zariadeni</w:t>
      </w:r>
      <w:r>
        <w:t>a, pričom Ministerstvo zdravotníctva SR sa nestáva účastníkom základného záväzkového vzťahu medzi zdravotníckym zariadením a veriteľom, z ktorého dlh vznikol</w:t>
      </w:r>
      <w:r w:rsidRPr="009B0095">
        <w:t xml:space="preserve">. </w:t>
      </w:r>
      <w:r w:rsidRPr="009312A4">
        <w:t xml:space="preserve">Veriteľ je povinný prijať plnenie Ministerstva zdravotníctva SR. V rozsahu plnenia Ministerstva zdravotníctva </w:t>
      </w:r>
      <w:r>
        <w:t xml:space="preserve">SR </w:t>
      </w:r>
      <w:r w:rsidRPr="009312A4">
        <w:t>pohľadávka veriteľa zanikne.</w:t>
      </w:r>
    </w:p>
    <w:p w14:paraId="136D4CBF" w14:textId="77777777" w:rsidR="00E20DBC" w:rsidRPr="00C11A51" w:rsidRDefault="00E20DBC" w:rsidP="00E20DBC">
      <w:pPr>
        <w:pStyle w:val="Odsekzoznamu"/>
        <w:spacing w:before="240" w:after="240" w:line="360" w:lineRule="auto"/>
        <w:ind w:left="1134"/>
        <w:jc w:val="both"/>
      </w:pPr>
    </w:p>
    <w:p w14:paraId="6325ECEA" w14:textId="77777777" w:rsidR="00E20DBC" w:rsidRPr="009B0095" w:rsidRDefault="00E20DBC" w:rsidP="00E20DBC">
      <w:pPr>
        <w:pStyle w:val="Odsekzoznamu"/>
        <w:spacing w:before="240" w:after="240" w:line="360" w:lineRule="auto"/>
        <w:ind w:left="1134"/>
        <w:jc w:val="both"/>
      </w:pPr>
      <w:bookmarkStart w:id="3" w:name="_GoBack"/>
      <w:bookmarkEnd w:id="3"/>
    </w:p>
    <w:p w14:paraId="40FEA952" w14:textId="77777777" w:rsidR="00E20DBC" w:rsidRPr="00F95F39" w:rsidRDefault="00E20DBC" w:rsidP="00E20DBC">
      <w:pPr>
        <w:pStyle w:val="Odsekzoznamu"/>
        <w:numPr>
          <w:ilvl w:val="0"/>
          <w:numId w:val="28"/>
        </w:numPr>
        <w:spacing w:before="240" w:after="240" w:line="360" w:lineRule="auto"/>
        <w:ind w:left="1134" w:hanging="567"/>
        <w:jc w:val="both"/>
      </w:pPr>
      <w:r w:rsidRPr="009B0095">
        <w:lastRenderedPageBreak/>
        <w:t xml:space="preserve">Dohoda </w:t>
      </w:r>
      <w:r>
        <w:t xml:space="preserve">o pristúpení k záväzku </w:t>
      </w:r>
      <w:r w:rsidRPr="009B0095">
        <w:t xml:space="preserve">bude zverejnená a bude </w:t>
      </w:r>
      <w:r w:rsidRPr="00F95F39">
        <w:t xml:space="preserve">v súlade s ustanovením § 5a zákona č. 211/2000 </w:t>
      </w:r>
      <w:r>
        <w:t xml:space="preserve">Z. z. </w:t>
      </w:r>
      <w:r w:rsidRPr="00F95F39">
        <w:t xml:space="preserve">o slobodnom prístupe k informáciám </w:t>
      </w:r>
      <w:r w:rsidRPr="00B71918">
        <w:t xml:space="preserve">a o zmene a doplnení niektorých zákonov (zákon o slobode informácií) </w:t>
      </w:r>
      <w:r>
        <w:t xml:space="preserve">v znení neskorších predpisov </w:t>
      </w:r>
      <w:r w:rsidRPr="00F95F39">
        <w:t>a nadobudne účinnosť deň nasledujúci po dni jej zverejnenia.</w:t>
      </w:r>
    </w:p>
    <w:p w14:paraId="2A9D30C3" w14:textId="77777777" w:rsidR="001E301A" w:rsidRPr="008442D8" w:rsidRDefault="001E301A" w:rsidP="001E301A">
      <w:pPr>
        <w:autoSpaceDE w:val="0"/>
        <w:autoSpaceDN w:val="0"/>
        <w:adjustRightInd w:val="0"/>
        <w:spacing w:line="360" w:lineRule="auto"/>
        <w:jc w:val="both"/>
        <w:rPr>
          <w:rFonts w:ascii="Times New Roman" w:hAnsi="Times New Roman" w:cs="Times New Roman"/>
          <w:color w:val="000000"/>
          <w:kern w:val="24"/>
          <w:sz w:val="24"/>
          <w:szCs w:val="24"/>
        </w:rPr>
      </w:pPr>
    </w:p>
    <w:p w14:paraId="030D7332" w14:textId="463EADC7" w:rsidR="004C7AF4" w:rsidRPr="009B0095" w:rsidRDefault="004C7AF4" w:rsidP="00E20DBC">
      <w:pPr>
        <w:spacing w:line="360" w:lineRule="auto"/>
        <w:jc w:val="both"/>
      </w:pPr>
    </w:p>
    <w:sectPr w:rsidR="004C7AF4" w:rsidRPr="009B0095" w:rsidSect="00EC61B2">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CC34C" w16cid:durableId="27325E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32E1C" w14:textId="77777777" w:rsidR="00C2694D" w:rsidRDefault="00C2694D" w:rsidP="00DA2485">
      <w:r>
        <w:separator/>
      </w:r>
    </w:p>
  </w:endnote>
  <w:endnote w:type="continuationSeparator" w:id="0">
    <w:p w14:paraId="2324E70F" w14:textId="77777777" w:rsidR="00C2694D" w:rsidRDefault="00C2694D" w:rsidP="00DA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875541"/>
      <w:docPartObj>
        <w:docPartGallery w:val="Page Numbers (Bottom of Page)"/>
        <w:docPartUnique/>
      </w:docPartObj>
    </w:sdtPr>
    <w:sdtEndPr/>
    <w:sdtContent>
      <w:p w14:paraId="4E125692" w14:textId="262AE123" w:rsidR="007C45F2" w:rsidRDefault="007C45F2">
        <w:pPr>
          <w:pStyle w:val="Pta"/>
          <w:jc w:val="right"/>
        </w:pPr>
        <w:r>
          <w:fldChar w:fldCharType="begin"/>
        </w:r>
        <w:r>
          <w:instrText>PAGE   \* MERGEFORMAT</w:instrText>
        </w:r>
        <w:r>
          <w:fldChar w:fldCharType="separate"/>
        </w:r>
        <w:r w:rsidR="00735E5A">
          <w:rPr>
            <w:noProof/>
          </w:rPr>
          <w:t>27</w:t>
        </w:r>
        <w:r>
          <w:fldChar w:fldCharType="end"/>
        </w:r>
      </w:p>
    </w:sdtContent>
  </w:sdt>
  <w:p w14:paraId="30900B50" w14:textId="77777777" w:rsidR="007C45F2" w:rsidRDefault="007C45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68FCB" w14:textId="77777777" w:rsidR="00C2694D" w:rsidRDefault="00C2694D" w:rsidP="00DA2485">
      <w:r>
        <w:separator/>
      </w:r>
    </w:p>
  </w:footnote>
  <w:footnote w:type="continuationSeparator" w:id="0">
    <w:p w14:paraId="249A46C5" w14:textId="77777777" w:rsidR="00C2694D" w:rsidRDefault="00C2694D" w:rsidP="00DA2485">
      <w:r>
        <w:continuationSeparator/>
      </w:r>
    </w:p>
  </w:footnote>
  <w:footnote w:id="1">
    <w:p w14:paraId="20F00D9E" w14:textId="5708DA64" w:rsidR="007C45F2" w:rsidRPr="009B0095" w:rsidRDefault="007C45F2">
      <w:pPr>
        <w:pStyle w:val="Textpoznmkypodiarou"/>
        <w:rPr>
          <w:rFonts w:ascii="Times New Roman" w:hAnsi="Times New Roman" w:cs="Times New Roman"/>
        </w:rPr>
      </w:pPr>
      <w:r>
        <w:rPr>
          <w:rStyle w:val="Odkaznapoznmkupodiarou"/>
        </w:rPr>
        <w:footnoteRef/>
      </w:r>
      <w:r>
        <w:t xml:space="preserve"> </w:t>
      </w:r>
      <w:r w:rsidRPr="009B0095">
        <w:rPr>
          <w:rFonts w:ascii="Times New Roman" w:hAnsi="Times New Roman" w:cs="Times New Roman"/>
        </w:rPr>
        <w:t>ukončenie 3. etapy  Koncepcie oddlženia zdravotníckych zariadení</w:t>
      </w:r>
    </w:p>
  </w:footnote>
  <w:footnote w:id="2">
    <w:p w14:paraId="4D37CE60" w14:textId="7FBAD26A" w:rsidR="007C45F2" w:rsidRDefault="007C45F2" w:rsidP="002F33DC">
      <w:pPr>
        <w:pStyle w:val="Textpoznmkypodiarou"/>
        <w:ind w:left="142" w:hanging="142"/>
      </w:pPr>
      <w:r w:rsidRPr="009B0095">
        <w:rPr>
          <w:rStyle w:val="Odkaznapoznmkupodiarou"/>
          <w:rFonts w:ascii="Times New Roman" w:hAnsi="Times New Roman" w:cs="Times New Roman"/>
        </w:rPr>
        <w:footnoteRef/>
      </w:r>
      <w:r w:rsidRPr="009B0095">
        <w:rPr>
          <w:rFonts w:ascii="Times New Roman" w:hAnsi="Times New Roman" w:cs="Times New Roman"/>
        </w:rPr>
        <w:t xml:space="preserve"> faktoring a forfaiting s cieľom kapitalizácie príslušenstva pohľadávok nadobudnutých od priamych veriteľov zdravotníckych zariadení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E4"/>
    <w:multiLevelType w:val="hybridMultilevel"/>
    <w:tmpl w:val="FFFFFFFF"/>
    <w:lvl w:ilvl="0" w:tplc="041B0019">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6EF8B3E6">
      <w:start w:val="575"/>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E20AF5"/>
    <w:multiLevelType w:val="hybridMultilevel"/>
    <w:tmpl w:val="1F8207F6"/>
    <w:lvl w:ilvl="0" w:tplc="568229FC">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1E017BF"/>
    <w:multiLevelType w:val="hybridMultilevel"/>
    <w:tmpl w:val="918AED6A"/>
    <w:lvl w:ilvl="0" w:tplc="4FD88A50">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FD0FC2"/>
    <w:multiLevelType w:val="hybridMultilevel"/>
    <w:tmpl w:val="FFFFFFFF"/>
    <w:lvl w:ilvl="0" w:tplc="041B0017">
      <w:start w:val="1"/>
      <w:numFmt w:val="lowerLetter"/>
      <w:lvlText w:val="%1)"/>
      <w:lvlJc w:val="left"/>
      <w:pPr>
        <w:ind w:left="1068" w:hanging="360"/>
      </w:pPr>
      <w:rPr>
        <w:rFonts w:cs="Times New Roman"/>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 w15:restartNumberingAfterBreak="0">
    <w:nsid w:val="080F4EDE"/>
    <w:multiLevelType w:val="hybridMultilevel"/>
    <w:tmpl w:val="D756ABE6"/>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8B65DBC"/>
    <w:multiLevelType w:val="hybridMultilevel"/>
    <w:tmpl w:val="FFFFFFFF"/>
    <w:lvl w:ilvl="0" w:tplc="86002FCC">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6" w15:restartNumberingAfterBreak="0">
    <w:nsid w:val="0D3601C3"/>
    <w:multiLevelType w:val="hybridMultilevel"/>
    <w:tmpl w:val="9CC6D6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EF7E5E"/>
    <w:multiLevelType w:val="hybridMultilevel"/>
    <w:tmpl w:val="FFFFFFFF"/>
    <w:lvl w:ilvl="0" w:tplc="041B0019">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6EF8B3E6">
      <w:start w:val="575"/>
      <w:numFmt w:val="decimal"/>
      <w:lvlText w:val="%3"/>
      <w:lvlJc w:val="left"/>
      <w:pPr>
        <w:ind w:left="1980" w:hanging="360"/>
      </w:pPr>
      <w:rPr>
        <w:rFonts w:cs="Times New Roman" w:hint="default"/>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0D84E9A"/>
    <w:multiLevelType w:val="hybridMultilevel"/>
    <w:tmpl w:val="FFFFFFFF"/>
    <w:lvl w:ilvl="0" w:tplc="08090017">
      <w:start w:val="1"/>
      <w:numFmt w:val="lowerLetter"/>
      <w:lvlText w:val="%1)"/>
      <w:lvlJc w:val="left"/>
      <w:pPr>
        <w:ind w:left="1429" w:hanging="360"/>
      </w:pPr>
      <w:rPr>
        <w:rFonts w:cs="Times New Roman"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15:restartNumberingAfterBreak="0">
    <w:nsid w:val="183C7C52"/>
    <w:multiLevelType w:val="hybridMultilevel"/>
    <w:tmpl w:val="FFFFFFFF"/>
    <w:lvl w:ilvl="0" w:tplc="08090017">
      <w:start w:val="1"/>
      <w:numFmt w:val="lowerLetter"/>
      <w:lvlText w:val="%1)"/>
      <w:lvlJc w:val="left"/>
      <w:pPr>
        <w:ind w:left="360" w:hanging="360"/>
      </w:pPr>
      <w:rPr>
        <w:rFonts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A671577"/>
    <w:multiLevelType w:val="hybridMultilevel"/>
    <w:tmpl w:val="FFFFFFFF"/>
    <w:lvl w:ilvl="0" w:tplc="08090017">
      <w:start w:val="1"/>
      <w:numFmt w:val="lowerLetter"/>
      <w:lvlText w:val="%1)"/>
      <w:lvlJc w:val="left"/>
      <w:pPr>
        <w:ind w:left="1429" w:hanging="360"/>
      </w:pPr>
      <w:rPr>
        <w:rFonts w:cs="Times New Roman"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23257E66"/>
    <w:multiLevelType w:val="hybridMultilevel"/>
    <w:tmpl w:val="FFFFFFFF"/>
    <w:lvl w:ilvl="0" w:tplc="08090017">
      <w:start w:val="1"/>
      <w:numFmt w:val="lowerLetter"/>
      <w:lvlText w:val="%1)"/>
      <w:lvlJc w:val="left"/>
      <w:pPr>
        <w:ind w:left="1429" w:hanging="360"/>
      </w:pPr>
      <w:rPr>
        <w:rFonts w:cs="Times New Roman"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2" w15:restartNumberingAfterBreak="0">
    <w:nsid w:val="24BB49D4"/>
    <w:multiLevelType w:val="hybridMultilevel"/>
    <w:tmpl w:val="FFFFFFFF"/>
    <w:lvl w:ilvl="0" w:tplc="041B0017">
      <w:start w:val="1"/>
      <w:numFmt w:val="lowerLetter"/>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6375095"/>
    <w:multiLevelType w:val="hybridMultilevel"/>
    <w:tmpl w:val="2F203A02"/>
    <w:lvl w:ilvl="0" w:tplc="BA1E8FD2">
      <w:start w:val="1"/>
      <w:numFmt w:val="upperRoman"/>
      <w:lvlText w:val="%1."/>
      <w:lvlJc w:val="left"/>
      <w:pPr>
        <w:ind w:left="720" w:hanging="720"/>
      </w:pPr>
      <w:rPr>
        <w:rFonts w:hint="default"/>
        <w:b/>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4" w15:restartNumberingAfterBreak="0">
    <w:nsid w:val="2E007D55"/>
    <w:multiLevelType w:val="hybridMultilevel"/>
    <w:tmpl w:val="913657A2"/>
    <w:lvl w:ilvl="0" w:tplc="3EFE16F8">
      <w:start w:val="1"/>
      <w:numFmt w:val="decimal"/>
      <w:lvlText w:val="%1."/>
      <w:lvlJc w:val="left"/>
      <w:pPr>
        <w:ind w:left="1080" w:hanging="360"/>
      </w:pPr>
      <w:rPr>
        <w:rFonts w:ascii="Times New Roman" w:hAnsi="Times New Roman"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60F2DEF"/>
    <w:multiLevelType w:val="hybridMultilevel"/>
    <w:tmpl w:val="FFFFFFFF"/>
    <w:lvl w:ilvl="0" w:tplc="CC22E190">
      <w:start w:val="1"/>
      <w:numFmt w:val="upperLetter"/>
      <w:lvlText w:val="%1.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82D5179"/>
    <w:multiLevelType w:val="hybridMultilevel"/>
    <w:tmpl w:val="6F86EB32"/>
    <w:lvl w:ilvl="0" w:tplc="3288DD8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3C693745"/>
    <w:multiLevelType w:val="hybridMultilevel"/>
    <w:tmpl w:val="28AE1AD2"/>
    <w:lvl w:ilvl="0" w:tplc="041B0003">
      <w:start w:val="1"/>
      <w:numFmt w:val="bullet"/>
      <w:lvlText w:val="o"/>
      <w:lvlJc w:val="left"/>
      <w:pPr>
        <w:ind w:left="1080" w:hanging="360"/>
      </w:pPr>
      <w:rPr>
        <w:rFonts w:ascii="Courier New" w:hAnsi="Courier New" w:cs="Courier New"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FB84736"/>
    <w:multiLevelType w:val="hybridMultilevel"/>
    <w:tmpl w:val="2146CC8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313A5A"/>
    <w:multiLevelType w:val="hybridMultilevel"/>
    <w:tmpl w:val="3C9A5A46"/>
    <w:lvl w:ilvl="0" w:tplc="C8D049D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419E1A13"/>
    <w:multiLevelType w:val="hybridMultilevel"/>
    <w:tmpl w:val="FFFFFFFF"/>
    <w:lvl w:ilvl="0" w:tplc="08090017">
      <w:start w:val="1"/>
      <w:numFmt w:val="lowerLetter"/>
      <w:lvlText w:val="%1)"/>
      <w:lvlJc w:val="left"/>
      <w:pPr>
        <w:ind w:left="1429" w:hanging="360"/>
      </w:pPr>
      <w:rPr>
        <w:rFonts w:cs="Times New Roman"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4B6B1A33"/>
    <w:multiLevelType w:val="hybridMultilevel"/>
    <w:tmpl w:val="8E526AB8"/>
    <w:lvl w:ilvl="0" w:tplc="A822C292">
      <w:start w:val="1"/>
      <w:numFmt w:val="decimal"/>
      <w:lvlText w:val="%1."/>
      <w:lvlJc w:val="left"/>
      <w:pPr>
        <w:ind w:left="720" w:hanging="360"/>
      </w:pPr>
      <w:rPr>
        <w:rFonts w:ascii="Arial Narrow"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501D07"/>
    <w:multiLevelType w:val="hybridMultilevel"/>
    <w:tmpl w:val="FFFFFFFF"/>
    <w:lvl w:ilvl="0" w:tplc="08090017">
      <w:start w:val="1"/>
      <w:numFmt w:val="lowerLetter"/>
      <w:lvlText w:val="%1)"/>
      <w:lvlJc w:val="left"/>
      <w:pPr>
        <w:ind w:left="1429" w:hanging="360"/>
      </w:pPr>
      <w:rPr>
        <w:rFonts w:cs="Times New Roman"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528A4F91"/>
    <w:multiLevelType w:val="hybridMultilevel"/>
    <w:tmpl w:val="A64E7EEE"/>
    <w:lvl w:ilvl="0" w:tplc="9552E90A">
      <w:start w:val="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E7248"/>
    <w:multiLevelType w:val="hybridMultilevel"/>
    <w:tmpl w:val="CC7689EE"/>
    <w:lvl w:ilvl="0" w:tplc="2ADA6B1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A3F6902"/>
    <w:multiLevelType w:val="hybridMultilevel"/>
    <w:tmpl w:val="13DAEA1E"/>
    <w:lvl w:ilvl="0" w:tplc="DC32EBC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B174E55"/>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FA04CEE"/>
    <w:multiLevelType w:val="hybridMultilevel"/>
    <w:tmpl w:val="FFFFFFFF"/>
    <w:lvl w:ilvl="0" w:tplc="041B0013">
      <w:start w:val="1"/>
      <w:numFmt w:val="upperRoman"/>
      <w:lvlText w:val="%1."/>
      <w:lvlJc w:val="righ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28" w15:restartNumberingAfterBreak="0">
    <w:nsid w:val="631E40EF"/>
    <w:multiLevelType w:val="hybridMultilevel"/>
    <w:tmpl w:val="FFFFFFFF"/>
    <w:lvl w:ilvl="0" w:tplc="86002FCC">
      <w:start w:val="1"/>
      <w:numFmt w:val="lowerLetter"/>
      <w:lvlText w:val="%1)"/>
      <w:lvlJc w:val="left"/>
      <w:pPr>
        <w:ind w:left="1440" w:hanging="360"/>
      </w:pPr>
      <w:rPr>
        <w:rFonts w:cs="Times New Roman" w:hint="default"/>
      </w:rPr>
    </w:lvl>
    <w:lvl w:ilvl="1" w:tplc="094E76AE">
      <w:start w:val="1"/>
      <w:numFmt w:val="lowerRoman"/>
      <w:lvlText w:val="(%2)"/>
      <w:lvlJc w:val="left"/>
      <w:pPr>
        <w:ind w:left="2520" w:hanging="720"/>
      </w:pPr>
      <w:rPr>
        <w:rFonts w:cs="Times New Roman" w:hint="default"/>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65F1157C"/>
    <w:multiLevelType w:val="hybridMultilevel"/>
    <w:tmpl w:val="FFFFFFFF"/>
    <w:lvl w:ilvl="0" w:tplc="08090017">
      <w:start w:val="1"/>
      <w:numFmt w:val="lowerLetter"/>
      <w:lvlText w:val="%1)"/>
      <w:lvlJc w:val="left"/>
      <w:pPr>
        <w:ind w:left="1429" w:hanging="360"/>
      </w:pPr>
      <w:rPr>
        <w:rFonts w:cs="Times New Roman"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6E1B581A"/>
    <w:multiLevelType w:val="hybridMultilevel"/>
    <w:tmpl w:val="FFFFFFFF"/>
    <w:lvl w:ilvl="0" w:tplc="9588F83A">
      <w:start w:val="1"/>
      <w:numFmt w:val="decimal"/>
      <w:lvlText w:val="%1."/>
      <w:lvlJc w:val="left"/>
      <w:pPr>
        <w:ind w:left="360" w:hanging="360"/>
      </w:pPr>
      <w:rPr>
        <w:rFonts w:cs="Times New Roman"/>
        <w:i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732E7B93"/>
    <w:multiLevelType w:val="hybridMultilevel"/>
    <w:tmpl w:val="348E9B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1"/>
  </w:num>
  <w:num w:numId="3">
    <w:abstractNumId w:val="17"/>
  </w:num>
  <w:num w:numId="4">
    <w:abstractNumId w:val="23"/>
  </w:num>
  <w:num w:numId="5">
    <w:abstractNumId w:val="2"/>
  </w:num>
  <w:num w:numId="6">
    <w:abstractNumId w:val="22"/>
  </w:num>
  <w:num w:numId="7">
    <w:abstractNumId w:val="28"/>
  </w:num>
  <w:num w:numId="8">
    <w:abstractNumId w:val="26"/>
  </w:num>
  <w:num w:numId="9">
    <w:abstractNumId w:val="3"/>
  </w:num>
  <w:num w:numId="10">
    <w:abstractNumId w:val="7"/>
  </w:num>
  <w:num w:numId="11">
    <w:abstractNumId w:val="30"/>
  </w:num>
  <w:num w:numId="12">
    <w:abstractNumId w:val="27"/>
  </w:num>
  <w:num w:numId="13">
    <w:abstractNumId w:val="15"/>
  </w:num>
  <w:num w:numId="14">
    <w:abstractNumId w:val="10"/>
  </w:num>
  <w:num w:numId="15">
    <w:abstractNumId w:val="9"/>
  </w:num>
  <w:num w:numId="16">
    <w:abstractNumId w:val="29"/>
  </w:num>
  <w:num w:numId="17">
    <w:abstractNumId w:val="11"/>
  </w:num>
  <w:num w:numId="18">
    <w:abstractNumId w:val="8"/>
  </w:num>
  <w:num w:numId="19">
    <w:abstractNumId w:val="20"/>
  </w:num>
  <w:num w:numId="20">
    <w:abstractNumId w:val="0"/>
  </w:num>
  <w:num w:numId="21">
    <w:abstractNumId w:val="5"/>
  </w:num>
  <w:num w:numId="22">
    <w:abstractNumId w:val="12"/>
  </w:num>
  <w:num w:numId="23">
    <w:abstractNumId w:val="18"/>
  </w:num>
  <w:num w:numId="24">
    <w:abstractNumId w:val="1"/>
  </w:num>
  <w:num w:numId="25">
    <w:abstractNumId w:val="13"/>
  </w:num>
  <w:num w:numId="26">
    <w:abstractNumId w:val="16"/>
  </w:num>
  <w:num w:numId="27">
    <w:abstractNumId w:val="24"/>
  </w:num>
  <w:num w:numId="28">
    <w:abstractNumId w:val="31"/>
  </w:num>
  <w:num w:numId="29">
    <w:abstractNumId w:val="6"/>
  </w:num>
  <w:num w:numId="30">
    <w:abstractNumId w:val="25"/>
  </w:num>
  <w:num w:numId="31">
    <w:abstractNumId w:val="19"/>
  </w:num>
  <w:num w:numId="32">
    <w:abstractNumId w:val="14"/>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9C"/>
    <w:rsid w:val="00004357"/>
    <w:rsid w:val="000200DB"/>
    <w:rsid w:val="00025B9A"/>
    <w:rsid w:val="0002794E"/>
    <w:rsid w:val="000327FC"/>
    <w:rsid w:val="00037E1B"/>
    <w:rsid w:val="000469A6"/>
    <w:rsid w:val="000604DC"/>
    <w:rsid w:val="00061E3E"/>
    <w:rsid w:val="000760AB"/>
    <w:rsid w:val="000771F9"/>
    <w:rsid w:val="00097CC3"/>
    <w:rsid w:val="000B327F"/>
    <w:rsid w:val="000C6F0E"/>
    <w:rsid w:val="000F17DA"/>
    <w:rsid w:val="000F675A"/>
    <w:rsid w:val="0010393A"/>
    <w:rsid w:val="00107B60"/>
    <w:rsid w:val="00114B50"/>
    <w:rsid w:val="00120B17"/>
    <w:rsid w:val="00124DAA"/>
    <w:rsid w:val="00132B9B"/>
    <w:rsid w:val="00140053"/>
    <w:rsid w:val="00151773"/>
    <w:rsid w:val="001A1F62"/>
    <w:rsid w:val="001B2FC3"/>
    <w:rsid w:val="001E301A"/>
    <w:rsid w:val="001E365D"/>
    <w:rsid w:val="00205C42"/>
    <w:rsid w:val="00236CDE"/>
    <w:rsid w:val="00240F44"/>
    <w:rsid w:val="00242A21"/>
    <w:rsid w:val="00265AC1"/>
    <w:rsid w:val="002720AB"/>
    <w:rsid w:val="00292CCB"/>
    <w:rsid w:val="002A635A"/>
    <w:rsid w:val="002D5617"/>
    <w:rsid w:val="002E15D6"/>
    <w:rsid w:val="002E2E83"/>
    <w:rsid w:val="002F23C9"/>
    <w:rsid w:val="002F33DC"/>
    <w:rsid w:val="002F528D"/>
    <w:rsid w:val="002F54C4"/>
    <w:rsid w:val="002F7FEA"/>
    <w:rsid w:val="00315C8B"/>
    <w:rsid w:val="003308C0"/>
    <w:rsid w:val="00330B43"/>
    <w:rsid w:val="003347B4"/>
    <w:rsid w:val="0033548E"/>
    <w:rsid w:val="00337A92"/>
    <w:rsid w:val="00340943"/>
    <w:rsid w:val="00340B76"/>
    <w:rsid w:val="0034108D"/>
    <w:rsid w:val="0034141F"/>
    <w:rsid w:val="00346108"/>
    <w:rsid w:val="003743AC"/>
    <w:rsid w:val="0037569C"/>
    <w:rsid w:val="003B1E98"/>
    <w:rsid w:val="003C719F"/>
    <w:rsid w:val="003E3FA5"/>
    <w:rsid w:val="003E4032"/>
    <w:rsid w:val="004252B9"/>
    <w:rsid w:val="00426484"/>
    <w:rsid w:val="004279CA"/>
    <w:rsid w:val="0043273B"/>
    <w:rsid w:val="004340AD"/>
    <w:rsid w:val="00434E87"/>
    <w:rsid w:val="0044373F"/>
    <w:rsid w:val="00457A03"/>
    <w:rsid w:val="004639E4"/>
    <w:rsid w:val="00471035"/>
    <w:rsid w:val="00480221"/>
    <w:rsid w:val="004866B2"/>
    <w:rsid w:val="00495D36"/>
    <w:rsid w:val="00497B73"/>
    <w:rsid w:val="004A40F8"/>
    <w:rsid w:val="004C37DF"/>
    <w:rsid w:val="004C4AA0"/>
    <w:rsid w:val="004C7AF4"/>
    <w:rsid w:val="004D3C92"/>
    <w:rsid w:val="004D5377"/>
    <w:rsid w:val="004D537B"/>
    <w:rsid w:val="004D6398"/>
    <w:rsid w:val="004E3D17"/>
    <w:rsid w:val="004F1806"/>
    <w:rsid w:val="004F30DD"/>
    <w:rsid w:val="004F41C9"/>
    <w:rsid w:val="004F7B7B"/>
    <w:rsid w:val="0050074D"/>
    <w:rsid w:val="005026DF"/>
    <w:rsid w:val="005100DF"/>
    <w:rsid w:val="00516476"/>
    <w:rsid w:val="00582CD2"/>
    <w:rsid w:val="00583EA3"/>
    <w:rsid w:val="00586E57"/>
    <w:rsid w:val="0059360A"/>
    <w:rsid w:val="00594737"/>
    <w:rsid w:val="005971AC"/>
    <w:rsid w:val="005B13C8"/>
    <w:rsid w:val="005B6E37"/>
    <w:rsid w:val="005C3316"/>
    <w:rsid w:val="005E2F5E"/>
    <w:rsid w:val="00622783"/>
    <w:rsid w:val="00623EBE"/>
    <w:rsid w:val="00625A0C"/>
    <w:rsid w:val="00626A5A"/>
    <w:rsid w:val="0064129C"/>
    <w:rsid w:val="00642586"/>
    <w:rsid w:val="006561B3"/>
    <w:rsid w:val="0065658D"/>
    <w:rsid w:val="00661519"/>
    <w:rsid w:val="006624CE"/>
    <w:rsid w:val="00675065"/>
    <w:rsid w:val="006A585E"/>
    <w:rsid w:val="006C0BBF"/>
    <w:rsid w:val="006D5E87"/>
    <w:rsid w:val="006E6045"/>
    <w:rsid w:val="006E651D"/>
    <w:rsid w:val="006F2C36"/>
    <w:rsid w:val="00722194"/>
    <w:rsid w:val="0072322F"/>
    <w:rsid w:val="0073306D"/>
    <w:rsid w:val="00735E5A"/>
    <w:rsid w:val="00744D87"/>
    <w:rsid w:val="007477CC"/>
    <w:rsid w:val="0076465E"/>
    <w:rsid w:val="00771880"/>
    <w:rsid w:val="007824FB"/>
    <w:rsid w:val="007B2E09"/>
    <w:rsid w:val="007C45F2"/>
    <w:rsid w:val="007D6C16"/>
    <w:rsid w:val="007E702F"/>
    <w:rsid w:val="007F6C6C"/>
    <w:rsid w:val="007F6E61"/>
    <w:rsid w:val="008336FE"/>
    <w:rsid w:val="008442D8"/>
    <w:rsid w:val="008536EE"/>
    <w:rsid w:val="00863BBC"/>
    <w:rsid w:val="008A6C75"/>
    <w:rsid w:val="008B10DD"/>
    <w:rsid w:val="008B2945"/>
    <w:rsid w:val="008C6588"/>
    <w:rsid w:val="008C76BD"/>
    <w:rsid w:val="008F1D06"/>
    <w:rsid w:val="008F2C5C"/>
    <w:rsid w:val="008F4899"/>
    <w:rsid w:val="0091206D"/>
    <w:rsid w:val="0091406C"/>
    <w:rsid w:val="00930255"/>
    <w:rsid w:val="009312A4"/>
    <w:rsid w:val="009350EB"/>
    <w:rsid w:val="00946B65"/>
    <w:rsid w:val="00970128"/>
    <w:rsid w:val="00975E3F"/>
    <w:rsid w:val="0098210D"/>
    <w:rsid w:val="009B0095"/>
    <w:rsid w:val="009B5428"/>
    <w:rsid w:val="009C22AD"/>
    <w:rsid w:val="009C42EE"/>
    <w:rsid w:val="009C7410"/>
    <w:rsid w:val="009E3E4A"/>
    <w:rsid w:val="009F514C"/>
    <w:rsid w:val="00A17A54"/>
    <w:rsid w:val="00A258C9"/>
    <w:rsid w:val="00A46DF5"/>
    <w:rsid w:val="00A474AF"/>
    <w:rsid w:val="00A6682D"/>
    <w:rsid w:val="00A712E2"/>
    <w:rsid w:val="00A867B2"/>
    <w:rsid w:val="00A92724"/>
    <w:rsid w:val="00A9477C"/>
    <w:rsid w:val="00AA3FF6"/>
    <w:rsid w:val="00AC3EA4"/>
    <w:rsid w:val="00AD0706"/>
    <w:rsid w:val="00AE502D"/>
    <w:rsid w:val="00AE77E5"/>
    <w:rsid w:val="00B01200"/>
    <w:rsid w:val="00B045DF"/>
    <w:rsid w:val="00B103F0"/>
    <w:rsid w:val="00B130E0"/>
    <w:rsid w:val="00B13C19"/>
    <w:rsid w:val="00B27500"/>
    <w:rsid w:val="00B314AF"/>
    <w:rsid w:val="00B4337F"/>
    <w:rsid w:val="00B65259"/>
    <w:rsid w:val="00B67623"/>
    <w:rsid w:val="00B909AC"/>
    <w:rsid w:val="00BA19B1"/>
    <w:rsid w:val="00BA514D"/>
    <w:rsid w:val="00BB1F61"/>
    <w:rsid w:val="00BC68F5"/>
    <w:rsid w:val="00BE2570"/>
    <w:rsid w:val="00BF20A0"/>
    <w:rsid w:val="00BF4B39"/>
    <w:rsid w:val="00C0194A"/>
    <w:rsid w:val="00C01C9D"/>
    <w:rsid w:val="00C07815"/>
    <w:rsid w:val="00C101AD"/>
    <w:rsid w:val="00C11A51"/>
    <w:rsid w:val="00C2694D"/>
    <w:rsid w:val="00C27CFC"/>
    <w:rsid w:val="00C339C2"/>
    <w:rsid w:val="00C5239B"/>
    <w:rsid w:val="00C52C81"/>
    <w:rsid w:val="00C54618"/>
    <w:rsid w:val="00C72EFF"/>
    <w:rsid w:val="00C73117"/>
    <w:rsid w:val="00C80BFD"/>
    <w:rsid w:val="00CA079F"/>
    <w:rsid w:val="00CB4304"/>
    <w:rsid w:val="00CC1775"/>
    <w:rsid w:val="00CD232A"/>
    <w:rsid w:val="00CD2C01"/>
    <w:rsid w:val="00CF2DAE"/>
    <w:rsid w:val="00CF4F14"/>
    <w:rsid w:val="00D0041A"/>
    <w:rsid w:val="00D052BB"/>
    <w:rsid w:val="00D51CE4"/>
    <w:rsid w:val="00D53718"/>
    <w:rsid w:val="00D71999"/>
    <w:rsid w:val="00D941B1"/>
    <w:rsid w:val="00D95701"/>
    <w:rsid w:val="00D9621B"/>
    <w:rsid w:val="00DA1A9B"/>
    <w:rsid w:val="00DA2485"/>
    <w:rsid w:val="00DB6C01"/>
    <w:rsid w:val="00DB7B96"/>
    <w:rsid w:val="00DC1739"/>
    <w:rsid w:val="00DC423C"/>
    <w:rsid w:val="00DC66A9"/>
    <w:rsid w:val="00DD0190"/>
    <w:rsid w:val="00DE41FF"/>
    <w:rsid w:val="00E011C7"/>
    <w:rsid w:val="00E023CC"/>
    <w:rsid w:val="00E12000"/>
    <w:rsid w:val="00E20DBC"/>
    <w:rsid w:val="00E34F61"/>
    <w:rsid w:val="00E50C6C"/>
    <w:rsid w:val="00E57BCF"/>
    <w:rsid w:val="00E61331"/>
    <w:rsid w:val="00E65FB7"/>
    <w:rsid w:val="00E85389"/>
    <w:rsid w:val="00EB56F7"/>
    <w:rsid w:val="00EC61B2"/>
    <w:rsid w:val="00ED6E6B"/>
    <w:rsid w:val="00EE4EAB"/>
    <w:rsid w:val="00EE6EEB"/>
    <w:rsid w:val="00F10ACB"/>
    <w:rsid w:val="00F14F97"/>
    <w:rsid w:val="00F17C22"/>
    <w:rsid w:val="00F17F93"/>
    <w:rsid w:val="00F26D0A"/>
    <w:rsid w:val="00F471FB"/>
    <w:rsid w:val="00F57105"/>
    <w:rsid w:val="00F655D0"/>
    <w:rsid w:val="00F749A7"/>
    <w:rsid w:val="00F75593"/>
    <w:rsid w:val="00F8408F"/>
    <w:rsid w:val="00F90BAF"/>
    <w:rsid w:val="00F95AC0"/>
    <w:rsid w:val="00F95F39"/>
    <w:rsid w:val="00FA2CA1"/>
    <w:rsid w:val="00FA31AB"/>
    <w:rsid w:val="00FB2D0E"/>
    <w:rsid w:val="00FE36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FA2A"/>
  <w15:chartTrackingRefBased/>
  <w15:docId w15:val="{B986B406-2B04-4B95-8B9D-A1269CB4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pPr>
  </w:style>
  <w:style w:type="paragraph" w:styleId="Nadpis1">
    <w:name w:val="heading 1"/>
    <w:basedOn w:val="Normlny"/>
    <w:link w:val="Nadpis1Char"/>
    <w:uiPriority w:val="9"/>
    <w:qFormat/>
    <w:rsid w:val="000C6F0E"/>
    <w:pPr>
      <w:spacing w:before="100" w:beforeAutospacing="1" w:after="100" w:afterAutospacing="1"/>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6F0E"/>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0C6F0E"/>
    <w:rPr>
      <w:color w:val="0000FF"/>
      <w:u w:val="single"/>
    </w:rPr>
  </w:style>
  <w:style w:type="character" w:customStyle="1" w:styleId="awspan">
    <w:name w:val="awspan"/>
    <w:basedOn w:val="Predvolenpsmoodseku"/>
    <w:rsid w:val="000C6F0E"/>
  </w:style>
  <w:style w:type="paragraph" w:styleId="Zkladntext">
    <w:name w:val="Body Text"/>
    <w:basedOn w:val="Normlny"/>
    <w:link w:val="ZkladntextChar"/>
    <w:uiPriority w:val="1"/>
    <w:qFormat/>
    <w:rsid w:val="000C6F0E"/>
    <w:rPr>
      <w:rFonts w:ascii="Times New Roman" w:eastAsia="Times New Roman" w:hAnsi="Times New Roman" w:cs="Times New Roman"/>
      <w:b/>
      <w:sz w:val="24"/>
      <w:szCs w:val="20"/>
      <w:lang w:eastAsia="sk-SK"/>
    </w:rPr>
  </w:style>
  <w:style w:type="character" w:customStyle="1" w:styleId="ZkladntextChar">
    <w:name w:val="Základný text Char"/>
    <w:basedOn w:val="Predvolenpsmoodseku"/>
    <w:link w:val="Zkladntext"/>
    <w:uiPriority w:val="1"/>
    <w:rsid w:val="000C6F0E"/>
    <w:rPr>
      <w:rFonts w:ascii="Times New Roman" w:eastAsia="Times New Roman" w:hAnsi="Times New Roman" w:cs="Times New Roman"/>
      <w:b/>
      <w:sz w:val="24"/>
      <w:szCs w:val="20"/>
      <w:lang w:eastAsia="sk-SK"/>
    </w:rPr>
  </w:style>
  <w:style w:type="paragraph" w:customStyle="1" w:styleId="TableParagraph">
    <w:name w:val="Table Paragraph"/>
    <w:basedOn w:val="Normlny"/>
    <w:uiPriority w:val="1"/>
    <w:qFormat/>
    <w:rsid w:val="000C6F0E"/>
    <w:pPr>
      <w:widowControl w:val="0"/>
      <w:autoSpaceDE w:val="0"/>
      <w:autoSpaceDN w:val="0"/>
    </w:pPr>
    <w:rPr>
      <w:rFonts w:ascii="Times New Roman" w:eastAsia="Times New Roman" w:hAnsi="Times New Roman" w:cs="Times New Roman"/>
    </w:rPr>
  </w:style>
  <w:style w:type="table" w:customStyle="1" w:styleId="TableNormal1">
    <w:name w:val="Table Normal1"/>
    <w:uiPriority w:val="2"/>
    <w:semiHidden/>
    <w:unhideWhenUsed/>
    <w:qFormat/>
    <w:rsid w:val="000C6F0E"/>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xmsolistparagraph">
    <w:name w:val="x_msolistparagraph"/>
    <w:basedOn w:val="Normlny"/>
    <w:rsid w:val="000C6F0E"/>
    <w:pPr>
      <w:ind w:left="720"/>
    </w:pPr>
    <w:rPr>
      <w:rFonts w:ascii="Calibri" w:hAnsi="Calibri" w:cs="Calibri"/>
      <w:lang w:eastAsia="sk-SK"/>
    </w:rPr>
  </w:style>
  <w:style w:type="paragraph" w:styleId="Normlnywebov">
    <w:name w:val="Normal (Web)"/>
    <w:aliases w:val="webb"/>
    <w:basedOn w:val="Normlny"/>
    <w:uiPriority w:val="99"/>
    <w:unhideWhenUsed/>
    <w:qFormat/>
    <w:rsid w:val="000C6F0E"/>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xmsonormal">
    <w:name w:val="x_msonormal"/>
    <w:basedOn w:val="Normlny"/>
    <w:rsid w:val="000C6F0E"/>
    <w:rPr>
      <w:rFonts w:ascii="Calibri" w:hAnsi="Calibri" w:cs="Calibri"/>
      <w:lang w:eastAsia="sk-SK"/>
    </w:rPr>
  </w:style>
  <w:style w:type="character" w:styleId="Siln">
    <w:name w:val="Strong"/>
    <w:basedOn w:val="Predvolenpsmoodseku"/>
    <w:uiPriority w:val="22"/>
    <w:qFormat/>
    <w:rsid w:val="000C6F0E"/>
    <w:rPr>
      <w:b/>
      <w:bCs/>
    </w:rPr>
  </w:style>
  <w:style w:type="paragraph" w:styleId="Odsekzoznamu">
    <w:name w:val="List Paragraph"/>
    <w:aliases w:val="GIDE Triple dots"/>
    <w:basedOn w:val="Normlny"/>
    <w:link w:val="OdsekzoznamuChar"/>
    <w:uiPriority w:val="34"/>
    <w:qFormat/>
    <w:rsid w:val="000C6F0E"/>
    <w:pPr>
      <w:ind w:left="720"/>
      <w:contextualSpacing/>
    </w:pPr>
    <w:rPr>
      <w:rFonts w:ascii="Times New Roman" w:hAnsi="Times New Roman" w:cs="Times New Roman"/>
      <w:color w:val="000000"/>
      <w:sz w:val="24"/>
      <w:szCs w:val="24"/>
      <w:lang w:eastAsia="sk-SK"/>
    </w:rPr>
  </w:style>
  <w:style w:type="paragraph" w:styleId="Hlavika">
    <w:name w:val="header"/>
    <w:basedOn w:val="Normlny"/>
    <w:link w:val="HlavikaChar"/>
    <w:uiPriority w:val="99"/>
    <w:unhideWhenUsed/>
    <w:rsid w:val="00DA2485"/>
    <w:pPr>
      <w:tabs>
        <w:tab w:val="center" w:pos="4536"/>
        <w:tab w:val="right" w:pos="9072"/>
      </w:tabs>
    </w:pPr>
  </w:style>
  <w:style w:type="character" w:customStyle="1" w:styleId="HlavikaChar">
    <w:name w:val="Hlavička Char"/>
    <w:basedOn w:val="Predvolenpsmoodseku"/>
    <w:link w:val="Hlavika"/>
    <w:uiPriority w:val="99"/>
    <w:rsid w:val="00DA2485"/>
  </w:style>
  <w:style w:type="paragraph" w:styleId="Pta">
    <w:name w:val="footer"/>
    <w:basedOn w:val="Normlny"/>
    <w:link w:val="PtaChar"/>
    <w:uiPriority w:val="99"/>
    <w:unhideWhenUsed/>
    <w:rsid w:val="00DA2485"/>
    <w:pPr>
      <w:tabs>
        <w:tab w:val="center" w:pos="4536"/>
        <w:tab w:val="right" w:pos="9072"/>
      </w:tabs>
    </w:pPr>
  </w:style>
  <w:style w:type="character" w:customStyle="1" w:styleId="PtaChar">
    <w:name w:val="Päta Char"/>
    <w:basedOn w:val="Predvolenpsmoodseku"/>
    <w:link w:val="Pta"/>
    <w:uiPriority w:val="99"/>
    <w:rsid w:val="00DA2485"/>
  </w:style>
  <w:style w:type="paragraph" w:customStyle="1" w:styleId="Default">
    <w:name w:val="Default"/>
    <w:rsid w:val="00F17F93"/>
    <w:pPr>
      <w:autoSpaceDE w:val="0"/>
      <w:autoSpaceDN w:val="0"/>
      <w:adjustRightInd w:val="0"/>
      <w:spacing w:after="0"/>
    </w:pPr>
    <w:rPr>
      <w:rFonts w:ascii="Arial" w:hAnsi="Arial" w:cs="Arial"/>
      <w:color w:val="000000"/>
      <w:sz w:val="24"/>
      <w:szCs w:val="24"/>
      <w:lang w:val="en-GB"/>
    </w:rPr>
  </w:style>
  <w:style w:type="paragraph" w:customStyle="1" w:styleId="Obyajn">
    <w:name w:val="Obyčajný"/>
    <w:basedOn w:val="Normlny"/>
    <w:qFormat/>
    <w:rsid w:val="000604DC"/>
    <w:pPr>
      <w:spacing w:after="120" w:line="264" w:lineRule="auto"/>
      <w:ind w:firstLine="709"/>
      <w:jc w:val="both"/>
    </w:pPr>
    <w:rPr>
      <w:rFonts w:ascii="Times New Roman" w:eastAsia="Times New Roman" w:hAnsi="Times New Roman" w:cs="Times New Roman"/>
      <w:iCs/>
      <w:szCs w:val="24"/>
      <w:lang w:eastAsia="sk-SK"/>
    </w:rPr>
  </w:style>
  <w:style w:type="character" w:customStyle="1" w:styleId="OdsekzoznamuChar">
    <w:name w:val="Odsek zoznamu Char"/>
    <w:aliases w:val="GIDE Triple dots Char"/>
    <w:basedOn w:val="Predvolenpsmoodseku"/>
    <w:link w:val="Odsekzoznamu"/>
    <w:uiPriority w:val="34"/>
    <w:locked/>
    <w:rsid w:val="000604DC"/>
    <w:rPr>
      <w:rFonts w:ascii="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DA1A9B"/>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1A9B"/>
    <w:rPr>
      <w:rFonts w:ascii="Segoe UI" w:hAnsi="Segoe UI" w:cs="Segoe UI"/>
      <w:sz w:val="18"/>
      <w:szCs w:val="18"/>
    </w:rPr>
  </w:style>
  <w:style w:type="character" w:styleId="Odkaznakomentr">
    <w:name w:val="annotation reference"/>
    <w:basedOn w:val="Predvolenpsmoodseku"/>
    <w:uiPriority w:val="99"/>
    <w:semiHidden/>
    <w:unhideWhenUsed/>
    <w:rsid w:val="00DA1A9B"/>
    <w:rPr>
      <w:sz w:val="16"/>
      <w:szCs w:val="16"/>
    </w:rPr>
  </w:style>
  <w:style w:type="paragraph" w:styleId="Textkomentra">
    <w:name w:val="annotation text"/>
    <w:basedOn w:val="Normlny"/>
    <w:link w:val="TextkomentraChar"/>
    <w:uiPriority w:val="99"/>
    <w:semiHidden/>
    <w:unhideWhenUsed/>
    <w:rsid w:val="00DA1A9B"/>
    <w:rPr>
      <w:sz w:val="20"/>
      <w:szCs w:val="20"/>
    </w:rPr>
  </w:style>
  <w:style w:type="character" w:customStyle="1" w:styleId="TextkomentraChar">
    <w:name w:val="Text komentára Char"/>
    <w:basedOn w:val="Predvolenpsmoodseku"/>
    <w:link w:val="Textkomentra"/>
    <w:uiPriority w:val="99"/>
    <w:semiHidden/>
    <w:rsid w:val="00DA1A9B"/>
    <w:rPr>
      <w:sz w:val="20"/>
      <w:szCs w:val="20"/>
    </w:rPr>
  </w:style>
  <w:style w:type="paragraph" w:styleId="Predmetkomentra">
    <w:name w:val="annotation subject"/>
    <w:basedOn w:val="Textkomentra"/>
    <w:next w:val="Textkomentra"/>
    <w:link w:val="PredmetkomentraChar"/>
    <w:uiPriority w:val="99"/>
    <w:semiHidden/>
    <w:unhideWhenUsed/>
    <w:rsid w:val="00DA1A9B"/>
    <w:rPr>
      <w:b/>
      <w:bCs/>
    </w:rPr>
  </w:style>
  <w:style w:type="character" w:customStyle="1" w:styleId="PredmetkomentraChar">
    <w:name w:val="Predmet komentára Char"/>
    <w:basedOn w:val="TextkomentraChar"/>
    <w:link w:val="Predmetkomentra"/>
    <w:uiPriority w:val="99"/>
    <w:semiHidden/>
    <w:rsid w:val="00DA1A9B"/>
    <w:rPr>
      <w:b/>
      <w:bCs/>
      <w:sz w:val="20"/>
      <w:szCs w:val="20"/>
    </w:rPr>
  </w:style>
  <w:style w:type="paragraph" w:styleId="Textpoznmkypodiarou">
    <w:name w:val="footnote text"/>
    <w:basedOn w:val="Normlny"/>
    <w:link w:val="TextpoznmkypodiarouChar"/>
    <w:uiPriority w:val="99"/>
    <w:semiHidden/>
    <w:unhideWhenUsed/>
    <w:rsid w:val="00AA3FF6"/>
    <w:rPr>
      <w:sz w:val="20"/>
      <w:szCs w:val="20"/>
    </w:rPr>
  </w:style>
  <w:style w:type="character" w:customStyle="1" w:styleId="TextpoznmkypodiarouChar">
    <w:name w:val="Text poznámky pod čiarou Char"/>
    <w:basedOn w:val="Predvolenpsmoodseku"/>
    <w:link w:val="Textpoznmkypodiarou"/>
    <w:uiPriority w:val="99"/>
    <w:semiHidden/>
    <w:rsid w:val="00AA3FF6"/>
    <w:rPr>
      <w:sz w:val="20"/>
      <w:szCs w:val="20"/>
    </w:rPr>
  </w:style>
  <w:style w:type="character" w:styleId="Odkaznapoznmkupodiarou">
    <w:name w:val="footnote reference"/>
    <w:basedOn w:val="Predvolenpsmoodseku"/>
    <w:uiPriority w:val="99"/>
    <w:semiHidden/>
    <w:unhideWhenUsed/>
    <w:rsid w:val="00AA3FF6"/>
    <w:rPr>
      <w:vertAlign w:val="superscript"/>
    </w:rPr>
  </w:style>
  <w:style w:type="table" w:styleId="Mriekatabuky">
    <w:name w:val="Table Grid"/>
    <w:basedOn w:val="Normlnatabuka"/>
    <w:uiPriority w:val="39"/>
    <w:rsid w:val="00BF4B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unhideWhenUsed/>
    <w:qFormat/>
    <w:rsid w:val="00BF4B39"/>
    <w:pPr>
      <w:spacing w:after="200"/>
    </w:pPr>
    <w:rPr>
      <w:i/>
      <w:iCs/>
      <w:color w:val="44546A" w:themeColor="text2"/>
      <w:sz w:val="18"/>
      <w:szCs w:val="18"/>
    </w:rPr>
  </w:style>
  <w:style w:type="paragraph" w:styleId="Revzia">
    <w:name w:val="Revision"/>
    <w:hidden/>
    <w:uiPriority w:val="99"/>
    <w:semiHidden/>
    <w:rsid w:val="00AE50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7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_rok_programu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Podiel </a:t>
            </a:r>
            <a:r>
              <a:rPr lang="sk-SK"/>
              <a:t>osobných nákladov</a:t>
            </a:r>
            <a:r>
              <a:rPr lang="en-US"/>
              <a:t> na </a:t>
            </a:r>
            <a:r>
              <a:rPr lang="sk-SK"/>
              <a:t>v</a:t>
            </a:r>
            <a:r>
              <a:rPr lang="en-US"/>
              <a:t>ýnosoch</a:t>
            </a:r>
            <a:r>
              <a:rPr lang="sk-SK"/>
              <a:t> od zdravotných poisťovní</a:t>
            </a:r>
            <a:r>
              <a:rPr lang="en-US"/>
              <a:t> v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k-SK"/>
        </a:p>
      </c:txPr>
    </c:title>
    <c:autoTitleDeleted val="0"/>
    <c:plotArea>
      <c:layout/>
      <c:lineChart>
        <c:grouping val="standard"/>
        <c:varyColors val="0"/>
        <c:ser>
          <c:idx val="2"/>
          <c:order val="2"/>
          <c:tx>
            <c:strRef>
              <c:f>Hárok1!$A$4</c:f>
              <c:strCache>
                <c:ptCount val="1"/>
                <c:pt idx="0">
                  <c:v>Podiel ON na Výnosoch v %</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Hárok1!$B$1:$F$1</c:f>
              <c:strCache>
                <c:ptCount val="5"/>
                <c:pt idx="0">
                  <c:v>2017</c:v>
                </c:pt>
                <c:pt idx="1">
                  <c:v>2018</c:v>
                </c:pt>
                <c:pt idx="2">
                  <c:v>2019</c:v>
                </c:pt>
                <c:pt idx="3">
                  <c:v>2020</c:v>
                </c:pt>
                <c:pt idx="4">
                  <c:v>2021</c:v>
                </c:pt>
              </c:strCache>
            </c:strRef>
          </c:cat>
          <c:val>
            <c:numRef>
              <c:f>Hárok1!$B$4:$F$4</c:f>
              <c:numCache>
                <c:formatCode>#,##0</c:formatCode>
                <c:ptCount val="5"/>
                <c:pt idx="0">
                  <c:v>71.222394673856172</c:v>
                </c:pt>
                <c:pt idx="1">
                  <c:v>72.008865145978703</c:v>
                </c:pt>
                <c:pt idx="2">
                  <c:v>72.46871154544263</c:v>
                </c:pt>
                <c:pt idx="3">
                  <c:v>77.483316264347351</c:v>
                </c:pt>
                <c:pt idx="4">
                  <c:v>85.466756214095014</c:v>
                </c:pt>
              </c:numCache>
            </c:numRef>
          </c:val>
          <c:smooth val="0"/>
          <c:extLst>
            <c:ext xmlns:c16="http://schemas.microsoft.com/office/drawing/2014/chart" uri="{C3380CC4-5D6E-409C-BE32-E72D297353CC}">
              <c16:uniqueId val="{00000000-93AC-4336-8E61-BDEB1FAB6258}"/>
            </c:ext>
          </c:extLst>
        </c:ser>
        <c:dLbls>
          <c:dLblPos val="ctr"/>
          <c:showLegendKey val="0"/>
          <c:showVal val="1"/>
          <c:showCatName val="0"/>
          <c:showSerName val="0"/>
          <c:showPercent val="0"/>
          <c:showBubbleSize val="0"/>
        </c:dLbls>
        <c:marker val="1"/>
        <c:smooth val="0"/>
        <c:axId val="409266096"/>
        <c:axId val="407230832"/>
        <c:extLst>
          <c:ext xmlns:c15="http://schemas.microsoft.com/office/drawing/2012/chart" uri="{02D57815-91ED-43cb-92C2-25804820EDAC}">
            <c15:filteredLineSeries>
              <c15:ser>
                <c:idx val="0"/>
                <c:order val="0"/>
                <c:tx>
                  <c:strRef>
                    <c:extLst>
                      <c:ext uri="{02D57815-91ED-43cb-92C2-25804820EDAC}">
                        <c15:formulaRef>
                          <c15:sqref>Hárok1!$A$2</c15:sqref>
                        </c15:formulaRef>
                      </c:ext>
                    </c:extLst>
                    <c:strCache>
                      <c:ptCount val="1"/>
                      <c:pt idx="0">
                        <c:v>Výnosy od ZP</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k-SK"/>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Hárok1!$B$1:$F$1</c15:sqref>
                        </c15:formulaRef>
                      </c:ext>
                    </c:extLst>
                    <c:strCache>
                      <c:ptCount val="5"/>
                      <c:pt idx="0">
                        <c:v>2017</c:v>
                      </c:pt>
                      <c:pt idx="1">
                        <c:v>2018</c:v>
                      </c:pt>
                      <c:pt idx="2">
                        <c:v>2019</c:v>
                      </c:pt>
                      <c:pt idx="3">
                        <c:v>2020</c:v>
                      </c:pt>
                      <c:pt idx="4">
                        <c:v>2021</c:v>
                      </c:pt>
                    </c:strCache>
                  </c:strRef>
                </c:cat>
                <c:val>
                  <c:numRef>
                    <c:extLst>
                      <c:ext uri="{02D57815-91ED-43cb-92C2-25804820EDAC}">
                        <c15:formulaRef>
                          <c15:sqref>Hárok1!$B$2:$F$2</c15:sqref>
                        </c15:formulaRef>
                      </c:ext>
                    </c:extLst>
                    <c:numCache>
                      <c:formatCode>#,##0</c:formatCode>
                      <c:ptCount val="5"/>
                      <c:pt idx="0">
                        <c:v>720917.51457</c:v>
                      </c:pt>
                      <c:pt idx="1">
                        <c:v>762988</c:v>
                      </c:pt>
                      <c:pt idx="2">
                        <c:v>862219</c:v>
                      </c:pt>
                      <c:pt idx="3">
                        <c:v>904174</c:v>
                      </c:pt>
                      <c:pt idx="4">
                        <c:v>985474.56864999991</c:v>
                      </c:pt>
                    </c:numCache>
                  </c:numRef>
                </c:val>
                <c:smooth val="0"/>
                <c:extLst>
                  <c:ext xmlns:c16="http://schemas.microsoft.com/office/drawing/2014/chart" uri="{C3380CC4-5D6E-409C-BE32-E72D297353CC}">
                    <c16:uniqueId val="{00000001-93AC-4336-8E61-BDEB1FAB6258}"/>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Hárok1!$A$3</c15:sqref>
                        </c15:formulaRef>
                      </c:ext>
                    </c:extLst>
                    <c:strCache>
                      <c:ptCount val="1"/>
                      <c:pt idx="0">
                        <c:v>Osobné náklady</c:v>
                      </c:pt>
                    </c:strCache>
                  </c:strRef>
                </c:tx>
                <c:spPr>
                  <a:ln w="317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k-SK"/>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Hárok1!$B$1:$F$1</c15:sqref>
                        </c15:formulaRef>
                      </c:ext>
                    </c:extLst>
                    <c:strCache>
                      <c:ptCount val="5"/>
                      <c:pt idx="0">
                        <c:v>2017</c:v>
                      </c:pt>
                      <c:pt idx="1">
                        <c:v>2018</c:v>
                      </c:pt>
                      <c:pt idx="2">
                        <c:v>2019</c:v>
                      </c:pt>
                      <c:pt idx="3">
                        <c:v>2020</c:v>
                      </c:pt>
                      <c:pt idx="4">
                        <c:v>2021</c:v>
                      </c:pt>
                    </c:strCache>
                  </c:strRef>
                </c:cat>
                <c:val>
                  <c:numRef>
                    <c:extLst xmlns:c15="http://schemas.microsoft.com/office/drawing/2012/chart">
                      <c:ext xmlns:c15="http://schemas.microsoft.com/office/drawing/2012/chart" uri="{02D57815-91ED-43cb-92C2-25804820EDAC}">
                        <c15:formulaRef>
                          <c15:sqref>Hárok1!$B$3:$F$3</c15:sqref>
                        </c15:formulaRef>
                      </c:ext>
                    </c:extLst>
                    <c:numCache>
                      <c:formatCode>#,##0</c:formatCode>
                      <c:ptCount val="5"/>
                      <c:pt idx="0">
                        <c:v>513454.71749999997</c:v>
                      </c:pt>
                      <c:pt idx="1">
                        <c:v>549419</c:v>
                      </c:pt>
                      <c:pt idx="2">
                        <c:v>624839</c:v>
                      </c:pt>
                      <c:pt idx="3">
                        <c:v>700584</c:v>
                      </c:pt>
                      <c:pt idx="4">
                        <c:v>842253.1471399999</c:v>
                      </c:pt>
                    </c:numCache>
                  </c:numRef>
                </c:val>
                <c:smooth val="0"/>
                <c:extLst xmlns:c15="http://schemas.microsoft.com/office/drawing/2012/chart">
                  <c:ext xmlns:c16="http://schemas.microsoft.com/office/drawing/2014/chart" uri="{C3380CC4-5D6E-409C-BE32-E72D297353CC}">
                    <c16:uniqueId val="{00000002-93AC-4336-8E61-BDEB1FAB6258}"/>
                  </c:ext>
                </c:extLst>
              </c15:ser>
            </c15:filteredLineSeries>
          </c:ext>
        </c:extLst>
      </c:lineChart>
      <c:catAx>
        <c:axId val="4092660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R</a:t>
                </a:r>
                <a:r>
                  <a:rPr lang="sk-SK"/>
                  <a:t>ok</a:t>
                </a:r>
                <a:endParaRPr lang="en-US"/>
              </a:p>
            </c:rich>
          </c:tx>
          <c:layout>
            <c:manualLayout>
              <c:xMode val="edge"/>
              <c:yMode val="edge"/>
              <c:x val="9.6779512666739259E-2"/>
              <c:y val="0.7681517114815782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k-SK"/>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k-SK"/>
          </a:p>
        </c:txPr>
        <c:crossAx val="407230832"/>
        <c:crosses val="autoZero"/>
        <c:auto val="1"/>
        <c:lblAlgn val="ctr"/>
        <c:lblOffset val="100"/>
        <c:noMultiLvlLbl val="0"/>
      </c:catAx>
      <c:valAx>
        <c:axId val="40723083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Per</a:t>
                </a:r>
                <a:r>
                  <a:rPr lang="sk-SK"/>
                  <a:t>centuálny podiel %</a:t>
                </a:r>
                <a:endParaRPr lang="en-US"/>
              </a:p>
            </c:rich>
          </c:tx>
          <c:layout>
            <c:manualLayout>
              <c:xMode val="edge"/>
              <c:yMode val="edge"/>
              <c:x val="1.1010183466068175E-2"/>
              <c:y val="0.1656504433897093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k-SK"/>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k-SK"/>
          </a:p>
        </c:txPr>
        <c:crossAx val="4092660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k-SK"/>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DF63-FDCE-4F7F-80EA-79FECB09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8234</Words>
  <Characters>46934</Characters>
  <Application>Microsoft Office Word</Application>
  <DocSecurity>0</DocSecurity>
  <Lines>391</Lines>
  <Paragraphs>110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 SR</Company>
  <LinksUpToDate>false</LinksUpToDate>
  <CharactersWithSpaces>55058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Kucerová Zuzana</dc:creator>
  <cp:keywords/>
  <dc:description/>
  <cp:lastModifiedBy>Brdárský Milan</cp:lastModifiedBy>
  <cp:revision>2</cp:revision>
  <cp:lastPrinted>2022-08-18T12:49:00Z</cp:lastPrinted>
  <dcterms:created xsi:type="dcterms:W3CDTF">2022-12-01T05:47:00Z</dcterms:created>
  <dcterms:modified xsi:type="dcterms:W3CDTF">2022-12-01T05:47:00Z</dcterms:modified>
</cp:coreProperties>
</file>