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46455E">
        <w:t>2115</w:t>
      </w:r>
      <w:r w:rsidR="003D6EDC">
        <w:t>/</w:t>
      </w:r>
      <w:r w:rsidR="00C47980">
        <w:t>202</w:t>
      </w:r>
      <w:r w:rsidR="000E13CB">
        <w:t>2</w:t>
      </w:r>
      <w:r>
        <w:tab/>
        <w:tab/>
        <w:tab/>
        <w:tab/>
      </w:r>
    </w:p>
    <w:p w:rsidR="00A46744"/>
    <w:p w:rsidR="00233A93" w:rsidP="0085353E">
      <w:pPr>
        <w:jc w:val="center"/>
        <w:rPr>
          <w:b/>
          <w:bCs/>
          <w:sz w:val="28"/>
        </w:rPr>
      </w:pPr>
      <w:r w:rsidR="0000351E">
        <w:rPr>
          <w:b/>
          <w:bCs/>
          <w:sz w:val="28"/>
        </w:rPr>
        <w:t>1</w:t>
      </w:r>
      <w:r w:rsidR="0046455E">
        <w:rPr>
          <w:b/>
          <w:bCs/>
          <w:sz w:val="28"/>
        </w:rPr>
        <w:t>231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 w:rsidR="0035530B">
        <w:t>I n f o r m á c i a</w:t>
      </w:r>
    </w:p>
    <w:p w:rsidR="00BF3C60"/>
    <w:p w:rsidR="00233A93" w:rsidRPr="00C47980" w:rsidP="00C47980">
      <w:pPr>
        <w:pStyle w:val="BodyText"/>
      </w:pPr>
      <w:r w:rsidR="0035530B">
        <w:t>o prerokovaní</w:t>
      </w:r>
      <w:r w:rsidR="00E06BD4">
        <w:t xml:space="preserve"> </w:t>
      </w:r>
      <w:r w:rsidR="0046455E">
        <w:t>n</w:t>
      </w:r>
      <w:r w:rsidRPr="00D54F1A" w:rsidR="0046455E">
        <w:t>ávrh</w:t>
      </w:r>
      <w:r w:rsidR="0046455E">
        <w:t>u</w:t>
      </w:r>
      <w:r w:rsidRPr="00D54F1A" w:rsidR="0046455E">
        <w:t xml:space="preserve"> poslancov Národnej rady Slovenskej republiky Miloša SVRČEKA, Kataríny HATRÁKOVEJ, Petra LIBU a Ľudovíta GOGU na vydanie zákona, ktorým sa mení a dopĺňa zákon č. 582/2004 Z. z. o miestnych daniach a miestnom poplatku za komunálne odpady a drobné stavebné odpady v znení neskorších predpisov (tlač 1231)</w:t>
      </w:r>
      <w:r w:rsidR="00C62373">
        <w:t xml:space="preserve"> </w:t>
      </w:r>
      <w:r w:rsidRPr="00C47980">
        <w:t>v</w:t>
      </w:r>
      <w:r w:rsidRPr="00C47980" w:rsidR="00D57D3E">
        <w:t>o vý</w:t>
      </w:r>
      <w:r w:rsidRPr="00C47980" w:rsidR="00D57D3E">
        <w:t xml:space="preserve">boroch Národnej rady Slovenskej republiky v </w:t>
      </w:r>
      <w:r w:rsidRPr="00C47980"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35530B">
      <w:pPr>
        <w:jc w:val="center"/>
        <w:rPr>
          <w:b/>
          <w:bCs/>
        </w:rPr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4D053D" w:rsidR="0018539F">
        <w:rPr>
          <w:b w:val="0"/>
        </w:rPr>
        <w:t>uznesením</w:t>
      </w:r>
      <w:r w:rsidRPr="004D053D" w:rsidR="00CE5AB9">
        <w:rPr>
          <w:b w:val="0"/>
        </w:rPr>
        <w:t xml:space="preserve"> </w:t>
      </w:r>
      <w:r w:rsidRPr="0080676A" w:rsidR="000965A1">
        <w:rPr>
          <w:b w:val="0"/>
        </w:rPr>
        <w:t>č.</w:t>
      </w:r>
      <w:r w:rsidR="00C578CB">
        <w:rPr>
          <w:b w:val="0"/>
        </w:rPr>
        <w:t xml:space="preserve"> 1</w:t>
      </w:r>
      <w:r w:rsidR="0046455E">
        <w:rPr>
          <w:b w:val="0"/>
        </w:rPr>
        <w:t>763</w:t>
      </w:r>
      <w:r w:rsidRPr="0080676A" w:rsidR="00C23D38">
        <w:rPr>
          <w:b w:val="0"/>
          <w:color w:val="FF0000"/>
        </w:rPr>
        <w:t xml:space="preserve"> </w:t>
      </w:r>
      <w:r w:rsidRPr="0080676A">
        <w:rPr>
          <w:b w:val="0"/>
        </w:rPr>
        <w:t>z</w:t>
      </w:r>
      <w:r w:rsidR="0046455E">
        <w:rPr>
          <w:b w:val="0"/>
        </w:rPr>
        <w:t> 8. novembra</w:t>
      </w:r>
      <w:r w:rsidRPr="00ED6533" w:rsidR="00CD2A22">
        <w:rPr>
          <w:b w:val="0"/>
        </w:rPr>
        <w:t xml:space="preserve"> </w:t>
      </w:r>
      <w:r w:rsidRPr="00ED6533">
        <w:rPr>
          <w:b w:val="0"/>
        </w:rPr>
        <w:t>20</w:t>
      </w:r>
      <w:r w:rsidR="000E13CB">
        <w:rPr>
          <w:b w:val="0"/>
        </w:rPr>
        <w:t>22</w:t>
      </w:r>
      <w:r w:rsidRPr="004D053D" w:rsidR="009F77AE">
        <w:rPr>
          <w:b w:val="0"/>
        </w:rPr>
        <w:t xml:space="preserve"> </w:t>
      </w:r>
      <w:r w:rsidRPr="004D053D">
        <w:rPr>
          <w:b w:val="0"/>
        </w:rPr>
        <w:t>pridelila</w:t>
      </w:r>
      <w:r w:rsidRPr="004D053D" w:rsidR="00353558">
        <w:rPr>
          <w:b w:val="0"/>
        </w:rPr>
        <w:t xml:space="preserve"> </w:t>
      </w:r>
      <w:r w:rsidRPr="0046455E" w:rsidR="0046455E">
        <w:rPr>
          <w:b w:val="0"/>
        </w:rPr>
        <w:t>návrh poslancov Národnej rady Slovenskej republiky Miloša SVRČEKA, Kataríny HATRÁKOVEJ, Petra LIBU a Ľudovíta GOGU na vydanie zákona, ktorým sa mení a dopĺňa zákon č. 582/2004 Z. z. o miestnych daniach a miestnom poplatku za komunálne odpady a drobné stavebné odpady v znení neskorších predpisov (tlač 1231)</w:t>
      </w:r>
      <w:r w:rsidR="00E06BD4">
        <w:t xml:space="preserve"> </w:t>
      </w:r>
      <w:r w:rsidRPr="0035530B" w:rsidR="0035530B">
        <w:rPr>
          <w:b w:val="0"/>
        </w:rPr>
        <w:t>na prerokovanie</w:t>
      </w:r>
      <w:r w:rsidR="0035530B">
        <w:t xml:space="preserve"> </w:t>
      </w:r>
      <w:r w:rsidRPr="004D053D">
        <w:rPr>
          <w:b w:val="0"/>
        </w:rPr>
        <w:t>týmto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1B11BA">
      <w:pPr>
        <w:pStyle w:val="BodyText2"/>
        <w:jc w:val="left"/>
      </w:pPr>
    </w:p>
    <w:p w:rsidR="0046455E" w:rsidP="0046455E">
      <w:pPr>
        <w:pStyle w:val="BodyText2"/>
        <w:numPr>
          <w:ilvl w:val="0"/>
          <w:numId w:val="1"/>
        </w:numPr>
      </w:pPr>
      <w:r>
        <w:t xml:space="preserve">Výboru Národnej rady Slovenskej republiky pre financie a rozpočet, </w:t>
      </w:r>
    </w:p>
    <w:p w:rsidR="0046455E" w:rsidP="0046455E">
      <w:pPr>
        <w:pStyle w:val="BodyText2"/>
        <w:numPr>
          <w:ilvl w:val="0"/>
          <w:numId w:val="1"/>
        </w:numPr>
      </w:pPr>
      <w:r>
        <w:t xml:space="preserve">Ústavnoprávnemu výboru Národnej rady Slovenskej republiky, </w:t>
      </w:r>
    </w:p>
    <w:p w:rsidR="00FE1C8D" w:rsidRPr="00043639" w:rsidP="0046455E">
      <w:pPr>
        <w:pStyle w:val="BodyText2"/>
        <w:numPr>
          <w:ilvl w:val="0"/>
          <w:numId w:val="1"/>
        </w:numPr>
      </w:pPr>
      <w:r w:rsidRPr="00F43DC2" w:rsidR="0046455E">
        <w:rPr>
          <w:color w:val="000000"/>
          <w:szCs w:val="24"/>
        </w:rPr>
        <w:t>Výboru Národnej rady Slovenskej republik</w:t>
      </w:r>
      <w:r w:rsidRPr="00F43DC2" w:rsidR="0046455E">
        <w:rPr>
          <w:color w:val="000000"/>
          <w:szCs w:val="24"/>
        </w:rPr>
        <w:t xml:space="preserve">y pre </w:t>
      </w:r>
      <w:r w:rsidR="0046455E">
        <w:rPr>
          <w:color w:val="000000"/>
          <w:szCs w:val="24"/>
        </w:rPr>
        <w:t>verejnú správu a regionálny rozvoj</w:t>
      </w:r>
      <w:r w:rsidR="00043639">
        <w:t>.</w:t>
      </w:r>
    </w:p>
    <w:p w:rsidR="000F719E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Výbor Národnej rady Slovenskej republiky pre financie a rozpo</w:t>
      </w:r>
      <w:r w:rsidR="00AB15C9">
        <w:rPr>
          <w:bCs/>
        </w:rPr>
        <w:t>čet ako gestorský výbor a lehotu</w:t>
      </w:r>
      <w:r w:rsidRPr="00AB15C9" w:rsidR="00DE62F6">
        <w:rPr>
          <w:bCs/>
        </w:rPr>
        <w:t xml:space="preserve"> na prerokovanie predmetného návrhu zákona v druhom čítaní vo výboroch.</w:t>
      </w:r>
    </w:p>
    <w:p w:rsidR="00AB15C9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rokovacom poriadku Národnej rady Slovenskej republiky).</w:t>
      </w:r>
    </w:p>
    <w:p w:rsidR="00A46744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</w:t>
      </w:r>
      <w:r>
        <w:rPr>
          <w:b/>
        </w:rPr>
        <w:t>I.</w:t>
      </w:r>
    </w:p>
    <w:p w:rsidR="00501B42">
      <w:pPr>
        <w:pStyle w:val="BodyText2"/>
        <w:ind w:left="705"/>
        <w:jc w:val="center"/>
        <w:rPr>
          <w:b/>
        </w:rPr>
      </w:pPr>
    </w:p>
    <w:p w:rsidR="0046455E" w:rsidP="0046455E">
      <w:pPr>
        <w:pStyle w:val="BodyText2"/>
        <w:ind w:firstLine="720"/>
      </w:pPr>
      <w:r>
        <w:t>K predmetnému návrhu zákona zaujali výbory Národnej rady Slovenskej republiky tieto stanoviská:</w:t>
      </w:r>
    </w:p>
    <w:p w:rsidR="0046455E" w:rsidP="0046455E">
      <w:pPr>
        <w:pStyle w:val="BodyText2"/>
        <w:ind w:firstLine="720"/>
      </w:pPr>
    </w:p>
    <w:p w:rsidR="0046455E" w:rsidP="0046455E">
      <w:pPr>
        <w:pStyle w:val="BodyText2"/>
        <w:numPr>
          <w:ilvl w:val="0"/>
          <w:numId w:val="8"/>
        </w:numPr>
        <w:rPr>
          <w:b/>
          <w:bCs/>
        </w:rPr>
      </w:pPr>
      <w:r>
        <w:t xml:space="preserve">Odporúčanie pre Národnú radu Slovenskej republiky návrh </w:t>
      </w:r>
      <w:r w:rsidRPr="00BF4D55">
        <w:rPr>
          <w:b/>
          <w:bCs/>
        </w:rPr>
        <w:t xml:space="preserve">schváliť </w:t>
      </w:r>
      <w:r>
        <w:rPr>
          <w:b/>
          <w:bCs/>
        </w:rPr>
        <w:t xml:space="preserve">s pozmeňujúcimi a doplňujúcimi návrhmi </w:t>
      </w:r>
    </w:p>
    <w:p w:rsidR="0046455E" w:rsidRPr="00BF4D55" w:rsidP="0046455E">
      <w:pPr>
        <w:pStyle w:val="BodyText2"/>
        <w:ind w:left="720"/>
        <w:rPr>
          <w:b/>
          <w:bCs/>
        </w:rPr>
      </w:pPr>
    </w:p>
    <w:p w:rsidR="0046455E" w:rsidRPr="00DF77AE" w:rsidP="0046455E">
      <w:pPr>
        <w:pStyle w:val="BodyText2"/>
        <w:numPr>
          <w:ilvl w:val="0"/>
          <w:numId w:val="1"/>
        </w:numPr>
      </w:pPr>
      <w:r w:rsidRPr="006F35BD">
        <w:rPr>
          <w:b/>
        </w:rPr>
        <w:t>Ústavnoprávny výbor</w:t>
      </w:r>
      <w:r w:rsidRPr="006F35BD">
        <w:t xml:space="preserve"> Národnej rady Slovenskej republiky (uzn. č. </w:t>
      </w:r>
      <w:r>
        <w:t>661</w:t>
      </w:r>
      <w:r w:rsidRPr="00DF77AE">
        <w:t xml:space="preserve"> zo dňa </w:t>
      </w:r>
      <w:r>
        <w:t>24</w:t>
      </w:r>
      <w:r w:rsidRPr="00DF77AE">
        <w:t>. novembra 202</w:t>
      </w:r>
      <w:r>
        <w:t>2</w:t>
      </w:r>
      <w:r w:rsidRPr="00DF77AE">
        <w:t>)</w:t>
      </w:r>
    </w:p>
    <w:p w:rsidR="0046455E" w:rsidRPr="009F0143" w:rsidP="0046455E">
      <w:pPr>
        <w:pStyle w:val="BodyText2"/>
        <w:ind w:left="1065"/>
      </w:pPr>
    </w:p>
    <w:p w:rsidR="0046455E" w:rsidRPr="006F35BD" w:rsidP="0046455E">
      <w:pPr>
        <w:pStyle w:val="BodyText2"/>
        <w:numPr>
          <w:ilvl w:val="0"/>
          <w:numId w:val="1"/>
        </w:numPr>
      </w:pPr>
      <w:r w:rsidRPr="006F35BD">
        <w:rPr>
          <w:b/>
          <w:bCs/>
          <w:color w:val="000000"/>
        </w:rPr>
        <w:t xml:space="preserve">Výbor </w:t>
      </w:r>
      <w:r w:rsidRPr="006F35BD">
        <w:rPr>
          <w:color w:val="000000"/>
        </w:rPr>
        <w:t xml:space="preserve">Národnej rady Slovenskej republiky </w:t>
      </w:r>
      <w:r w:rsidRPr="006F35BD">
        <w:rPr>
          <w:b/>
          <w:bCs/>
          <w:color w:val="000000"/>
        </w:rPr>
        <w:t xml:space="preserve">pre verejnú správu a regionálny rozvoj </w:t>
      </w:r>
      <w:r w:rsidRPr="002A51B5">
        <w:t>(</w:t>
      </w:r>
      <w:r w:rsidRPr="006F35BD">
        <w:t xml:space="preserve">uzn. č. </w:t>
      </w:r>
      <w:r>
        <w:t>182</w:t>
      </w:r>
      <w:r w:rsidRPr="006F35BD">
        <w:t xml:space="preserve"> zo dňa </w:t>
      </w:r>
      <w:r>
        <w:t>24</w:t>
      </w:r>
      <w:r w:rsidRPr="006F35BD">
        <w:t>. novembra 202</w:t>
      </w:r>
      <w:r>
        <w:t>2</w:t>
      </w:r>
      <w:r w:rsidRPr="006F35BD">
        <w:t>)</w:t>
      </w:r>
    </w:p>
    <w:p w:rsidR="0046455E" w:rsidRPr="00D21FC8" w:rsidP="0046455E">
      <w:pPr>
        <w:ind w:left="720"/>
        <w:jc w:val="both"/>
      </w:pPr>
    </w:p>
    <w:p w:rsidR="0046455E" w:rsidP="0046455E">
      <w:pPr>
        <w:numPr>
          <w:ilvl w:val="0"/>
          <w:numId w:val="8"/>
        </w:numPr>
        <w:ind w:left="714" w:hanging="357"/>
        <w:jc w:val="both"/>
        <w:rPr>
          <w:b/>
          <w:bCs/>
        </w:rPr>
      </w:pPr>
      <w:r w:rsidRPr="00825E52">
        <w:rPr>
          <w:b/>
        </w:rPr>
        <w:t>Výbor</w:t>
      </w:r>
      <w:r w:rsidRPr="00051606">
        <w:t xml:space="preserve"> Národnej rady Slovenskej republiky </w:t>
      </w:r>
      <w:r w:rsidRPr="00825E52">
        <w:rPr>
          <w:b/>
        </w:rPr>
        <w:t>pre financie a rozpočet</w:t>
      </w:r>
      <w:r w:rsidRPr="002A51B5">
        <w:t xml:space="preserve"> </w:t>
      </w:r>
      <w:r>
        <w:rPr>
          <w:b/>
          <w:bCs/>
        </w:rPr>
        <w:t xml:space="preserve">neprijal platné </w:t>
      </w:r>
      <w:r>
        <w:rPr>
          <w:b/>
        </w:rPr>
        <w:t>uznesenie</w:t>
      </w:r>
      <w:r>
        <w:t xml:space="preserve">, nakoľko </w:t>
      </w:r>
      <w:r>
        <w:rPr>
          <w:b/>
        </w:rPr>
        <w:t xml:space="preserve">návrh uznesenia </w:t>
      </w:r>
      <w:r>
        <w:rPr>
          <w:b/>
          <w:bCs/>
        </w:rPr>
        <w:t>nezískal</w:t>
      </w:r>
      <w:r>
        <w:rPr>
          <w:b/>
        </w:rPr>
        <w:t xml:space="preserve"> </w:t>
      </w:r>
      <w:r>
        <w:rPr>
          <w:b/>
          <w:bCs/>
        </w:rPr>
        <w:t>podporu potrebnej nadpolovičnej väčšiny prítomných poslancov</w:t>
      </w:r>
      <w:r>
        <w:rPr>
          <w:bCs/>
        </w:rPr>
        <w:t xml:space="preserve"> § 52 ods. 4 zákona Národnej rady Slovenskej republiky č. 350/1996 Z. z. o  rokovacom poriadku Národnej rady Slovenskej republiky v znení neskorších predpisov. </w:t>
      </w: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233A93" w:rsidP="00FA3091">
      <w:pPr>
        <w:pStyle w:val="BodyText2"/>
        <w:ind w:firstLine="708"/>
      </w:pPr>
      <w:r w:rsidRPr="00AC16EF" w:rsidR="00EB7C0C">
        <w:t>Z uzn</w:t>
      </w:r>
      <w:r w:rsidR="00E37D6A">
        <w:t>esen</w:t>
      </w:r>
      <w:r w:rsidR="0079170E">
        <w:t>í</w:t>
      </w:r>
      <w:r w:rsidRPr="00AC16EF">
        <w:t xml:space="preserve"> výbor</w:t>
      </w:r>
      <w:r w:rsidR="0079170E">
        <w:t>ov</w:t>
      </w:r>
      <w:r>
        <w:t xml:space="preserve"> Národnej ra</w:t>
      </w:r>
      <w:r w:rsidR="008E1580">
        <w:t>dy Slovenskej republ</w:t>
      </w:r>
      <w:r w:rsidR="0085078D">
        <w:t xml:space="preserve">iky </w:t>
      </w:r>
      <w:r w:rsidR="00BF4D55">
        <w:t>uveden</w:t>
      </w:r>
      <w:r w:rsidR="0079170E">
        <w:t>ých</w:t>
      </w:r>
      <w:r w:rsidRPr="00AC16EF">
        <w:t xml:space="preserve"> pod bodom</w:t>
      </w:r>
      <w:r w:rsidR="00F2536F">
        <w:t xml:space="preserve"> III. tejto </w:t>
      </w:r>
      <w:r w:rsidR="00781980">
        <w:t>informácie</w:t>
      </w:r>
      <w:r w:rsidR="00F2536F">
        <w:t xml:space="preserve"> </w:t>
      </w:r>
      <w:r w:rsidR="000F719E">
        <w:t>vyplývajú</w:t>
      </w:r>
      <w:r w:rsidR="00BF4D55">
        <w:t xml:space="preserve"> </w:t>
      </w:r>
      <w:r w:rsidRPr="00650AF6" w:rsidR="00115AB5">
        <w:t>p</w:t>
      </w:r>
      <w:r w:rsidRPr="00650AF6" w:rsidR="00D3131A">
        <w:t>ozmeňujúc</w:t>
      </w:r>
      <w:r w:rsidR="00BF4D55">
        <w:t>e</w:t>
      </w:r>
      <w:r w:rsidRPr="00650AF6" w:rsidR="00D3131A">
        <w:t xml:space="preserve"> </w:t>
      </w:r>
      <w:r w:rsidRPr="00650AF6" w:rsidR="003D7154">
        <w:t>a doplňujúc</w:t>
      </w:r>
      <w:r w:rsidR="00BF4D55">
        <w:t>e</w:t>
      </w:r>
      <w:r w:rsidRPr="00650AF6" w:rsidR="003D7154">
        <w:t xml:space="preserve"> </w:t>
      </w:r>
      <w:r w:rsidRPr="00650AF6" w:rsidR="00D3131A">
        <w:t>návrh</w:t>
      </w:r>
      <w:r w:rsidR="00BF4D55">
        <w:t>y</w:t>
      </w:r>
      <w:r w:rsidRPr="00650AF6" w:rsidR="005B6CCD">
        <w:t xml:space="preserve">: </w:t>
      </w:r>
    </w:p>
    <w:p w:rsidR="000548A4" w:rsidP="00FA3091">
      <w:pPr>
        <w:pStyle w:val="BodyText2"/>
        <w:ind w:firstLine="708"/>
      </w:pPr>
    </w:p>
    <w:p w:rsidR="0046455E" w:rsidRPr="00BB4B24" w:rsidP="0046455E">
      <w:pPr>
        <w:pStyle w:val="ListParagraph"/>
        <w:numPr>
          <w:ilvl w:val="0"/>
          <w:numId w:val="9"/>
        </w:numPr>
        <w:overflowPunct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B4B24">
        <w:rPr>
          <w:rFonts w:ascii="Times New Roman" w:hAnsi="Times New Roman"/>
          <w:b/>
          <w:sz w:val="24"/>
          <w:szCs w:val="24"/>
        </w:rPr>
        <w:t xml:space="preserve">K čl. I, 1. bodu </w:t>
      </w:r>
    </w:p>
    <w:p w:rsidR="0046455E" w:rsidP="0046455E">
      <w:pPr>
        <w:pStyle w:val="ListParagraph"/>
        <w:overflowPunct w:val="0"/>
        <w:spacing w:after="0" w:line="240" w:lineRule="auto"/>
        <w:ind w:left="64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I, 1. bode (§ 7 ods. 4) sa slová „a objekt“ nahrádzajú slovami „alebo objekt“.</w:t>
      </w:r>
    </w:p>
    <w:p w:rsidR="0046455E" w:rsidP="0046455E">
      <w:pPr>
        <w:pStyle w:val="ListParagraph"/>
        <w:overflowPunct w:val="0"/>
        <w:spacing w:after="0" w:line="240" w:lineRule="auto"/>
        <w:ind w:left="396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6455E" w:rsidP="0046455E">
      <w:pPr>
        <w:pStyle w:val="ListParagraph"/>
        <w:overflowPunct w:val="0"/>
        <w:spacing w:after="0" w:line="240" w:lineRule="auto"/>
        <w:ind w:left="354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Pozmeňujúci návrh precizuje navrhované znenie tak, aby bolo zrejmé, že podmienka pre uplatnenie osobitného režimu zdanenia pozemkov je splnená, aj pokiaľ sa na príslušnom pozemku nachádza len jeden z ustanovených typov zariadení (transformačná stanica, predajný stánok alebo ostatný objekt na podnikanie). </w:t>
      </w:r>
    </w:p>
    <w:p w:rsidR="0046455E" w:rsidP="0046455E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46455E" w:rsidP="0046455E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  <w:r w:rsidRPr="00D46868">
        <w:rPr>
          <w:rFonts w:ascii="Times New Roman" w:hAnsi="Times New Roman"/>
          <w:b/>
          <w:sz w:val="24"/>
          <w:szCs w:val="24"/>
        </w:rPr>
        <w:t>Ústavnoprávny výbor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  <w:r w:rsidRPr="00D46868">
        <w:rPr>
          <w:rFonts w:ascii="Times New Roman" w:hAnsi="Times New Roman"/>
          <w:b/>
          <w:sz w:val="24"/>
          <w:szCs w:val="24"/>
        </w:rPr>
        <w:t>NR SR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</w:p>
    <w:p w:rsidR="0046455E" w:rsidRPr="000F0013" w:rsidP="0046455E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  <w:r w:rsidRPr="000F0013">
        <w:rPr>
          <w:rFonts w:ascii="Times New Roman" w:hAnsi="Times New Roman"/>
          <w:b/>
          <w:bCs/>
          <w:color w:val="000000"/>
          <w:sz w:val="24"/>
          <w:szCs w:val="24"/>
        </w:rPr>
        <w:t xml:space="preserve">Výbor </w:t>
      </w:r>
      <w:r w:rsidRPr="000F0013">
        <w:rPr>
          <w:rFonts w:ascii="Times New Roman" w:hAnsi="Times New Roman"/>
          <w:b/>
          <w:color w:val="000000"/>
          <w:sz w:val="24"/>
          <w:szCs w:val="24"/>
        </w:rPr>
        <w:t xml:space="preserve">NR SR </w:t>
      </w:r>
      <w:r w:rsidRPr="000F0013">
        <w:rPr>
          <w:rFonts w:ascii="Times New Roman" w:hAnsi="Times New Roman"/>
          <w:b/>
          <w:bCs/>
          <w:color w:val="000000"/>
          <w:sz w:val="24"/>
          <w:szCs w:val="24"/>
        </w:rPr>
        <w:t>pre verejnú správu a regionálny rozvoj</w:t>
      </w:r>
    </w:p>
    <w:p w:rsidR="0046455E" w:rsidP="0046455E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46455E" w:rsidRPr="00BB4B24" w:rsidP="0046455E">
      <w:pPr>
        <w:pStyle w:val="ListParagraph"/>
        <w:numPr>
          <w:ilvl w:val="0"/>
          <w:numId w:val="9"/>
        </w:numPr>
        <w:overflowPunct w:val="0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B4B24">
        <w:rPr>
          <w:rFonts w:ascii="Times New Roman" w:hAnsi="Times New Roman"/>
          <w:b/>
          <w:sz w:val="24"/>
          <w:szCs w:val="24"/>
        </w:rPr>
        <w:t xml:space="preserve">K čl. I, 4. bodu </w:t>
      </w:r>
    </w:p>
    <w:p w:rsidR="0046455E" w:rsidP="0046455E">
      <w:pPr>
        <w:pStyle w:val="ListParagraph"/>
        <w:overflowPunct w:val="0"/>
        <w:spacing w:after="0" w:line="240" w:lineRule="auto"/>
        <w:ind w:left="64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I, 4. bode (§ 10 ods. 5) sa slová „v zhode s podaným priznaním k dani z nehnuteľností alebo čiastkovým priznaním k dani z nehnuteľností“ nahrádzajú slovami „uvedený v podanom priznaní k dani z nehnuteľností alebo čiastkovom priznaní k dani z nehnuteľností“.</w:t>
      </w:r>
    </w:p>
    <w:p w:rsidR="0046455E" w:rsidP="0046455E">
      <w:pPr>
        <w:pStyle w:val="ListParagraph"/>
        <w:overflowPunct w:val="0"/>
        <w:spacing w:after="0" w:line="240" w:lineRule="auto"/>
        <w:ind w:left="396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6455E" w:rsidRPr="00BB4B24" w:rsidP="0046455E">
      <w:pPr>
        <w:pStyle w:val="ListParagraph"/>
        <w:overflowPunct w:val="0"/>
        <w:spacing w:after="0" w:line="240" w:lineRule="auto"/>
        <w:ind w:left="354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Pozmeňujúci návrh konkretizuje citované ustanovenie v zmysle spresnenia povinnosti daňovníka v prípade daňovej kontroly preukázať ten účel využitia stavby, ktorý uviedol v daňovom priznaní.</w:t>
      </w:r>
    </w:p>
    <w:p w:rsidR="0046455E" w:rsidP="0046455E">
      <w:pPr>
        <w:pStyle w:val="NoSpacing"/>
        <w:ind w:left="3969"/>
        <w:rPr>
          <w:sz w:val="24"/>
          <w:szCs w:val="24"/>
        </w:rPr>
      </w:pPr>
    </w:p>
    <w:p w:rsidR="0046455E" w:rsidP="0046455E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sz w:val="24"/>
          <w:szCs w:val="24"/>
        </w:rPr>
      </w:pPr>
      <w:r w:rsidRPr="00D46868">
        <w:rPr>
          <w:rFonts w:ascii="Times New Roman" w:hAnsi="Times New Roman"/>
          <w:b/>
          <w:sz w:val="24"/>
          <w:szCs w:val="24"/>
        </w:rPr>
        <w:t>Ústavnoprávny výbor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  <w:r w:rsidRPr="00D46868">
        <w:rPr>
          <w:rFonts w:ascii="Times New Roman" w:hAnsi="Times New Roman"/>
          <w:b/>
          <w:sz w:val="24"/>
          <w:szCs w:val="24"/>
        </w:rPr>
        <w:t>NR SR</w:t>
      </w:r>
      <w:r w:rsidRPr="00D46868">
        <w:rPr>
          <w:rFonts w:ascii="Times New Roman" w:hAnsi="Times New Roman"/>
          <w:sz w:val="24"/>
          <w:szCs w:val="24"/>
        </w:rPr>
        <w:t xml:space="preserve"> </w:t>
      </w:r>
    </w:p>
    <w:p w:rsidR="0046455E" w:rsidRPr="000F0013" w:rsidP="0046455E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  <w:r w:rsidRPr="000F0013">
        <w:rPr>
          <w:rFonts w:ascii="Times New Roman" w:hAnsi="Times New Roman"/>
          <w:b/>
          <w:bCs/>
          <w:color w:val="000000"/>
          <w:sz w:val="24"/>
          <w:szCs w:val="24"/>
        </w:rPr>
        <w:t xml:space="preserve">Výbor </w:t>
      </w:r>
      <w:r w:rsidRPr="000F0013">
        <w:rPr>
          <w:rFonts w:ascii="Times New Roman" w:hAnsi="Times New Roman"/>
          <w:b/>
          <w:color w:val="000000"/>
          <w:sz w:val="24"/>
          <w:szCs w:val="24"/>
        </w:rPr>
        <w:t xml:space="preserve">NR SR </w:t>
      </w:r>
      <w:r w:rsidRPr="000F0013">
        <w:rPr>
          <w:rFonts w:ascii="Times New Roman" w:hAnsi="Times New Roman"/>
          <w:b/>
          <w:bCs/>
          <w:color w:val="000000"/>
          <w:sz w:val="24"/>
          <w:szCs w:val="24"/>
        </w:rPr>
        <w:t>pre verejnú správu a regionálny rozvoj</w:t>
      </w:r>
    </w:p>
    <w:p w:rsidR="0046455E" w:rsidP="0046455E">
      <w:pPr>
        <w:pStyle w:val="ListParagraph"/>
        <w:spacing w:after="0" w:line="240" w:lineRule="auto"/>
        <w:ind w:left="2844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540A9E" w:rsidP="00540A9E">
      <w:pPr>
        <w:pStyle w:val="BodyText2"/>
        <w:jc w:val="center"/>
        <w:rPr>
          <w:b/>
        </w:rPr>
      </w:pPr>
      <w:r w:rsidR="00233A93">
        <w:rPr>
          <w:b/>
        </w:rPr>
        <w:t>V.</w:t>
      </w:r>
    </w:p>
    <w:p w:rsidR="00540A9E" w:rsidRPr="00540A9E" w:rsidP="00540A9E"/>
    <w:p w:rsidR="0035530B" w:rsidP="0035530B">
      <w:pPr>
        <w:ind w:firstLine="708"/>
        <w:jc w:val="both"/>
        <w:rPr>
          <w:b/>
          <w:bCs/>
        </w:rPr>
      </w:pPr>
      <w:r>
        <w:rPr>
          <w:b/>
        </w:rPr>
        <w:t>Návrh spoločnej správy, vrátane stanoviska gestorského výboru prerokoval V</w:t>
      </w:r>
      <w:r>
        <w:rPr>
          <w:b/>
          <w:bCs/>
        </w:rPr>
        <w:t>ýbor Národnej rady Slovenskej republiky pre financie a rozpočet na 1</w:t>
      </w:r>
      <w:r w:rsidR="0046455E">
        <w:rPr>
          <w:b/>
          <w:bCs/>
        </w:rPr>
        <w:t>13</w:t>
      </w:r>
      <w:r>
        <w:rPr>
          <w:b/>
          <w:bCs/>
        </w:rPr>
        <w:t xml:space="preserve">. schôdzi dňa </w:t>
      </w:r>
      <w:r w:rsidR="0046455E">
        <w:rPr>
          <w:b/>
          <w:bCs/>
        </w:rPr>
        <w:t>29. novembra</w:t>
      </w:r>
      <w:r>
        <w:rPr>
          <w:b/>
          <w:bCs/>
        </w:rPr>
        <w:t xml:space="preserve"> 2022. </w:t>
      </w:r>
    </w:p>
    <w:p w:rsidR="0035530B" w:rsidP="0035530B">
      <w:pPr>
        <w:ind w:firstLine="708"/>
        <w:jc w:val="both"/>
        <w:rPr>
          <w:bCs/>
        </w:rPr>
      </w:pPr>
    </w:p>
    <w:p w:rsidR="0035530B" w:rsidP="0035530B">
      <w:pPr>
        <w:ind w:firstLine="708"/>
        <w:jc w:val="both"/>
        <w:rPr>
          <w:bCs/>
        </w:rPr>
      </w:pPr>
      <w:r>
        <w:rPr>
          <w:b/>
          <w:bCs/>
        </w:rPr>
        <w:t xml:space="preserve">Stanovisko gestorského výboru, ani návrh spoločnej správy </w:t>
      </w:r>
      <w:r w:rsidRPr="0035530B">
        <w:rPr>
          <w:bCs/>
        </w:rPr>
        <w:t>V</w:t>
      </w:r>
      <w:r>
        <w:rPr>
          <w:bCs/>
        </w:rPr>
        <w:t xml:space="preserve">ýboru Národnej rady Slovenskej republiky pre financie a rozpočet, </w:t>
      </w:r>
      <w:r>
        <w:rPr>
          <w:b/>
          <w:bCs/>
        </w:rPr>
        <w:t>neboli schválené</w:t>
      </w:r>
      <w:r>
        <w:rPr>
          <w:bCs/>
        </w:rPr>
        <w:t>, keďže návrh stanoviska gestorského výboru (</w:t>
      </w:r>
      <w:r>
        <w:rPr>
          <w:b/>
          <w:u w:val="single"/>
        </w:rPr>
        <w:t>odporúča Národnej rade Slovenskej republiky predmetný návrh zákona schváliť s pozmeňujúcimi a doplňujúcimi návrhmi</w:t>
      </w:r>
      <w:r>
        <w:t>)</w:t>
      </w:r>
      <w:r>
        <w:rPr>
          <w:bCs/>
        </w:rPr>
        <w:t xml:space="preserve"> </w:t>
      </w:r>
      <w:r>
        <w:rPr>
          <w:b/>
          <w:bCs/>
        </w:rPr>
        <w:t>nezískal súhlas potrebnej väčšiny členov</w:t>
      </w:r>
      <w:r>
        <w:rPr>
          <w:bCs/>
        </w:rPr>
        <w:t xml:space="preserve"> </w:t>
      </w:r>
      <w:r>
        <w:t>V</w:t>
      </w:r>
      <w:r>
        <w:rPr>
          <w:bCs/>
        </w:rPr>
        <w:t>ýboru Národnej rady Slovenskej republiky pre financie a rozpočet.</w:t>
      </w:r>
    </w:p>
    <w:p w:rsidR="0035530B" w:rsidP="0035530B">
      <w:pPr>
        <w:ind w:firstLine="708"/>
        <w:jc w:val="both"/>
        <w:rPr>
          <w:bCs/>
        </w:rPr>
      </w:pPr>
    </w:p>
    <w:p w:rsidR="0035530B" w:rsidP="0035530B">
      <w:pPr>
        <w:ind w:firstLine="708"/>
        <w:jc w:val="both"/>
      </w:pPr>
      <w:r>
        <w:rPr>
          <w:bCs/>
        </w:rPr>
        <w:t xml:space="preserve">Predseda </w:t>
      </w:r>
      <w:r>
        <w:t>V</w:t>
      </w:r>
      <w:r>
        <w:rPr>
          <w:bCs/>
        </w:rPr>
        <w:t>ýboru Národnej rady Slovenskej republiky pre financie a rozpočet</w:t>
      </w:r>
      <w:r>
        <w:t xml:space="preserve"> zároveň určil za spravodaj</w:t>
      </w:r>
      <w:r w:rsidR="0046455E">
        <w:t>cu</w:t>
      </w:r>
      <w:r w:rsidR="007D436B">
        <w:t xml:space="preserve"> výboru</w:t>
      </w:r>
      <w:r>
        <w:t xml:space="preserve"> poslan</w:t>
      </w:r>
      <w:r w:rsidR="0046455E">
        <w:t>ca</w:t>
      </w:r>
      <w:r>
        <w:t xml:space="preserve"> </w:t>
      </w:r>
      <w:r>
        <w:rPr>
          <w:bCs/>
        </w:rPr>
        <w:t xml:space="preserve">Národnej rady Slovenskej republiky </w:t>
      </w:r>
      <w:r w:rsidR="0046455E">
        <w:rPr>
          <w:b/>
          <w:bCs/>
        </w:rPr>
        <w:t>Jozefa Hlinku</w:t>
      </w:r>
      <w:r>
        <w:t xml:space="preserve">, </w:t>
      </w:r>
      <w:r w:rsidR="007D436B">
        <w:t>aby na schôdzi Národnej rady Slovenskej republiky</w:t>
      </w:r>
      <w:r>
        <w:t xml:space="preserve"> informova</w:t>
      </w:r>
      <w:r w:rsidR="0046455E">
        <w:t>l</w:t>
      </w:r>
      <w:r>
        <w:t xml:space="preserve"> o výsledku rokovania výboru. </w:t>
      </w:r>
    </w:p>
    <w:p w:rsidR="0035530B" w:rsidP="0035530B">
      <w:pPr>
        <w:ind w:firstLine="708"/>
        <w:jc w:val="both"/>
      </w:pPr>
      <w:r>
        <w:tab/>
        <w:tab/>
        <w:tab/>
      </w:r>
    </w:p>
    <w:p w:rsidR="0035530B" w:rsidP="0035530B">
      <w:pPr>
        <w:ind w:firstLine="708"/>
        <w:jc w:val="both"/>
      </w:pPr>
    </w:p>
    <w:p w:rsidR="0035530B" w:rsidP="0035530B">
      <w:pPr>
        <w:pStyle w:val="BodyText2"/>
        <w:jc w:val="center"/>
      </w:pPr>
      <w:r>
        <w:t xml:space="preserve">Bratislava </w:t>
      </w:r>
      <w:r w:rsidR="0046455E">
        <w:t>29. novembra</w:t>
      </w:r>
      <w:r>
        <w:t xml:space="preserve"> 2022</w:t>
      </w:r>
    </w:p>
    <w:p w:rsidR="0035530B" w:rsidP="0035530B">
      <w:pPr>
        <w:pStyle w:val="BodyText2"/>
      </w:pPr>
    </w:p>
    <w:p w:rsidR="0035530B" w:rsidP="0035530B">
      <w:pPr>
        <w:pStyle w:val="BodyText2"/>
      </w:pPr>
    </w:p>
    <w:p w:rsidR="0035530B" w:rsidP="0035530B">
      <w:pPr>
        <w:pStyle w:val="BodyText2"/>
        <w:jc w:val="center"/>
        <w:rPr>
          <w:b/>
          <w:bCs/>
        </w:rPr>
      </w:pPr>
      <w:r>
        <w:rPr>
          <w:b/>
          <w:bCs/>
        </w:rPr>
        <w:t>Marián Viskupič, v.r.</w:t>
      </w:r>
    </w:p>
    <w:p w:rsidR="0035530B" w:rsidP="0035530B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35530B" w:rsidP="0035530B">
      <w:pPr>
        <w:ind w:left="1416" w:firstLine="708"/>
      </w:pPr>
      <w:r>
        <w:rPr>
          <w:b/>
          <w:bCs/>
        </w:rPr>
        <w:t xml:space="preserve">            Výboru NR SR pre financie a rozpočet </w:t>
      </w:r>
    </w:p>
    <w:p w:rsidR="00233A93" w:rsidP="0035530B">
      <w:pPr>
        <w:tabs>
          <w:tab w:val="left" w:pos="709"/>
        </w:tabs>
        <w:jc w:val="both"/>
      </w:pP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455E">
      <w:rPr>
        <w:rStyle w:val="PageNumber"/>
        <w:noProof/>
      </w:rPr>
      <w:t>2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1A3937D9"/>
    <w:multiLevelType w:val="hybridMultilevel"/>
    <w:tmpl w:val="695687EE"/>
    <w:lvl w:ilvl="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4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1C66FAE"/>
    <w:multiLevelType w:val="hybridMultilevel"/>
    <w:tmpl w:val="A2F662B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C6E2F"/>
    <w:multiLevelType w:val="hybridMultilevel"/>
    <w:tmpl w:val="CDC8F7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1D50B7"/>
    <w:multiLevelType w:val="hybridMultilevel"/>
    <w:tmpl w:val="8E12F5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289796D"/>
    <w:multiLevelType w:val="hybridMultilevel"/>
    <w:tmpl w:val="47AAB438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3 Char,Conclusion de partie Char,Dot pt Char,Nad Char,ODRAZKY PRVA UROVEN Char,Odsek Char,Odsek zoznamu1 Char,Odsek zoznamu2 Char,Odstavec cíl se seznamem Char,Odstavec_muj Char,Seznam - odrážky Char,_Odstavec se seznamem Char,body Char"/>
    <w:link w:val="ListParagraph"/>
    <w:uiPriority w:val="34"/>
    <w:qFormat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Puzderová, Barbora, Ing.</cp:lastModifiedBy>
  <cp:revision>920</cp:revision>
  <cp:lastPrinted>2022-09-12T11:45:00Z</cp:lastPrinted>
  <dcterms:created xsi:type="dcterms:W3CDTF">2002-11-04T13:16:00Z</dcterms:created>
  <dcterms:modified xsi:type="dcterms:W3CDTF">2022-11-29T11:54:00Z</dcterms:modified>
</cp:coreProperties>
</file>