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5D" w:rsidRPr="007A2832" w:rsidRDefault="00E35A5D" w:rsidP="00E35A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A2832">
        <w:rPr>
          <w:b/>
          <w:sz w:val="28"/>
          <w:szCs w:val="28"/>
        </w:rPr>
        <w:t>Doložka vybraných vplyvov</w:t>
      </w:r>
    </w:p>
    <w:p w:rsidR="00E35A5D" w:rsidRPr="007A2832" w:rsidRDefault="00E35A5D" w:rsidP="00E35A5D">
      <w:pPr>
        <w:spacing w:after="200" w:line="276" w:lineRule="auto"/>
        <w:ind w:left="426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E35A5D" w:rsidRPr="007A2832" w:rsidTr="0093062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Základné údaje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Názov materiálu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E35A5D" w:rsidRPr="00B533C4" w:rsidRDefault="0082229F" w:rsidP="00B533C4">
            <w:pPr>
              <w:jc w:val="both"/>
              <w:rPr>
                <w:highlight w:val="yellow"/>
              </w:rPr>
            </w:pPr>
            <w:r w:rsidRPr="000B16F5">
              <w:t xml:space="preserve">Návrh zákona, ktorým sa mení a dopĺňa zákon č. 251/2012 Z. z. o energetike a o zmene a doplnení niektorých zákonov v znení neskorších predpisov a ktorým sa </w:t>
            </w:r>
            <w:r w:rsidR="0084055A">
              <w:t xml:space="preserve">menia a </w:t>
            </w:r>
            <w:r w:rsidRPr="000B16F5">
              <w:t>dopĺňajú niektoré zákony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Predkladateľ (a spolupredkladateľ)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r w:rsidRPr="007A2832">
              <w:t>Ministerstvo hospodárstva Slovenskej republiky</w:t>
            </w:r>
          </w:p>
          <w:p w:rsidR="00E35A5D" w:rsidRPr="007A2832" w:rsidRDefault="00E35A5D" w:rsidP="0093062C"/>
        </w:tc>
      </w:tr>
      <w:tr w:rsidR="00E35A5D" w:rsidRPr="007A2832" w:rsidTr="0093062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Charakter predkladaného materiálu</w:t>
            </w:r>
          </w:p>
        </w:tc>
        <w:sdt>
          <w:sdtPr>
            <w:id w:val="901099221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r w:rsidRPr="007A2832">
              <w:t>Materiál nelegislatívnej povahy</w:t>
            </w:r>
          </w:p>
        </w:tc>
      </w:tr>
      <w:tr w:rsidR="00E35A5D" w:rsidRPr="007A2832" w:rsidTr="0093062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E35A5D" w:rsidRPr="007A2832" w:rsidRDefault="00E35A5D" w:rsidP="0093062C"/>
        </w:tc>
        <w:sdt>
          <w:sdtPr>
            <w:id w:val="1281381661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ind w:left="175" w:hanging="175"/>
            </w:pPr>
            <w:r w:rsidRPr="007A2832">
              <w:t>Materiál legislatívnej povahy</w:t>
            </w:r>
          </w:p>
        </w:tc>
      </w:tr>
      <w:tr w:rsidR="00E35A5D" w:rsidRPr="007A2832" w:rsidTr="0093062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E35A5D" w:rsidRPr="007A2832" w:rsidRDefault="00E35A5D" w:rsidP="0093062C"/>
        </w:tc>
        <w:sdt>
          <w:sdtPr>
            <w:id w:val="-1821804044"/>
          </w:sdtPr>
          <w:sdtEndPr/>
          <w:sdtContent>
            <w:sdt>
              <w:sdtPr>
                <w:id w:val="-1998561739"/>
              </w:sdtPr>
              <w:sdtEndPr/>
              <w:sdtContent>
                <w:sdt>
                  <w:sdtPr>
                    <w:id w:val="531393126"/>
                  </w:sdtPr>
                  <w:sdtEndPr/>
                  <w:sdtContent>
                    <w:tc>
                      <w:tcPr>
                        <w:tcW w:w="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E35A5D" w:rsidRPr="007A2832" w:rsidRDefault="00F41CBF" w:rsidP="0093062C">
                        <w:pPr>
                          <w:jc w:val="center"/>
                        </w:pPr>
                        <w:r w:rsidRPr="007A2832">
                          <w:rPr>
                            <w:rFonts w:eastAsia="MS Gothic" w:hint="eastAsia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r w:rsidRPr="007A2832">
              <w:t>Transpozícia práva EÚ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>V prípade transpozície uveďte zoznam transponovaných predpisov:</w:t>
            </w:r>
          </w:p>
          <w:p w:rsidR="00E35A5D" w:rsidRPr="007A2832" w:rsidRDefault="00E35A5D" w:rsidP="00D327B5">
            <w:pPr>
              <w:numPr>
                <w:ilvl w:val="0"/>
                <w:numId w:val="10"/>
              </w:numPr>
              <w:contextualSpacing/>
              <w:jc w:val="both"/>
            </w:pPr>
          </w:p>
        </w:tc>
      </w:tr>
      <w:tr w:rsidR="00E35A5D" w:rsidRPr="007A2832" w:rsidTr="0093062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rPr>
                <w:i/>
              </w:rPr>
            </w:pPr>
          </w:p>
        </w:tc>
      </w:tr>
      <w:tr w:rsidR="00E35A5D" w:rsidRPr="007A2832" w:rsidTr="0093062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D" w:rsidRPr="00250925" w:rsidRDefault="00E35A5D" w:rsidP="0093062C"/>
        </w:tc>
      </w:tr>
      <w:tr w:rsidR="00E35A5D" w:rsidRPr="007A2832" w:rsidTr="0093062C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spacing w:line="276" w:lineRule="auto"/>
              <w:ind w:left="142"/>
              <w:contextualSpacing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Predpokladaný termín začiatku a ukončenia ZP**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rPr>
                <w:i/>
              </w:rPr>
            </w:pPr>
          </w:p>
        </w:tc>
      </w:tr>
      <w:tr w:rsidR="00E35A5D" w:rsidRPr="007A2832" w:rsidTr="0093062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spacing w:after="200" w:line="276" w:lineRule="auto"/>
              <w:ind w:left="142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D" w:rsidRPr="00250925" w:rsidRDefault="009659F3" w:rsidP="0093062C">
            <w:r>
              <w:t>November</w:t>
            </w:r>
            <w:r w:rsidRPr="00250925">
              <w:t xml:space="preserve"> </w:t>
            </w:r>
            <w:r w:rsidR="00250925" w:rsidRPr="00250925">
              <w:t>2022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5A5D" w:rsidRPr="007A2832" w:rsidRDefault="00E35A5D" w:rsidP="0093062C"/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Definovanie problému</w:t>
            </w:r>
          </w:p>
        </w:tc>
      </w:tr>
      <w:tr w:rsidR="00E35A5D" w:rsidRPr="007A2832" w:rsidTr="0093062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E35A5D" w:rsidRPr="007A2832" w:rsidRDefault="00E35A5D" w:rsidP="0093062C">
            <w:pPr>
              <w:rPr>
                <w:b/>
              </w:rPr>
            </w:pPr>
          </w:p>
          <w:p w:rsidR="00F41CBF" w:rsidRDefault="00F41CBF" w:rsidP="00F41CBF">
            <w:pPr>
              <w:pStyle w:val="Normlnywebov"/>
              <w:jc w:val="both"/>
              <w:rPr>
                <w:sz w:val="20"/>
                <w:szCs w:val="20"/>
              </w:rPr>
            </w:pPr>
            <w:r w:rsidRPr="00F41CBF">
              <w:rPr>
                <w:sz w:val="20"/>
                <w:szCs w:val="20"/>
              </w:rPr>
              <w:t>Ceny elektriny na trhu v období od začiatku leta 2022 skokovo narastajú v reakcii na významný rast trhovej ceny zemného plynu, na ktorú je cena elektrin</w:t>
            </w:r>
            <w:r w:rsidR="00F917D2">
              <w:rPr>
                <w:sz w:val="20"/>
                <w:szCs w:val="20"/>
              </w:rPr>
              <w:t>y</w:t>
            </w:r>
            <w:r w:rsidRPr="00F41CBF">
              <w:rPr>
                <w:sz w:val="20"/>
                <w:szCs w:val="20"/>
              </w:rPr>
              <w:t xml:space="preserve"> naviazaná v dôsledku uplatňovania algoritmov a metodík veľkoobchodných trhov na báze marginálnych nákladov najdrahšej výrobne elektriny, ktorou je v súčasnosti výroba zo zemného plynu. Veľkoobchodné ceny elektriny a plynu priamo ovplyvňujú tvorbu maloobchodných cien elektriny, ktoré majú dopad na domácno</w:t>
            </w:r>
            <w:r>
              <w:rPr>
                <w:sz w:val="20"/>
                <w:szCs w:val="20"/>
              </w:rPr>
              <w:t xml:space="preserve">sti, verejný sektor a podniky. </w:t>
            </w:r>
            <w:r w:rsidRPr="00F41CBF">
              <w:rPr>
                <w:sz w:val="20"/>
                <w:szCs w:val="20"/>
              </w:rPr>
              <w:t>Predaj elektriny za trhové ceny vyššie ako sú reálne výrobné ceny umožňuje vybraným výrobcom elektriny z tzv. inframarginálnych zdrojov vrátane sprostredkovateľov generovať v súčasnej situácii vysokých cien elektriny na veľkoobchodných trhoch nadmerné príjmy.</w:t>
            </w:r>
            <w:r>
              <w:rPr>
                <w:sz w:val="20"/>
                <w:szCs w:val="20"/>
              </w:rPr>
              <w:t xml:space="preserve"> </w:t>
            </w:r>
          </w:p>
          <w:p w:rsidR="00F41CBF" w:rsidRDefault="00F41CBF" w:rsidP="00F41CBF">
            <w:pPr>
              <w:pStyle w:val="Normlnywebov"/>
              <w:jc w:val="both"/>
              <w:rPr>
                <w:sz w:val="20"/>
                <w:szCs w:val="20"/>
              </w:rPr>
            </w:pPr>
            <w:r w:rsidRPr="00F41CBF">
              <w:rPr>
                <w:sz w:val="20"/>
                <w:szCs w:val="20"/>
              </w:rPr>
              <w:t>Podľa nariadenia Rady (EÚ) 2022/1854 zo 6. októbra 2022 o núdzovom zásahu s cieľom riešiť vysoké ceny energie (ďalej len „nariadenie</w:t>
            </w:r>
            <w:r w:rsidR="001D2CD4">
              <w:rPr>
                <w:sz w:val="20"/>
                <w:szCs w:val="20"/>
              </w:rPr>
              <w:t xml:space="preserve"> EÚ</w:t>
            </w:r>
            <w:r w:rsidRPr="00F41CBF">
              <w:rPr>
                <w:sz w:val="20"/>
                <w:szCs w:val="20"/>
              </w:rPr>
              <w:t>“) majú členské štáty povinnosť zaviesť dočasné vnútroštátne opatrenie týkajúce sa uplatňovania stropu trhových príjmov výrobcov z</w:t>
            </w:r>
            <w:r w:rsidR="00F917D2">
              <w:rPr>
                <w:sz w:val="20"/>
                <w:szCs w:val="20"/>
              </w:rPr>
              <w:t> </w:t>
            </w:r>
            <w:r w:rsidRPr="00F41CBF">
              <w:rPr>
                <w:sz w:val="20"/>
                <w:szCs w:val="20"/>
              </w:rPr>
              <w:t>predaja</w:t>
            </w:r>
            <w:r w:rsidR="00F917D2">
              <w:rPr>
                <w:sz w:val="20"/>
                <w:szCs w:val="20"/>
              </w:rPr>
              <w:t xml:space="preserve"> elektriny</w:t>
            </w:r>
            <w:r w:rsidRPr="00F41CBF">
              <w:rPr>
                <w:sz w:val="20"/>
                <w:szCs w:val="20"/>
              </w:rPr>
              <w:t xml:space="preserve"> a prerozdelenie nadmerných príjmov koncovým odberateľom elektriny. Príslušné články nariadenia sa uplatňujú od 1. decembra 2022 do 30. júna 2023.</w:t>
            </w:r>
          </w:p>
          <w:p w:rsidR="0046534E" w:rsidRDefault="00D7507C" w:rsidP="00F41CBF">
            <w:pPr>
              <w:pStyle w:val="Normlnywebov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 dôsledku rastu trhových cien elektriny a plynu hrozí významné a skokové zvýšenie </w:t>
            </w:r>
            <w:r w:rsidRPr="00D7507C">
              <w:rPr>
                <w:sz w:val="20"/>
                <w:szCs w:val="20"/>
              </w:rPr>
              <w:t>ceny za regulované činnosti v tepelnej energetike</w:t>
            </w:r>
            <w:r>
              <w:rPr>
                <w:sz w:val="20"/>
                <w:szCs w:val="20"/>
              </w:rPr>
              <w:t xml:space="preserve"> na rok 2023.</w:t>
            </w:r>
          </w:p>
          <w:p w:rsidR="0046534E" w:rsidRDefault="0046534E" w:rsidP="0046534E">
            <w:pPr>
              <w:pStyle w:val="Normlnywebov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Nariadením </w:t>
            </w:r>
            <w:r w:rsidRPr="00863255">
              <w:rPr>
                <w:sz w:val="20"/>
                <w:szCs w:val="20"/>
              </w:rPr>
              <w:t>Rady (EÚ) 2022/879</w:t>
            </w:r>
            <w:r>
              <w:rPr>
                <w:sz w:val="20"/>
                <w:szCs w:val="20"/>
              </w:rPr>
              <w:t xml:space="preserve"> z 3. júna 2022</w:t>
            </w:r>
            <w:r w:rsidRPr="00863255">
              <w:rPr>
                <w:sz w:val="20"/>
                <w:szCs w:val="20"/>
              </w:rPr>
              <w:t xml:space="preserve"> ktorým sa mení nariadenie (EÚ) č. 833/2014 o reštriktívnych opatreniach s ohľadom na konanie Ruska, ktorým destabilizuje situáciu na Ukrajine</w:t>
            </w:r>
            <w:r>
              <w:rPr>
                <w:sz w:val="20"/>
                <w:szCs w:val="20"/>
              </w:rPr>
              <w:t xml:space="preserve"> (ďalej len „nariadenie o sankciách“) boli zavedené medzinárodné sankcie na nákup, dovoz alebo prepravu ropy a ropných výrobkov z Ruska do EÚ. Nariadením o sankciách bola udelená výnimka na ropu dodávanú z Ruska do členských štátov ropovodom, čo je aj prípad SR, na ropné výrobky z ruskej ropy vyvážané do ČR do 5 .decembra 2023 a stanovená povinnosť podávania správ o množstvách ropy a ropných výrobkov, spadajúcich pod udelené výnimky. </w:t>
            </w:r>
          </w:p>
          <w:p w:rsidR="00F41CBF" w:rsidRPr="00F41CBF" w:rsidRDefault="00F41CBF" w:rsidP="00F41CBF">
            <w:pPr>
              <w:pStyle w:val="Normlnywebov"/>
              <w:jc w:val="both"/>
              <w:rPr>
                <w:sz w:val="20"/>
                <w:szCs w:val="20"/>
              </w:rPr>
            </w:pP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Ciele a výsledný stav</w:t>
            </w:r>
          </w:p>
        </w:tc>
      </w:tr>
      <w:tr w:rsidR="00E35A5D" w:rsidRPr="007A2832" w:rsidTr="0093062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E35A5D" w:rsidRPr="007A2832" w:rsidRDefault="00E35A5D" w:rsidP="0093062C"/>
          <w:p w:rsidR="00F41CBF" w:rsidRDefault="00F41CBF" w:rsidP="00F41CBF">
            <w:pPr>
              <w:pStyle w:val="Normlnywebov"/>
              <w:jc w:val="both"/>
              <w:rPr>
                <w:sz w:val="20"/>
                <w:szCs w:val="20"/>
              </w:rPr>
            </w:pPr>
            <w:r w:rsidRPr="00F41CBF">
              <w:rPr>
                <w:sz w:val="20"/>
                <w:szCs w:val="20"/>
              </w:rPr>
              <w:t>Cieľom návrhu zákona</w:t>
            </w:r>
            <w:r w:rsidR="00D7507C">
              <w:rPr>
                <w:sz w:val="20"/>
                <w:szCs w:val="20"/>
              </w:rPr>
              <w:t xml:space="preserve"> (čl. I</w:t>
            </w:r>
            <w:r w:rsidR="00293F03">
              <w:rPr>
                <w:sz w:val="20"/>
                <w:szCs w:val="20"/>
              </w:rPr>
              <w:t>, II a III</w:t>
            </w:r>
            <w:r w:rsidR="00D7507C">
              <w:rPr>
                <w:sz w:val="20"/>
                <w:szCs w:val="20"/>
              </w:rPr>
              <w:t>)</w:t>
            </w:r>
            <w:r w:rsidRPr="00F41CBF">
              <w:rPr>
                <w:sz w:val="20"/>
                <w:szCs w:val="20"/>
              </w:rPr>
              <w:t xml:space="preserve"> je prostredníctvom doplnenia zákona č. 251/2012 Z. z. o energetike a o zmene a doplnení niektorých zákonov v znení neskorších predpisov zavedenie </w:t>
            </w:r>
            <w:r>
              <w:rPr>
                <w:sz w:val="20"/>
                <w:szCs w:val="20"/>
              </w:rPr>
              <w:t xml:space="preserve">dočasného </w:t>
            </w:r>
            <w:r w:rsidRPr="00F41CBF">
              <w:rPr>
                <w:sz w:val="20"/>
                <w:szCs w:val="20"/>
              </w:rPr>
              <w:t>odvodu z nadmerných príjmov vybraných účastníkov trhu s</w:t>
            </w:r>
            <w:r>
              <w:rPr>
                <w:sz w:val="20"/>
                <w:szCs w:val="20"/>
              </w:rPr>
              <w:t> </w:t>
            </w:r>
            <w:r w:rsidRPr="00F41CBF">
              <w:rPr>
                <w:sz w:val="20"/>
                <w:szCs w:val="20"/>
              </w:rPr>
              <w:t>elektrinou</w:t>
            </w:r>
            <w:r>
              <w:rPr>
                <w:sz w:val="20"/>
                <w:szCs w:val="20"/>
              </w:rPr>
              <w:t xml:space="preserve"> v zmysle </w:t>
            </w:r>
            <w:r w:rsidR="00D7507C">
              <w:rPr>
                <w:sz w:val="20"/>
                <w:szCs w:val="20"/>
              </w:rPr>
              <w:t xml:space="preserve">uvedeného </w:t>
            </w:r>
            <w:r>
              <w:rPr>
                <w:sz w:val="20"/>
                <w:szCs w:val="20"/>
              </w:rPr>
              <w:t>priamo uplatniteľného nariadenia EÚ</w:t>
            </w:r>
            <w:r w:rsidR="0046534E">
              <w:rPr>
                <w:sz w:val="20"/>
                <w:szCs w:val="20"/>
              </w:rPr>
              <w:t xml:space="preserve"> a </w:t>
            </w:r>
            <w:r w:rsidR="0046534E" w:rsidRPr="00863E94">
              <w:rPr>
                <w:sz w:val="20"/>
                <w:szCs w:val="20"/>
              </w:rPr>
              <w:t xml:space="preserve">zabezpečiť vykonávanie povinností stanovených článkom 3m nariadenia </w:t>
            </w:r>
            <w:r w:rsidR="0046534E">
              <w:rPr>
                <w:sz w:val="20"/>
                <w:szCs w:val="20"/>
              </w:rPr>
              <w:t>o sankciách</w:t>
            </w:r>
            <w:r w:rsidR="0046534E" w:rsidRPr="00863E94">
              <w:rPr>
                <w:sz w:val="20"/>
                <w:szCs w:val="20"/>
              </w:rPr>
              <w:t xml:space="preserve">, týkajúcich sa uvalených sankcií na ruskú ropu dodanú do SR ropovodom a ropné výrobky vyrobené z tejto ropy, alebo ich ďalší predaj do iných členských štátov alebo do tretích krajín. Návrhom zákona sa zavádza povinnosť označovania ruskej </w:t>
            </w:r>
            <w:r w:rsidR="0046534E" w:rsidRPr="00863E94">
              <w:rPr>
                <w:sz w:val="20"/>
                <w:szCs w:val="20"/>
              </w:rPr>
              <w:lastRenderedPageBreak/>
              <w:t>ropy dodanej do SR ropovodom a ropných výrobkov vyrobených z takejto ropy ako aj povinnosť vedenia evidencie nakladania s takto označenými výrobkami.</w:t>
            </w:r>
          </w:p>
          <w:p w:rsidR="00D7507C" w:rsidRDefault="00D7507C" w:rsidP="00F41CBF">
            <w:pPr>
              <w:pStyle w:val="Normlnywebov"/>
              <w:jc w:val="both"/>
              <w:rPr>
                <w:sz w:val="20"/>
                <w:szCs w:val="20"/>
              </w:rPr>
            </w:pPr>
          </w:p>
          <w:p w:rsidR="00D7507C" w:rsidRDefault="00D7507C" w:rsidP="00F41CBF">
            <w:pPr>
              <w:pStyle w:val="Normlnywebov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zákona </w:t>
            </w:r>
            <w:r w:rsidRPr="00D7507C">
              <w:rPr>
                <w:sz w:val="20"/>
                <w:szCs w:val="20"/>
              </w:rPr>
              <w:t>(čl. I</w:t>
            </w:r>
            <w:r w:rsidR="00293F03">
              <w:rPr>
                <w:sz w:val="20"/>
                <w:szCs w:val="20"/>
              </w:rPr>
              <w:t>V</w:t>
            </w:r>
            <w:r w:rsidRPr="00D7507C">
              <w:rPr>
                <w:sz w:val="20"/>
                <w:szCs w:val="20"/>
              </w:rPr>
              <w:t>) precizuj</w:t>
            </w:r>
            <w:r>
              <w:rPr>
                <w:sz w:val="20"/>
                <w:szCs w:val="20"/>
              </w:rPr>
              <w:t>e</w:t>
            </w:r>
            <w:r w:rsidRPr="00D7507C">
              <w:rPr>
                <w:sz w:val="20"/>
                <w:szCs w:val="20"/>
              </w:rPr>
              <w:t xml:space="preserve"> a dopĺňa niektoré ustanovenia zákona č. 250/2012 Z. z. o regulácii v sieťových odvetviach v znení neskorších predpisov v oblasti uplatňovania cenovej regulácie v regulovaných činnostiach, najmä ustanovuje limit pre medziročné zvýšenie ceny za regulované činnosti v tepelnej energetike v porovnaní s cenou naposledy schválenou alebo určenou úradom regulovanému subjektu v cenovom konaní. </w:t>
            </w:r>
          </w:p>
          <w:p w:rsidR="00D7507C" w:rsidRDefault="00D7507C" w:rsidP="00F41CBF">
            <w:pPr>
              <w:pStyle w:val="Normlnywebov"/>
              <w:jc w:val="both"/>
              <w:rPr>
                <w:sz w:val="20"/>
                <w:szCs w:val="20"/>
              </w:rPr>
            </w:pPr>
            <w:r w:rsidRPr="00D7507C">
              <w:rPr>
                <w:sz w:val="20"/>
                <w:szCs w:val="20"/>
              </w:rPr>
              <w:t xml:space="preserve">Návrh zákona (čl. </w:t>
            </w:r>
            <w:r w:rsidR="00293F03">
              <w:rPr>
                <w:sz w:val="20"/>
                <w:szCs w:val="20"/>
              </w:rPr>
              <w:t>V</w:t>
            </w:r>
            <w:r w:rsidRPr="00D7507C">
              <w:rPr>
                <w:sz w:val="20"/>
                <w:szCs w:val="20"/>
              </w:rPr>
              <w:t>) rozširuje použitie ustanovení zákona č. 71/2013 Z. z. o poskytovaní dotácií v pôsobnosti Ministerstva hospodárstva Slovenskej republiky v znení neskorších o poskytovanie dotácií na pokrytie dodatočných nákladov v dôsledku zvýšenia cien tepla, plynu a elektriny.</w:t>
            </w:r>
          </w:p>
          <w:p w:rsidR="00E35A5D" w:rsidRPr="007A2832" w:rsidRDefault="00E35A5D" w:rsidP="0093062C"/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Dotknuté subjekty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 xml:space="preserve">Uveďte subjekty, ktorých sa zmeny predkladaného materiálu dotknú priamo aj nepriamo: </w:t>
            </w:r>
          </w:p>
          <w:p w:rsidR="00E35A5D" w:rsidRPr="007A2832" w:rsidRDefault="00E35A5D" w:rsidP="0093062C">
            <w:pPr>
              <w:rPr>
                <w:i/>
              </w:rPr>
            </w:pPr>
          </w:p>
          <w:p w:rsidR="00E35A5D" w:rsidRDefault="00D327B5" w:rsidP="0093062C">
            <w:r>
              <w:t>Účastníci trhu s</w:t>
            </w:r>
            <w:r w:rsidR="004B2A55">
              <w:t> </w:t>
            </w:r>
            <w:r>
              <w:t>elektrinou</w:t>
            </w:r>
            <w:r w:rsidR="004B2A55">
              <w:t xml:space="preserve"> a plynom</w:t>
            </w:r>
            <w:r>
              <w:t xml:space="preserve"> (</w:t>
            </w:r>
            <w:r w:rsidR="00F917D2">
              <w:t xml:space="preserve">platcovia dočasného odvodu </w:t>
            </w:r>
            <w:r>
              <w:t xml:space="preserve">najmä </w:t>
            </w:r>
            <w:r w:rsidR="00F41CBF">
              <w:t>výrobcovia elektriny z vybraných zdrojov podľa článku 7 odsek 1 nariadenia a priamo alebo nepriamo prepojené osoby</w:t>
            </w:r>
            <w:r>
              <w:t>)</w:t>
            </w:r>
            <w:r w:rsidR="00F917D2">
              <w:t>,</w:t>
            </w:r>
            <w:r w:rsidRPr="007A2832">
              <w:t xml:space="preserve"> Úrad pre reguláciu sieťových odvetví, Ministerstvo hospodárstva Slovenskej republiky</w:t>
            </w:r>
            <w:r w:rsidR="00F41CBF">
              <w:t>, orgány Finančnej správy SR (Daňový úrad a Finančné riaditeľstvo)</w:t>
            </w:r>
            <w:r w:rsidR="00D61E06">
              <w:t>, Slovenská obchodná inšpekcia</w:t>
            </w:r>
            <w:r w:rsidRPr="007A2832">
              <w:t>.</w:t>
            </w:r>
          </w:p>
          <w:p w:rsidR="00D61E06" w:rsidRDefault="00D61E06" w:rsidP="0093062C">
            <w:r>
              <w:t>Obchodné spoločnosti, ktoré sa zaoberajú výrobou, spracovaním, prepravou, predajom a distribúciou ropy a ropných výrobkov, petrochemickou výrobou a distribúciou iných palív a pohonných látok.</w:t>
            </w:r>
          </w:p>
          <w:p w:rsidR="00D327B5" w:rsidRPr="007A2832" w:rsidRDefault="00D327B5" w:rsidP="0093062C">
            <w:pPr>
              <w:rPr>
                <w:i/>
              </w:rPr>
            </w:pP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Alternatívne riešenia</w:t>
            </w:r>
          </w:p>
        </w:tc>
      </w:tr>
      <w:tr w:rsidR="00E35A5D" w:rsidRPr="007A2832" w:rsidTr="0093062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>Aké alternatívne riešenia vedúce k stanovenému cieľu boli identifikované a posudzované pre riešenie definovaného problému?</w:t>
            </w:r>
          </w:p>
          <w:p w:rsidR="00E35A5D" w:rsidRPr="007A2832" w:rsidRDefault="00E35A5D" w:rsidP="0093062C">
            <w:pPr>
              <w:rPr>
                <w:i/>
              </w:rPr>
            </w:pPr>
          </w:p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E35A5D" w:rsidRPr="007A2832" w:rsidRDefault="00E35A5D" w:rsidP="0093062C">
            <w:pPr>
              <w:jc w:val="both"/>
              <w:rPr>
                <w:i/>
              </w:rPr>
            </w:pPr>
          </w:p>
          <w:p w:rsidR="00D327B5" w:rsidRDefault="00042129" w:rsidP="00D327B5">
            <w:pPr>
              <w:jc w:val="both"/>
            </w:pPr>
            <w:r>
              <w:t>Článkom I</w:t>
            </w:r>
            <w:r w:rsidR="00D7507C">
              <w:t xml:space="preserve"> návrhu zákona sa</w:t>
            </w:r>
            <w:r w:rsidR="00F41CBF">
              <w:t> implement</w:t>
            </w:r>
            <w:r w:rsidR="00D7507C">
              <w:t>uj</w:t>
            </w:r>
            <w:r w:rsidR="00DC3152">
              <w:t>ú</w:t>
            </w:r>
            <w:r w:rsidR="00F41CBF">
              <w:t xml:space="preserve"> </w:t>
            </w:r>
            <w:r w:rsidR="0056353C">
              <w:t>priamo uplatniteľné nariadeni</w:t>
            </w:r>
            <w:r w:rsidR="00DC3152">
              <w:t>a</w:t>
            </w:r>
            <w:r w:rsidR="00F41CBF">
              <w:t xml:space="preserve"> EÚ,</w:t>
            </w:r>
            <w:r>
              <w:t xml:space="preserve"> a preto</w:t>
            </w:r>
            <w:r w:rsidR="00F41CBF">
              <w:t xml:space="preserve"> n</w:t>
            </w:r>
            <w:r w:rsidR="00D327B5">
              <w:t>ie sú k dispozícii žiadne alternatívne riešenia.</w:t>
            </w:r>
            <w:r w:rsidR="00453194">
              <w:t xml:space="preserve"> </w:t>
            </w:r>
            <w:r w:rsidR="00D327B5">
              <w:t xml:space="preserve">V prípade, že by nebol </w:t>
            </w:r>
            <w:r w:rsidR="00453194">
              <w:t>návrh zákona predložený a prijatý</w:t>
            </w:r>
            <w:r w:rsidR="00D327B5">
              <w:t xml:space="preserve">, </w:t>
            </w:r>
            <w:r w:rsidR="00453194">
              <w:t>nebolo by možné zabezpečiť výber a prerozdelenie dočasného odvodu, ktorého zavedenie v členskom štáte vyplýva z priamo uplatniteľného nariadenia EÚ</w:t>
            </w:r>
            <w:r w:rsidR="00DC3152">
              <w:t xml:space="preserve"> a n</w:t>
            </w:r>
            <w:r w:rsidR="00DC3152" w:rsidRPr="00DC3152">
              <w:t>ebol by prijatý nástroj na zabezpečenie dodržiavania nariadenia o sankciách, čo by mohlo viesť EK k prehodnoteniu udelených výnimiek</w:t>
            </w:r>
            <w:r w:rsidR="00D327B5">
              <w:t>.</w:t>
            </w:r>
          </w:p>
          <w:p w:rsidR="00D7507C" w:rsidRDefault="00D7507C" w:rsidP="00D327B5">
            <w:pPr>
              <w:jc w:val="both"/>
            </w:pPr>
          </w:p>
          <w:p w:rsidR="00D7507C" w:rsidRDefault="00D7507C" w:rsidP="00D7507C">
            <w:pPr>
              <w:jc w:val="both"/>
            </w:pPr>
            <w:r>
              <w:t>K článku II a III aktuálne nie sú k dispozícii žiadne alternatívne riešenia. V prípade, že by nebol predložený materiál, ceny elektriny pre koncových odberateľov by zaznamenali skokový nárast.</w:t>
            </w:r>
          </w:p>
          <w:p w:rsidR="00E35A5D" w:rsidRPr="007A2832" w:rsidRDefault="00E35A5D" w:rsidP="0093062C">
            <w:pPr>
              <w:jc w:val="both"/>
            </w:pP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Vykonávacie predpisy</w:t>
            </w:r>
          </w:p>
        </w:tc>
      </w:tr>
      <w:tr w:rsidR="00E35A5D" w:rsidRPr="007A2832" w:rsidTr="0093062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E35A5D" w:rsidRPr="007A2832" w:rsidRDefault="00114839" w:rsidP="0093062C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929613764"/>
              </w:sdtPr>
              <w:sdtEndPr/>
              <w:sdtContent>
                <w:sdt>
                  <w:sdtPr>
                    <w:rPr>
                      <w:b/>
                    </w:rPr>
                    <w:id w:val="-1594626508"/>
                  </w:sdtPr>
                  <w:sdtEndPr/>
                  <w:sdtContent>
                    <w:r w:rsidR="00453194" w:rsidRPr="007A2832">
                      <w:rPr>
                        <w:rFonts w:eastAsia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E35A5D" w:rsidRPr="007A2832">
              <w:rPr>
                <w:b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35A5D" w:rsidRPr="007A2832" w:rsidRDefault="00114839" w:rsidP="0093062C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269781040"/>
              </w:sdtPr>
              <w:sdtEndPr/>
              <w:sdtContent>
                <w:r w:rsidR="00453194" w:rsidRPr="007A2832">
                  <w:rPr>
                    <w:rFonts w:eastAsia="MS Gothic" w:hint="eastAsia"/>
                    <w:b/>
                  </w:rPr>
                  <w:t>☐</w:t>
                </w:r>
              </w:sdtContent>
            </w:sdt>
            <w:r w:rsidR="00E35A5D" w:rsidRPr="007A2832">
              <w:rPr>
                <w:b/>
              </w:rPr>
              <w:t xml:space="preserve"> Nie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453194" w:rsidRDefault="00E35A5D" w:rsidP="00453194">
            <w:pPr>
              <w:jc w:val="both"/>
            </w:pPr>
            <w:r w:rsidRPr="00453194">
              <w:t>Ak áno, uveďte ktoré oblasti budú nimi upravené, resp. ktorých vykonávacích predpisov sa zmena dotkne:</w:t>
            </w:r>
          </w:p>
          <w:p w:rsidR="00453194" w:rsidRPr="00453194" w:rsidRDefault="00453194" w:rsidP="00453194">
            <w:pPr>
              <w:jc w:val="both"/>
            </w:pPr>
          </w:p>
          <w:p w:rsidR="00453194" w:rsidRPr="00453194" w:rsidRDefault="00453194" w:rsidP="00453194">
            <w:pPr>
              <w:jc w:val="both"/>
            </w:pPr>
            <w:r w:rsidRPr="00453194">
              <w:t>Predpokladá sa prijatie vykonávacieho predpisu (formou nariadenia vlády SR alebo vyhlášky), ktorý</w:t>
            </w:r>
            <w:r w:rsidR="00F917D2">
              <w:t>m</w:t>
            </w:r>
            <w:r w:rsidRPr="00453194">
              <w:t xml:space="preserve"> sa stanovia podrobnosti výpočtu nadmerného príjmu, jeho výberu, platby a vyúčtovania</w:t>
            </w:r>
            <w:r w:rsidR="006F7673">
              <w:t xml:space="preserve"> </w:t>
            </w:r>
            <w:r w:rsidR="006F7673" w:rsidRPr="006F7673">
              <w:t>a vykonávacieho predpisu (formou vyhlášky), ktorým sa stanovia podrobnosti o označovaní ropy a ropných výrobkov podliehajúcich sankciám</w:t>
            </w:r>
            <w:r w:rsidR="006F7673">
              <w:t xml:space="preserve">, o vedení hmotnostnej bilancie </w:t>
            </w:r>
            <w:r w:rsidR="006F7673" w:rsidRPr="006F7673">
              <w:t>a o oznamovaní niektorých údajov</w:t>
            </w:r>
            <w:r w:rsidRPr="00453194">
              <w:t>.</w:t>
            </w:r>
          </w:p>
          <w:p w:rsidR="00E35A5D" w:rsidRPr="007A2832" w:rsidRDefault="00E35A5D" w:rsidP="00453194">
            <w:pPr>
              <w:jc w:val="both"/>
            </w:pP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 xml:space="preserve">Transpozícia práva EÚ </w:t>
            </w:r>
          </w:p>
        </w:tc>
      </w:tr>
      <w:tr w:rsidR="00E35A5D" w:rsidRPr="007A2832" w:rsidTr="0093062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E35A5D" w:rsidRDefault="00E35A5D" w:rsidP="00D327B5">
            <w:pPr>
              <w:jc w:val="both"/>
              <w:rPr>
                <w:i/>
              </w:rPr>
            </w:pPr>
            <w:r w:rsidRPr="007A2832">
              <w:rPr>
                <w:i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:rsidR="00453194" w:rsidRDefault="00453194" w:rsidP="00D327B5">
            <w:pPr>
              <w:jc w:val="both"/>
              <w:rPr>
                <w:i/>
              </w:rPr>
            </w:pPr>
          </w:p>
          <w:p w:rsidR="00453194" w:rsidRPr="00453194" w:rsidRDefault="000218F6" w:rsidP="00B046BA">
            <w:pPr>
              <w:jc w:val="both"/>
            </w:pPr>
            <w:r>
              <w:t>P</w:t>
            </w:r>
            <w:r w:rsidRPr="000218F6">
              <w:t>redkladaný materiál</w:t>
            </w:r>
            <w:r>
              <w:t xml:space="preserve"> (n</w:t>
            </w:r>
            <w:r w:rsidRPr="00453194">
              <w:t>ávrh zákona</w:t>
            </w:r>
            <w:r>
              <w:t>)</w:t>
            </w:r>
            <w:r w:rsidRPr="00453194">
              <w:t xml:space="preserve"> </w:t>
            </w:r>
            <w:r w:rsidRPr="000218F6">
              <w:t xml:space="preserve">predstavuje </w:t>
            </w:r>
            <w:r>
              <w:t xml:space="preserve">aplikáciu </w:t>
            </w:r>
            <w:r w:rsidRPr="00453194">
              <w:t>priamo uplatniteľn</w:t>
            </w:r>
            <w:r w:rsidR="00B046BA">
              <w:t>ých</w:t>
            </w:r>
            <w:r>
              <w:t xml:space="preserve"> nariaden</w:t>
            </w:r>
            <w:r w:rsidR="00B046BA">
              <w:t>í</w:t>
            </w:r>
            <w:r>
              <w:t xml:space="preserve"> EÚ</w:t>
            </w:r>
            <w:r w:rsidRPr="000218F6">
              <w:t xml:space="preserve"> bez možnosti voľby</w:t>
            </w:r>
            <w:r>
              <w:t xml:space="preserve">. Predkladaným materiálom </w:t>
            </w:r>
            <w:r w:rsidR="00453194" w:rsidRPr="00453194">
              <w:t>sa zabezpečuje súlad</w:t>
            </w:r>
            <w:r>
              <w:t xml:space="preserve"> </w:t>
            </w:r>
            <w:r w:rsidRPr="000218F6">
              <w:t>slovenského právneho poriadku s</w:t>
            </w:r>
            <w:r>
              <w:t xml:space="preserve"> príslušnými ustanoveniami </w:t>
            </w:r>
            <w:r w:rsidRPr="00453194">
              <w:t>nariaden</w:t>
            </w:r>
            <w:r w:rsidR="00B046BA">
              <w:t>í</w:t>
            </w:r>
            <w:r w:rsidRPr="00453194">
              <w:t xml:space="preserve"> EÚ </w:t>
            </w:r>
            <w:r w:rsidR="00453194" w:rsidRPr="00453194">
              <w:t>a</w:t>
            </w:r>
            <w:r>
              <w:t> </w:t>
            </w:r>
            <w:r w:rsidR="00453194" w:rsidRPr="00453194">
              <w:t>implementuj</w:t>
            </w:r>
            <w:r w:rsidR="00B046BA">
              <w:t>ú</w:t>
            </w:r>
            <w:r>
              <w:t xml:space="preserve"> sa uvedené nariadeni</w:t>
            </w:r>
            <w:r w:rsidR="00B046BA">
              <w:t>a</w:t>
            </w:r>
            <w:r>
              <w:t xml:space="preserve">. </w:t>
            </w:r>
            <w:r w:rsidR="00453194" w:rsidRPr="00453194">
              <w:t xml:space="preserve"> </w:t>
            </w:r>
          </w:p>
        </w:tc>
      </w:tr>
      <w:tr w:rsidR="00E35A5D" w:rsidRPr="007A2832" w:rsidTr="0093062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A5D" w:rsidRPr="007A2832" w:rsidRDefault="00E35A5D" w:rsidP="0093062C">
            <w:pPr>
              <w:jc w:val="center"/>
            </w:pP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Preskúmanie účelnosti</w:t>
            </w:r>
          </w:p>
        </w:tc>
      </w:tr>
      <w:tr w:rsidR="00E35A5D" w:rsidRPr="007A2832" w:rsidTr="0093062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>Uveďte termín, kedy by malo dôjsť k preskúmaniu účinnosti a účelnosti predkladaného materiálu.</w:t>
            </w:r>
          </w:p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>Uveďte kritériá, na základe ktorých bude preskúmanie vykonané.</w:t>
            </w:r>
          </w:p>
          <w:p w:rsidR="00E35A5D" w:rsidRPr="007A2832" w:rsidRDefault="00E35A5D" w:rsidP="0093062C">
            <w:pPr>
              <w:rPr>
                <w:i/>
              </w:rPr>
            </w:pPr>
          </w:p>
          <w:p w:rsidR="00D327B5" w:rsidRPr="007A2832" w:rsidRDefault="00D327B5" w:rsidP="00D327B5">
            <w:r w:rsidRPr="007A2832">
              <w:lastRenderedPageBreak/>
              <w:t>Účinnosť predkladaného materiálu</w:t>
            </w:r>
            <w:r w:rsidR="00042129">
              <w:t xml:space="preserve"> (čl. I</w:t>
            </w:r>
            <w:r w:rsidR="00070186">
              <w:t>, II a III</w:t>
            </w:r>
            <w:r w:rsidR="00042129">
              <w:t>)</w:t>
            </w:r>
            <w:r w:rsidRPr="007A2832">
              <w:t xml:space="preserve"> bude možné vyhodnotiť najskôr po uplynutí </w:t>
            </w:r>
            <w:r w:rsidR="00453194">
              <w:t xml:space="preserve">príslušného odvodového obdobia (od </w:t>
            </w:r>
            <w:r w:rsidR="00453194" w:rsidRPr="00453194">
              <w:t xml:space="preserve">1. decembra 2022 do </w:t>
            </w:r>
            <w:r w:rsidR="00F917D2">
              <w:t>31</w:t>
            </w:r>
            <w:r w:rsidR="00453194" w:rsidRPr="00453194">
              <w:t xml:space="preserve">. </w:t>
            </w:r>
            <w:r w:rsidR="00F917D2">
              <w:t>decembra</w:t>
            </w:r>
            <w:r w:rsidR="00453194" w:rsidRPr="00453194">
              <w:t xml:space="preserve"> 2023</w:t>
            </w:r>
            <w:r w:rsidR="00453194">
              <w:t>)</w:t>
            </w:r>
            <w:r w:rsidRPr="007A2832">
              <w:t>.</w:t>
            </w:r>
            <w:r w:rsidR="00453194">
              <w:t xml:space="preserve"> Účelnosť by nemala byť predmetom vyhodnotenia nakoľko zavedenie stropu trhových príjmov výrobcov elektriny vyplýva z priamo uplatniteľného nariadenia EÚ.</w:t>
            </w:r>
            <w:r w:rsidR="00042129">
              <w:t xml:space="preserve"> </w:t>
            </w:r>
            <w:r w:rsidR="00B13D40" w:rsidRPr="007A2832">
              <w:t xml:space="preserve">Účinnosť a účelnosť predkladaného materiálu </w:t>
            </w:r>
            <w:r w:rsidR="00B13D40">
              <w:t xml:space="preserve">(čl. I časť o sankciách) </w:t>
            </w:r>
            <w:r w:rsidR="00B13D40" w:rsidRPr="007A2832">
              <w:t xml:space="preserve">bude možné vyhodnotiť najskôr po uplynutí minimálne </w:t>
            </w:r>
            <w:r w:rsidR="00B13D40">
              <w:t>dvoch rokov</w:t>
            </w:r>
            <w:r w:rsidR="00B13D40" w:rsidRPr="007A2832">
              <w:t xml:space="preserve"> od jeho účinnosti.</w:t>
            </w:r>
            <w:r w:rsidR="00B13D40">
              <w:t xml:space="preserve"> </w:t>
            </w:r>
            <w:r w:rsidR="00042129" w:rsidRPr="00042129">
              <w:t>Účinnosť a účelnosť predkladaného materiálu</w:t>
            </w:r>
            <w:r w:rsidR="00042129">
              <w:t xml:space="preserve"> (čl. I</w:t>
            </w:r>
            <w:r w:rsidR="00070186">
              <w:t>V</w:t>
            </w:r>
            <w:r w:rsidR="00042129">
              <w:t xml:space="preserve"> a </w:t>
            </w:r>
            <w:r w:rsidR="00070186">
              <w:t>V</w:t>
            </w:r>
            <w:r w:rsidR="00042129">
              <w:t>)</w:t>
            </w:r>
            <w:r w:rsidR="00042129" w:rsidRPr="00042129">
              <w:t xml:space="preserve"> bude možné vyhodnotiť najskôr po uplynutí minimálne jedného roka od jeho účinnosti.</w:t>
            </w:r>
          </w:p>
          <w:p w:rsidR="00E35A5D" w:rsidRPr="007A2832" w:rsidRDefault="00E35A5D" w:rsidP="0093062C"/>
        </w:tc>
      </w:tr>
      <w:tr w:rsidR="00E35A5D" w:rsidRPr="007A2832" w:rsidTr="0093062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5A5D" w:rsidRPr="007A2832" w:rsidRDefault="00E35A5D" w:rsidP="0093062C">
            <w:pPr>
              <w:rPr>
                <w:b/>
              </w:rPr>
            </w:pPr>
          </w:p>
          <w:p w:rsidR="00E35A5D" w:rsidRPr="007A2832" w:rsidRDefault="00E35A5D" w:rsidP="0093062C">
            <w:pPr>
              <w:ind w:left="142" w:hanging="142"/>
            </w:pPr>
            <w:r w:rsidRPr="007A2832"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E35A5D" w:rsidRPr="007A2832" w:rsidRDefault="00E35A5D" w:rsidP="0093062C">
            <w:r w:rsidRPr="007A2832">
              <w:t>** vyplniť iba v prípade, ak sa záverečné posúdenie vybraných vplyvov uskutočnilo v zmysle bodu 9.1. jednotnej metodiky.</w:t>
            </w:r>
          </w:p>
          <w:p w:rsidR="00E35A5D" w:rsidRPr="007A2832" w:rsidRDefault="00E35A5D" w:rsidP="0093062C"/>
          <w:p w:rsidR="00E35A5D" w:rsidRPr="007A2832" w:rsidRDefault="00E35A5D" w:rsidP="0093062C">
            <w:pPr>
              <w:rPr>
                <w:b/>
              </w:rPr>
            </w:pPr>
          </w:p>
        </w:tc>
      </w:tr>
      <w:tr w:rsidR="00E35A5D" w:rsidRPr="007A2832" w:rsidTr="0093062C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Vybrané vplyvy  materiálu</w:t>
            </w:r>
          </w:p>
        </w:tc>
      </w:tr>
      <w:tr w:rsidR="00E35A5D" w:rsidRPr="007A2832" w:rsidTr="009306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-1066412587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481296198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755052973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ind w:left="-107" w:right="-108"/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ind w:left="3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r w:rsidRPr="007A2832">
              <w:t xml:space="preserve">    z toho rozpočtovo zabezpečené vplyvy,         </w:t>
            </w:r>
          </w:p>
          <w:p w:rsidR="00E35A5D" w:rsidRPr="007A2832" w:rsidRDefault="00E35A5D" w:rsidP="0093062C">
            <w:r w:rsidRPr="007A2832">
              <w:t xml:space="preserve">    v prípade identifikovaného negatívneho </w:t>
            </w:r>
          </w:p>
          <w:p w:rsidR="00E35A5D" w:rsidRPr="007A2832" w:rsidRDefault="00E35A5D" w:rsidP="0093062C">
            <w:r w:rsidRPr="007A2832">
              <w:t xml:space="preserve">    vplyvu</w:t>
            </w:r>
          </w:p>
        </w:tc>
        <w:sdt>
          <w:sdtPr>
            <w:id w:val="-1143340457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r w:rsidRPr="007A2832">
              <w:t>Áno</w:t>
            </w:r>
          </w:p>
        </w:tc>
        <w:sdt>
          <w:sdtPr>
            <w:id w:val="40579842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r w:rsidRPr="007A2832">
              <w:t>Nie</w:t>
            </w:r>
          </w:p>
        </w:tc>
        <w:sdt>
          <w:sdtPr>
            <w:id w:val="-134647770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ind w:left="-107" w:right="-108"/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34"/>
            </w:pPr>
            <w:r w:rsidRPr="007A2832">
              <w:t>Čiastočne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v tom vplyvy na rozpočty obcí a vyšších územných celkov</w:t>
            </w:r>
          </w:p>
        </w:tc>
        <w:sdt>
          <w:sdtPr>
            <w:rPr>
              <w:b/>
            </w:rPr>
            <w:id w:val="-1577430931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E35A5D" w:rsidRPr="007A2832" w:rsidRDefault="00114839" w:rsidP="00387180">
                <w:pPr>
                  <w:jc w:val="center"/>
                  <w:rPr>
                    <w:b/>
                  </w:rPr>
                </w:pPr>
                <w:sdt>
                  <w:sdtPr>
                    <w:rPr>
                      <w:b/>
                    </w:rPr>
                    <w:id w:val="18056962"/>
                  </w:sdtPr>
                  <w:sdtEndPr/>
                  <w:sdtContent>
                    <w:r w:rsidR="00387180" w:rsidRPr="007A2832">
                      <w:rPr>
                        <w:rFonts w:eastAsia="MS Gothic" w:hint="eastAsia"/>
                        <w:b/>
                      </w:rPr>
                      <w:t>☐</w:t>
                    </w:r>
                  </w:sdtContent>
                </w:sdt>
                <w:r w:rsidR="00387180" w:rsidRPr="007A2832">
                  <w:rPr>
                    <w:rFonts w:eastAsia="MS Gothic" w:hint="eastAsia"/>
                    <w:b/>
                  </w:rPr>
                  <w:t xml:space="preserve"> 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03596396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35A5D" w:rsidRPr="007A2832" w:rsidRDefault="00114839" w:rsidP="007D0585">
                <w:pPr>
                  <w:jc w:val="center"/>
                  <w:rPr>
                    <w:b/>
                  </w:rPr>
                </w:pPr>
                <w:sdt>
                  <w:sdtPr>
                    <w:rPr>
                      <w:b/>
                    </w:rPr>
                    <w:id w:val="18056969"/>
                  </w:sdtPr>
                  <w:sdtEndPr/>
                  <w:sdtContent>
                    <w:r w:rsidR="007D0585" w:rsidRPr="007A2832">
                      <w:rPr>
                        <w:rFonts w:eastAsia="MS Gothic" w:hint="eastAsia"/>
                        <w:b/>
                      </w:rPr>
                      <w:t>☒</w:t>
                    </w:r>
                  </w:sdtContent>
                </w:sdt>
                <w:r w:rsidR="007D0585" w:rsidRPr="007A2832">
                  <w:rPr>
                    <w:rFonts w:eastAsia="MS Gothic" w:hint="eastAsia"/>
                    <w:b/>
                  </w:rPr>
                  <w:t xml:space="preserve"> 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1094750243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35A5D" w:rsidRPr="007A2832" w:rsidRDefault="00114839" w:rsidP="00387180">
                <w:pPr>
                  <w:ind w:left="-107" w:right="-108"/>
                  <w:jc w:val="center"/>
                  <w:rPr>
                    <w:b/>
                  </w:rPr>
                </w:pPr>
                <w:sdt>
                  <w:sdtPr>
                    <w:rPr>
                      <w:b/>
                    </w:rPr>
                    <w:id w:val="18056960"/>
                  </w:sdtPr>
                  <w:sdtEndPr/>
                  <w:sdtContent>
                    <w:r w:rsidR="00387180" w:rsidRPr="007A2832">
                      <w:rPr>
                        <w:rFonts w:eastAsia="MS Gothic" w:hint="eastAsia"/>
                        <w:b/>
                      </w:rPr>
                      <w:t>☐</w:t>
                    </w:r>
                  </w:sdtContent>
                </w:sdt>
                <w:r w:rsidR="00387180" w:rsidRPr="007A2832">
                  <w:rPr>
                    <w:rFonts w:eastAsia="MS Gothic" w:hint="eastAsia"/>
                    <w:b/>
                  </w:rPr>
                  <w:t xml:space="preserve"> 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ind w:left="3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ind w:left="171"/>
            </w:pPr>
            <w:r w:rsidRPr="007A2832">
              <w:t>z toho rozpočtovo zabezpečené vplyvy,</w:t>
            </w:r>
          </w:p>
          <w:p w:rsidR="00E35A5D" w:rsidRPr="007A2832" w:rsidRDefault="00E35A5D" w:rsidP="0093062C">
            <w:pPr>
              <w:ind w:left="171"/>
            </w:pPr>
            <w:r w:rsidRPr="007A2832">
              <w:t>v prípade identifikovaného negatívneho vplyvu</w:t>
            </w:r>
          </w:p>
        </w:tc>
        <w:sdt>
          <w:sdtPr>
            <w:id w:val="64164179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r w:rsidRPr="007A2832">
              <w:t>Áno</w:t>
            </w:r>
          </w:p>
        </w:tc>
        <w:sdt>
          <w:sdtPr>
            <w:id w:val="-63826553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r w:rsidRPr="007A2832">
              <w:t>Nie</w:t>
            </w:r>
          </w:p>
        </w:tc>
        <w:sdt>
          <w:sdtPr>
            <w:id w:val="-30277041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ind w:left="-107" w:right="-108"/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34"/>
            </w:pPr>
            <w:r w:rsidRPr="007A2832">
              <w:t>Čiastočne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470941242"/>
          </w:sdtPr>
          <w:sdtEndPr/>
          <w:sdtContent>
            <w:sdt>
              <w:sdtPr>
                <w:rPr>
                  <w:b/>
                </w:rPr>
                <w:id w:val="913357334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:rsidR="00E35A5D" w:rsidRPr="007A2832" w:rsidRDefault="00114839" w:rsidP="0093062C">
                    <w:pPr>
                      <w:jc w:val="center"/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id w:val="1143474478"/>
                      </w:sdtPr>
                      <w:sdtEndPr/>
                      <w:sdtContent>
                        <w:r w:rsidR="00D327B5" w:rsidRPr="007A2832">
                          <w:rPr>
                            <w:rFonts w:eastAsia="MS Gothic" w:hint="eastAsia"/>
                            <w:b/>
                          </w:rPr>
                          <w:t>☐</w:t>
                        </w:r>
                      </w:sdtContent>
                    </w:sdt>
                    <w:r w:rsidR="00D327B5" w:rsidRPr="007A2832">
                      <w:rPr>
                        <w:rFonts w:eastAsia="MS Gothic" w:hint="eastAsia"/>
                        <w:b/>
                      </w:rPr>
                      <w:t xml:space="preserve"> 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038465019"/>
          </w:sdtPr>
          <w:sdtEndPr/>
          <w:sdtContent>
            <w:sdt>
              <w:sdtPr>
                <w:rPr>
                  <w:b/>
                </w:rPr>
                <w:id w:val="-1262679428"/>
              </w:sdtPr>
              <w:sdtEndPr/>
              <w:sdtContent>
                <w:tc>
                  <w:tcPr>
                    <w:tcW w:w="538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:rsidR="00E35A5D" w:rsidRPr="007A2832" w:rsidRDefault="00D327B5" w:rsidP="0093062C">
                    <w:pPr>
                      <w:jc w:val="center"/>
                      <w:rPr>
                        <w:b/>
                      </w:rPr>
                    </w:pPr>
                    <w:r w:rsidRPr="007A2832">
                      <w:rPr>
                        <w:rFonts w:eastAsia="MS Gothic" w:hint="eastAsia"/>
                        <w:b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558398718"/>
          </w:sdtPr>
          <w:sdtEndPr/>
          <w:sdtContent>
            <w:sdt>
              <w:sdtPr>
                <w:rPr>
                  <w:b/>
                </w:rPr>
                <w:id w:val="1681475090"/>
              </w:sdtPr>
              <w:sdtEndPr/>
              <w:sdtContent>
                <w:tc>
                  <w:tcPr>
                    <w:tcW w:w="547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:rsidR="00E35A5D" w:rsidRPr="007A2832" w:rsidRDefault="00114839" w:rsidP="0093062C">
                    <w:pPr>
                      <w:jc w:val="center"/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id w:val="2007473338"/>
                      </w:sdtPr>
                      <w:sdtEndPr/>
                      <w:sdtContent>
                        <w:r w:rsidR="00D327B5" w:rsidRPr="007A2832">
                          <w:rPr>
                            <w:rFonts w:eastAsia="MS Gothic" w:hint="eastAsia"/>
                            <w:b/>
                          </w:rPr>
                          <w:t>☐</w:t>
                        </w:r>
                      </w:sdtContent>
                    </w:sdt>
                    <w:r w:rsidR="00D327B5" w:rsidRPr="007A2832">
                      <w:rPr>
                        <w:rFonts w:eastAsia="MS Gothic" w:hint="eastAsia"/>
                        <w:b/>
                      </w:rPr>
                      <w:t xml:space="preserve"> </w:t>
                    </w:r>
                  </w:p>
                </w:tc>
              </w:sdtContent>
            </w:sdt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E35A5D" w:rsidRPr="007A2832" w:rsidRDefault="00E35A5D" w:rsidP="0093062C">
            <w:r w:rsidRPr="007A2832">
              <w:t xml:space="preserve">    z toho vplyvy na MSP</w:t>
            </w:r>
          </w:p>
          <w:p w:rsidR="00E35A5D" w:rsidRPr="007A2832" w:rsidRDefault="00E35A5D" w:rsidP="0093062C"/>
        </w:tc>
        <w:sdt>
          <w:sdtPr>
            <w:id w:val="862408102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ind w:right="-108"/>
            </w:pPr>
            <w:r w:rsidRPr="007A2832">
              <w:t>Pozitívne</w:t>
            </w:r>
          </w:p>
        </w:tc>
        <w:sdt>
          <w:sdtPr>
            <w:id w:val="994611021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35A5D" w:rsidRPr="007A2832" w:rsidRDefault="00E35A5D" w:rsidP="0093062C">
            <w:r w:rsidRPr="007A2832">
              <w:t>Žiadne</w:t>
            </w:r>
          </w:p>
        </w:tc>
        <w:sdt>
          <w:sdtPr>
            <w:id w:val="-386717170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</w:pPr>
                <w:r w:rsidRPr="007A283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54"/>
            </w:pPr>
            <w:r w:rsidRPr="007A2832"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r w:rsidRPr="007A2832">
              <w:t xml:space="preserve">    Mechanizmus znižovania byrokracie    </w:t>
            </w:r>
          </w:p>
          <w:p w:rsidR="00E35A5D" w:rsidRPr="007A2832" w:rsidRDefault="00E35A5D" w:rsidP="0093062C">
            <w:pPr>
              <w:rPr>
                <w:b/>
              </w:rPr>
            </w:pPr>
            <w:r w:rsidRPr="007A2832">
              <w:t xml:space="preserve">    a nákladov sa uplatňuje:</w:t>
            </w:r>
          </w:p>
        </w:tc>
        <w:sdt>
          <w:sdtPr>
            <w:rPr>
              <w:b/>
            </w:rPr>
            <w:id w:val="-817577505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-365677636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t>Nie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-1958945844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872293991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692835279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1474483314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2060162118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85088255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Vplyvy na informatizáciu spoločnosti</w:t>
            </w:r>
          </w:p>
        </w:tc>
        <w:sdt>
          <w:sdtPr>
            <w:rPr>
              <w:b/>
            </w:rPr>
            <w:id w:val="-1573421395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69603435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169528927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E35A5D" w:rsidRPr="007A2832" w:rsidTr="009306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rFonts w:eastAsia="Calibri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5A5D" w:rsidRPr="007A2832" w:rsidRDefault="00E35A5D" w:rsidP="0093062C">
            <w:pPr>
              <w:ind w:left="54"/>
              <w:rPr>
                <w:b/>
              </w:rPr>
            </w:pP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7A2832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2031215792"/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52193863"/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282867047"/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  <w:tr w:rsidR="00E35A5D" w:rsidRPr="007A2832" w:rsidTr="009306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ind w:left="168" w:hanging="168"/>
              <w:rPr>
                <w:rFonts w:eastAsia="Calibri"/>
                <w:b/>
                <w:lang w:eastAsia="en-US"/>
              </w:rPr>
            </w:pPr>
            <w:r w:rsidRPr="007A2832">
              <w:rPr>
                <w:rFonts w:eastAsia="Calibri"/>
                <w:b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b/>
            </w:rPr>
            <w:id w:val="1017204256"/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993677602"/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578477896"/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E35A5D" w:rsidRPr="007A2832" w:rsidTr="009306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  <w:lang w:eastAsia="en-US"/>
              </w:rPr>
              <w:t>Vplyvy na manželstvo, rodičovstvo a rodinu</w:t>
            </w:r>
          </w:p>
        </w:tc>
        <w:sdt>
          <w:sdtPr>
            <w:rPr>
              <w:b/>
            </w:rPr>
            <w:id w:val="1977256156"/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ind w:right="-108"/>
              <w:rPr>
                <w:b/>
              </w:rPr>
            </w:pPr>
            <w:r w:rsidRPr="007A2832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025549405"/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A5D" w:rsidRPr="007A2832" w:rsidRDefault="00E35A5D" w:rsidP="0093062C">
            <w:pPr>
              <w:rPr>
                <w:b/>
              </w:rPr>
            </w:pPr>
            <w:r w:rsidRPr="007A2832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710956538"/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35A5D" w:rsidRPr="007A2832" w:rsidRDefault="00E35A5D" w:rsidP="0093062C">
                <w:pPr>
                  <w:jc w:val="center"/>
                  <w:rPr>
                    <w:b/>
                  </w:rPr>
                </w:pPr>
                <w:r w:rsidRPr="007A2832">
                  <w:rPr>
                    <w:rFonts w:eastAsia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A5D" w:rsidRPr="007A2832" w:rsidRDefault="00E35A5D" w:rsidP="0093062C">
            <w:pPr>
              <w:ind w:left="54"/>
              <w:rPr>
                <w:b/>
              </w:rPr>
            </w:pPr>
            <w:r w:rsidRPr="007A2832">
              <w:rPr>
                <w:b/>
              </w:rPr>
              <w:t>Negatívne</w:t>
            </w:r>
          </w:p>
        </w:tc>
      </w:tr>
    </w:tbl>
    <w:p w:rsidR="00E35A5D" w:rsidRPr="007A2832" w:rsidRDefault="00E35A5D" w:rsidP="00E35A5D">
      <w:pPr>
        <w:ind w:right="141"/>
        <w:rPr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E35A5D" w:rsidRPr="007A2832" w:rsidTr="009306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Poznámky</w:t>
            </w:r>
          </w:p>
        </w:tc>
      </w:tr>
      <w:tr w:rsidR="00E35A5D" w:rsidRPr="007A2832" w:rsidTr="0093062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 xml:space="preserve">V prípade potreby uveďte doplňujúce informácie k identifikovaným vplyvom a ich analýzam. </w:t>
            </w:r>
          </w:p>
          <w:p w:rsidR="00E35A5D" w:rsidRPr="007A2832" w:rsidRDefault="00E35A5D" w:rsidP="0093062C">
            <w:pPr>
              <w:jc w:val="both"/>
              <w:rPr>
                <w:i/>
              </w:rPr>
            </w:pPr>
          </w:p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E35A5D" w:rsidRPr="007A2832" w:rsidRDefault="00E35A5D" w:rsidP="0093062C">
            <w:pPr>
              <w:jc w:val="both"/>
              <w:rPr>
                <w:i/>
              </w:rPr>
            </w:pPr>
          </w:p>
          <w:p w:rsidR="00E35A5D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56353C" w:rsidRDefault="0056353C" w:rsidP="0093062C">
            <w:pPr>
              <w:jc w:val="both"/>
              <w:rPr>
                <w:i/>
              </w:rPr>
            </w:pPr>
          </w:p>
          <w:p w:rsidR="0056353C" w:rsidRPr="0056353C" w:rsidRDefault="0056353C" w:rsidP="0093062C">
            <w:pPr>
              <w:jc w:val="both"/>
            </w:pPr>
            <w:r w:rsidRPr="0056353C">
              <w:t>Predkladaný materiál (</w:t>
            </w:r>
            <w:r w:rsidR="00042129">
              <w:t>čl. I</w:t>
            </w:r>
            <w:r w:rsidR="00070186">
              <w:t>, II a III</w:t>
            </w:r>
            <w:r w:rsidRPr="0056353C">
              <w:t>)</w:t>
            </w:r>
            <w:r>
              <w:t xml:space="preserve"> predstavuje </w:t>
            </w:r>
            <w:r w:rsidR="00F917D2">
              <w:t xml:space="preserve">právny </w:t>
            </w:r>
            <w:r>
              <w:t>rámec pre dočasné vnútroštátne opatreni</w:t>
            </w:r>
            <w:r w:rsidR="00F917D2">
              <w:t>e</w:t>
            </w:r>
            <w:r>
              <w:t>, ktorým sa zavádza odvod nadmerných príjmov vybraných účastníkov trhu s elektrinou. Uvedené opatrenie má celkovo neutrálny vplyv na rozpočet verejnej správy, podnikateľské prostredie a sociálne vplyvy nakoľko sa jedná o výber neočakávaných trhových nadpríjmov výrobcov elektriny (tzv. „windfall profit“) a ich prerozdelenie prostredníctvom štátneho rozpočtu na kompenzácie vysokých cien energií koncovým odberateľom elektriny, ktoré by sa za iných (bežných) okolností nerealizovali resp. nemuseli realizovať.</w:t>
            </w:r>
            <w:r w:rsidR="00042129">
              <w:t xml:space="preserve"> Predkladaný materiál (čl. </w:t>
            </w:r>
            <w:r w:rsidR="00070186">
              <w:t>IV</w:t>
            </w:r>
            <w:r w:rsidR="00042129">
              <w:t xml:space="preserve"> a </w:t>
            </w:r>
            <w:r w:rsidR="00070186">
              <w:t>V</w:t>
            </w:r>
            <w:r w:rsidR="00042129">
              <w:t xml:space="preserve">) má rovnako celkovo neutrálny vplyv na podnikateľské prostredie a sociálne vplyvy nakoľko limitovanie medziročného zvýšenia regulovaných cien v tepelnej energetike  bude môcť byť kompenzované dotáciami na </w:t>
            </w:r>
            <w:r w:rsidR="00042129">
              <w:lastRenderedPageBreak/>
              <w:t xml:space="preserve">pokrytie dodatočných nákladov </w:t>
            </w:r>
            <w:r w:rsidR="00042129" w:rsidRPr="00042129">
              <w:t>v dôsledku zvýšenia cien tepla</w:t>
            </w:r>
            <w:r w:rsidR="00042129">
              <w:t>.</w:t>
            </w:r>
            <w:r>
              <w:t xml:space="preserve"> Predkladaný materiál nemá pozitívny </w:t>
            </w:r>
            <w:r w:rsidR="000218F6">
              <w:t>ani</w:t>
            </w:r>
            <w:r>
              <w:t xml:space="preserve"> negatívny vplyv na ostatné</w:t>
            </w:r>
            <w:r w:rsidR="000218F6">
              <w:t xml:space="preserve"> sledované oblasti.</w:t>
            </w:r>
            <w:r>
              <w:t xml:space="preserve"> </w:t>
            </w:r>
          </w:p>
          <w:p w:rsidR="004C0C67" w:rsidRPr="007A2832" w:rsidRDefault="004C0C67" w:rsidP="00D327B5">
            <w:pPr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35A5D" w:rsidRPr="007A2832" w:rsidTr="009306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Kontakt na spracovateľa</w:t>
            </w:r>
          </w:p>
        </w:tc>
      </w:tr>
      <w:tr w:rsidR="00E35A5D" w:rsidRPr="007A2832" w:rsidTr="0093062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rPr>
                <w:i/>
              </w:rPr>
            </w:pPr>
            <w:r w:rsidRPr="007A2832">
              <w:rPr>
                <w:i/>
              </w:rPr>
              <w:t>Uveďte údaje na kontaktnú osobu, ktorú je možné kontaktovať v súvislosti s posúdením vybraných vplyvov.</w:t>
            </w:r>
          </w:p>
          <w:p w:rsidR="000218F6" w:rsidRPr="003E11D2" w:rsidRDefault="000218F6" w:rsidP="000218F6">
            <w:r w:rsidRPr="003E11D2">
              <w:t xml:space="preserve">Ing. Marián Nicz, HŠR, odbor palív a energetiky, </w:t>
            </w:r>
            <w:hyperlink r:id="rId8" w:history="1">
              <w:r w:rsidRPr="003E11D2">
                <w:rPr>
                  <w:rStyle w:val="Hypertextovprepojenie"/>
                </w:rPr>
                <w:t>marian.nicz@mhsr.sk</w:t>
              </w:r>
            </w:hyperlink>
          </w:p>
          <w:p w:rsidR="00E35A5D" w:rsidRPr="007A2832" w:rsidRDefault="00E35A5D" w:rsidP="0093062C"/>
        </w:tc>
      </w:tr>
      <w:tr w:rsidR="00E35A5D" w:rsidRPr="007A2832" w:rsidTr="009306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26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Zdroje</w:t>
            </w:r>
          </w:p>
        </w:tc>
      </w:tr>
      <w:tr w:rsidR="00E35A5D" w:rsidRPr="007A2832" w:rsidTr="0093062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jc w:val="both"/>
              <w:rPr>
                <w:i/>
              </w:rPr>
            </w:pPr>
            <w:r w:rsidRPr="007A2832">
              <w:rPr>
                <w:i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</w:p>
          <w:p w:rsidR="00E35A5D" w:rsidRPr="007A2832" w:rsidRDefault="00E35A5D" w:rsidP="0093062C"/>
          <w:p w:rsidR="00E35A5D" w:rsidRPr="007A2832" w:rsidRDefault="00E35A5D" w:rsidP="00D327B5">
            <w:pPr>
              <w:jc w:val="both"/>
              <w:rPr>
                <w:b/>
              </w:rPr>
            </w:pPr>
          </w:p>
        </w:tc>
      </w:tr>
      <w:tr w:rsidR="00E35A5D" w:rsidRPr="007A2832" w:rsidTr="009306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47" w:hanging="425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Stanovisko Komisie na posudzovanie vybraných vplyvov z PPK č. ..........</w:t>
            </w:r>
          </w:p>
          <w:p w:rsidR="00E35A5D" w:rsidRPr="007A2832" w:rsidRDefault="00E35A5D" w:rsidP="0093062C">
            <w:pPr>
              <w:ind w:left="502"/>
              <w:rPr>
                <w:b/>
              </w:rPr>
            </w:pPr>
            <w:r w:rsidRPr="007A2832">
              <w:rPr>
                <w:rFonts w:eastAsia="Calibri"/>
                <w:sz w:val="22"/>
                <w:szCs w:val="22"/>
                <w:lang w:eastAsia="en-US"/>
              </w:rPr>
              <w:t>(v prípade, ak sa uskutočnilo v zmysle bodu 8.1 Jednotnej metodiky)</w:t>
            </w:r>
          </w:p>
        </w:tc>
      </w:tr>
      <w:tr w:rsidR="00E35A5D" w:rsidRPr="007A2832" w:rsidTr="0093062C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5D" w:rsidRPr="007A2832" w:rsidRDefault="00E35A5D" w:rsidP="0093062C">
            <w:pPr>
              <w:rPr>
                <w:b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35A5D" w:rsidRPr="007A2832" w:rsidTr="0093062C">
              <w:trPr>
                <w:trHeight w:val="396"/>
              </w:trPr>
              <w:tc>
                <w:tcPr>
                  <w:tcW w:w="2552" w:type="dxa"/>
                </w:tcPr>
                <w:p w:rsidR="00E35A5D" w:rsidRPr="007A2832" w:rsidRDefault="00114839" w:rsidP="0093062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1874910888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E35A5D" w:rsidRPr="007A2832" w:rsidRDefault="00114839" w:rsidP="0093062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1697888127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E35A5D" w:rsidRPr="007A2832" w:rsidRDefault="00114839" w:rsidP="0093062C">
                  <w:pPr>
                    <w:ind w:right="459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647822913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Nesúhlasné</w:t>
                  </w:r>
                </w:p>
              </w:tc>
            </w:tr>
          </w:tbl>
          <w:p w:rsidR="00E35A5D" w:rsidRPr="007A2832" w:rsidRDefault="00E35A5D" w:rsidP="0093062C">
            <w:pPr>
              <w:jc w:val="both"/>
              <w:rPr>
                <w:b/>
              </w:rPr>
            </w:pPr>
            <w:r w:rsidRPr="007A2832">
              <w:rPr>
                <w:b/>
              </w:rPr>
              <w:t>Uveďte pripomienky zo stanoviska Komisie z časti II. spolu s Vaším vyhodnotením:</w:t>
            </w:r>
          </w:p>
          <w:p w:rsidR="00E35A5D" w:rsidRPr="007A2832" w:rsidRDefault="00E35A5D" w:rsidP="0093062C">
            <w:pPr>
              <w:rPr>
                <w:b/>
              </w:rPr>
            </w:pPr>
          </w:p>
          <w:p w:rsidR="00E35A5D" w:rsidRPr="007A2832" w:rsidRDefault="00E35A5D" w:rsidP="0093062C">
            <w:pPr>
              <w:rPr>
                <w:b/>
              </w:rPr>
            </w:pPr>
          </w:p>
        </w:tc>
      </w:tr>
      <w:tr w:rsidR="00E35A5D" w:rsidRPr="007A2832" w:rsidTr="0093062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E35A5D" w:rsidRPr="007A2832" w:rsidRDefault="00E35A5D" w:rsidP="00E35A5D">
            <w:pPr>
              <w:numPr>
                <w:ilvl w:val="0"/>
                <w:numId w:val="6"/>
              </w:numPr>
              <w:ind w:left="450" w:hanging="425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A2832">
              <w:rPr>
                <w:rFonts w:eastAsia="Calibri"/>
                <w:b/>
                <w:sz w:val="22"/>
                <w:szCs w:val="22"/>
                <w:lang w:eastAsia="en-US"/>
              </w:rPr>
              <w:t>Stanovisko Komisie na posudzovanie vybraných vplyvov zo záverečného posúdenia č. ..........</w:t>
            </w:r>
            <w:r w:rsidRPr="007A2832">
              <w:rPr>
                <w:rFonts w:eastAsia="Calibri"/>
                <w:sz w:val="22"/>
                <w:szCs w:val="22"/>
                <w:lang w:eastAsia="en-US"/>
              </w:rPr>
              <w:t xml:space="preserve"> (v prípade, ak sa uskutočnilo v zmysle bodu 9.1. Jednotnej metodiky) </w:t>
            </w:r>
          </w:p>
        </w:tc>
      </w:tr>
      <w:tr w:rsidR="00E35A5D" w:rsidRPr="007A2832" w:rsidTr="0093062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E35A5D" w:rsidRPr="007A2832" w:rsidRDefault="00E35A5D" w:rsidP="0093062C">
            <w:pPr>
              <w:rPr>
                <w:b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35A5D" w:rsidRPr="007A2832" w:rsidTr="0093062C">
              <w:trPr>
                <w:trHeight w:val="396"/>
              </w:trPr>
              <w:tc>
                <w:tcPr>
                  <w:tcW w:w="2552" w:type="dxa"/>
                </w:tcPr>
                <w:p w:rsidR="00E35A5D" w:rsidRPr="007A2832" w:rsidRDefault="00114839" w:rsidP="0093062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888232876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E35A5D" w:rsidRPr="007A2832" w:rsidRDefault="00114839" w:rsidP="0093062C">
                  <w:pPr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953831761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E35A5D" w:rsidRPr="007A2832" w:rsidRDefault="00114839" w:rsidP="0093062C">
                  <w:pPr>
                    <w:ind w:right="459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361740452"/>
                    </w:sdtPr>
                    <w:sdtEndPr/>
                    <w:sdtContent>
                      <w:r w:rsidR="00E35A5D" w:rsidRPr="007A2832">
                        <w:rPr>
                          <w:rFonts w:eastAsia="MS Gothic" w:hint="eastAsia"/>
                          <w:b/>
                        </w:rPr>
                        <w:t>☐</w:t>
                      </w:r>
                    </w:sdtContent>
                  </w:sdt>
                  <w:r w:rsidR="00E35A5D" w:rsidRPr="007A2832">
                    <w:rPr>
                      <w:b/>
                    </w:rPr>
                    <w:t xml:space="preserve">  Nesúhlasné</w:t>
                  </w:r>
                </w:p>
              </w:tc>
            </w:tr>
          </w:tbl>
          <w:p w:rsidR="00E35A5D" w:rsidRPr="007A2832" w:rsidRDefault="00E35A5D" w:rsidP="0093062C">
            <w:pPr>
              <w:jc w:val="both"/>
              <w:rPr>
                <w:b/>
              </w:rPr>
            </w:pPr>
            <w:r w:rsidRPr="007A2832">
              <w:rPr>
                <w:b/>
              </w:rPr>
              <w:t>Uveďte pripomienky zo stanoviska Komisie z časti II. spolu s Vaším vyhodnotením:</w:t>
            </w:r>
          </w:p>
          <w:p w:rsidR="00E35A5D" w:rsidRPr="007A2832" w:rsidRDefault="00E35A5D" w:rsidP="0093062C">
            <w:pPr>
              <w:rPr>
                <w:b/>
              </w:rPr>
            </w:pPr>
          </w:p>
          <w:p w:rsidR="00E35A5D" w:rsidRPr="007A2832" w:rsidRDefault="00E35A5D" w:rsidP="0093062C">
            <w:pPr>
              <w:rPr>
                <w:b/>
              </w:rPr>
            </w:pPr>
          </w:p>
        </w:tc>
      </w:tr>
    </w:tbl>
    <w:p w:rsidR="00E35A5D" w:rsidRPr="00C01C97" w:rsidRDefault="00E35A5D" w:rsidP="00011CD9">
      <w:pPr>
        <w:rPr>
          <w:sz w:val="24"/>
          <w:szCs w:val="24"/>
        </w:rPr>
      </w:pPr>
    </w:p>
    <w:sectPr w:rsidR="00E35A5D" w:rsidRPr="00C01C97" w:rsidSect="0021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D8" w:rsidRDefault="00192FD8">
      <w:r>
        <w:separator/>
      </w:r>
    </w:p>
  </w:endnote>
  <w:endnote w:type="continuationSeparator" w:id="0">
    <w:p w:rsidR="00192FD8" w:rsidRDefault="0019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FD8" w:rsidRDefault="00192FD8">
      <w:r>
        <w:separator/>
      </w:r>
    </w:p>
  </w:footnote>
  <w:footnote w:type="continuationSeparator" w:id="0">
    <w:p w:rsidR="00192FD8" w:rsidRDefault="0019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1DA"/>
    <w:multiLevelType w:val="hybridMultilevel"/>
    <w:tmpl w:val="7196FF22"/>
    <w:lvl w:ilvl="0" w:tplc="07F6BB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2F56"/>
    <w:multiLevelType w:val="hybridMultilevel"/>
    <w:tmpl w:val="7EFC22AE"/>
    <w:lvl w:ilvl="0" w:tplc="D3ACFD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239F7"/>
    <w:multiLevelType w:val="hybridMultilevel"/>
    <w:tmpl w:val="F2822772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6F6FA5"/>
    <w:multiLevelType w:val="hybridMultilevel"/>
    <w:tmpl w:val="B81A74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64C97"/>
    <w:multiLevelType w:val="hybridMultilevel"/>
    <w:tmpl w:val="E702B7C6"/>
    <w:lvl w:ilvl="0" w:tplc="91260BAE">
      <w:start w:val="9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1F6C06"/>
    <w:multiLevelType w:val="hybridMultilevel"/>
    <w:tmpl w:val="3230AAE6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F0B12"/>
    <w:multiLevelType w:val="hybridMultilevel"/>
    <w:tmpl w:val="B45824F4"/>
    <w:lvl w:ilvl="0" w:tplc="CCC099DA">
      <w:start w:val="4"/>
      <w:numFmt w:val="bullet"/>
      <w:lvlText w:val="-"/>
      <w:lvlJc w:val="left"/>
      <w:pPr>
        <w:ind w:left="170" w:hanging="17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F540DD1"/>
    <w:multiLevelType w:val="hybridMultilevel"/>
    <w:tmpl w:val="869A4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A0"/>
    <w:rsid w:val="000011E5"/>
    <w:rsid w:val="00011CD9"/>
    <w:rsid w:val="000218F6"/>
    <w:rsid w:val="00042129"/>
    <w:rsid w:val="00070186"/>
    <w:rsid w:val="00091008"/>
    <w:rsid w:val="000B16F5"/>
    <w:rsid w:val="00114839"/>
    <w:rsid w:val="00192FD8"/>
    <w:rsid w:val="001A7C92"/>
    <w:rsid w:val="001C074B"/>
    <w:rsid w:val="001D2CD4"/>
    <w:rsid w:val="0021015D"/>
    <w:rsid w:val="00211C7E"/>
    <w:rsid w:val="00250925"/>
    <w:rsid w:val="00293F03"/>
    <w:rsid w:val="002971B9"/>
    <w:rsid w:val="002E7BAB"/>
    <w:rsid w:val="00387180"/>
    <w:rsid w:val="003D0806"/>
    <w:rsid w:val="00453194"/>
    <w:rsid w:val="0046534E"/>
    <w:rsid w:val="004B2A55"/>
    <w:rsid w:val="004C0C67"/>
    <w:rsid w:val="0056353C"/>
    <w:rsid w:val="005C0C6E"/>
    <w:rsid w:val="00643DCC"/>
    <w:rsid w:val="006519A8"/>
    <w:rsid w:val="006D7938"/>
    <w:rsid w:val="006E75A8"/>
    <w:rsid w:val="006F7673"/>
    <w:rsid w:val="00765247"/>
    <w:rsid w:val="007721E0"/>
    <w:rsid w:val="0077749C"/>
    <w:rsid w:val="0079032F"/>
    <w:rsid w:val="007D0585"/>
    <w:rsid w:val="007D0F38"/>
    <w:rsid w:val="007F015A"/>
    <w:rsid w:val="00811DA0"/>
    <w:rsid w:val="0082229F"/>
    <w:rsid w:val="0084055A"/>
    <w:rsid w:val="00942003"/>
    <w:rsid w:val="009659F3"/>
    <w:rsid w:val="00971E20"/>
    <w:rsid w:val="009E1231"/>
    <w:rsid w:val="00A206F3"/>
    <w:rsid w:val="00AC4392"/>
    <w:rsid w:val="00B046BA"/>
    <w:rsid w:val="00B07F0A"/>
    <w:rsid w:val="00B117B7"/>
    <w:rsid w:val="00B13D40"/>
    <w:rsid w:val="00B32B47"/>
    <w:rsid w:val="00B533C4"/>
    <w:rsid w:val="00BC1D35"/>
    <w:rsid w:val="00D327B5"/>
    <w:rsid w:val="00D357F1"/>
    <w:rsid w:val="00D45509"/>
    <w:rsid w:val="00D56641"/>
    <w:rsid w:val="00D61E06"/>
    <w:rsid w:val="00D7507C"/>
    <w:rsid w:val="00DC3152"/>
    <w:rsid w:val="00DE1395"/>
    <w:rsid w:val="00E32444"/>
    <w:rsid w:val="00E35A5D"/>
    <w:rsid w:val="00EB60AC"/>
    <w:rsid w:val="00F4069D"/>
    <w:rsid w:val="00F41CBF"/>
    <w:rsid w:val="00F748AC"/>
    <w:rsid w:val="00F917D2"/>
    <w:rsid w:val="00FF60A7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F664F-ED4A-42FF-AB41-605C5CAC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11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11D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11D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1D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1DA0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81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81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FF7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E3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E13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395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link w:val="NormlnywebovChar"/>
    <w:uiPriority w:val="99"/>
    <w:unhideWhenUsed/>
    <w:rsid w:val="00D327B5"/>
    <w:rPr>
      <w:sz w:val="24"/>
      <w:szCs w:val="24"/>
    </w:rPr>
  </w:style>
  <w:style w:type="character" w:customStyle="1" w:styleId="NormlnywebovChar">
    <w:name w:val="Normálny (webový) Char"/>
    <w:link w:val="Normlnywebov"/>
    <w:uiPriority w:val="99"/>
    <w:locked/>
    <w:rsid w:val="00D327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021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.nicz@mh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3862-80DF-485B-A7D3-358BF8EF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1844</Words>
  <Characters>10515</Characters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2022-06-29T12:14:00Z</cp:lastPrinted>
  <dcterms:created xsi:type="dcterms:W3CDTF">2022-11-28T13:41:00Z</dcterms:created>
  <dcterms:modified xsi:type="dcterms:W3CDTF">2022-11-28T14:39:00Z</dcterms:modified>
</cp:coreProperties>
</file>