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5A7333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90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1E3B2B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B41C40">
        <w:rPr>
          <w:szCs w:val="24"/>
          <w:lang w:eastAsia="sk-SK"/>
        </w:rPr>
        <w:t>: 2126</w:t>
      </w:r>
      <w:r w:rsidR="00B8170C">
        <w:rPr>
          <w:szCs w:val="24"/>
          <w:lang w:eastAsia="sk-SK"/>
        </w:rPr>
        <w:t>/2022</w:t>
      </w:r>
    </w:p>
    <w:p w:rsidR="002D2EF9" w:rsidRDefault="002D2EF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B41C40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209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105CC3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39486C">
        <w:rPr>
          <w:szCs w:val="24"/>
          <w:lang w:eastAsia="sk-SK"/>
        </w:rPr>
        <w:t> </w:t>
      </w:r>
      <w:r w:rsidR="005A7333">
        <w:rPr>
          <w:szCs w:val="24"/>
          <w:lang w:eastAsia="sk-SK"/>
        </w:rPr>
        <w:t>28. novembra 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AA0815" w:rsidP="00AA0815">
      <w:pPr>
        <w:pStyle w:val="Bezriadkovania"/>
        <w:jc w:val="both"/>
        <w:rPr>
          <w:b/>
        </w:rPr>
      </w:pPr>
      <w:r>
        <w:t xml:space="preserve">           </w:t>
      </w:r>
      <w:r w:rsidR="00F93E52" w:rsidRPr="00BC281D">
        <w:t>Výbor Národnej rady Slovenskej republiky pre obranu a bezpečnosť prerokoval</w:t>
      </w:r>
      <w:r w:rsidR="00F93E52" w:rsidRPr="00BC281D">
        <w:rPr>
          <w:rFonts w:cs="Arial"/>
          <w:noProof/>
        </w:rPr>
        <w:t xml:space="preserve"> </w:t>
      </w:r>
      <w:r w:rsidR="00F93E52" w:rsidRPr="00BC281D">
        <w:rPr>
          <w:rFonts w:cs="Arial"/>
        </w:rPr>
        <w:t>vládny návrh zákona</w:t>
      </w:r>
      <w:r w:rsidR="00A905FB">
        <w:rPr>
          <w:rFonts w:cs="Arial"/>
        </w:rPr>
        <w:t xml:space="preserve"> o Vojenskom spravodajstve</w:t>
      </w:r>
      <w:r w:rsidRPr="00FC14BC">
        <w:t xml:space="preserve"> (</w:t>
      </w:r>
      <w:r w:rsidR="00A905FB">
        <w:rPr>
          <w:b/>
        </w:rPr>
        <w:t>tlač 1207</w:t>
      </w:r>
      <w:r>
        <w:rPr>
          <w:rFonts w:cs="Arial"/>
        </w:rPr>
        <w:t xml:space="preserve">) </w:t>
      </w:r>
      <w:r w:rsidRPr="00CE53F1">
        <w:rPr>
          <w:b/>
        </w:rPr>
        <w:t>– druhé čítanie</w:t>
      </w:r>
      <w:r>
        <w:t xml:space="preserve"> </w:t>
      </w:r>
      <w:r w:rsidR="00F93E52" w:rsidRPr="00BC281D">
        <w:rPr>
          <w:bCs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Pr="00BC281D">
        <w:rPr>
          <w:rFonts w:cs="Arial"/>
          <w:szCs w:val="24"/>
        </w:rPr>
        <w:t>vládnym návrhom zákona</w:t>
      </w:r>
      <w:r w:rsidR="003B038A" w:rsidRPr="003B038A">
        <w:rPr>
          <w:rFonts w:cs="Arial"/>
        </w:rPr>
        <w:t xml:space="preserve"> </w:t>
      </w:r>
      <w:r w:rsidR="003B038A">
        <w:rPr>
          <w:rFonts w:cs="Arial"/>
        </w:rPr>
        <w:t>o Vojenskom spravodajstve</w:t>
      </w:r>
      <w:r w:rsidR="003B038A" w:rsidRPr="00FC14BC">
        <w:t xml:space="preserve"> (</w:t>
      </w:r>
      <w:r w:rsidR="003B038A">
        <w:rPr>
          <w:b/>
        </w:rPr>
        <w:t>tlač 1207</w:t>
      </w:r>
      <w:r w:rsidR="003B038A">
        <w:rPr>
          <w:rFonts w:cs="Arial"/>
        </w:rPr>
        <w:t>)</w:t>
      </w:r>
      <w:r w:rsidRPr="00BC281D">
        <w:rPr>
          <w:rFonts w:cs="Arial"/>
          <w:b/>
          <w:szCs w:val="24"/>
        </w:rPr>
        <w:t>;</w:t>
      </w:r>
    </w:p>
    <w:p w:rsidR="003B038A" w:rsidRPr="00BC281D" w:rsidRDefault="003B038A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Národnej rade Slovenskej republiky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BC281D">
        <w:rPr>
          <w:szCs w:val="24"/>
          <w:lang w:eastAsia="sk-SK"/>
        </w:rPr>
        <w:t xml:space="preserve">           </w:t>
      </w:r>
      <w:r w:rsidRPr="00BC281D">
        <w:rPr>
          <w:rFonts w:cs="Arial"/>
          <w:szCs w:val="24"/>
        </w:rPr>
        <w:t>vládny návrh zákona</w:t>
      </w:r>
      <w:r w:rsidR="003B038A" w:rsidRPr="003B038A">
        <w:rPr>
          <w:rFonts w:cs="Arial"/>
        </w:rPr>
        <w:t xml:space="preserve"> </w:t>
      </w:r>
      <w:r w:rsidR="003B038A">
        <w:rPr>
          <w:rFonts w:cs="Arial"/>
        </w:rPr>
        <w:t>o Vojenskom spravodajstve</w:t>
      </w:r>
      <w:r w:rsidR="003B038A" w:rsidRPr="00FC14BC">
        <w:t xml:space="preserve"> (</w:t>
      </w:r>
      <w:r w:rsidR="003B038A">
        <w:rPr>
          <w:b/>
        </w:rPr>
        <w:t>tlač 1207</w:t>
      </w:r>
      <w:r w:rsidR="003B038A">
        <w:rPr>
          <w:rFonts w:cs="Arial"/>
        </w:rPr>
        <w:t>)</w:t>
      </w:r>
      <w:r w:rsidR="00722EF7">
        <w:rPr>
          <w:rFonts w:cs="Arial"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A10A13">
        <w:rPr>
          <w:rFonts w:cs="Arial"/>
          <w:b/>
          <w:szCs w:val="24"/>
        </w:rPr>
        <w:t xml:space="preserve"> </w:t>
      </w:r>
      <w:r w:rsidR="00722EF7">
        <w:rPr>
          <w:rFonts w:cs="Arial"/>
          <w:b/>
          <w:szCs w:val="24"/>
        </w:rPr>
        <w:t>s pozmeňujúcim</w:t>
      </w:r>
      <w:r w:rsidR="003B038A">
        <w:rPr>
          <w:rFonts w:cs="Arial"/>
          <w:b/>
          <w:szCs w:val="24"/>
        </w:rPr>
        <w:t>i a doplňujúcimi návrhmi</w:t>
      </w:r>
      <w:r w:rsidR="00722EF7">
        <w:rPr>
          <w:rFonts w:cs="Arial"/>
          <w:szCs w:val="24"/>
        </w:rPr>
        <w:t xml:space="preserve"> uvedeným</w:t>
      </w:r>
      <w:r w:rsidR="002253F6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v prílohe tohto uznesenia;</w:t>
      </w:r>
    </w:p>
    <w:p w:rsidR="003B038A" w:rsidRDefault="003B038A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2D2EF9">
        <w:rPr>
          <w:b/>
          <w:i/>
          <w:sz w:val="22"/>
          <w:lang w:eastAsia="sk-SK"/>
        </w:rPr>
        <w:t xml:space="preserve"> </w:t>
      </w:r>
      <w:r>
        <w:rPr>
          <w:b/>
          <w:i/>
          <w:sz w:val="28"/>
          <w:szCs w:val="28"/>
          <w:lang w:eastAsia="sk-SK"/>
        </w:rPr>
        <w:t>Juraj KRÚPA</w:t>
      </w:r>
      <w:r w:rsidR="00613029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613029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613029">
        <w:rPr>
          <w:b/>
          <w:i/>
          <w:sz w:val="28"/>
          <w:szCs w:val="28"/>
          <w:lang w:eastAsia="sk-SK"/>
        </w:rPr>
        <w:t>v.r</w:t>
      </w:r>
      <w:proofErr w:type="spellEnd"/>
      <w:r w:rsidR="00613029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866DE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613029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613029">
        <w:rPr>
          <w:b/>
          <w:i/>
          <w:sz w:val="28"/>
          <w:szCs w:val="28"/>
          <w:lang w:eastAsia="sk-SK"/>
        </w:rPr>
        <w:t>v.r</w:t>
      </w:r>
      <w:proofErr w:type="spellEnd"/>
      <w:r w:rsidR="00613029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6D3C76" w:rsidRDefault="006D3C76" w:rsidP="000E30E2">
      <w:pPr>
        <w:spacing w:after="0" w:line="240" w:lineRule="auto"/>
        <w:jc w:val="right"/>
        <w:rPr>
          <w:sz w:val="22"/>
          <w:lang w:eastAsia="sk-SK"/>
        </w:rPr>
      </w:pPr>
    </w:p>
    <w:p w:rsidR="006D3C76" w:rsidRDefault="006D3C76" w:rsidP="000E30E2">
      <w:pPr>
        <w:spacing w:after="0" w:line="240" w:lineRule="auto"/>
        <w:jc w:val="right"/>
        <w:rPr>
          <w:sz w:val="22"/>
          <w:lang w:eastAsia="sk-SK"/>
        </w:rPr>
      </w:pPr>
    </w:p>
    <w:p w:rsidR="006D3C76" w:rsidRDefault="006D3C76" w:rsidP="000E30E2">
      <w:pPr>
        <w:spacing w:after="0" w:line="240" w:lineRule="auto"/>
        <w:jc w:val="right"/>
        <w:rPr>
          <w:sz w:val="22"/>
          <w:lang w:eastAsia="sk-SK"/>
        </w:rPr>
      </w:pPr>
    </w:p>
    <w:p w:rsidR="003B038A" w:rsidRDefault="003B038A" w:rsidP="000E30E2">
      <w:pPr>
        <w:spacing w:after="0" w:line="240" w:lineRule="auto"/>
        <w:jc w:val="right"/>
        <w:rPr>
          <w:sz w:val="22"/>
          <w:lang w:eastAsia="sk-SK"/>
        </w:rPr>
      </w:pPr>
    </w:p>
    <w:p w:rsidR="003B038A" w:rsidRDefault="003B038A" w:rsidP="000E30E2">
      <w:pPr>
        <w:spacing w:after="0" w:line="240" w:lineRule="auto"/>
        <w:jc w:val="right"/>
        <w:rPr>
          <w:sz w:val="22"/>
          <w:lang w:eastAsia="sk-SK"/>
        </w:rPr>
      </w:pPr>
    </w:p>
    <w:p w:rsidR="003B038A" w:rsidRDefault="003B038A" w:rsidP="000E30E2">
      <w:pPr>
        <w:spacing w:after="0" w:line="240" w:lineRule="auto"/>
        <w:jc w:val="right"/>
        <w:rPr>
          <w:sz w:val="22"/>
          <w:lang w:eastAsia="sk-SK"/>
        </w:rPr>
      </w:pPr>
    </w:p>
    <w:p w:rsidR="003B038A" w:rsidRDefault="003B038A" w:rsidP="000E30E2">
      <w:pPr>
        <w:spacing w:after="0" w:line="240" w:lineRule="auto"/>
        <w:jc w:val="right"/>
        <w:rPr>
          <w:sz w:val="22"/>
          <w:lang w:eastAsia="sk-SK"/>
        </w:rPr>
      </w:pPr>
    </w:p>
    <w:p w:rsidR="003B038A" w:rsidRDefault="003B038A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Default="00BD083B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209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2253F6" w:rsidRDefault="000E30E2" w:rsidP="00FB3D7C">
      <w:pPr>
        <w:tabs>
          <w:tab w:val="left" w:pos="5580"/>
        </w:tabs>
        <w:spacing w:after="0" w:line="240" w:lineRule="auto"/>
        <w:rPr>
          <w:rFonts w:cs="Arial"/>
          <w:b/>
        </w:rPr>
      </w:pPr>
      <w:r w:rsidRPr="00C540E4">
        <w:rPr>
          <w:rFonts w:cs="Arial"/>
          <w:szCs w:val="24"/>
        </w:rPr>
        <w:t xml:space="preserve">k </w:t>
      </w:r>
      <w:r w:rsidR="00047773" w:rsidRPr="00C540E4">
        <w:rPr>
          <w:rFonts w:cs="Arial"/>
          <w:szCs w:val="24"/>
        </w:rPr>
        <w:t>vládnemu návrhu zákona</w:t>
      </w:r>
      <w:r w:rsidR="002253F6" w:rsidRPr="002253F6">
        <w:rPr>
          <w:rFonts w:cs="Arial"/>
        </w:rPr>
        <w:t xml:space="preserve"> </w:t>
      </w:r>
      <w:r w:rsidR="002253F6">
        <w:rPr>
          <w:rFonts w:cs="Arial"/>
        </w:rPr>
        <w:t>o Vojenskom spravodajstve</w:t>
      </w:r>
      <w:r w:rsidR="002253F6" w:rsidRPr="00FC14BC">
        <w:t xml:space="preserve"> (</w:t>
      </w:r>
      <w:r w:rsidR="002253F6">
        <w:rPr>
          <w:b/>
        </w:rPr>
        <w:t>tlač 1207</w:t>
      </w:r>
      <w:r w:rsidR="002253F6">
        <w:rPr>
          <w:rFonts w:cs="Arial"/>
        </w:rPr>
        <w:t>)</w:t>
      </w: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</w:t>
      </w:r>
    </w:p>
    <w:p w:rsidR="00BC0C89" w:rsidRPr="000A3245" w:rsidRDefault="00BC0C89" w:rsidP="00BC0C89">
      <w:pPr>
        <w:spacing w:after="0" w:line="360" w:lineRule="auto"/>
        <w:ind w:firstLine="708"/>
        <w:jc w:val="both"/>
        <w:rPr>
          <w:szCs w:val="24"/>
          <w:lang w:eastAsia="sk-SK"/>
        </w:rPr>
      </w:pPr>
    </w:p>
    <w:p w:rsidR="00BC0C89" w:rsidRDefault="00BC0C89" w:rsidP="00BC0C89">
      <w:pPr>
        <w:spacing w:before="120" w:after="0" w:line="360" w:lineRule="auto"/>
        <w:jc w:val="both"/>
        <w:rPr>
          <w:szCs w:val="24"/>
          <w:lang w:eastAsia="sk-SK"/>
        </w:rPr>
      </w:pPr>
      <w:r w:rsidRPr="00BC0C89">
        <w:rPr>
          <w:b/>
          <w:szCs w:val="24"/>
          <w:lang w:eastAsia="sk-SK"/>
        </w:rPr>
        <w:t>1.</w:t>
      </w:r>
      <w:r w:rsidRPr="00E85288">
        <w:t xml:space="preserve"> </w:t>
      </w:r>
      <w:r w:rsidRPr="00E85288">
        <w:rPr>
          <w:szCs w:val="24"/>
          <w:lang w:eastAsia="sk-SK"/>
        </w:rPr>
        <w:t xml:space="preserve">V </w:t>
      </w:r>
      <w:r>
        <w:rPr>
          <w:szCs w:val="24"/>
          <w:lang w:eastAsia="sk-SK"/>
        </w:rPr>
        <w:t xml:space="preserve">§ 19 ods. 5 sa </w:t>
      </w:r>
      <w:r w:rsidRPr="0013100F">
        <w:rPr>
          <w:szCs w:val="24"/>
          <w:lang w:eastAsia="sk-SK"/>
        </w:rPr>
        <w:t>za slovo „úloh“ vkladá slovo „alebo</w:t>
      </w:r>
      <w:r>
        <w:rPr>
          <w:szCs w:val="24"/>
          <w:lang w:eastAsia="sk-SK"/>
        </w:rPr>
        <w:t>“.</w:t>
      </w:r>
    </w:p>
    <w:p w:rsidR="00BC0C89" w:rsidRDefault="00BC0C89" w:rsidP="00BC0C89">
      <w:pPr>
        <w:pStyle w:val="Bezriadkovania"/>
        <w:ind w:left="4253"/>
        <w:jc w:val="both"/>
      </w:pPr>
      <w:r>
        <w:t>Ide o legislatívno-technickú úpravu, ktorou sa do textu dopĺňa chýbajúca spojka „alebo“ (rovnaká úprava je obsiahnutá aj v § 13 ods. 2 zákona č. 46/1993 Z. z. o Slovenskej informačnej službe v znení neskorších predpisov).</w:t>
      </w:r>
    </w:p>
    <w:p w:rsidR="00BC0C89" w:rsidRDefault="00BC0C89" w:rsidP="00BC0C89">
      <w:pPr>
        <w:spacing w:before="120" w:after="0" w:line="360" w:lineRule="auto"/>
        <w:jc w:val="both"/>
        <w:rPr>
          <w:szCs w:val="24"/>
          <w:lang w:eastAsia="sk-SK"/>
        </w:rPr>
      </w:pPr>
    </w:p>
    <w:p w:rsidR="00BC0C89" w:rsidRDefault="00BC0C89" w:rsidP="00BC0C89">
      <w:pPr>
        <w:spacing w:before="120" w:after="0" w:line="360" w:lineRule="auto"/>
        <w:jc w:val="both"/>
        <w:rPr>
          <w:szCs w:val="24"/>
          <w:lang w:eastAsia="sk-SK"/>
        </w:rPr>
      </w:pPr>
      <w:r w:rsidRPr="00BC0C89">
        <w:rPr>
          <w:b/>
          <w:szCs w:val="24"/>
          <w:lang w:eastAsia="sk-SK"/>
        </w:rPr>
        <w:t>2.</w:t>
      </w:r>
      <w:r w:rsidRPr="00E85288">
        <w:t xml:space="preserve"> </w:t>
      </w:r>
      <w:r w:rsidRPr="00E85288">
        <w:rPr>
          <w:szCs w:val="24"/>
          <w:lang w:eastAsia="sk-SK"/>
        </w:rPr>
        <w:t xml:space="preserve">V </w:t>
      </w:r>
      <w:r>
        <w:rPr>
          <w:szCs w:val="24"/>
          <w:lang w:eastAsia="sk-SK"/>
        </w:rPr>
        <w:t>§ 32 ods. 2 sa slová „osobitný zákon“ nahrádzajú slovami „osobitný predpis“.</w:t>
      </w:r>
    </w:p>
    <w:p w:rsidR="00BC0C89" w:rsidRDefault="00BC0C89" w:rsidP="00BC0C89">
      <w:pPr>
        <w:pStyle w:val="Bezriadkovania"/>
        <w:ind w:left="4253"/>
        <w:jc w:val="both"/>
      </w:pPr>
      <w:r>
        <w:t>Ide o legislatívno-technickú úpravu.</w:t>
      </w:r>
    </w:p>
    <w:p w:rsidR="00BC0C89" w:rsidRDefault="00BC0C89" w:rsidP="00BC0C89">
      <w:pPr>
        <w:pStyle w:val="Bezriadkovania"/>
        <w:ind w:left="4253"/>
        <w:jc w:val="both"/>
      </w:pPr>
    </w:p>
    <w:p w:rsidR="00BC0C89" w:rsidRDefault="00BC0C89" w:rsidP="00BC0C89">
      <w:pPr>
        <w:spacing w:before="120" w:after="0" w:line="360" w:lineRule="auto"/>
        <w:jc w:val="both"/>
        <w:rPr>
          <w:szCs w:val="24"/>
          <w:lang w:eastAsia="sk-SK"/>
        </w:rPr>
      </w:pPr>
      <w:r w:rsidRPr="00BC0C89">
        <w:rPr>
          <w:b/>
          <w:szCs w:val="24"/>
          <w:lang w:eastAsia="sk-SK"/>
        </w:rPr>
        <w:t>3.</w:t>
      </w:r>
      <w:r w:rsidRPr="00E85288">
        <w:t xml:space="preserve"> </w:t>
      </w:r>
      <w:r w:rsidRPr="00E85288">
        <w:rPr>
          <w:szCs w:val="24"/>
          <w:lang w:eastAsia="sk-SK"/>
        </w:rPr>
        <w:t xml:space="preserve">V </w:t>
      </w:r>
      <w:r>
        <w:rPr>
          <w:szCs w:val="24"/>
          <w:lang w:eastAsia="sk-SK"/>
        </w:rPr>
        <w:t xml:space="preserve">§ 32 ods. 4 </w:t>
      </w:r>
      <w:r w:rsidRPr="0077182B">
        <w:rPr>
          <w:szCs w:val="24"/>
          <w:lang w:eastAsia="sk-SK"/>
        </w:rPr>
        <w:t>sa na konci pripájajú tieto slová: „Vojenského spravodajstva“</w:t>
      </w:r>
      <w:r>
        <w:rPr>
          <w:szCs w:val="24"/>
          <w:lang w:eastAsia="sk-SK"/>
        </w:rPr>
        <w:t>.</w:t>
      </w:r>
    </w:p>
    <w:p w:rsidR="00BC0C89" w:rsidRDefault="00BC0C89" w:rsidP="00BC0C89">
      <w:pPr>
        <w:pStyle w:val="Bezriadkovania"/>
        <w:ind w:left="4253"/>
        <w:jc w:val="both"/>
      </w:pPr>
      <w:r>
        <w:t>Ide o legislatívno-technickú úpravu, ktorou sa spresňuje navrhované ustanovenie.</w:t>
      </w:r>
    </w:p>
    <w:p w:rsidR="00BC0C89" w:rsidRDefault="00BC0C89" w:rsidP="00BC0C89">
      <w:pPr>
        <w:pStyle w:val="Bezriadkovania"/>
        <w:ind w:left="4253"/>
        <w:jc w:val="both"/>
      </w:pPr>
    </w:p>
    <w:p w:rsidR="00BC0C89" w:rsidRDefault="00BC0C89" w:rsidP="00BC0C89">
      <w:pPr>
        <w:spacing w:before="120" w:after="0" w:line="360" w:lineRule="auto"/>
        <w:jc w:val="both"/>
        <w:rPr>
          <w:szCs w:val="24"/>
          <w:lang w:eastAsia="sk-SK"/>
        </w:rPr>
      </w:pPr>
      <w:r w:rsidRPr="00BC0C89">
        <w:rPr>
          <w:b/>
          <w:szCs w:val="24"/>
          <w:lang w:eastAsia="sk-SK"/>
        </w:rPr>
        <w:t>4.</w:t>
      </w:r>
      <w:r w:rsidRPr="00E85288">
        <w:t xml:space="preserve"> </w:t>
      </w:r>
      <w:r w:rsidRPr="00E85288">
        <w:rPr>
          <w:szCs w:val="24"/>
          <w:lang w:eastAsia="sk-SK"/>
        </w:rPr>
        <w:t xml:space="preserve">V </w:t>
      </w:r>
      <w:r w:rsidRPr="008C2078">
        <w:rPr>
          <w:szCs w:val="24"/>
          <w:lang w:eastAsia="sk-SK"/>
        </w:rPr>
        <w:t>§ 33 ods. 3 sa slová „a iným“ nahrádzajú slovami „alebo iným</w:t>
      </w:r>
      <w:r>
        <w:rPr>
          <w:szCs w:val="24"/>
          <w:lang w:eastAsia="sk-SK"/>
        </w:rPr>
        <w:t>“.</w:t>
      </w:r>
    </w:p>
    <w:p w:rsidR="00BC0C89" w:rsidRDefault="00BC0C89" w:rsidP="00BC0C89">
      <w:pPr>
        <w:pStyle w:val="Bezriadkovania"/>
        <w:ind w:left="4253"/>
        <w:jc w:val="both"/>
      </w:pPr>
      <w:r>
        <w:t>Ide o legislatívno-technickú úpravu, ktorou sa spresňuje navrhované ustanovenie.</w:t>
      </w:r>
    </w:p>
    <w:p w:rsidR="00BC0C89" w:rsidRDefault="00BC0C89" w:rsidP="00BC0C89">
      <w:pPr>
        <w:pStyle w:val="Bezriadkovania"/>
        <w:ind w:left="4253"/>
        <w:jc w:val="both"/>
      </w:pPr>
    </w:p>
    <w:p w:rsidR="00BC0C89" w:rsidRPr="00346A60" w:rsidRDefault="00BC0C89" w:rsidP="00BC0C89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BC0C89">
        <w:rPr>
          <w:b/>
          <w:szCs w:val="24"/>
          <w:lang w:eastAsia="sk-SK"/>
        </w:rPr>
        <w:t>5.</w:t>
      </w:r>
      <w:r w:rsidRPr="00346A60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§ 45 sa slová „1. januára</w:t>
      </w:r>
      <w:r w:rsidRPr="00346A60">
        <w:rPr>
          <w:szCs w:val="24"/>
          <w:lang w:eastAsia="sk-SK"/>
        </w:rPr>
        <w:t>“ nahr</w:t>
      </w:r>
      <w:r>
        <w:rPr>
          <w:szCs w:val="24"/>
          <w:lang w:eastAsia="sk-SK"/>
        </w:rPr>
        <w:t>ádzajú slovami „1. februára</w:t>
      </w:r>
      <w:r w:rsidRPr="00346A60">
        <w:rPr>
          <w:szCs w:val="24"/>
          <w:lang w:eastAsia="sk-SK"/>
        </w:rPr>
        <w:t>“.</w:t>
      </w:r>
    </w:p>
    <w:p w:rsidR="00BC0C89" w:rsidRPr="00346A60" w:rsidRDefault="00BC0C89" w:rsidP="00BC0C89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46A6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346A60">
        <w:rPr>
          <w:szCs w:val="24"/>
          <w:lang w:eastAsia="sk-SK"/>
        </w:rPr>
        <w:t>legisvakancie</w:t>
      </w:r>
      <w:proofErr w:type="spellEnd"/>
      <w:r w:rsidRPr="00346A6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7F51A4" w:rsidRDefault="007F51A4" w:rsidP="00BC0C89">
      <w:pPr>
        <w:spacing w:line="360" w:lineRule="auto"/>
        <w:contextualSpacing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0C2B"/>
    <w:multiLevelType w:val="hybridMultilevel"/>
    <w:tmpl w:val="4AB8DAC8"/>
    <w:lvl w:ilvl="0" w:tplc="1D6C0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05CC3"/>
    <w:rsid w:val="00113ED7"/>
    <w:rsid w:val="0016254C"/>
    <w:rsid w:val="001E3B2B"/>
    <w:rsid w:val="002253F6"/>
    <w:rsid w:val="002770DF"/>
    <w:rsid w:val="002D06BE"/>
    <w:rsid w:val="002D2EF9"/>
    <w:rsid w:val="002D4BB7"/>
    <w:rsid w:val="003238EC"/>
    <w:rsid w:val="00392770"/>
    <w:rsid w:val="0039486C"/>
    <w:rsid w:val="003B038A"/>
    <w:rsid w:val="004400F9"/>
    <w:rsid w:val="004865E3"/>
    <w:rsid w:val="004B714A"/>
    <w:rsid w:val="004C571B"/>
    <w:rsid w:val="004F5C11"/>
    <w:rsid w:val="0051183A"/>
    <w:rsid w:val="00562F37"/>
    <w:rsid w:val="005731B5"/>
    <w:rsid w:val="005A7333"/>
    <w:rsid w:val="00605C11"/>
    <w:rsid w:val="00613029"/>
    <w:rsid w:val="00645C9C"/>
    <w:rsid w:val="00685D1C"/>
    <w:rsid w:val="006A6885"/>
    <w:rsid w:val="006C4A44"/>
    <w:rsid w:val="006D3C76"/>
    <w:rsid w:val="006D61CF"/>
    <w:rsid w:val="00722EF7"/>
    <w:rsid w:val="00796DC0"/>
    <w:rsid w:val="007B2DAA"/>
    <w:rsid w:val="007F51A4"/>
    <w:rsid w:val="00820DF8"/>
    <w:rsid w:val="0082115B"/>
    <w:rsid w:val="00821C63"/>
    <w:rsid w:val="008B1F3F"/>
    <w:rsid w:val="008F0629"/>
    <w:rsid w:val="00997D05"/>
    <w:rsid w:val="009A59E3"/>
    <w:rsid w:val="009E24F1"/>
    <w:rsid w:val="00A10A13"/>
    <w:rsid w:val="00A11DAC"/>
    <w:rsid w:val="00A41337"/>
    <w:rsid w:val="00A866DE"/>
    <w:rsid w:val="00A905FB"/>
    <w:rsid w:val="00AA0815"/>
    <w:rsid w:val="00AE7E3D"/>
    <w:rsid w:val="00B41C40"/>
    <w:rsid w:val="00B74888"/>
    <w:rsid w:val="00B8170C"/>
    <w:rsid w:val="00BC0C89"/>
    <w:rsid w:val="00BC281D"/>
    <w:rsid w:val="00BD083B"/>
    <w:rsid w:val="00BD7C09"/>
    <w:rsid w:val="00C540E4"/>
    <w:rsid w:val="00CC0843"/>
    <w:rsid w:val="00CF3138"/>
    <w:rsid w:val="00D526D6"/>
    <w:rsid w:val="00DB4439"/>
    <w:rsid w:val="00DD49B4"/>
    <w:rsid w:val="00ED5EB2"/>
    <w:rsid w:val="00EF7736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51EA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link w:val="BezriadkovaniaChar"/>
    <w:uiPriority w:val="1"/>
    <w:qFormat/>
    <w:rsid w:val="00DB4439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AA081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dcterms:created xsi:type="dcterms:W3CDTF">2022-11-23T12:21:00Z</dcterms:created>
  <dcterms:modified xsi:type="dcterms:W3CDTF">2022-11-28T13:45:00Z</dcterms:modified>
</cp:coreProperties>
</file>