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8B07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112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01E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1C73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="000F23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</w:t>
      </w:r>
      <w:r w:rsidR="00914E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CB7BF3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FC4C2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1B5C8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403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07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24. novembra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7814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A7107D" w:rsidP="000F23CB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 w:val="0"/>
          <w:bCs w:val="0"/>
          <w:rtl w:val="0"/>
          <w:cs w:val="0"/>
          <w:lang w:val="sk-SK" w:eastAsia="sk-SK" w:bidi="ar-SA"/>
        </w:rPr>
      </w:pPr>
      <w:r w:rsidRPr="00B6279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7107D" w:rsidR="00781422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4E0B" w:rsidR="00914E0B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n</w:t>
      </w:r>
      <w:r w:rsidRPr="00914E0B" w:rsidR="00914E0B">
        <w:rPr>
          <w:rFonts w:ascii="Times New Roman" w:eastAsia="Times New Roman" w:hAnsi="Times New Roman" w:cs="Times New Roman" w:hint="cs"/>
          <w:b w:val="0"/>
          <w:bCs/>
          <w:color w:val="000000"/>
          <w:sz w:val="24"/>
          <w:szCs w:val="24"/>
          <w:rtl w:val="0"/>
          <w:cs w:val="0"/>
          <w:lang w:val="sk-SK" w:eastAsia="sk-SK" w:bidi="ar-SA"/>
        </w:rPr>
        <w:t>ávrh poslanca Národnej rady Slovenskej republiky Milana VETRÁKA na vydanie zákona, ktorým sa mení a dopĺňa zákon č. 530/2011 Z. z. o spotrebnej dani z alkoholických nápojov v znení neskorších predpisov</w:t>
      </w:r>
      <w:r w:rsidRPr="0018469F" w:rsidR="00914E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(tlač 1182)</w:t>
      </w:r>
      <w:r w:rsidR="00914E0B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A7107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B7BF3" w:rsidRPr="00914E0B" w:rsidP="000F23CB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F23CB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0F23CB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4E0B" w:rsidR="00914E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návrhom poslanca Národnej rady Slovenskej republiky Milana VETRÁKA na vydanie zákona, ktorým sa mení a dopĺňa zákon č. 530/2011 Z. z. o spotrebnej dani z alkoholických nápojov v znení neskorších predpisov </w:t>
      </w:r>
      <w:r w:rsidRPr="00914E0B" w:rsidR="00914E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1182)</w:t>
      </w:r>
    </w:p>
    <w:p w:rsidR="00A31DB7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F9720F" w:rsidP="00914E0B">
      <w:pPr>
        <w:keepNext/>
        <w:keepLines/>
        <w:framePr w:wrap="auto"/>
        <w:widowControl/>
        <w:autoSpaceDE/>
        <w:autoSpaceDN/>
        <w:bidi w:val="0"/>
        <w:adjustRightInd/>
        <w:ind w:left="114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poslanca Ná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Milana VETRÁ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KA na vydanie zá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530/2011 Z. z. o spotrebnej dani z alkoholický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ná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pojov v znení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ch predpisov </w:t>
      </w:r>
      <w:r w:rsidRPr="00914E0B" w:rsidR="00914E0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914E0B" w:rsidR="00914E0B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1182)</w:t>
      </w:r>
      <w:r w:rsidRPr="00914E0B"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752CF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B5C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="001B5C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="001B5C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="001B5C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</w:t>
      </w:r>
      <w:r w:rsidR="001B5C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o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m tak, ako </w:t>
      </w:r>
      <w:r w:rsidR="001B5C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je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1B5C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ý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CB7BF3" w:rsidRPr="008B4542" w:rsidP="00781422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01D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8C13D5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33540" w:rsidRPr="00F9720F" w:rsidP="00D33540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</w:t>
      </w:r>
    </w:p>
    <w:p w:rsidR="00D33540" w:rsidP="00D33540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="001B5C8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 403</w:t>
      </w: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8B07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112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D33540" w:rsidP="00D33540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33540" w:rsidRPr="00F9720F" w:rsidP="00D33540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</w:t>
      </w:r>
      <w:r w:rsidR="001B5C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 a doplňujúci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návrh</w:t>
      </w:r>
    </w:p>
    <w:p w:rsidR="00CB7BF3" w:rsidRPr="00914E0B" w:rsidP="00914E0B">
      <w:pPr>
        <w:keepNext/>
        <w:framePr w:wrap="auto"/>
        <w:widowControl/>
        <w:pBdr>
          <w:bottom w:val="single" w:sz="6" w:space="1" w:color="auto"/>
        </w:pBdr>
        <w:autoSpaceDE/>
        <w:autoSpaceDN/>
        <w:bidi w:val="0"/>
        <w:adjustRightInd/>
        <w:ind w:left="36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B7BF3" w:rsidR="00D3354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914E0B" w:rsidR="00914E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914E0B" w:rsidR="00914E0B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ávrhu poslanca Národnej rady Slovenskej republiky Milana VETRÁKA na vydanie zákona, ktorým sa mení a dopĺňa zákon č. 530/2011 Z. z. o spotrebnej dani z alkoholických nápojov v znení neskorších predpisov</w:t>
      </w:r>
      <w:r w:rsidRPr="00914E0B" w:rsidR="00914E0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4E0B" w:rsidR="00914E0B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(tlač 1182)</w:t>
      </w:r>
    </w:p>
    <w:p w:rsidR="001B5C8F" w:rsidP="001B5C8F">
      <w:pPr>
        <w:framePr w:wrap="auto"/>
        <w:widowControl/>
        <w:autoSpaceDE/>
        <w:autoSpaceDN/>
        <w:bidi w:val="0"/>
        <w:adjustRightInd/>
        <w:spacing w:line="259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B5C8F" w:rsidRPr="003434E8" w:rsidP="001B5C8F">
      <w:pPr>
        <w:framePr w:wrap="auto"/>
        <w:widowControl/>
        <w:autoSpaceDE/>
        <w:autoSpaceDN/>
        <w:bidi w:val="0"/>
        <w:adjustRightInd/>
        <w:spacing w:line="259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434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 návrhu zákona sa vkladá nový čl. I, ktorý znie:</w:t>
      </w:r>
    </w:p>
    <w:p w:rsidR="001B5C8F" w:rsidRPr="003434E8" w:rsidP="001B5C8F">
      <w:pPr>
        <w:framePr w:wrap="auto"/>
        <w:widowControl/>
        <w:shd w:val="clear" w:color="auto" w:fill="FFFFFF"/>
        <w:autoSpaceDE/>
        <w:autoSpaceDN/>
        <w:bidi w:val="0"/>
        <w:adjustRightInd/>
        <w:spacing w:before="100" w:beforeAutospacing="1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color w:val="222222"/>
          <w:rtl w:val="0"/>
          <w:cs w:val="0"/>
          <w:lang w:val="sk-SK" w:eastAsia="sk-SK" w:bidi="ar-SA"/>
        </w:rPr>
      </w:pPr>
      <w:r w:rsidRPr="003434E8">
        <w:rPr>
          <w:rFonts w:ascii="Times New Roman" w:eastAsia="Times New Roman" w:hAnsi="Times New Roman" w:cs="Times New Roman" w:hint="cs"/>
          <w:b/>
          <w:bCs/>
          <w:color w:val="222222"/>
          <w:sz w:val="24"/>
          <w:szCs w:val="24"/>
          <w:rtl w:val="0"/>
          <w:cs w:val="0"/>
          <w:lang w:val="sk-SK" w:eastAsia="sk-SK" w:bidi="ar-SA"/>
        </w:rPr>
        <w:t>„Čl. I</w:t>
      </w:r>
    </w:p>
    <w:p w:rsidR="001B5C8F" w:rsidRPr="003434E8" w:rsidP="001B5C8F">
      <w:pPr>
        <w:framePr w:wrap="auto"/>
        <w:widowControl/>
        <w:shd w:val="clear" w:color="auto" w:fill="FFFFFF"/>
        <w:autoSpaceDE/>
        <w:autoSpaceDN/>
        <w:bidi w:val="0"/>
        <w:adjustRightInd/>
        <w:spacing w:before="100" w:beforeAutospacing="1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  <w:r w:rsidRPr="003434E8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Zákon č. 222/2004 Z. z. o dani z pridanej hodnoty v znení zákona č. 350/2004 Z. z., zákona č. 651/2004 Z. z., zákona č. 340/2005 Z. z., zákona č. 523/2005 Z. z., zákona                               č. 656/2006 Z. z., zákona č. 215/2007 Z. z., zákona č. 593/2007 Z. z., zákona č. 378/2008 Z. z., zákona č. 465/2008 Z. z., zákona č. 83/2009 Z. z., zákona č. 258/2009 Z. z., zákona                                 č. 471/2009 Z. z., zákona č. 563/2009 Z. z., zákona č. 83/2010 Z. z., zákona č. 490/2010 Z. z., zákona č. 331/2011 Z. z., zákona č. 406/2011 Z. z., zákona č. 246/2012 Z. z., zákona                              č. 440/2012 Z. z., zákona č. 360/2013 Z. z., zákona č. 218/2014 Z. z., zákona č. 268/2015 Z. z., zákona č. 360/2015 Z. z., zákona č. 297/2016 Z. z., zákona č. 298/2016 Z. z., zákona                              č. 334/2017 Z. z., zákona č. 112/2018 Z. z., zákona č. 323/2018 Z. z., zákona č. 368/2018 Z. z., zákona č. 369/2018 Z. z., zákona č. 317/2019 Z. z., zákona č. 318/2019 Z. z., zákona                           č. 368/2019 Z. z., zákona č. 344/2020 Z. z., zákona č. 186/2021 Z. z., zákona č. 346/2021 Z. z., zákona č. 408/2021 Z. z. a zákona č. 222/2022 Z. z. sa dopĺňa takto:</w:t>
      </w:r>
    </w:p>
    <w:p w:rsidR="001B5C8F" w:rsidRPr="003434E8" w:rsidP="001B5C8F">
      <w:pPr>
        <w:framePr w:wrap="auto"/>
        <w:widowControl/>
        <w:shd w:val="clear" w:color="auto" w:fill="FFFFFF"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</w:p>
    <w:p w:rsidR="001B5C8F" w:rsidRPr="003434E8" w:rsidP="001B5C8F">
      <w:pPr>
        <w:framePr w:wrap="auto"/>
        <w:widowControl/>
        <w:shd w:val="clear" w:color="auto" w:fill="FFFFFF"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  <w:r w:rsidRPr="003434E8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Príloha č. 7a „Zoznam služieb so zníženou sadzbou dane“ sa dopĺňa novou položkou, ktorá znie:</w:t>
      </w:r>
    </w:p>
    <w:p w:rsidR="001B5C8F" w:rsidRPr="004379C4" w:rsidP="001B5C8F">
      <w:pPr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hd w:val="clear" w:color="auto" w:fill="FFFFFF"/>
          <w:rtl w:val="0"/>
          <w:cs w:val="0"/>
          <w:lang w:val="sk-SK" w:eastAsia="sk-SK" w:bidi="ar-SA"/>
        </w:rPr>
      </w:pPr>
      <w:r w:rsidRPr="003434E8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„</w:t>
        <w:tab/>
        <w:tab/>
        <w:tab/>
        <w:tab/>
        <w:tab/>
        <w:tab/>
        <w:tab/>
        <w:tab/>
        <w:tab/>
        <w:tab/>
        <w:tab/>
      </w:r>
      <w:r w:rsidRPr="004379C4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      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5182"/>
      </w:tblGrid>
      <w:tr>
        <w:tblPrEx>
          <w:tblW w:w="0" w:type="auto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F" w:rsidRPr="004379C4" w:rsidP="00146E6E">
            <w:pPr>
              <w:framePr w:wrap="auto"/>
              <w:widowControl/>
              <w:autoSpaceDE/>
              <w:autoSpaceDN/>
              <w:bidi w:val="0"/>
              <w:adjustRightInd/>
              <w:ind w:left="0" w:right="0"/>
              <w:jc w:val="center"/>
              <w:textAlignment w:val="auto"/>
              <w:rPr>
                <w:rFonts w:ascii="Times New Roman" w:eastAsia="Times New Roman" w:hAnsi="Times New Roman" w:cs="Times New Roman" w:hint="cs"/>
                <w:shd w:val="clear" w:color="auto" w:fill="FFFFFF"/>
                <w:rtl w:val="0"/>
                <w:cs w:val="0"/>
                <w:lang w:val="sk-SK" w:eastAsia="sk-SK" w:bidi="ar-SA"/>
              </w:rPr>
            </w:pPr>
            <w:r w:rsidRPr="004379C4">
              <w:rPr>
                <w:rFonts w:ascii="Times New Roman" w:eastAsia="Times New Roman" w:hAnsi="Times New Roman" w:cs="Times New Roman" w:hint="cs"/>
                <w:sz w:val="24"/>
                <w:szCs w:val="24"/>
                <w:shd w:val="clear" w:color="auto" w:fill="FFFFFF"/>
                <w:rtl w:val="0"/>
                <w:cs w:val="0"/>
                <w:lang w:val="sk-SK" w:eastAsia="sk-SK" w:bidi="ar-SA"/>
              </w:rPr>
              <w:t>56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F" w:rsidRPr="004379C4" w:rsidP="00146E6E">
            <w:pPr>
              <w:framePr w:wrap="auto"/>
              <w:widowControl/>
              <w:autoSpaceDE/>
              <w:autoSpaceDN/>
              <w:bidi w:val="0"/>
              <w:adjustRightInd/>
              <w:ind w:left="0" w:right="0"/>
              <w:jc w:val="center"/>
              <w:textAlignment w:val="auto"/>
              <w:rPr>
                <w:rFonts w:ascii="Times New Roman" w:eastAsia="Times New Roman" w:hAnsi="Times New Roman" w:cs="Times New Roman" w:hint="cs"/>
                <w:shd w:val="clear" w:color="auto" w:fill="FFFFFF"/>
                <w:rtl w:val="0"/>
                <w:cs w:val="0"/>
                <w:lang w:val="sk-SK" w:eastAsia="sk-SK" w:bidi="ar-SA"/>
              </w:rPr>
            </w:pPr>
            <w:r w:rsidRPr="004379C4">
              <w:rPr>
                <w:rFonts w:ascii="Times New Roman" w:eastAsia="Times New Roman" w:hAnsi="Times New Roman" w:cs="Times New Roman" w:hint="cs"/>
                <w:sz w:val="24"/>
                <w:szCs w:val="24"/>
                <w:shd w:val="clear" w:color="auto" w:fill="FFFFFF"/>
                <w:rtl w:val="0"/>
                <w:cs w:val="0"/>
                <w:lang w:val="sk-SK" w:eastAsia="sk-SK" w:bidi="ar-SA"/>
              </w:rPr>
              <w:t>Služby spojené s podávaním jedál a nápojov</w:t>
            </w:r>
            <w:r w:rsidRPr="004379C4">
              <w:rPr>
                <w:rFonts w:ascii="Times New Roman" w:eastAsia="Times New Roman" w:hAnsi="Times New Roman" w:cs="Times New Roman" w:hint="cs"/>
                <w:sz w:val="24"/>
                <w:szCs w:val="24"/>
                <w:rtl w:val="0"/>
                <w:cs w:val="0"/>
                <w:lang w:val="sk-SK" w:eastAsia="sk-SK" w:bidi="ar-SA"/>
              </w:rPr>
              <w:t xml:space="preserve"> “.</w:t>
            </w:r>
          </w:p>
        </w:tc>
      </w:tr>
    </w:tbl>
    <w:p w:rsidR="001B5C8F" w:rsidRPr="003434E8" w:rsidP="001B5C8F">
      <w:pPr>
        <w:framePr w:wrap="auto"/>
        <w:widowControl/>
        <w:autoSpaceDE/>
        <w:autoSpaceDN/>
        <w:bidi w:val="0"/>
        <w:adjustRightInd/>
        <w:spacing w:line="259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B5C8F" w:rsidRPr="003434E8" w:rsidP="001B5C8F">
      <w:pPr>
        <w:framePr w:wrap="auto"/>
        <w:widowControl/>
        <w:autoSpaceDE/>
        <w:autoSpaceDN/>
        <w:bidi w:val="0"/>
        <w:adjustRightInd/>
        <w:spacing w:line="259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434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Novovložený čl. I nadobúda účinnosť 1. januára 2023, čo sa premietne do článku upravujúceho účinnosť.</w:t>
      </w:r>
    </w:p>
    <w:p w:rsidR="001B5C8F" w:rsidRPr="003434E8" w:rsidP="001B5C8F">
      <w:pPr>
        <w:framePr w:wrap="auto"/>
        <w:widowControl/>
        <w:autoSpaceDE/>
        <w:autoSpaceDN/>
        <w:bidi w:val="0"/>
        <w:adjustRightInd/>
        <w:spacing w:line="259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434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Doterajšie články sa primerane preznačia. Vloženie nového článku sa premietne do názvu zákona. </w:t>
      </w:r>
    </w:p>
    <w:p w:rsidR="001B5C8F" w:rsidRPr="003434E8" w:rsidP="001B5C8F">
      <w:pPr>
        <w:framePr w:wrap="auto"/>
        <w:widowControl/>
        <w:autoSpaceDE/>
        <w:autoSpaceDN/>
        <w:bidi w:val="0"/>
        <w:adjustRightInd/>
        <w:spacing w:line="259" w:lineRule="auto"/>
        <w:ind w:left="1416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i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1B5C8F" w:rsidRPr="001B5C8F" w:rsidP="001B5C8F">
      <w:pPr>
        <w:framePr w:wrap="auto"/>
        <w:widowControl/>
        <w:autoSpaceDE/>
        <w:autoSpaceDN/>
        <w:bidi w:val="0"/>
        <w:adjustRightInd/>
        <w:ind w:left="2124" w:right="0"/>
        <w:jc w:val="both"/>
        <w:textAlignment w:val="auto"/>
        <w:rPr>
          <w:rFonts w:ascii="Times New Roman" w:eastAsia="Times New Roman" w:hAnsi="Times New Roman" w:cs="Times New Roman" w:hint="cs"/>
          <w:bCs/>
          <w:iCs/>
          <w:rtl w:val="0"/>
          <w:cs w:val="0"/>
          <w:lang w:val="sk-SK" w:eastAsia="sk-SK" w:bidi="ar-SA"/>
        </w:rPr>
      </w:pPr>
      <w:r w:rsidRPr="001B5C8F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Predložený návrh zákona od 1.1.2023 trvalo znižuje sadzbu dane z pridanej hodnoty na úroveň 10% pre tieto služby. Gastronomické odvetvie bolo jedným z odvetví najviac zasiahnutých pandémiou COVID19. Reštaurácie, jedálne a pohostinstvá museli byť dlhodobo zatvorené a i počas lepších období mohli fungovať len v obmedzenom režime. V prvej vlne pandémie, počas marca a apríla 2020, ukazoval vývoj tržieb stravovacích zariadení zaznamenaných v eKase prepad o vyše 80%. Obmedzenia pohybu obyvateľstva z októbra spôsobili ďalší prepad tržieb cez eKasu až o 70%. Tretia vlna pandémie a  obmedzenia zavedené v druhej polovici roka 2021, gastro prevádzky de facto zatvorili. Podnikatelia v gastronómií stále čelia kríze i hrozbe núteného ukončenia podnikania. Zároveň sa prevádzkam zvýšili náklady spojené s dodržiavaním hygienických nariadení. V podstate bezprostredne po zlepšení epidemiologickej situácie, čelia prevádzky novej sérii problémov, ktorých spoločným menovateľom je inflácia.</w:t>
      </w:r>
    </w:p>
    <w:p w:rsidR="001B5C8F" w:rsidRPr="001B5C8F" w:rsidP="001B5C8F">
      <w:pPr>
        <w:framePr w:wrap="auto"/>
        <w:widowControl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Cs/>
          <w:iCs/>
          <w:rtl w:val="0"/>
          <w:cs w:val="0"/>
          <w:lang w:val="sk-SK" w:eastAsia="sk-SK" w:bidi="ar-SA"/>
        </w:rPr>
      </w:pPr>
    </w:p>
    <w:p w:rsidR="001B5C8F" w:rsidRPr="001B5C8F" w:rsidP="001B5C8F">
      <w:pPr>
        <w:framePr w:wrap="auto"/>
        <w:widowControl/>
        <w:autoSpaceDE/>
        <w:autoSpaceDN/>
        <w:bidi w:val="0"/>
        <w:adjustRightInd/>
        <w:ind w:left="2124" w:right="0"/>
        <w:jc w:val="both"/>
        <w:textAlignment w:val="auto"/>
        <w:rPr>
          <w:rFonts w:ascii="Times New Roman" w:eastAsia="Times New Roman" w:hAnsi="Times New Roman" w:cs="Times New Roman" w:hint="cs"/>
          <w:bCs/>
          <w:iCs/>
          <w:rtl w:val="0"/>
          <w:cs w:val="0"/>
          <w:lang w:val="sk-SK" w:eastAsia="sk-SK" w:bidi="ar-SA"/>
        </w:rPr>
      </w:pPr>
      <w:r w:rsidRPr="001B5C8F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I toto odvetvie však štát nevyhnutne potrebuje. Podnikatelia pôsobiaci v ňom umožňujú stravovanie občanov, vrátane veľmi dôležitého, dostupného, stravovania pre dôchodcov a sociálne slabšie vrstvy obyvateľstva, zabezpečujú stravovanie zamestnancov ostatných odvetví, ďalší sa zasa výrazným spôsobom podieľajú na servise, ktorý je poskytovaný turistom. Tento sektor tvorí významnú časť celkovej zamestnanosti obyvateľstva. Je v záujme štátu mať funkčné a prevádzkyschopné gastronomické podniky. Väčšina gastro prevádzok využila podporu štátu na udržanie zamestnanosti, ktorá však podľa názoru iniciatív v gastronómií nebola nedostatočná, a museli i napriek tomu pristúpiť k prepúšťaniu zamestnancov. Niektorí podnikatelia využili tiež odklad odvodov, preddavkov na daň a splátok úverov, čo však bolo len dočasné riešenie, ktoré oddialilo nevyhnutné ekonomické záťaže. Zníženie sadzby DPH predstavuje efektívny a adresný krok na pomoc týmto ťažko skúšaným podnikateľom. Zníženie cien dokáže prilákať väčší počet zákazníkov. Slovensko je jednou z mála krajín Európskej únie, ktoré stále uplatňujú základnú sadzbu DPH na stravovacie služby. So sadzbou 20% má Slovensko štvrtú najvyššiu DPH na gastro služby v EÚ. Zníženú sadzbu DPH na reštauračné služby (5% – 13%) aplikuje 19 štátov Európskej únie. Toto opatrenie je jedným z  krokov odporúčaných Európskou komisiou pre členské štáty EÚ na elimináciu dopadov. Odhadovaný vplyv na rozpočet verejnej správy pre rok 2023 je 106,5 mil. eur.</w:t>
      </w:r>
    </w:p>
    <w:p w:rsidR="001B5C8F" w:rsidRPr="001B5C8F" w:rsidP="001B5C8F">
      <w:pPr>
        <w:framePr w:wrap="auto"/>
        <w:widowControl/>
        <w:autoSpaceDE/>
        <w:autoSpaceDN/>
        <w:bidi w:val="0"/>
        <w:adjustRightInd/>
        <w:spacing w:line="259" w:lineRule="auto"/>
        <w:ind w:left="4242" w:right="0" w:firstLine="6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B5C8F" w:rsidP="001B5C8F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1B5C8F" w:rsidRPr="005842CA" w:rsidP="001B5C8F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Arial" w:eastAsia="Times New Roman" w:hAnsi="Arial" w:cs="Arial" w:hint="cs"/>
          <w:sz w:val="20"/>
          <w:szCs w:val="20"/>
          <w:rtl w:val="0"/>
          <w:cs w:val="0"/>
          <w:lang w:val="sk-SK" w:eastAsia="sk-SK" w:bidi="ar-SA"/>
        </w:rPr>
      </w:pPr>
    </w:p>
    <w:p w:rsidR="001B5C8F" w:rsidRPr="00CB7BF3" w:rsidP="00CB7BF3">
      <w:pPr>
        <w:framePr w:wrap="auto"/>
        <w:widowControl/>
        <w:tabs>
          <w:tab w:val="left" w:pos="3915"/>
        </w:tabs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4379C4">
      <w:pgSz w:w="11906" w:h="16838"/>
      <w:pgMar w:top="851" w:right="1274" w:bottom="993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1"/>
  </w:num>
  <w:num w:numId="20">
    <w:abstractNumId w:val="21"/>
  </w:num>
  <w:num w:numId="21">
    <w:abstractNumId w:val="22"/>
  </w:num>
  <w:num w:numId="22">
    <w:abstractNumId w:val="34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3"/>
  </w:num>
  <w:num w:numId="30">
    <w:abstractNumId w:val="14"/>
  </w:num>
  <w:num w:numId="31">
    <w:abstractNumId w:val="3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6"/>
  </w:num>
  <w:num w:numId="35">
    <w:abstractNumId w:val="1"/>
  </w:num>
  <w:num w:numId="36">
    <w:abstractNumId w:val="19"/>
  </w:num>
  <w:num w:numId="37">
    <w:abstractNumId w:val="2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189</TotalTime>
  <Pages>3</Pages>
  <Words>888</Words>
  <Characters>5068</Characters>
  <Application>Microsoft Office Word</Application>
  <DocSecurity>0</DocSecurity>
  <Lines>0</Lines>
  <Paragraphs>0</Paragraphs>
  <ScaleCrop>false</ScaleCrop>
  <Company>Kancelaria NRSR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127</cp:revision>
  <cp:lastPrinted>2022-11-24T16:48:00Z</cp:lastPrinted>
  <dcterms:created xsi:type="dcterms:W3CDTF">2017-11-07T09:36:00Z</dcterms:created>
  <dcterms:modified xsi:type="dcterms:W3CDTF">2022-11-24T16:48:00Z</dcterms:modified>
</cp:coreProperties>
</file>