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xml" ContentType="application/vnd.openxmlformats-officedocument.drawingml.chartshapes+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2.xml" ContentType="application/vnd.openxmlformats-officedocument.drawingml.chartshapes+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3.xml" ContentType="application/vnd.openxmlformats-officedocument.drawingml.chartshapes+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9720558"/>
        <w:placeholder>
          <w:docPart w:val="4CFA9320A03148E98EF733F7A917AECF"/>
        </w:placeholder>
      </w:sdtPr>
      <w:sdtEndPr/>
      <w:sdtContent>
        <w:p w14:paraId="12D0BE3D" w14:textId="3C082273" w:rsidR="00196D31" w:rsidRDefault="006C125B" w:rsidP="00FF5DA3">
          <w:pPr>
            <w:pStyle w:val="Nzov"/>
            <w:spacing w:before="4800"/>
          </w:pPr>
          <w:r>
            <w:t xml:space="preserve">STANOVISKO </w:t>
          </w:r>
          <w:r>
            <w:br/>
            <w:t xml:space="preserve">najvyššieho kontrolného úradu sr k návrhu štátneho rozpočtu sr na rok </w:t>
          </w:r>
          <w:r w:rsidRPr="009A64E6">
            <w:t>202</w:t>
          </w:r>
          <w:r w:rsidR="00F81151">
            <w:t>3</w:t>
          </w:r>
        </w:p>
      </w:sdtContent>
    </w:sdt>
    <w:p w14:paraId="6D1ED517" w14:textId="77777777" w:rsidR="00F539EB" w:rsidRDefault="00F539EB" w:rsidP="00FF5DA3">
      <w:pPr>
        <w:pStyle w:val="Podtitul"/>
        <w:spacing w:after="1200"/>
      </w:pPr>
    </w:p>
    <w:p w14:paraId="427B3189" w14:textId="09F90EA2" w:rsidR="00F071B7" w:rsidRDefault="00F071B7" w:rsidP="00F071B7">
      <w:pPr>
        <w:jc w:val="center"/>
        <w:rPr>
          <w:b/>
          <w:color w:val="314364" w:themeColor="text2"/>
          <w:sz w:val="32"/>
          <w:szCs w:val="32"/>
        </w:rPr>
      </w:pPr>
      <w:r>
        <w:rPr>
          <w:b/>
          <w:color w:val="314364" w:themeColor="text2"/>
          <w:sz w:val="32"/>
          <w:szCs w:val="32"/>
        </w:rPr>
        <w:t>November</w:t>
      </w:r>
      <w:r w:rsidRPr="00FF5DA3">
        <w:rPr>
          <w:b/>
          <w:color w:val="314364" w:themeColor="text2"/>
          <w:sz w:val="32"/>
          <w:szCs w:val="32"/>
        </w:rPr>
        <w:t xml:space="preserve"> </w:t>
      </w:r>
      <w:r>
        <w:rPr>
          <w:b/>
          <w:color w:val="314364" w:themeColor="text2"/>
          <w:sz w:val="32"/>
          <w:szCs w:val="32"/>
        </w:rPr>
        <w:t>202</w:t>
      </w:r>
      <w:r w:rsidR="00F81151">
        <w:rPr>
          <w:b/>
          <w:color w:val="314364" w:themeColor="text2"/>
          <w:sz w:val="32"/>
          <w:szCs w:val="32"/>
        </w:rPr>
        <w:t>2</w:t>
      </w:r>
    </w:p>
    <w:p w14:paraId="0B2834C2" w14:textId="77777777" w:rsidR="00F071B7" w:rsidRDefault="00F071B7" w:rsidP="00F071B7">
      <w:pPr>
        <w:jc w:val="center"/>
        <w:rPr>
          <w:b/>
          <w:color w:val="314364" w:themeColor="text2"/>
          <w:sz w:val="32"/>
          <w:szCs w:val="32"/>
        </w:rPr>
      </w:pPr>
    </w:p>
    <w:p w14:paraId="207C9DBE" w14:textId="77777777" w:rsidR="00F071B7" w:rsidRDefault="00F071B7" w:rsidP="00F071B7">
      <w:pPr>
        <w:jc w:val="center"/>
        <w:rPr>
          <w:b/>
          <w:color w:val="314364" w:themeColor="text2"/>
          <w:sz w:val="32"/>
          <w:szCs w:val="32"/>
        </w:rPr>
      </w:pPr>
    </w:p>
    <w:p w14:paraId="67BC3C64" w14:textId="77777777" w:rsidR="00F071B7" w:rsidRDefault="00F071B7" w:rsidP="00F071B7">
      <w:pPr>
        <w:jc w:val="center"/>
        <w:rPr>
          <w:b/>
          <w:color w:val="314364" w:themeColor="text2"/>
          <w:sz w:val="32"/>
          <w:szCs w:val="32"/>
        </w:rPr>
      </w:pPr>
    </w:p>
    <w:p w14:paraId="3B65B546" w14:textId="77777777" w:rsidR="00F071B7" w:rsidRDefault="00F071B7" w:rsidP="00F071B7">
      <w:pPr>
        <w:jc w:val="center"/>
        <w:rPr>
          <w:b/>
          <w:color w:val="314364" w:themeColor="text2"/>
          <w:sz w:val="32"/>
          <w:szCs w:val="32"/>
        </w:rPr>
      </w:pPr>
    </w:p>
    <w:p w14:paraId="2E9319C2" w14:textId="6E5666E2" w:rsidR="00F81151" w:rsidRDefault="00F81151" w:rsidP="00F81151">
      <w:pPr>
        <w:tabs>
          <w:tab w:val="left" w:pos="3615"/>
        </w:tabs>
        <w:rPr>
          <w:sz w:val="32"/>
          <w:szCs w:val="32"/>
        </w:rPr>
      </w:pPr>
      <w:r>
        <w:rPr>
          <w:sz w:val="32"/>
          <w:szCs w:val="32"/>
        </w:rPr>
        <w:tab/>
      </w:r>
    </w:p>
    <w:p w14:paraId="0AE2ECA2" w14:textId="200DE388" w:rsidR="00F071B7" w:rsidRPr="00F81151" w:rsidRDefault="00F81151" w:rsidP="00F81151">
      <w:pPr>
        <w:tabs>
          <w:tab w:val="left" w:pos="3615"/>
        </w:tabs>
        <w:rPr>
          <w:sz w:val="32"/>
          <w:szCs w:val="32"/>
        </w:rPr>
        <w:sectPr w:rsidR="00F071B7" w:rsidRPr="00F81151" w:rsidSect="001951F6">
          <w:headerReference w:type="default" r:id="rId8"/>
          <w:footerReference w:type="default" r:id="rId9"/>
          <w:pgSz w:w="11906" w:h="16838"/>
          <w:pgMar w:top="1985" w:right="1418" w:bottom="1134" w:left="1418" w:header="0" w:footer="283" w:gutter="0"/>
          <w:cols w:space="708"/>
          <w:docGrid w:linePitch="360"/>
        </w:sectPr>
      </w:pPr>
      <w:r>
        <w:rPr>
          <w:sz w:val="32"/>
          <w:szCs w:val="32"/>
        </w:rPr>
        <w:tab/>
      </w:r>
    </w:p>
    <w:sdt>
      <w:sdtPr>
        <w:rPr>
          <w:rFonts w:eastAsiaTheme="minorHAnsi" w:cstheme="minorBidi"/>
          <w:color w:val="auto"/>
          <w:sz w:val="20"/>
          <w:szCs w:val="22"/>
          <w:lang w:eastAsia="en-US"/>
        </w:rPr>
        <w:id w:val="1304823830"/>
        <w:docPartObj>
          <w:docPartGallery w:val="Table of Contents"/>
          <w:docPartUnique/>
        </w:docPartObj>
      </w:sdtPr>
      <w:sdtEndPr>
        <w:rPr>
          <w:b/>
          <w:bCs/>
        </w:rPr>
      </w:sdtEndPr>
      <w:sdtContent>
        <w:p w14:paraId="5C4FE225" w14:textId="77777777" w:rsidR="00F071B7" w:rsidRDefault="00F071B7" w:rsidP="00F071B7">
          <w:pPr>
            <w:pStyle w:val="Hlavikaobsahu"/>
          </w:pPr>
          <w:r>
            <w:t>Obsah</w:t>
          </w:r>
        </w:p>
        <w:p w14:paraId="0924786F" w14:textId="5F2CCA3D" w:rsidR="0027377E" w:rsidRDefault="006C125B">
          <w:pPr>
            <w:pStyle w:val="Obsah1"/>
            <w:rPr>
              <w:rFonts w:eastAsiaTheme="minorEastAsia" w:cstheme="minorBidi"/>
              <w:b w:val="0"/>
              <w:bCs w:val="0"/>
              <w:caps w:val="0"/>
              <w:color w:val="auto"/>
              <w:sz w:val="22"/>
              <w:szCs w:val="22"/>
              <w:lang w:eastAsia="sk-SK"/>
            </w:rPr>
          </w:pPr>
          <w:r>
            <w:fldChar w:fldCharType="begin"/>
          </w:r>
          <w:r>
            <w:instrText xml:space="preserve"> TOC \o "1-3" \h \z \u </w:instrText>
          </w:r>
          <w:r>
            <w:fldChar w:fldCharType="separate"/>
          </w:r>
          <w:hyperlink w:anchor="_Toc119482903" w:history="1">
            <w:r w:rsidR="0027377E" w:rsidRPr="006102F5">
              <w:rPr>
                <w:rStyle w:val="Hypertextovprepojenie"/>
              </w:rPr>
              <w:t>Zhrnutie</w:t>
            </w:r>
            <w:r w:rsidR="0027377E">
              <w:rPr>
                <w:webHidden/>
              </w:rPr>
              <w:tab/>
            </w:r>
            <w:r w:rsidR="0027377E">
              <w:rPr>
                <w:webHidden/>
              </w:rPr>
              <w:fldChar w:fldCharType="begin"/>
            </w:r>
            <w:r w:rsidR="0027377E">
              <w:rPr>
                <w:webHidden/>
              </w:rPr>
              <w:instrText xml:space="preserve"> PAGEREF _Toc119482903 \h </w:instrText>
            </w:r>
            <w:r w:rsidR="0027377E">
              <w:rPr>
                <w:webHidden/>
              </w:rPr>
            </w:r>
            <w:r w:rsidR="0027377E">
              <w:rPr>
                <w:webHidden/>
              </w:rPr>
              <w:fldChar w:fldCharType="separate"/>
            </w:r>
            <w:r w:rsidR="002529B9">
              <w:rPr>
                <w:webHidden/>
              </w:rPr>
              <w:t>4</w:t>
            </w:r>
            <w:r w:rsidR="0027377E">
              <w:rPr>
                <w:webHidden/>
              </w:rPr>
              <w:fldChar w:fldCharType="end"/>
            </w:r>
          </w:hyperlink>
        </w:p>
        <w:p w14:paraId="572CFA9D" w14:textId="0C27C26B" w:rsidR="0027377E" w:rsidRDefault="009D6953">
          <w:pPr>
            <w:pStyle w:val="Obsah1"/>
            <w:rPr>
              <w:rFonts w:eastAsiaTheme="minorEastAsia" w:cstheme="minorBidi"/>
              <w:b w:val="0"/>
              <w:bCs w:val="0"/>
              <w:caps w:val="0"/>
              <w:color w:val="auto"/>
              <w:sz w:val="22"/>
              <w:szCs w:val="22"/>
              <w:lang w:eastAsia="sk-SK"/>
            </w:rPr>
          </w:pPr>
          <w:hyperlink w:anchor="_Toc119482904" w:history="1">
            <w:r w:rsidR="0027377E" w:rsidRPr="006102F5">
              <w:rPr>
                <w:rStyle w:val="Hypertextovprepojenie"/>
              </w:rPr>
              <w:t>1</w:t>
            </w:r>
            <w:r w:rsidR="0027377E">
              <w:rPr>
                <w:rFonts w:eastAsiaTheme="minorEastAsia" w:cstheme="minorBidi"/>
                <w:b w:val="0"/>
                <w:bCs w:val="0"/>
                <w:caps w:val="0"/>
                <w:color w:val="auto"/>
                <w:sz w:val="22"/>
                <w:szCs w:val="22"/>
                <w:lang w:eastAsia="sk-SK"/>
              </w:rPr>
              <w:tab/>
            </w:r>
            <w:r w:rsidR="0027377E" w:rsidRPr="006102F5">
              <w:rPr>
                <w:rStyle w:val="Hypertextovprepojenie"/>
              </w:rPr>
              <w:t>Makroekonomické predpoklady rozpočtu</w:t>
            </w:r>
            <w:r w:rsidR="0027377E">
              <w:rPr>
                <w:webHidden/>
              </w:rPr>
              <w:tab/>
            </w:r>
            <w:r w:rsidR="0027377E">
              <w:rPr>
                <w:webHidden/>
              </w:rPr>
              <w:fldChar w:fldCharType="begin"/>
            </w:r>
            <w:r w:rsidR="0027377E">
              <w:rPr>
                <w:webHidden/>
              </w:rPr>
              <w:instrText xml:space="preserve"> PAGEREF _Toc119482904 \h </w:instrText>
            </w:r>
            <w:r w:rsidR="0027377E">
              <w:rPr>
                <w:webHidden/>
              </w:rPr>
            </w:r>
            <w:r w:rsidR="0027377E">
              <w:rPr>
                <w:webHidden/>
              </w:rPr>
              <w:fldChar w:fldCharType="separate"/>
            </w:r>
            <w:r w:rsidR="002529B9">
              <w:rPr>
                <w:webHidden/>
              </w:rPr>
              <w:t>7</w:t>
            </w:r>
            <w:r w:rsidR="0027377E">
              <w:rPr>
                <w:webHidden/>
              </w:rPr>
              <w:fldChar w:fldCharType="end"/>
            </w:r>
          </w:hyperlink>
        </w:p>
        <w:p w14:paraId="73972D07" w14:textId="5F421F34" w:rsidR="0027377E" w:rsidRDefault="009D6953">
          <w:pPr>
            <w:pStyle w:val="Obsah1"/>
            <w:rPr>
              <w:rFonts w:eastAsiaTheme="minorEastAsia" w:cstheme="minorBidi"/>
              <w:b w:val="0"/>
              <w:bCs w:val="0"/>
              <w:caps w:val="0"/>
              <w:color w:val="auto"/>
              <w:sz w:val="22"/>
              <w:szCs w:val="22"/>
              <w:lang w:eastAsia="sk-SK"/>
            </w:rPr>
          </w:pPr>
          <w:hyperlink w:anchor="_Toc119482905" w:history="1">
            <w:r w:rsidR="0027377E" w:rsidRPr="006102F5">
              <w:rPr>
                <w:rStyle w:val="Hypertextovprepojenie"/>
              </w:rPr>
              <w:t>2</w:t>
            </w:r>
            <w:r w:rsidR="0027377E">
              <w:rPr>
                <w:rFonts w:eastAsiaTheme="minorEastAsia" w:cstheme="minorBidi"/>
                <w:b w:val="0"/>
                <w:bCs w:val="0"/>
                <w:caps w:val="0"/>
                <w:color w:val="auto"/>
                <w:sz w:val="22"/>
                <w:szCs w:val="22"/>
                <w:lang w:eastAsia="sk-SK"/>
              </w:rPr>
              <w:tab/>
            </w:r>
            <w:r w:rsidR="0027377E" w:rsidRPr="006102F5">
              <w:rPr>
                <w:rStyle w:val="Hypertextovprepojenie"/>
              </w:rPr>
              <w:t>Východiskový rámec návrhu RVS</w:t>
            </w:r>
            <w:r w:rsidR="0027377E">
              <w:rPr>
                <w:webHidden/>
              </w:rPr>
              <w:tab/>
            </w:r>
            <w:r w:rsidR="0027377E">
              <w:rPr>
                <w:webHidden/>
              </w:rPr>
              <w:fldChar w:fldCharType="begin"/>
            </w:r>
            <w:r w:rsidR="0027377E">
              <w:rPr>
                <w:webHidden/>
              </w:rPr>
              <w:instrText xml:space="preserve"> PAGEREF _Toc119482905 \h </w:instrText>
            </w:r>
            <w:r w:rsidR="0027377E">
              <w:rPr>
                <w:webHidden/>
              </w:rPr>
            </w:r>
            <w:r w:rsidR="0027377E">
              <w:rPr>
                <w:webHidden/>
              </w:rPr>
              <w:fldChar w:fldCharType="separate"/>
            </w:r>
            <w:r w:rsidR="002529B9">
              <w:rPr>
                <w:webHidden/>
              </w:rPr>
              <w:t>9</w:t>
            </w:r>
            <w:r w:rsidR="0027377E">
              <w:rPr>
                <w:webHidden/>
              </w:rPr>
              <w:fldChar w:fldCharType="end"/>
            </w:r>
          </w:hyperlink>
        </w:p>
        <w:p w14:paraId="09A75723" w14:textId="43348FE9" w:rsidR="0027377E" w:rsidRDefault="009D6953">
          <w:pPr>
            <w:pStyle w:val="Obsah2"/>
            <w:tabs>
              <w:tab w:val="left" w:pos="800"/>
              <w:tab w:val="right" w:leader="dot" w:pos="9060"/>
            </w:tabs>
            <w:rPr>
              <w:rFonts w:eastAsiaTheme="minorEastAsia" w:cstheme="minorBidi"/>
              <w:smallCaps w:val="0"/>
              <w:noProof/>
              <w:sz w:val="22"/>
              <w:szCs w:val="22"/>
              <w:lang w:eastAsia="sk-SK"/>
            </w:rPr>
          </w:pPr>
          <w:hyperlink w:anchor="_Toc119482906" w:history="1">
            <w:r w:rsidR="0027377E" w:rsidRPr="006102F5">
              <w:rPr>
                <w:rStyle w:val="Hypertextovprepojenie"/>
                <w:noProof/>
              </w:rPr>
              <w:t>2.1</w:t>
            </w:r>
            <w:r w:rsidR="0027377E">
              <w:rPr>
                <w:rFonts w:eastAsiaTheme="minorEastAsia" w:cstheme="minorBidi"/>
                <w:smallCaps w:val="0"/>
                <w:noProof/>
                <w:sz w:val="22"/>
                <w:szCs w:val="22"/>
                <w:lang w:eastAsia="sk-SK"/>
              </w:rPr>
              <w:tab/>
            </w:r>
            <w:r w:rsidR="0027377E" w:rsidRPr="006102F5">
              <w:rPr>
                <w:rStyle w:val="Hypertextovprepojenie"/>
                <w:noProof/>
              </w:rPr>
              <w:t>Fiškálny rámec návrhu RVS</w:t>
            </w:r>
            <w:r w:rsidR="0027377E">
              <w:rPr>
                <w:noProof/>
                <w:webHidden/>
              </w:rPr>
              <w:tab/>
            </w:r>
            <w:r w:rsidR="0027377E">
              <w:rPr>
                <w:noProof/>
                <w:webHidden/>
              </w:rPr>
              <w:fldChar w:fldCharType="begin"/>
            </w:r>
            <w:r w:rsidR="0027377E">
              <w:rPr>
                <w:noProof/>
                <w:webHidden/>
              </w:rPr>
              <w:instrText xml:space="preserve"> PAGEREF _Toc119482906 \h </w:instrText>
            </w:r>
            <w:r w:rsidR="0027377E">
              <w:rPr>
                <w:noProof/>
                <w:webHidden/>
              </w:rPr>
            </w:r>
            <w:r w:rsidR="0027377E">
              <w:rPr>
                <w:noProof/>
                <w:webHidden/>
              </w:rPr>
              <w:fldChar w:fldCharType="separate"/>
            </w:r>
            <w:r w:rsidR="002529B9">
              <w:rPr>
                <w:noProof/>
                <w:webHidden/>
              </w:rPr>
              <w:t>10</w:t>
            </w:r>
            <w:r w:rsidR="0027377E">
              <w:rPr>
                <w:noProof/>
                <w:webHidden/>
              </w:rPr>
              <w:fldChar w:fldCharType="end"/>
            </w:r>
          </w:hyperlink>
        </w:p>
        <w:p w14:paraId="73C69B46" w14:textId="54B6A9BC" w:rsidR="0027377E" w:rsidRDefault="009D6953">
          <w:pPr>
            <w:pStyle w:val="Obsah2"/>
            <w:tabs>
              <w:tab w:val="left" w:pos="800"/>
              <w:tab w:val="right" w:leader="dot" w:pos="9060"/>
            </w:tabs>
            <w:rPr>
              <w:rFonts w:eastAsiaTheme="minorEastAsia" w:cstheme="minorBidi"/>
              <w:smallCaps w:val="0"/>
              <w:noProof/>
              <w:sz w:val="22"/>
              <w:szCs w:val="22"/>
              <w:lang w:eastAsia="sk-SK"/>
            </w:rPr>
          </w:pPr>
          <w:hyperlink w:anchor="_Toc119482907" w:history="1">
            <w:r w:rsidR="0027377E" w:rsidRPr="006102F5">
              <w:rPr>
                <w:rStyle w:val="Hypertextovprepojenie"/>
                <w:noProof/>
              </w:rPr>
              <w:t>2.2</w:t>
            </w:r>
            <w:r w:rsidR="0027377E">
              <w:rPr>
                <w:rFonts w:eastAsiaTheme="minorEastAsia" w:cstheme="minorBidi"/>
                <w:smallCaps w:val="0"/>
                <w:noProof/>
                <w:sz w:val="22"/>
                <w:szCs w:val="22"/>
                <w:lang w:eastAsia="sk-SK"/>
              </w:rPr>
              <w:tab/>
            </w:r>
            <w:r w:rsidR="0027377E" w:rsidRPr="006102F5">
              <w:rPr>
                <w:rStyle w:val="Hypertextovprepojenie"/>
                <w:noProof/>
              </w:rPr>
              <w:t>Prognóza hrubého dlhu VS</w:t>
            </w:r>
            <w:r w:rsidR="0027377E">
              <w:rPr>
                <w:noProof/>
                <w:webHidden/>
              </w:rPr>
              <w:tab/>
            </w:r>
            <w:r w:rsidR="0027377E">
              <w:rPr>
                <w:noProof/>
                <w:webHidden/>
              </w:rPr>
              <w:fldChar w:fldCharType="begin"/>
            </w:r>
            <w:r w:rsidR="0027377E">
              <w:rPr>
                <w:noProof/>
                <w:webHidden/>
              </w:rPr>
              <w:instrText xml:space="preserve"> PAGEREF _Toc119482907 \h </w:instrText>
            </w:r>
            <w:r w:rsidR="0027377E">
              <w:rPr>
                <w:noProof/>
                <w:webHidden/>
              </w:rPr>
            </w:r>
            <w:r w:rsidR="0027377E">
              <w:rPr>
                <w:noProof/>
                <w:webHidden/>
              </w:rPr>
              <w:fldChar w:fldCharType="separate"/>
            </w:r>
            <w:r w:rsidR="002529B9">
              <w:rPr>
                <w:noProof/>
                <w:webHidden/>
              </w:rPr>
              <w:t>12</w:t>
            </w:r>
            <w:r w:rsidR="0027377E">
              <w:rPr>
                <w:noProof/>
                <w:webHidden/>
              </w:rPr>
              <w:fldChar w:fldCharType="end"/>
            </w:r>
          </w:hyperlink>
        </w:p>
        <w:p w14:paraId="253FCA29" w14:textId="08C74474" w:rsidR="0027377E" w:rsidRDefault="009D6953">
          <w:pPr>
            <w:pStyle w:val="Obsah1"/>
            <w:rPr>
              <w:rFonts w:eastAsiaTheme="minorEastAsia" w:cstheme="minorBidi"/>
              <w:b w:val="0"/>
              <w:bCs w:val="0"/>
              <w:caps w:val="0"/>
              <w:color w:val="auto"/>
              <w:sz w:val="22"/>
              <w:szCs w:val="22"/>
              <w:lang w:eastAsia="sk-SK"/>
            </w:rPr>
          </w:pPr>
          <w:hyperlink w:anchor="_Toc119482908" w:history="1">
            <w:r w:rsidR="0027377E" w:rsidRPr="006102F5">
              <w:rPr>
                <w:rStyle w:val="Hypertextovprepojenie"/>
              </w:rPr>
              <w:t>3</w:t>
            </w:r>
            <w:r w:rsidR="0027377E">
              <w:rPr>
                <w:rFonts w:eastAsiaTheme="minorEastAsia" w:cstheme="minorBidi"/>
                <w:b w:val="0"/>
                <w:bCs w:val="0"/>
                <w:caps w:val="0"/>
                <w:color w:val="auto"/>
                <w:sz w:val="22"/>
                <w:szCs w:val="22"/>
                <w:lang w:eastAsia="sk-SK"/>
              </w:rPr>
              <w:tab/>
            </w:r>
            <w:r w:rsidR="0027377E" w:rsidRPr="006102F5">
              <w:rPr>
                <w:rStyle w:val="Hypertextovprepojenie"/>
              </w:rPr>
              <w:t>Rozpočtové vzťahy SR a EÚ</w:t>
            </w:r>
            <w:r w:rsidR="0027377E">
              <w:rPr>
                <w:webHidden/>
              </w:rPr>
              <w:tab/>
            </w:r>
            <w:r w:rsidR="0027377E">
              <w:rPr>
                <w:webHidden/>
              </w:rPr>
              <w:fldChar w:fldCharType="begin"/>
            </w:r>
            <w:r w:rsidR="0027377E">
              <w:rPr>
                <w:webHidden/>
              </w:rPr>
              <w:instrText xml:space="preserve"> PAGEREF _Toc119482908 \h </w:instrText>
            </w:r>
            <w:r w:rsidR="0027377E">
              <w:rPr>
                <w:webHidden/>
              </w:rPr>
            </w:r>
            <w:r w:rsidR="0027377E">
              <w:rPr>
                <w:webHidden/>
              </w:rPr>
              <w:fldChar w:fldCharType="separate"/>
            </w:r>
            <w:r w:rsidR="002529B9">
              <w:rPr>
                <w:webHidden/>
              </w:rPr>
              <w:t>13</w:t>
            </w:r>
            <w:r w:rsidR="0027377E">
              <w:rPr>
                <w:webHidden/>
              </w:rPr>
              <w:fldChar w:fldCharType="end"/>
            </w:r>
          </w:hyperlink>
        </w:p>
        <w:p w14:paraId="1B3B58F2" w14:textId="2BBB6E58" w:rsidR="0027377E" w:rsidRDefault="009D6953">
          <w:pPr>
            <w:pStyle w:val="Obsah1"/>
            <w:rPr>
              <w:rFonts w:eastAsiaTheme="minorEastAsia" w:cstheme="minorBidi"/>
              <w:b w:val="0"/>
              <w:bCs w:val="0"/>
              <w:caps w:val="0"/>
              <w:color w:val="auto"/>
              <w:sz w:val="22"/>
              <w:szCs w:val="22"/>
              <w:lang w:eastAsia="sk-SK"/>
            </w:rPr>
          </w:pPr>
          <w:hyperlink w:anchor="_Toc119482909" w:history="1">
            <w:r w:rsidR="0027377E" w:rsidRPr="006102F5">
              <w:rPr>
                <w:rStyle w:val="Hypertextovprepojenie"/>
              </w:rPr>
              <w:t>4</w:t>
            </w:r>
            <w:r w:rsidR="0027377E">
              <w:rPr>
                <w:rFonts w:eastAsiaTheme="minorEastAsia" w:cstheme="minorBidi"/>
                <w:b w:val="0"/>
                <w:bCs w:val="0"/>
                <w:caps w:val="0"/>
                <w:color w:val="auto"/>
                <w:sz w:val="22"/>
                <w:szCs w:val="22"/>
                <w:lang w:eastAsia="sk-SK"/>
              </w:rPr>
              <w:tab/>
            </w:r>
            <w:r w:rsidR="0027377E" w:rsidRPr="006102F5">
              <w:rPr>
                <w:rStyle w:val="Hypertextovprepojenie"/>
              </w:rPr>
              <w:t>Súhrnné riziká návrhu ŠR na rok 2023</w:t>
            </w:r>
            <w:r w:rsidR="0027377E">
              <w:rPr>
                <w:webHidden/>
              </w:rPr>
              <w:tab/>
            </w:r>
            <w:r w:rsidR="0027377E">
              <w:rPr>
                <w:webHidden/>
              </w:rPr>
              <w:fldChar w:fldCharType="begin"/>
            </w:r>
            <w:r w:rsidR="0027377E">
              <w:rPr>
                <w:webHidden/>
              </w:rPr>
              <w:instrText xml:space="preserve"> PAGEREF _Toc119482909 \h </w:instrText>
            </w:r>
            <w:r w:rsidR="0027377E">
              <w:rPr>
                <w:webHidden/>
              </w:rPr>
            </w:r>
            <w:r w:rsidR="0027377E">
              <w:rPr>
                <w:webHidden/>
              </w:rPr>
              <w:fldChar w:fldCharType="separate"/>
            </w:r>
            <w:r w:rsidR="002529B9">
              <w:rPr>
                <w:webHidden/>
              </w:rPr>
              <w:t>17</w:t>
            </w:r>
            <w:r w:rsidR="0027377E">
              <w:rPr>
                <w:webHidden/>
              </w:rPr>
              <w:fldChar w:fldCharType="end"/>
            </w:r>
          </w:hyperlink>
        </w:p>
        <w:p w14:paraId="4ECFEB6B" w14:textId="19003DC1" w:rsidR="0027377E" w:rsidRDefault="009D6953">
          <w:pPr>
            <w:pStyle w:val="Obsah1"/>
            <w:rPr>
              <w:rFonts w:eastAsiaTheme="minorEastAsia" w:cstheme="minorBidi"/>
              <w:b w:val="0"/>
              <w:bCs w:val="0"/>
              <w:caps w:val="0"/>
              <w:color w:val="auto"/>
              <w:sz w:val="22"/>
              <w:szCs w:val="22"/>
              <w:lang w:eastAsia="sk-SK"/>
            </w:rPr>
          </w:pPr>
          <w:hyperlink w:anchor="_Toc119482910" w:history="1">
            <w:r w:rsidR="0027377E" w:rsidRPr="006102F5">
              <w:rPr>
                <w:rStyle w:val="Hypertextovprepojenie"/>
              </w:rPr>
              <w:t>5</w:t>
            </w:r>
            <w:r w:rsidR="0027377E">
              <w:rPr>
                <w:rFonts w:eastAsiaTheme="minorEastAsia" w:cstheme="minorBidi"/>
                <w:b w:val="0"/>
                <w:bCs w:val="0"/>
                <w:caps w:val="0"/>
                <w:color w:val="auto"/>
                <w:sz w:val="22"/>
                <w:szCs w:val="22"/>
                <w:lang w:eastAsia="sk-SK"/>
              </w:rPr>
              <w:tab/>
            </w:r>
            <w:r w:rsidR="0027377E" w:rsidRPr="006102F5">
              <w:rPr>
                <w:rStyle w:val="Hypertextovprepojenie"/>
              </w:rPr>
              <w:t>Riziká rozpočtovania pri dosahovaní najvýznamnejších cieľov</w:t>
            </w:r>
            <w:r w:rsidR="0027377E">
              <w:rPr>
                <w:webHidden/>
              </w:rPr>
              <w:tab/>
            </w:r>
            <w:r w:rsidR="0027377E">
              <w:rPr>
                <w:webHidden/>
              </w:rPr>
              <w:fldChar w:fldCharType="begin"/>
            </w:r>
            <w:r w:rsidR="0027377E">
              <w:rPr>
                <w:webHidden/>
              </w:rPr>
              <w:instrText xml:space="preserve"> PAGEREF _Toc119482910 \h </w:instrText>
            </w:r>
            <w:r w:rsidR="0027377E">
              <w:rPr>
                <w:webHidden/>
              </w:rPr>
            </w:r>
            <w:r w:rsidR="0027377E">
              <w:rPr>
                <w:webHidden/>
              </w:rPr>
              <w:fldChar w:fldCharType="separate"/>
            </w:r>
            <w:r w:rsidR="002529B9">
              <w:rPr>
                <w:webHidden/>
              </w:rPr>
              <w:t>24</w:t>
            </w:r>
            <w:r w:rsidR="0027377E">
              <w:rPr>
                <w:webHidden/>
              </w:rPr>
              <w:fldChar w:fldCharType="end"/>
            </w:r>
          </w:hyperlink>
        </w:p>
        <w:p w14:paraId="198747DB" w14:textId="794B8C8F" w:rsidR="0027377E" w:rsidRDefault="009D6953">
          <w:pPr>
            <w:pStyle w:val="Obsah2"/>
            <w:tabs>
              <w:tab w:val="left" w:pos="800"/>
              <w:tab w:val="right" w:leader="dot" w:pos="9060"/>
            </w:tabs>
            <w:rPr>
              <w:rFonts w:eastAsiaTheme="minorEastAsia" w:cstheme="minorBidi"/>
              <w:smallCaps w:val="0"/>
              <w:noProof/>
              <w:sz w:val="22"/>
              <w:szCs w:val="22"/>
              <w:lang w:eastAsia="sk-SK"/>
            </w:rPr>
          </w:pPr>
          <w:hyperlink w:anchor="_Toc119482911" w:history="1">
            <w:r w:rsidR="0027377E" w:rsidRPr="006102F5">
              <w:rPr>
                <w:rStyle w:val="Hypertextovprepojenie"/>
                <w:noProof/>
              </w:rPr>
              <w:t>5.1</w:t>
            </w:r>
            <w:r w:rsidR="0027377E">
              <w:rPr>
                <w:rFonts w:eastAsiaTheme="minorEastAsia" w:cstheme="minorBidi"/>
                <w:smallCaps w:val="0"/>
                <w:noProof/>
                <w:sz w:val="22"/>
                <w:szCs w:val="22"/>
                <w:lang w:eastAsia="sk-SK"/>
              </w:rPr>
              <w:tab/>
            </w:r>
            <w:r w:rsidR="0027377E" w:rsidRPr="006102F5">
              <w:rPr>
                <w:rStyle w:val="Hypertextovprepojenie"/>
                <w:noProof/>
              </w:rPr>
              <w:t>Zdravotníctvo</w:t>
            </w:r>
            <w:r w:rsidR="0027377E">
              <w:rPr>
                <w:noProof/>
                <w:webHidden/>
              </w:rPr>
              <w:tab/>
            </w:r>
            <w:r w:rsidR="0027377E">
              <w:rPr>
                <w:noProof/>
                <w:webHidden/>
              </w:rPr>
              <w:fldChar w:fldCharType="begin"/>
            </w:r>
            <w:r w:rsidR="0027377E">
              <w:rPr>
                <w:noProof/>
                <w:webHidden/>
              </w:rPr>
              <w:instrText xml:space="preserve"> PAGEREF _Toc119482911 \h </w:instrText>
            </w:r>
            <w:r w:rsidR="0027377E">
              <w:rPr>
                <w:noProof/>
                <w:webHidden/>
              </w:rPr>
            </w:r>
            <w:r w:rsidR="0027377E">
              <w:rPr>
                <w:noProof/>
                <w:webHidden/>
              </w:rPr>
              <w:fldChar w:fldCharType="separate"/>
            </w:r>
            <w:r w:rsidR="002529B9">
              <w:rPr>
                <w:noProof/>
                <w:webHidden/>
              </w:rPr>
              <w:t>24</w:t>
            </w:r>
            <w:r w:rsidR="0027377E">
              <w:rPr>
                <w:noProof/>
                <w:webHidden/>
              </w:rPr>
              <w:fldChar w:fldCharType="end"/>
            </w:r>
          </w:hyperlink>
        </w:p>
        <w:p w14:paraId="75DC6A2E" w14:textId="060EF487" w:rsidR="0027377E" w:rsidRDefault="009D6953">
          <w:pPr>
            <w:pStyle w:val="Obsah2"/>
            <w:tabs>
              <w:tab w:val="left" w:pos="800"/>
              <w:tab w:val="right" w:leader="dot" w:pos="9060"/>
            </w:tabs>
            <w:rPr>
              <w:rFonts w:eastAsiaTheme="minorEastAsia" w:cstheme="minorBidi"/>
              <w:smallCaps w:val="0"/>
              <w:noProof/>
              <w:sz w:val="22"/>
              <w:szCs w:val="22"/>
              <w:lang w:eastAsia="sk-SK"/>
            </w:rPr>
          </w:pPr>
          <w:hyperlink w:anchor="_Toc119482912" w:history="1">
            <w:r w:rsidR="0027377E" w:rsidRPr="006102F5">
              <w:rPr>
                <w:rStyle w:val="Hypertextovprepojenie"/>
                <w:noProof/>
              </w:rPr>
              <w:t>5.2</w:t>
            </w:r>
            <w:r w:rsidR="0027377E">
              <w:rPr>
                <w:rFonts w:eastAsiaTheme="minorEastAsia" w:cstheme="minorBidi"/>
                <w:smallCaps w:val="0"/>
                <w:noProof/>
                <w:sz w:val="22"/>
                <w:szCs w:val="22"/>
                <w:lang w:eastAsia="sk-SK"/>
              </w:rPr>
              <w:tab/>
            </w:r>
            <w:r w:rsidR="0027377E" w:rsidRPr="006102F5">
              <w:rPr>
                <w:rStyle w:val="Hypertextovprepojenie"/>
                <w:noProof/>
              </w:rPr>
              <w:t>Vzdelávanie, výskum a vývoj</w:t>
            </w:r>
            <w:r w:rsidR="0027377E">
              <w:rPr>
                <w:noProof/>
                <w:webHidden/>
              </w:rPr>
              <w:tab/>
            </w:r>
            <w:r w:rsidR="0027377E">
              <w:rPr>
                <w:noProof/>
                <w:webHidden/>
              </w:rPr>
              <w:fldChar w:fldCharType="begin"/>
            </w:r>
            <w:r w:rsidR="0027377E">
              <w:rPr>
                <w:noProof/>
                <w:webHidden/>
              </w:rPr>
              <w:instrText xml:space="preserve"> PAGEREF _Toc119482912 \h </w:instrText>
            </w:r>
            <w:r w:rsidR="0027377E">
              <w:rPr>
                <w:noProof/>
                <w:webHidden/>
              </w:rPr>
            </w:r>
            <w:r w:rsidR="0027377E">
              <w:rPr>
                <w:noProof/>
                <w:webHidden/>
              </w:rPr>
              <w:fldChar w:fldCharType="separate"/>
            </w:r>
            <w:r w:rsidR="002529B9">
              <w:rPr>
                <w:noProof/>
                <w:webHidden/>
              </w:rPr>
              <w:t>31</w:t>
            </w:r>
            <w:r w:rsidR="0027377E">
              <w:rPr>
                <w:noProof/>
                <w:webHidden/>
              </w:rPr>
              <w:fldChar w:fldCharType="end"/>
            </w:r>
          </w:hyperlink>
        </w:p>
        <w:p w14:paraId="23E26DCF" w14:textId="30BA3096" w:rsidR="0027377E" w:rsidRDefault="009D6953">
          <w:pPr>
            <w:pStyle w:val="Obsah2"/>
            <w:tabs>
              <w:tab w:val="left" w:pos="800"/>
              <w:tab w:val="right" w:leader="dot" w:pos="9060"/>
            </w:tabs>
            <w:rPr>
              <w:rFonts w:eastAsiaTheme="minorEastAsia" w:cstheme="minorBidi"/>
              <w:smallCaps w:val="0"/>
              <w:noProof/>
              <w:sz w:val="22"/>
              <w:szCs w:val="22"/>
              <w:lang w:eastAsia="sk-SK"/>
            </w:rPr>
          </w:pPr>
          <w:hyperlink w:anchor="_Toc119482913" w:history="1">
            <w:r w:rsidR="0027377E" w:rsidRPr="006102F5">
              <w:rPr>
                <w:rStyle w:val="Hypertextovprepojenie"/>
                <w:noProof/>
              </w:rPr>
              <w:t>5.3</w:t>
            </w:r>
            <w:r w:rsidR="0027377E">
              <w:rPr>
                <w:rFonts w:eastAsiaTheme="minorEastAsia" w:cstheme="minorBidi"/>
                <w:smallCaps w:val="0"/>
                <w:noProof/>
                <w:sz w:val="22"/>
                <w:szCs w:val="22"/>
                <w:lang w:eastAsia="sk-SK"/>
              </w:rPr>
              <w:tab/>
            </w:r>
            <w:r w:rsidR="0027377E" w:rsidRPr="006102F5">
              <w:rPr>
                <w:rStyle w:val="Hypertextovprepojenie"/>
                <w:noProof/>
              </w:rPr>
              <w:t>Sociálne politiky</w:t>
            </w:r>
            <w:r w:rsidR="0027377E">
              <w:rPr>
                <w:noProof/>
                <w:webHidden/>
              </w:rPr>
              <w:tab/>
            </w:r>
            <w:r w:rsidR="0027377E">
              <w:rPr>
                <w:noProof/>
                <w:webHidden/>
              </w:rPr>
              <w:fldChar w:fldCharType="begin"/>
            </w:r>
            <w:r w:rsidR="0027377E">
              <w:rPr>
                <w:noProof/>
                <w:webHidden/>
              </w:rPr>
              <w:instrText xml:space="preserve"> PAGEREF _Toc119482913 \h </w:instrText>
            </w:r>
            <w:r w:rsidR="0027377E">
              <w:rPr>
                <w:noProof/>
                <w:webHidden/>
              </w:rPr>
            </w:r>
            <w:r w:rsidR="0027377E">
              <w:rPr>
                <w:noProof/>
                <w:webHidden/>
              </w:rPr>
              <w:fldChar w:fldCharType="separate"/>
            </w:r>
            <w:r w:rsidR="002529B9">
              <w:rPr>
                <w:noProof/>
                <w:webHidden/>
              </w:rPr>
              <w:t>32</w:t>
            </w:r>
            <w:r w:rsidR="0027377E">
              <w:rPr>
                <w:noProof/>
                <w:webHidden/>
              </w:rPr>
              <w:fldChar w:fldCharType="end"/>
            </w:r>
          </w:hyperlink>
        </w:p>
        <w:p w14:paraId="409B64DB" w14:textId="39F605DB" w:rsidR="0027377E" w:rsidRDefault="009D6953">
          <w:pPr>
            <w:pStyle w:val="Obsah2"/>
            <w:tabs>
              <w:tab w:val="left" w:pos="800"/>
              <w:tab w:val="right" w:leader="dot" w:pos="9060"/>
            </w:tabs>
            <w:rPr>
              <w:rFonts w:eastAsiaTheme="minorEastAsia" w:cstheme="minorBidi"/>
              <w:smallCaps w:val="0"/>
              <w:noProof/>
              <w:sz w:val="22"/>
              <w:szCs w:val="22"/>
              <w:lang w:eastAsia="sk-SK"/>
            </w:rPr>
          </w:pPr>
          <w:hyperlink w:anchor="_Toc119482914" w:history="1">
            <w:r w:rsidR="0027377E" w:rsidRPr="006102F5">
              <w:rPr>
                <w:rStyle w:val="Hypertextovprepojenie"/>
                <w:noProof/>
              </w:rPr>
              <w:t>5.4</w:t>
            </w:r>
            <w:r w:rsidR="0027377E">
              <w:rPr>
                <w:rFonts w:eastAsiaTheme="minorEastAsia" w:cstheme="minorBidi"/>
                <w:smallCaps w:val="0"/>
                <w:noProof/>
                <w:sz w:val="22"/>
                <w:szCs w:val="22"/>
                <w:lang w:eastAsia="sk-SK"/>
              </w:rPr>
              <w:tab/>
            </w:r>
            <w:r w:rsidR="0027377E" w:rsidRPr="006102F5">
              <w:rPr>
                <w:rStyle w:val="Hypertextovprepojenie"/>
                <w:noProof/>
              </w:rPr>
              <w:t>Environmentálna udržateľnosť</w:t>
            </w:r>
            <w:r w:rsidR="0027377E">
              <w:rPr>
                <w:noProof/>
                <w:webHidden/>
              </w:rPr>
              <w:tab/>
            </w:r>
            <w:r w:rsidR="0027377E">
              <w:rPr>
                <w:noProof/>
                <w:webHidden/>
              </w:rPr>
              <w:fldChar w:fldCharType="begin"/>
            </w:r>
            <w:r w:rsidR="0027377E">
              <w:rPr>
                <w:noProof/>
                <w:webHidden/>
              </w:rPr>
              <w:instrText xml:space="preserve"> PAGEREF _Toc119482914 \h </w:instrText>
            </w:r>
            <w:r w:rsidR="0027377E">
              <w:rPr>
                <w:noProof/>
                <w:webHidden/>
              </w:rPr>
            </w:r>
            <w:r w:rsidR="0027377E">
              <w:rPr>
                <w:noProof/>
                <w:webHidden/>
              </w:rPr>
              <w:fldChar w:fldCharType="separate"/>
            </w:r>
            <w:r w:rsidR="002529B9">
              <w:rPr>
                <w:noProof/>
                <w:webHidden/>
              </w:rPr>
              <w:t>35</w:t>
            </w:r>
            <w:r w:rsidR="0027377E">
              <w:rPr>
                <w:noProof/>
                <w:webHidden/>
              </w:rPr>
              <w:fldChar w:fldCharType="end"/>
            </w:r>
          </w:hyperlink>
        </w:p>
        <w:p w14:paraId="24790A6A" w14:textId="22C1D1C7" w:rsidR="0027377E" w:rsidRDefault="009D6953">
          <w:pPr>
            <w:pStyle w:val="Obsah1"/>
            <w:rPr>
              <w:rFonts w:eastAsiaTheme="minorEastAsia" w:cstheme="minorBidi"/>
              <w:b w:val="0"/>
              <w:bCs w:val="0"/>
              <w:caps w:val="0"/>
              <w:color w:val="auto"/>
              <w:sz w:val="22"/>
              <w:szCs w:val="22"/>
              <w:lang w:eastAsia="sk-SK"/>
            </w:rPr>
          </w:pPr>
          <w:hyperlink w:anchor="_Toc119482915" w:history="1">
            <w:r w:rsidR="0027377E" w:rsidRPr="006102F5">
              <w:rPr>
                <w:rStyle w:val="Hypertextovprepojenie"/>
              </w:rPr>
              <w:t>6</w:t>
            </w:r>
            <w:r w:rsidR="0027377E">
              <w:rPr>
                <w:rFonts w:eastAsiaTheme="minorEastAsia" w:cstheme="minorBidi"/>
                <w:b w:val="0"/>
                <w:bCs w:val="0"/>
                <w:caps w:val="0"/>
                <w:color w:val="auto"/>
                <w:sz w:val="22"/>
                <w:szCs w:val="22"/>
                <w:lang w:eastAsia="sk-SK"/>
              </w:rPr>
              <w:tab/>
            </w:r>
            <w:r w:rsidR="0027377E" w:rsidRPr="006102F5">
              <w:rPr>
                <w:rStyle w:val="Hypertextovprepojenie"/>
              </w:rPr>
              <w:t>Rozpočtové vzťahy samosprávy a štátu</w:t>
            </w:r>
            <w:r w:rsidR="0027377E">
              <w:rPr>
                <w:webHidden/>
              </w:rPr>
              <w:tab/>
            </w:r>
            <w:r w:rsidR="0027377E">
              <w:rPr>
                <w:webHidden/>
              </w:rPr>
              <w:fldChar w:fldCharType="begin"/>
            </w:r>
            <w:r w:rsidR="0027377E">
              <w:rPr>
                <w:webHidden/>
              </w:rPr>
              <w:instrText xml:space="preserve"> PAGEREF _Toc119482915 \h </w:instrText>
            </w:r>
            <w:r w:rsidR="0027377E">
              <w:rPr>
                <w:webHidden/>
              </w:rPr>
            </w:r>
            <w:r w:rsidR="0027377E">
              <w:rPr>
                <w:webHidden/>
              </w:rPr>
              <w:fldChar w:fldCharType="separate"/>
            </w:r>
            <w:r w:rsidR="002529B9">
              <w:rPr>
                <w:webHidden/>
              </w:rPr>
              <w:t>38</w:t>
            </w:r>
            <w:r w:rsidR="0027377E">
              <w:rPr>
                <w:webHidden/>
              </w:rPr>
              <w:fldChar w:fldCharType="end"/>
            </w:r>
          </w:hyperlink>
        </w:p>
        <w:p w14:paraId="52914AB7" w14:textId="1D331A71" w:rsidR="0027377E" w:rsidRDefault="009D6953">
          <w:pPr>
            <w:pStyle w:val="Obsah1"/>
            <w:rPr>
              <w:rFonts w:eastAsiaTheme="minorEastAsia" w:cstheme="minorBidi"/>
              <w:b w:val="0"/>
              <w:bCs w:val="0"/>
              <w:caps w:val="0"/>
              <w:color w:val="auto"/>
              <w:sz w:val="22"/>
              <w:szCs w:val="22"/>
              <w:lang w:eastAsia="sk-SK"/>
            </w:rPr>
          </w:pPr>
          <w:hyperlink w:anchor="_Toc119482916" w:history="1">
            <w:r w:rsidR="0027377E" w:rsidRPr="006102F5">
              <w:rPr>
                <w:rStyle w:val="Hypertextovprepojenie"/>
              </w:rPr>
              <w:t xml:space="preserve">Príloha: </w:t>
            </w:r>
            <w:r w:rsidR="0027377E" w:rsidRPr="006102F5">
              <w:rPr>
                <w:rStyle w:val="Hypertextovprepojenie"/>
                <w:rFonts w:eastAsia="Calibri" w:cs="Times New Roman"/>
              </w:rPr>
              <w:t>Vybrané výdavky ŠR na realizáciu programov vlády</w:t>
            </w:r>
            <w:r w:rsidR="0027377E">
              <w:rPr>
                <w:webHidden/>
              </w:rPr>
              <w:tab/>
            </w:r>
            <w:r w:rsidR="0027377E">
              <w:rPr>
                <w:webHidden/>
              </w:rPr>
              <w:fldChar w:fldCharType="begin"/>
            </w:r>
            <w:r w:rsidR="0027377E">
              <w:rPr>
                <w:webHidden/>
              </w:rPr>
              <w:instrText xml:space="preserve"> PAGEREF _Toc119482916 \h </w:instrText>
            </w:r>
            <w:r w:rsidR="0027377E">
              <w:rPr>
                <w:webHidden/>
              </w:rPr>
            </w:r>
            <w:r w:rsidR="0027377E">
              <w:rPr>
                <w:webHidden/>
              </w:rPr>
              <w:fldChar w:fldCharType="separate"/>
            </w:r>
            <w:r w:rsidR="002529B9">
              <w:rPr>
                <w:webHidden/>
              </w:rPr>
              <w:t>42</w:t>
            </w:r>
            <w:r w:rsidR="0027377E">
              <w:rPr>
                <w:webHidden/>
              </w:rPr>
              <w:fldChar w:fldCharType="end"/>
            </w:r>
          </w:hyperlink>
        </w:p>
        <w:p w14:paraId="2E728DDA" w14:textId="0E19A6E6" w:rsidR="00F071B7" w:rsidRDefault="006C125B" w:rsidP="00F071B7">
          <w:pPr>
            <w:jc w:val="center"/>
            <w:rPr>
              <w:b/>
              <w:bCs/>
            </w:rPr>
          </w:pPr>
          <w:r>
            <w:rPr>
              <w:rFonts w:asciiTheme="minorHAnsi" w:hAnsiTheme="minorHAnsi" w:cstheme="minorHAnsi"/>
              <w:b/>
              <w:bCs/>
              <w:color w:val="314364" w:themeColor="text2"/>
              <w:szCs w:val="20"/>
            </w:rPr>
            <w:fldChar w:fldCharType="end"/>
          </w:r>
          <w:r w:rsidR="00F071B7">
            <w:rPr>
              <w:b/>
              <w:bCs/>
            </w:rPr>
            <w:br w:type="page"/>
          </w:r>
        </w:p>
      </w:sdtContent>
    </w:sdt>
    <w:p w14:paraId="25BB69DD" w14:textId="77777777" w:rsidR="00170FF5" w:rsidRDefault="00170FF5" w:rsidP="00170FF5">
      <w:pPr>
        <w:pStyle w:val="Zhrnutie"/>
        <w:rPr>
          <w:b w:val="0"/>
          <w:sz w:val="28"/>
        </w:rPr>
      </w:pPr>
      <w:bookmarkStart w:id="0" w:name="_Toc53475706"/>
      <w:r w:rsidRPr="003B352D">
        <w:rPr>
          <w:b w:val="0"/>
          <w:sz w:val="28"/>
        </w:rPr>
        <w:lastRenderedPageBreak/>
        <w:t>Zoznam</w:t>
      </w:r>
      <w:r w:rsidRPr="007816E8">
        <w:rPr>
          <w:b w:val="0"/>
          <w:sz w:val="28"/>
        </w:rPr>
        <w:t xml:space="preserve"> skratiek</w:t>
      </w:r>
    </w:p>
    <w:p w14:paraId="21D91AE1" w14:textId="77777777" w:rsidR="00170FF5" w:rsidRDefault="00170FF5" w:rsidP="00170FF5">
      <w:pPr>
        <w:spacing w:after="0"/>
        <w:rPr>
          <w:color w:val="314364" w:themeColor="text2"/>
          <w:sz w:val="18"/>
          <w:szCs w:val="18"/>
        </w:rPr>
        <w:sectPr w:rsidR="00170FF5" w:rsidSect="00962F36">
          <w:headerReference w:type="default" r:id="rId10"/>
          <w:footerReference w:type="default" r:id="rId11"/>
          <w:pgSz w:w="11906" w:h="16838"/>
          <w:pgMar w:top="1418" w:right="1418" w:bottom="1134" w:left="1418" w:header="0" w:footer="709" w:gutter="0"/>
          <w:cols w:space="708"/>
          <w:docGrid w:linePitch="360"/>
        </w:sectPr>
      </w:pPr>
    </w:p>
    <w:tbl>
      <w:tblPr>
        <w:tblStyle w:val="Mriekatabuky"/>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074"/>
        <w:gridCol w:w="3107"/>
      </w:tblGrid>
      <w:tr w:rsidR="00170FF5" w:rsidRPr="00F81151" w14:paraId="0A73B8C2" w14:textId="77777777" w:rsidTr="007F7533">
        <w:trPr>
          <w:trHeight w:val="336"/>
          <w:jc w:val="center"/>
        </w:trPr>
        <w:tc>
          <w:tcPr>
            <w:tcW w:w="1284" w:type="pct"/>
            <w:shd w:val="clear" w:color="auto" w:fill="auto"/>
          </w:tcPr>
          <w:p w14:paraId="20E8EA2E" w14:textId="77777777" w:rsidR="00170FF5" w:rsidRDefault="00170FF5" w:rsidP="007170AE">
            <w:pPr>
              <w:spacing w:after="0"/>
              <w:jc w:val="left"/>
              <w:rPr>
                <w:color w:val="314364" w:themeColor="text2"/>
                <w:sz w:val="18"/>
                <w:szCs w:val="18"/>
              </w:rPr>
            </w:pPr>
            <w:r w:rsidRPr="00BA3AC1">
              <w:rPr>
                <w:color w:val="314364" w:themeColor="text2"/>
                <w:sz w:val="18"/>
                <w:szCs w:val="18"/>
              </w:rPr>
              <w:t>COVID-19</w:t>
            </w:r>
          </w:p>
          <w:p w14:paraId="226CA248" w14:textId="77777777" w:rsidR="00170FF5" w:rsidRPr="00BA3AC1" w:rsidRDefault="00170FF5" w:rsidP="007170AE">
            <w:pPr>
              <w:spacing w:after="0"/>
              <w:jc w:val="left"/>
              <w:rPr>
                <w:color w:val="314364" w:themeColor="text2"/>
                <w:sz w:val="18"/>
                <w:szCs w:val="18"/>
              </w:rPr>
            </w:pPr>
          </w:p>
        </w:tc>
        <w:tc>
          <w:tcPr>
            <w:tcW w:w="3716" w:type="pct"/>
            <w:shd w:val="clear" w:color="auto" w:fill="auto"/>
          </w:tcPr>
          <w:p w14:paraId="3C9A6725" w14:textId="77777777" w:rsidR="00170FF5" w:rsidRPr="00EF502F" w:rsidRDefault="00170FF5" w:rsidP="007170AE">
            <w:pPr>
              <w:spacing w:after="0"/>
              <w:jc w:val="left"/>
              <w:rPr>
                <w:sz w:val="18"/>
                <w:szCs w:val="18"/>
              </w:rPr>
            </w:pPr>
            <w:r w:rsidRPr="00EF502F">
              <w:rPr>
                <w:sz w:val="18"/>
                <w:szCs w:val="18"/>
              </w:rPr>
              <w:t>infekčné ochorenie vyvolané koronavírusom SARS-CoV-2</w:t>
            </w:r>
          </w:p>
        </w:tc>
      </w:tr>
      <w:tr w:rsidR="00170FF5" w:rsidRPr="00F81151" w14:paraId="04E62D57" w14:textId="77777777" w:rsidTr="007F7533">
        <w:trPr>
          <w:trHeight w:val="336"/>
          <w:jc w:val="center"/>
        </w:trPr>
        <w:tc>
          <w:tcPr>
            <w:tcW w:w="1284" w:type="pct"/>
            <w:shd w:val="clear" w:color="auto" w:fill="auto"/>
          </w:tcPr>
          <w:p w14:paraId="14839470"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ČR</w:t>
            </w:r>
          </w:p>
        </w:tc>
        <w:tc>
          <w:tcPr>
            <w:tcW w:w="3716" w:type="pct"/>
            <w:shd w:val="clear" w:color="auto" w:fill="auto"/>
          </w:tcPr>
          <w:p w14:paraId="16E25BBD" w14:textId="77777777" w:rsidR="00170FF5" w:rsidRPr="00EF502F" w:rsidRDefault="00170FF5" w:rsidP="007170AE">
            <w:pPr>
              <w:spacing w:after="0"/>
              <w:jc w:val="left"/>
              <w:rPr>
                <w:sz w:val="18"/>
                <w:szCs w:val="18"/>
              </w:rPr>
            </w:pPr>
            <w:r w:rsidRPr="00EF502F">
              <w:rPr>
                <w:sz w:val="18"/>
                <w:szCs w:val="18"/>
              </w:rPr>
              <w:t>Česká republika</w:t>
            </w:r>
          </w:p>
        </w:tc>
      </w:tr>
      <w:tr w:rsidR="00170FF5" w:rsidRPr="00F81151" w14:paraId="68512EC6" w14:textId="77777777" w:rsidTr="007F7533">
        <w:trPr>
          <w:trHeight w:val="336"/>
          <w:jc w:val="center"/>
        </w:trPr>
        <w:tc>
          <w:tcPr>
            <w:tcW w:w="1284" w:type="pct"/>
            <w:shd w:val="clear" w:color="auto" w:fill="auto"/>
          </w:tcPr>
          <w:p w14:paraId="0D66279E"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DPH</w:t>
            </w:r>
          </w:p>
        </w:tc>
        <w:tc>
          <w:tcPr>
            <w:tcW w:w="3716" w:type="pct"/>
            <w:shd w:val="clear" w:color="auto" w:fill="auto"/>
          </w:tcPr>
          <w:p w14:paraId="230A970A" w14:textId="3B3A06B9" w:rsidR="00170FF5" w:rsidRPr="00EF502F" w:rsidRDefault="00CD22C4" w:rsidP="007170AE">
            <w:pPr>
              <w:spacing w:after="0"/>
              <w:jc w:val="left"/>
              <w:rPr>
                <w:sz w:val="18"/>
                <w:szCs w:val="18"/>
              </w:rPr>
            </w:pPr>
            <w:r>
              <w:rPr>
                <w:sz w:val="18"/>
                <w:szCs w:val="18"/>
              </w:rPr>
              <w:t>d</w:t>
            </w:r>
            <w:r w:rsidR="00170FF5" w:rsidRPr="00EF502F">
              <w:rPr>
                <w:sz w:val="18"/>
                <w:szCs w:val="18"/>
              </w:rPr>
              <w:t>aň z pridanej hodnoty</w:t>
            </w:r>
          </w:p>
        </w:tc>
      </w:tr>
      <w:tr w:rsidR="00170FF5" w:rsidRPr="00F81151" w14:paraId="41D4FA8E" w14:textId="77777777" w:rsidTr="007F7533">
        <w:trPr>
          <w:trHeight w:val="336"/>
          <w:jc w:val="center"/>
        </w:trPr>
        <w:tc>
          <w:tcPr>
            <w:tcW w:w="1284" w:type="pct"/>
            <w:shd w:val="clear" w:color="auto" w:fill="auto"/>
          </w:tcPr>
          <w:p w14:paraId="0D7C6176"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DRG</w:t>
            </w:r>
          </w:p>
        </w:tc>
        <w:tc>
          <w:tcPr>
            <w:tcW w:w="3716" w:type="pct"/>
            <w:shd w:val="clear" w:color="auto" w:fill="auto"/>
          </w:tcPr>
          <w:p w14:paraId="77B3A52F" w14:textId="77777777" w:rsidR="00170FF5" w:rsidRPr="00EF502F" w:rsidRDefault="00170FF5" w:rsidP="007170AE">
            <w:pPr>
              <w:spacing w:after="0"/>
              <w:jc w:val="left"/>
              <w:rPr>
                <w:sz w:val="18"/>
                <w:szCs w:val="18"/>
              </w:rPr>
            </w:pPr>
            <w:proofErr w:type="spellStart"/>
            <w:r w:rsidRPr="00EF502F">
              <w:rPr>
                <w:sz w:val="18"/>
                <w:szCs w:val="18"/>
              </w:rPr>
              <w:t>Diagnoses</w:t>
            </w:r>
            <w:proofErr w:type="spellEnd"/>
            <w:r w:rsidRPr="00EF502F">
              <w:rPr>
                <w:sz w:val="18"/>
                <w:szCs w:val="18"/>
              </w:rPr>
              <w:t xml:space="preserve"> </w:t>
            </w:r>
            <w:proofErr w:type="spellStart"/>
            <w:r w:rsidRPr="00EF502F">
              <w:rPr>
                <w:sz w:val="18"/>
                <w:szCs w:val="18"/>
              </w:rPr>
              <w:t>Related</w:t>
            </w:r>
            <w:proofErr w:type="spellEnd"/>
            <w:r w:rsidRPr="00EF502F">
              <w:rPr>
                <w:sz w:val="18"/>
                <w:szCs w:val="18"/>
              </w:rPr>
              <w:t xml:space="preserve"> </w:t>
            </w:r>
            <w:proofErr w:type="spellStart"/>
            <w:r w:rsidRPr="00EF502F">
              <w:rPr>
                <w:sz w:val="18"/>
                <w:szCs w:val="18"/>
              </w:rPr>
              <w:t>Groups</w:t>
            </w:r>
            <w:proofErr w:type="spellEnd"/>
            <w:r w:rsidRPr="00EF502F">
              <w:rPr>
                <w:sz w:val="18"/>
                <w:szCs w:val="18"/>
              </w:rPr>
              <w:t xml:space="preserve"> (Skupiny súvisiacich diagnóz)</w:t>
            </w:r>
          </w:p>
        </w:tc>
      </w:tr>
      <w:tr w:rsidR="00170FF5" w:rsidRPr="00F81151" w14:paraId="7B176C52" w14:textId="77777777" w:rsidTr="007F7533">
        <w:trPr>
          <w:trHeight w:val="336"/>
          <w:jc w:val="center"/>
        </w:trPr>
        <w:tc>
          <w:tcPr>
            <w:tcW w:w="1284" w:type="pct"/>
            <w:shd w:val="clear" w:color="auto" w:fill="auto"/>
          </w:tcPr>
          <w:p w14:paraId="229CE471"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DPFO</w:t>
            </w:r>
          </w:p>
        </w:tc>
        <w:tc>
          <w:tcPr>
            <w:tcW w:w="3716" w:type="pct"/>
            <w:shd w:val="clear" w:color="auto" w:fill="auto"/>
          </w:tcPr>
          <w:p w14:paraId="77F48822" w14:textId="686A54B5" w:rsidR="00170FF5" w:rsidRPr="00EF502F" w:rsidRDefault="00CD22C4" w:rsidP="007170AE">
            <w:pPr>
              <w:spacing w:after="0"/>
              <w:jc w:val="left"/>
              <w:rPr>
                <w:sz w:val="18"/>
                <w:szCs w:val="18"/>
              </w:rPr>
            </w:pPr>
            <w:r>
              <w:rPr>
                <w:sz w:val="18"/>
                <w:szCs w:val="18"/>
              </w:rPr>
              <w:t>d</w:t>
            </w:r>
            <w:r w:rsidR="00170FF5" w:rsidRPr="00EF502F">
              <w:rPr>
                <w:sz w:val="18"/>
                <w:szCs w:val="18"/>
              </w:rPr>
              <w:t>aň z príjmov fyzických osôb</w:t>
            </w:r>
          </w:p>
        </w:tc>
      </w:tr>
      <w:tr w:rsidR="00CD22C4" w:rsidRPr="00F81151" w14:paraId="43DF5E79" w14:textId="77777777" w:rsidTr="007F7533">
        <w:trPr>
          <w:trHeight w:val="336"/>
          <w:jc w:val="center"/>
        </w:trPr>
        <w:tc>
          <w:tcPr>
            <w:tcW w:w="1284" w:type="pct"/>
            <w:shd w:val="clear" w:color="auto" w:fill="auto"/>
          </w:tcPr>
          <w:p w14:paraId="1643B878" w14:textId="7EB542D7" w:rsidR="00CD22C4" w:rsidRPr="00BA3AC1" w:rsidRDefault="00CD22C4" w:rsidP="007170AE">
            <w:pPr>
              <w:spacing w:after="0"/>
              <w:jc w:val="left"/>
              <w:rPr>
                <w:color w:val="314364" w:themeColor="text2"/>
                <w:sz w:val="18"/>
                <w:szCs w:val="18"/>
              </w:rPr>
            </w:pPr>
            <w:r>
              <w:rPr>
                <w:color w:val="314364" w:themeColor="text2"/>
                <w:sz w:val="18"/>
                <w:szCs w:val="18"/>
              </w:rPr>
              <w:t>DPPO</w:t>
            </w:r>
          </w:p>
        </w:tc>
        <w:tc>
          <w:tcPr>
            <w:tcW w:w="3716" w:type="pct"/>
            <w:shd w:val="clear" w:color="auto" w:fill="auto"/>
          </w:tcPr>
          <w:p w14:paraId="3F087E3A" w14:textId="55F03C89" w:rsidR="00CD22C4" w:rsidRPr="00EF502F" w:rsidRDefault="00CD22C4" w:rsidP="00CD22C4">
            <w:pPr>
              <w:spacing w:after="0"/>
              <w:jc w:val="left"/>
              <w:rPr>
                <w:sz w:val="18"/>
                <w:szCs w:val="18"/>
              </w:rPr>
            </w:pPr>
            <w:r>
              <w:rPr>
                <w:sz w:val="18"/>
                <w:szCs w:val="18"/>
              </w:rPr>
              <w:t>daň z príjmov právnických osôb</w:t>
            </w:r>
          </w:p>
        </w:tc>
      </w:tr>
      <w:tr w:rsidR="00170FF5" w:rsidRPr="00F81151" w14:paraId="2AE86164" w14:textId="77777777" w:rsidTr="007F7533">
        <w:trPr>
          <w:trHeight w:val="336"/>
          <w:jc w:val="center"/>
        </w:trPr>
        <w:tc>
          <w:tcPr>
            <w:tcW w:w="1284" w:type="pct"/>
            <w:shd w:val="clear" w:color="auto" w:fill="auto"/>
          </w:tcPr>
          <w:p w14:paraId="4CA37C40"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EF</w:t>
            </w:r>
          </w:p>
        </w:tc>
        <w:tc>
          <w:tcPr>
            <w:tcW w:w="3716" w:type="pct"/>
            <w:shd w:val="clear" w:color="auto" w:fill="auto"/>
          </w:tcPr>
          <w:p w14:paraId="36E283D5" w14:textId="77777777" w:rsidR="00170FF5" w:rsidRPr="00EF502F" w:rsidRDefault="00170FF5" w:rsidP="007170AE">
            <w:pPr>
              <w:spacing w:after="0"/>
              <w:jc w:val="left"/>
              <w:rPr>
                <w:sz w:val="18"/>
                <w:szCs w:val="18"/>
              </w:rPr>
            </w:pPr>
            <w:r w:rsidRPr="00EF502F">
              <w:rPr>
                <w:sz w:val="18"/>
                <w:szCs w:val="18"/>
              </w:rPr>
              <w:t>Environmentálny fond</w:t>
            </w:r>
          </w:p>
        </w:tc>
      </w:tr>
      <w:tr w:rsidR="00170FF5" w:rsidRPr="00F81151" w14:paraId="3A7C66AF" w14:textId="77777777" w:rsidTr="007F7533">
        <w:trPr>
          <w:trHeight w:val="336"/>
          <w:jc w:val="center"/>
        </w:trPr>
        <w:tc>
          <w:tcPr>
            <w:tcW w:w="1284" w:type="pct"/>
            <w:shd w:val="clear" w:color="auto" w:fill="auto"/>
          </w:tcPr>
          <w:p w14:paraId="2FECF918"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EK</w:t>
            </w:r>
          </w:p>
        </w:tc>
        <w:tc>
          <w:tcPr>
            <w:tcW w:w="3716" w:type="pct"/>
            <w:shd w:val="clear" w:color="auto" w:fill="auto"/>
          </w:tcPr>
          <w:p w14:paraId="311CD74D" w14:textId="77777777" w:rsidR="00170FF5" w:rsidRPr="00EF502F" w:rsidRDefault="00170FF5" w:rsidP="007170AE">
            <w:pPr>
              <w:spacing w:after="0"/>
              <w:jc w:val="left"/>
              <w:rPr>
                <w:sz w:val="18"/>
                <w:szCs w:val="18"/>
              </w:rPr>
            </w:pPr>
            <w:r w:rsidRPr="00EF502F">
              <w:rPr>
                <w:sz w:val="18"/>
                <w:szCs w:val="18"/>
              </w:rPr>
              <w:t>Európska komisia</w:t>
            </w:r>
          </w:p>
        </w:tc>
      </w:tr>
      <w:tr w:rsidR="00170FF5" w:rsidRPr="00F81151" w14:paraId="5D21545F" w14:textId="77777777" w:rsidTr="007F7533">
        <w:trPr>
          <w:trHeight w:val="336"/>
          <w:jc w:val="center"/>
        </w:trPr>
        <w:tc>
          <w:tcPr>
            <w:tcW w:w="1284" w:type="pct"/>
            <w:shd w:val="clear" w:color="auto" w:fill="auto"/>
          </w:tcPr>
          <w:p w14:paraId="517C2CE0"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EPSP</w:t>
            </w:r>
          </w:p>
        </w:tc>
        <w:tc>
          <w:tcPr>
            <w:tcW w:w="3716" w:type="pct"/>
            <w:shd w:val="clear" w:color="auto" w:fill="auto"/>
          </w:tcPr>
          <w:p w14:paraId="23D27D65" w14:textId="77777777" w:rsidR="00170FF5" w:rsidRPr="00EF502F" w:rsidRDefault="00170FF5" w:rsidP="007170AE">
            <w:pPr>
              <w:spacing w:after="0"/>
              <w:jc w:val="left"/>
              <w:rPr>
                <w:sz w:val="18"/>
                <w:szCs w:val="18"/>
              </w:rPr>
            </w:pPr>
            <w:r w:rsidRPr="00EF502F">
              <w:rPr>
                <w:sz w:val="18"/>
                <w:szCs w:val="18"/>
              </w:rPr>
              <w:t>Európsky pilier sociálnych práv</w:t>
            </w:r>
          </w:p>
        </w:tc>
      </w:tr>
      <w:tr w:rsidR="00170FF5" w:rsidRPr="00F81151" w14:paraId="5AFAB8D2" w14:textId="77777777" w:rsidTr="007F7533">
        <w:trPr>
          <w:trHeight w:val="336"/>
          <w:jc w:val="center"/>
        </w:trPr>
        <w:tc>
          <w:tcPr>
            <w:tcW w:w="1284" w:type="pct"/>
            <w:shd w:val="clear" w:color="auto" w:fill="auto"/>
          </w:tcPr>
          <w:p w14:paraId="62AEA1B1"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EŠIF</w:t>
            </w:r>
          </w:p>
        </w:tc>
        <w:tc>
          <w:tcPr>
            <w:tcW w:w="3716" w:type="pct"/>
            <w:shd w:val="clear" w:color="auto" w:fill="auto"/>
          </w:tcPr>
          <w:p w14:paraId="607DF3B1" w14:textId="77777777" w:rsidR="00170FF5" w:rsidRPr="00EF502F" w:rsidRDefault="00170FF5" w:rsidP="007170AE">
            <w:pPr>
              <w:spacing w:after="0"/>
              <w:jc w:val="left"/>
              <w:rPr>
                <w:sz w:val="18"/>
                <w:szCs w:val="18"/>
              </w:rPr>
            </w:pPr>
            <w:r w:rsidRPr="00EF502F">
              <w:rPr>
                <w:sz w:val="18"/>
                <w:szCs w:val="18"/>
              </w:rPr>
              <w:t>Európske štrukturálne a investičné fondy</w:t>
            </w:r>
          </w:p>
        </w:tc>
      </w:tr>
      <w:tr w:rsidR="00170FF5" w:rsidRPr="00F81151" w14:paraId="6CAC8F27" w14:textId="77777777" w:rsidTr="007F7533">
        <w:trPr>
          <w:trHeight w:val="336"/>
          <w:jc w:val="center"/>
        </w:trPr>
        <w:tc>
          <w:tcPr>
            <w:tcW w:w="1284" w:type="pct"/>
            <w:shd w:val="clear" w:color="auto" w:fill="auto"/>
          </w:tcPr>
          <w:p w14:paraId="5F91433A"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EÚ</w:t>
            </w:r>
          </w:p>
        </w:tc>
        <w:tc>
          <w:tcPr>
            <w:tcW w:w="3716" w:type="pct"/>
            <w:shd w:val="clear" w:color="auto" w:fill="auto"/>
          </w:tcPr>
          <w:p w14:paraId="62CCFA56" w14:textId="77777777" w:rsidR="00170FF5" w:rsidRPr="00EF502F" w:rsidRDefault="00170FF5" w:rsidP="007170AE">
            <w:pPr>
              <w:spacing w:after="0"/>
              <w:jc w:val="left"/>
              <w:rPr>
                <w:sz w:val="18"/>
                <w:szCs w:val="18"/>
              </w:rPr>
            </w:pPr>
            <w:r w:rsidRPr="00EF502F">
              <w:rPr>
                <w:sz w:val="18"/>
                <w:szCs w:val="18"/>
              </w:rPr>
              <w:t>Európska únia</w:t>
            </w:r>
          </w:p>
        </w:tc>
      </w:tr>
      <w:tr w:rsidR="00170FF5" w:rsidRPr="00F81151" w14:paraId="32F29F16" w14:textId="77777777" w:rsidTr="007F7533">
        <w:trPr>
          <w:trHeight w:val="336"/>
          <w:jc w:val="center"/>
        </w:trPr>
        <w:tc>
          <w:tcPr>
            <w:tcW w:w="1284" w:type="pct"/>
            <w:shd w:val="clear" w:color="auto" w:fill="auto"/>
          </w:tcPr>
          <w:p w14:paraId="32FCCA2C"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HDP</w:t>
            </w:r>
          </w:p>
        </w:tc>
        <w:tc>
          <w:tcPr>
            <w:tcW w:w="3716" w:type="pct"/>
            <w:shd w:val="clear" w:color="auto" w:fill="auto"/>
          </w:tcPr>
          <w:p w14:paraId="26E4CF54" w14:textId="77777777" w:rsidR="00170FF5" w:rsidRPr="00EF502F" w:rsidRDefault="00170FF5" w:rsidP="007170AE">
            <w:pPr>
              <w:spacing w:after="0"/>
              <w:jc w:val="left"/>
              <w:rPr>
                <w:sz w:val="18"/>
                <w:szCs w:val="18"/>
              </w:rPr>
            </w:pPr>
            <w:r w:rsidRPr="00EF502F">
              <w:rPr>
                <w:sz w:val="18"/>
                <w:szCs w:val="18"/>
              </w:rPr>
              <w:t>hrubý domáci produkt</w:t>
            </w:r>
          </w:p>
        </w:tc>
      </w:tr>
      <w:tr w:rsidR="00170FF5" w:rsidRPr="00F81151" w14:paraId="108CA8D3" w14:textId="77777777" w:rsidTr="007F7533">
        <w:trPr>
          <w:trHeight w:val="336"/>
          <w:jc w:val="center"/>
        </w:trPr>
        <w:tc>
          <w:tcPr>
            <w:tcW w:w="1284" w:type="pct"/>
            <w:shd w:val="clear" w:color="auto" w:fill="auto"/>
          </w:tcPr>
          <w:p w14:paraId="20CDD31B"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IFP</w:t>
            </w:r>
          </w:p>
        </w:tc>
        <w:tc>
          <w:tcPr>
            <w:tcW w:w="3716" w:type="pct"/>
            <w:shd w:val="clear" w:color="auto" w:fill="auto"/>
          </w:tcPr>
          <w:p w14:paraId="13286A8F" w14:textId="77777777" w:rsidR="00170FF5" w:rsidRPr="00EF502F" w:rsidRDefault="00170FF5" w:rsidP="007170AE">
            <w:pPr>
              <w:spacing w:after="0"/>
              <w:jc w:val="left"/>
              <w:rPr>
                <w:sz w:val="18"/>
                <w:szCs w:val="18"/>
              </w:rPr>
            </w:pPr>
            <w:r w:rsidRPr="00EF502F">
              <w:rPr>
                <w:sz w:val="18"/>
                <w:szCs w:val="18"/>
              </w:rPr>
              <w:t>Inštitút finančnej politiky</w:t>
            </w:r>
          </w:p>
        </w:tc>
      </w:tr>
      <w:tr w:rsidR="00170FF5" w:rsidRPr="00F81151" w14:paraId="44E72367" w14:textId="77777777" w:rsidTr="007F7533">
        <w:trPr>
          <w:trHeight w:val="336"/>
          <w:jc w:val="center"/>
        </w:trPr>
        <w:tc>
          <w:tcPr>
            <w:tcW w:w="1284" w:type="pct"/>
            <w:shd w:val="clear" w:color="auto" w:fill="auto"/>
          </w:tcPr>
          <w:p w14:paraId="7F3554F4"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IROP</w:t>
            </w:r>
          </w:p>
        </w:tc>
        <w:tc>
          <w:tcPr>
            <w:tcW w:w="3716" w:type="pct"/>
            <w:shd w:val="clear" w:color="auto" w:fill="auto"/>
          </w:tcPr>
          <w:p w14:paraId="3C091E96" w14:textId="77777777" w:rsidR="00170FF5" w:rsidRPr="00EF502F" w:rsidRDefault="00170FF5" w:rsidP="007170AE">
            <w:pPr>
              <w:spacing w:after="0"/>
              <w:jc w:val="left"/>
              <w:rPr>
                <w:sz w:val="18"/>
                <w:szCs w:val="18"/>
              </w:rPr>
            </w:pPr>
            <w:r w:rsidRPr="00EF502F">
              <w:rPr>
                <w:sz w:val="18"/>
                <w:szCs w:val="18"/>
              </w:rPr>
              <w:t>Integrovaný regionálny operačný program</w:t>
            </w:r>
          </w:p>
        </w:tc>
      </w:tr>
      <w:tr w:rsidR="00CD22C4" w:rsidRPr="00F81151" w14:paraId="6958FA24" w14:textId="77777777" w:rsidTr="007F7533">
        <w:trPr>
          <w:trHeight w:val="336"/>
          <w:jc w:val="center"/>
        </w:trPr>
        <w:tc>
          <w:tcPr>
            <w:tcW w:w="1284" w:type="pct"/>
            <w:shd w:val="clear" w:color="auto" w:fill="auto"/>
          </w:tcPr>
          <w:p w14:paraId="1AD5ECB2" w14:textId="4E55ED0F" w:rsidR="00CD22C4" w:rsidRPr="00BA3AC1" w:rsidRDefault="00CD22C4" w:rsidP="007170AE">
            <w:pPr>
              <w:spacing w:after="0"/>
              <w:jc w:val="left"/>
              <w:rPr>
                <w:color w:val="314364" w:themeColor="text2"/>
                <w:sz w:val="18"/>
                <w:szCs w:val="18"/>
              </w:rPr>
            </w:pPr>
            <w:r>
              <w:rPr>
                <w:color w:val="314364" w:themeColor="text2"/>
                <w:sz w:val="18"/>
                <w:szCs w:val="18"/>
              </w:rPr>
              <w:t>MD SR</w:t>
            </w:r>
          </w:p>
        </w:tc>
        <w:tc>
          <w:tcPr>
            <w:tcW w:w="3716" w:type="pct"/>
            <w:shd w:val="clear" w:color="auto" w:fill="auto"/>
          </w:tcPr>
          <w:p w14:paraId="1BE633AB" w14:textId="00726888" w:rsidR="00CD22C4" w:rsidRPr="00EF502F" w:rsidRDefault="00CD22C4" w:rsidP="007170AE">
            <w:pPr>
              <w:spacing w:after="0"/>
              <w:jc w:val="left"/>
              <w:rPr>
                <w:sz w:val="18"/>
                <w:szCs w:val="18"/>
              </w:rPr>
            </w:pPr>
            <w:r>
              <w:rPr>
                <w:sz w:val="18"/>
                <w:szCs w:val="18"/>
              </w:rPr>
              <w:t>Ministerstvo dopravy Slovenskej republiky</w:t>
            </w:r>
          </w:p>
        </w:tc>
      </w:tr>
      <w:tr w:rsidR="00170FF5" w:rsidRPr="00F81151" w14:paraId="731AE949" w14:textId="77777777" w:rsidTr="007F7533">
        <w:trPr>
          <w:trHeight w:val="336"/>
          <w:jc w:val="center"/>
        </w:trPr>
        <w:tc>
          <w:tcPr>
            <w:tcW w:w="1284" w:type="pct"/>
            <w:shd w:val="clear" w:color="auto" w:fill="auto"/>
          </w:tcPr>
          <w:p w14:paraId="7246081F"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MDV SR</w:t>
            </w:r>
          </w:p>
        </w:tc>
        <w:tc>
          <w:tcPr>
            <w:tcW w:w="3716" w:type="pct"/>
            <w:shd w:val="clear" w:color="auto" w:fill="auto"/>
          </w:tcPr>
          <w:p w14:paraId="03B28813" w14:textId="77777777" w:rsidR="00170FF5" w:rsidRPr="00EF502F" w:rsidRDefault="00170FF5" w:rsidP="007170AE">
            <w:pPr>
              <w:spacing w:after="0"/>
              <w:jc w:val="left"/>
              <w:rPr>
                <w:sz w:val="18"/>
                <w:szCs w:val="18"/>
              </w:rPr>
            </w:pPr>
            <w:r w:rsidRPr="00EF502F">
              <w:rPr>
                <w:sz w:val="18"/>
                <w:szCs w:val="18"/>
              </w:rPr>
              <w:t>Ministerstvo dopravy a výstavby Slovenskej republiky</w:t>
            </w:r>
          </w:p>
        </w:tc>
      </w:tr>
      <w:tr w:rsidR="00170FF5" w:rsidRPr="00F81151" w14:paraId="347A2B3A" w14:textId="77777777" w:rsidTr="007F7533">
        <w:trPr>
          <w:trHeight w:val="336"/>
          <w:jc w:val="center"/>
        </w:trPr>
        <w:tc>
          <w:tcPr>
            <w:tcW w:w="1284" w:type="pct"/>
            <w:shd w:val="clear" w:color="auto" w:fill="auto"/>
          </w:tcPr>
          <w:p w14:paraId="6A74920C"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MIRRI SR</w:t>
            </w:r>
          </w:p>
        </w:tc>
        <w:tc>
          <w:tcPr>
            <w:tcW w:w="3716" w:type="pct"/>
            <w:shd w:val="clear" w:color="auto" w:fill="auto"/>
          </w:tcPr>
          <w:p w14:paraId="1513D25E" w14:textId="77777777" w:rsidR="00170FF5" w:rsidRPr="00EF502F" w:rsidRDefault="00170FF5" w:rsidP="007170AE">
            <w:pPr>
              <w:spacing w:after="0"/>
              <w:jc w:val="left"/>
              <w:rPr>
                <w:sz w:val="18"/>
                <w:szCs w:val="18"/>
              </w:rPr>
            </w:pPr>
            <w:r w:rsidRPr="00EF502F">
              <w:rPr>
                <w:sz w:val="18"/>
                <w:szCs w:val="18"/>
              </w:rPr>
              <w:t>Ministerstvo investícií, regionálneho rozvoja a informatizácie Slovenskej republiky</w:t>
            </w:r>
          </w:p>
        </w:tc>
      </w:tr>
      <w:tr w:rsidR="00170FF5" w:rsidRPr="00F81151" w14:paraId="77AB4D98" w14:textId="77777777" w:rsidTr="007F7533">
        <w:trPr>
          <w:trHeight w:val="336"/>
          <w:jc w:val="center"/>
        </w:trPr>
        <w:tc>
          <w:tcPr>
            <w:tcW w:w="1284" w:type="pct"/>
            <w:shd w:val="clear" w:color="auto" w:fill="auto"/>
          </w:tcPr>
          <w:p w14:paraId="4DD92A0F"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MO SR</w:t>
            </w:r>
          </w:p>
        </w:tc>
        <w:tc>
          <w:tcPr>
            <w:tcW w:w="3716" w:type="pct"/>
            <w:shd w:val="clear" w:color="auto" w:fill="auto"/>
          </w:tcPr>
          <w:p w14:paraId="1F2F610F" w14:textId="77777777" w:rsidR="00170FF5" w:rsidRPr="00EF502F" w:rsidRDefault="00170FF5" w:rsidP="007170AE">
            <w:pPr>
              <w:spacing w:after="0"/>
              <w:jc w:val="left"/>
              <w:rPr>
                <w:sz w:val="18"/>
                <w:szCs w:val="18"/>
              </w:rPr>
            </w:pPr>
            <w:r w:rsidRPr="00EF502F">
              <w:rPr>
                <w:sz w:val="18"/>
                <w:szCs w:val="18"/>
              </w:rPr>
              <w:t>Ministerstvo obrany Slovenskej republiky</w:t>
            </w:r>
          </w:p>
        </w:tc>
      </w:tr>
      <w:tr w:rsidR="00170FF5" w:rsidRPr="00F81151" w14:paraId="205F2345" w14:textId="77777777" w:rsidTr="007F7533">
        <w:trPr>
          <w:trHeight w:val="336"/>
          <w:jc w:val="center"/>
        </w:trPr>
        <w:tc>
          <w:tcPr>
            <w:tcW w:w="1284" w:type="pct"/>
            <w:shd w:val="clear" w:color="auto" w:fill="auto"/>
          </w:tcPr>
          <w:p w14:paraId="01CCB590"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MF SR</w:t>
            </w:r>
          </w:p>
        </w:tc>
        <w:tc>
          <w:tcPr>
            <w:tcW w:w="3716" w:type="pct"/>
            <w:shd w:val="clear" w:color="auto" w:fill="auto"/>
          </w:tcPr>
          <w:p w14:paraId="255DF3CF" w14:textId="77777777" w:rsidR="00170FF5" w:rsidRPr="00EF502F" w:rsidRDefault="00170FF5" w:rsidP="007170AE">
            <w:pPr>
              <w:spacing w:after="0"/>
              <w:jc w:val="left"/>
              <w:rPr>
                <w:sz w:val="18"/>
                <w:szCs w:val="18"/>
              </w:rPr>
            </w:pPr>
            <w:r w:rsidRPr="00EF502F">
              <w:rPr>
                <w:sz w:val="18"/>
                <w:szCs w:val="18"/>
              </w:rPr>
              <w:t>Ministerstvo financií Slovenskej republiky</w:t>
            </w:r>
          </w:p>
        </w:tc>
      </w:tr>
      <w:tr w:rsidR="00170FF5" w:rsidRPr="00F81151" w14:paraId="64682ECD" w14:textId="77777777" w:rsidTr="007F7533">
        <w:trPr>
          <w:trHeight w:val="336"/>
          <w:jc w:val="center"/>
        </w:trPr>
        <w:tc>
          <w:tcPr>
            <w:tcW w:w="1284" w:type="pct"/>
            <w:shd w:val="clear" w:color="auto" w:fill="auto"/>
          </w:tcPr>
          <w:p w14:paraId="7CD8DB17"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MH SR</w:t>
            </w:r>
          </w:p>
        </w:tc>
        <w:tc>
          <w:tcPr>
            <w:tcW w:w="3716" w:type="pct"/>
            <w:shd w:val="clear" w:color="auto" w:fill="auto"/>
          </w:tcPr>
          <w:p w14:paraId="2659F712" w14:textId="77777777" w:rsidR="00170FF5" w:rsidRPr="00EF502F" w:rsidRDefault="00170FF5" w:rsidP="007170AE">
            <w:pPr>
              <w:spacing w:after="0"/>
              <w:jc w:val="left"/>
              <w:rPr>
                <w:sz w:val="18"/>
                <w:szCs w:val="18"/>
              </w:rPr>
            </w:pPr>
            <w:r w:rsidRPr="00EF502F">
              <w:rPr>
                <w:sz w:val="18"/>
                <w:szCs w:val="18"/>
              </w:rPr>
              <w:t>Ministerstvo hospodárstva Slovenskej republiky</w:t>
            </w:r>
          </w:p>
        </w:tc>
      </w:tr>
      <w:tr w:rsidR="00170FF5" w:rsidRPr="00F81151" w14:paraId="6B26A5FC" w14:textId="77777777" w:rsidTr="007F7533">
        <w:trPr>
          <w:trHeight w:val="336"/>
          <w:jc w:val="center"/>
        </w:trPr>
        <w:tc>
          <w:tcPr>
            <w:tcW w:w="1284" w:type="pct"/>
            <w:shd w:val="clear" w:color="auto" w:fill="auto"/>
          </w:tcPr>
          <w:p w14:paraId="0BD85055"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MPSVR SR</w:t>
            </w:r>
          </w:p>
        </w:tc>
        <w:tc>
          <w:tcPr>
            <w:tcW w:w="3716" w:type="pct"/>
            <w:shd w:val="clear" w:color="auto" w:fill="auto"/>
          </w:tcPr>
          <w:p w14:paraId="048E88E7" w14:textId="77777777" w:rsidR="00170FF5" w:rsidRPr="00EF502F" w:rsidRDefault="00170FF5" w:rsidP="007170AE">
            <w:pPr>
              <w:spacing w:after="0"/>
              <w:jc w:val="left"/>
              <w:rPr>
                <w:sz w:val="18"/>
                <w:szCs w:val="18"/>
              </w:rPr>
            </w:pPr>
            <w:r w:rsidRPr="00EF502F">
              <w:rPr>
                <w:sz w:val="18"/>
                <w:szCs w:val="18"/>
              </w:rPr>
              <w:t>Ministerstvo práce, sociálnych vecí a rodiny Slovenskej republiky</w:t>
            </w:r>
          </w:p>
        </w:tc>
      </w:tr>
      <w:tr w:rsidR="00170FF5" w:rsidRPr="00F81151" w14:paraId="62D27DED" w14:textId="77777777" w:rsidTr="007F7533">
        <w:trPr>
          <w:trHeight w:val="336"/>
          <w:jc w:val="center"/>
        </w:trPr>
        <w:tc>
          <w:tcPr>
            <w:tcW w:w="1284" w:type="pct"/>
            <w:shd w:val="clear" w:color="auto" w:fill="auto"/>
          </w:tcPr>
          <w:p w14:paraId="44BAAADC"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MŠVVaŠ SR</w:t>
            </w:r>
          </w:p>
        </w:tc>
        <w:tc>
          <w:tcPr>
            <w:tcW w:w="3716" w:type="pct"/>
            <w:shd w:val="clear" w:color="auto" w:fill="auto"/>
          </w:tcPr>
          <w:p w14:paraId="48398C91" w14:textId="77777777" w:rsidR="00170FF5" w:rsidRPr="00EF502F" w:rsidRDefault="00170FF5" w:rsidP="007170AE">
            <w:pPr>
              <w:spacing w:after="0"/>
              <w:jc w:val="left"/>
              <w:rPr>
                <w:sz w:val="18"/>
                <w:szCs w:val="18"/>
              </w:rPr>
            </w:pPr>
            <w:r w:rsidRPr="00EF502F">
              <w:rPr>
                <w:sz w:val="18"/>
                <w:szCs w:val="18"/>
              </w:rPr>
              <w:t>Ministerstvo školstva, vedy, výskumu a športu Slovenskej republiky</w:t>
            </w:r>
          </w:p>
        </w:tc>
      </w:tr>
      <w:tr w:rsidR="00170FF5" w:rsidRPr="00F81151" w14:paraId="6758A279" w14:textId="77777777" w:rsidTr="007F7533">
        <w:trPr>
          <w:trHeight w:val="336"/>
          <w:jc w:val="center"/>
        </w:trPr>
        <w:tc>
          <w:tcPr>
            <w:tcW w:w="1284" w:type="pct"/>
            <w:shd w:val="clear" w:color="auto" w:fill="auto"/>
          </w:tcPr>
          <w:p w14:paraId="4035D27A"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MV SR</w:t>
            </w:r>
          </w:p>
        </w:tc>
        <w:tc>
          <w:tcPr>
            <w:tcW w:w="3716" w:type="pct"/>
            <w:shd w:val="clear" w:color="auto" w:fill="auto"/>
          </w:tcPr>
          <w:p w14:paraId="6BD862F1" w14:textId="77777777" w:rsidR="00170FF5" w:rsidRPr="00EF502F" w:rsidRDefault="00170FF5" w:rsidP="007170AE">
            <w:pPr>
              <w:spacing w:after="0"/>
              <w:jc w:val="left"/>
              <w:rPr>
                <w:sz w:val="18"/>
                <w:szCs w:val="18"/>
              </w:rPr>
            </w:pPr>
            <w:r w:rsidRPr="00EF502F">
              <w:rPr>
                <w:sz w:val="18"/>
                <w:szCs w:val="18"/>
              </w:rPr>
              <w:t>Ministerstvo vnútra Slovenskej republiky</w:t>
            </w:r>
          </w:p>
        </w:tc>
      </w:tr>
      <w:tr w:rsidR="00170FF5" w:rsidRPr="00F81151" w14:paraId="70280AAC" w14:textId="77777777" w:rsidTr="007F7533">
        <w:trPr>
          <w:trHeight w:val="336"/>
          <w:jc w:val="center"/>
        </w:trPr>
        <w:tc>
          <w:tcPr>
            <w:tcW w:w="1284" w:type="pct"/>
            <w:shd w:val="clear" w:color="auto" w:fill="auto"/>
          </w:tcPr>
          <w:p w14:paraId="4E5DDD97"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MZ SR</w:t>
            </w:r>
          </w:p>
        </w:tc>
        <w:tc>
          <w:tcPr>
            <w:tcW w:w="3716" w:type="pct"/>
            <w:shd w:val="clear" w:color="auto" w:fill="auto"/>
          </w:tcPr>
          <w:p w14:paraId="020AB756" w14:textId="77777777" w:rsidR="00170FF5" w:rsidRPr="00EF502F" w:rsidRDefault="00170FF5" w:rsidP="007170AE">
            <w:pPr>
              <w:spacing w:after="0"/>
              <w:jc w:val="left"/>
              <w:rPr>
                <w:sz w:val="18"/>
                <w:szCs w:val="18"/>
              </w:rPr>
            </w:pPr>
            <w:r w:rsidRPr="00EF502F">
              <w:rPr>
                <w:sz w:val="18"/>
                <w:szCs w:val="18"/>
              </w:rPr>
              <w:t>Ministerstvo zdravotníctva Slovenskej republiky</w:t>
            </w:r>
          </w:p>
        </w:tc>
      </w:tr>
      <w:tr w:rsidR="00170FF5" w:rsidRPr="00F81151" w14:paraId="5CE5394D" w14:textId="77777777" w:rsidTr="007F7533">
        <w:trPr>
          <w:trHeight w:val="336"/>
          <w:jc w:val="center"/>
        </w:trPr>
        <w:tc>
          <w:tcPr>
            <w:tcW w:w="1284" w:type="pct"/>
            <w:shd w:val="clear" w:color="auto" w:fill="auto"/>
          </w:tcPr>
          <w:p w14:paraId="4B2E5DAD"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MŽP SR</w:t>
            </w:r>
          </w:p>
        </w:tc>
        <w:tc>
          <w:tcPr>
            <w:tcW w:w="3716" w:type="pct"/>
            <w:shd w:val="clear" w:color="auto" w:fill="auto"/>
          </w:tcPr>
          <w:p w14:paraId="4CCC83B3" w14:textId="77777777" w:rsidR="00170FF5" w:rsidRPr="00EF502F" w:rsidRDefault="00170FF5" w:rsidP="007170AE">
            <w:pPr>
              <w:spacing w:after="0"/>
              <w:jc w:val="left"/>
              <w:rPr>
                <w:sz w:val="18"/>
                <w:szCs w:val="18"/>
              </w:rPr>
            </w:pPr>
            <w:r w:rsidRPr="00EF502F">
              <w:rPr>
                <w:sz w:val="18"/>
                <w:szCs w:val="18"/>
              </w:rPr>
              <w:t>Ministerstvo životného prostredia Slovenskej republiky</w:t>
            </w:r>
          </w:p>
        </w:tc>
      </w:tr>
      <w:tr w:rsidR="00170FF5" w:rsidRPr="00F81151" w14:paraId="4A9ED258" w14:textId="77777777" w:rsidTr="007F7533">
        <w:trPr>
          <w:trHeight w:val="336"/>
          <w:jc w:val="center"/>
        </w:trPr>
        <w:tc>
          <w:tcPr>
            <w:tcW w:w="1284" w:type="pct"/>
            <w:shd w:val="clear" w:color="auto" w:fill="auto"/>
          </w:tcPr>
          <w:p w14:paraId="60D41F8E"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N</w:t>
            </w:r>
          </w:p>
        </w:tc>
        <w:tc>
          <w:tcPr>
            <w:tcW w:w="3716" w:type="pct"/>
            <w:shd w:val="clear" w:color="auto" w:fill="auto"/>
          </w:tcPr>
          <w:p w14:paraId="44CB6998" w14:textId="77777777" w:rsidR="00170FF5" w:rsidRPr="00EF502F" w:rsidRDefault="00170FF5" w:rsidP="007170AE">
            <w:pPr>
              <w:spacing w:after="0"/>
              <w:jc w:val="left"/>
              <w:rPr>
                <w:sz w:val="18"/>
                <w:szCs w:val="18"/>
              </w:rPr>
            </w:pPr>
            <w:r w:rsidRPr="00EF502F">
              <w:rPr>
                <w:sz w:val="18"/>
                <w:szCs w:val="18"/>
              </w:rPr>
              <w:t>návrh</w:t>
            </w:r>
          </w:p>
        </w:tc>
      </w:tr>
      <w:tr w:rsidR="00170FF5" w:rsidRPr="00F81151" w14:paraId="65433325" w14:textId="77777777" w:rsidTr="007F7533">
        <w:trPr>
          <w:trHeight w:val="336"/>
          <w:jc w:val="center"/>
        </w:trPr>
        <w:tc>
          <w:tcPr>
            <w:tcW w:w="1284" w:type="pct"/>
            <w:shd w:val="clear" w:color="auto" w:fill="auto"/>
          </w:tcPr>
          <w:p w14:paraId="49F869E9"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NBS</w:t>
            </w:r>
          </w:p>
        </w:tc>
        <w:tc>
          <w:tcPr>
            <w:tcW w:w="3716" w:type="pct"/>
            <w:shd w:val="clear" w:color="auto" w:fill="auto"/>
          </w:tcPr>
          <w:p w14:paraId="5A03F7B8" w14:textId="77777777" w:rsidR="00170FF5" w:rsidRPr="00EF502F" w:rsidRDefault="00170FF5" w:rsidP="007170AE">
            <w:pPr>
              <w:spacing w:after="0"/>
              <w:jc w:val="left"/>
              <w:rPr>
                <w:sz w:val="18"/>
                <w:szCs w:val="18"/>
              </w:rPr>
            </w:pPr>
            <w:r w:rsidRPr="00EF502F">
              <w:rPr>
                <w:sz w:val="18"/>
                <w:szCs w:val="18"/>
              </w:rPr>
              <w:t>Národná banka Slovenska</w:t>
            </w:r>
          </w:p>
        </w:tc>
      </w:tr>
      <w:tr w:rsidR="00170FF5" w:rsidRPr="00F81151" w14:paraId="2956A90B" w14:textId="77777777" w:rsidTr="007F7533">
        <w:trPr>
          <w:trHeight w:val="336"/>
          <w:jc w:val="center"/>
        </w:trPr>
        <w:tc>
          <w:tcPr>
            <w:tcW w:w="1284" w:type="pct"/>
            <w:shd w:val="clear" w:color="auto" w:fill="auto"/>
          </w:tcPr>
          <w:p w14:paraId="5E0E0275"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NKÚ SR</w:t>
            </w:r>
          </w:p>
        </w:tc>
        <w:tc>
          <w:tcPr>
            <w:tcW w:w="3716" w:type="pct"/>
            <w:shd w:val="clear" w:color="auto" w:fill="auto"/>
          </w:tcPr>
          <w:p w14:paraId="5A81318C" w14:textId="77777777" w:rsidR="00170FF5" w:rsidRPr="00EF502F" w:rsidRDefault="00170FF5" w:rsidP="007170AE">
            <w:pPr>
              <w:spacing w:after="0"/>
              <w:jc w:val="left"/>
              <w:rPr>
                <w:sz w:val="18"/>
                <w:szCs w:val="18"/>
              </w:rPr>
            </w:pPr>
            <w:r w:rsidRPr="00EF502F">
              <w:rPr>
                <w:sz w:val="18"/>
                <w:szCs w:val="18"/>
              </w:rPr>
              <w:t>Najvyšší kontrolný úrad Slovenskej republiky</w:t>
            </w:r>
          </w:p>
        </w:tc>
      </w:tr>
      <w:tr w:rsidR="00170FF5" w:rsidRPr="00F81151" w14:paraId="40F1F00B" w14:textId="77777777" w:rsidTr="007F7533">
        <w:trPr>
          <w:trHeight w:val="336"/>
          <w:jc w:val="center"/>
        </w:trPr>
        <w:tc>
          <w:tcPr>
            <w:tcW w:w="1284" w:type="pct"/>
            <w:shd w:val="clear" w:color="auto" w:fill="auto"/>
          </w:tcPr>
          <w:p w14:paraId="7C9FD506" w14:textId="77777777" w:rsidR="00170FF5" w:rsidRPr="00BA3AC1" w:rsidRDefault="00170FF5" w:rsidP="007170AE">
            <w:pPr>
              <w:spacing w:after="0"/>
              <w:jc w:val="left"/>
              <w:rPr>
                <w:color w:val="314364" w:themeColor="text2"/>
                <w:sz w:val="18"/>
                <w:szCs w:val="18"/>
              </w:rPr>
            </w:pPr>
            <w:r>
              <w:rPr>
                <w:color w:val="314364" w:themeColor="text2"/>
                <w:sz w:val="18"/>
                <w:szCs w:val="18"/>
              </w:rPr>
              <w:t>NR SR</w:t>
            </w:r>
          </w:p>
        </w:tc>
        <w:tc>
          <w:tcPr>
            <w:tcW w:w="3716" w:type="pct"/>
            <w:shd w:val="clear" w:color="auto" w:fill="auto"/>
          </w:tcPr>
          <w:p w14:paraId="1ABC32B4" w14:textId="77777777" w:rsidR="00170FF5" w:rsidRPr="00BA3AC1" w:rsidRDefault="00170FF5" w:rsidP="007170AE">
            <w:pPr>
              <w:spacing w:after="0"/>
              <w:jc w:val="left"/>
              <w:rPr>
                <w:sz w:val="18"/>
                <w:szCs w:val="18"/>
              </w:rPr>
            </w:pPr>
            <w:r>
              <w:rPr>
                <w:sz w:val="18"/>
                <w:szCs w:val="18"/>
              </w:rPr>
              <w:t>Národná rada Slovenskej republiky</w:t>
            </w:r>
          </w:p>
        </w:tc>
      </w:tr>
      <w:tr w:rsidR="00170FF5" w:rsidRPr="00F81151" w14:paraId="5FE72210" w14:textId="77777777" w:rsidTr="007F7533">
        <w:trPr>
          <w:trHeight w:val="336"/>
          <w:jc w:val="center"/>
        </w:trPr>
        <w:tc>
          <w:tcPr>
            <w:tcW w:w="1284" w:type="pct"/>
            <w:shd w:val="clear" w:color="auto" w:fill="auto"/>
          </w:tcPr>
          <w:p w14:paraId="1C92A8DF"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OP</w:t>
            </w:r>
          </w:p>
        </w:tc>
        <w:tc>
          <w:tcPr>
            <w:tcW w:w="3716" w:type="pct"/>
            <w:shd w:val="clear" w:color="auto" w:fill="auto"/>
          </w:tcPr>
          <w:p w14:paraId="41652271" w14:textId="532AE62F" w:rsidR="00170FF5" w:rsidRPr="00BA3AC1" w:rsidRDefault="00CD22C4" w:rsidP="007170AE">
            <w:pPr>
              <w:spacing w:after="0"/>
              <w:jc w:val="left"/>
              <w:rPr>
                <w:sz w:val="18"/>
                <w:szCs w:val="18"/>
              </w:rPr>
            </w:pPr>
            <w:r>
              <w:rPr>
                <w:sz w:val="18"/>
                <w:szCs w:val="18"/>
              </w:rPr>
              <w:t>o</w:t>
            </w:r>
            <w:r w:rsidR="00170FF5" w:rsidRPr="00BA3AC1">
              <w:rPr>
                <w:sz w:val="18"/>
                <w:szCs w:val="18"/>
              </w:rPr>
              <w:t>peračný program</w:t>
            </w:r>
          </w:p>
        </w:tc>
      </w:tr>
      <w:tr w:rsidR="00170FF5" w:rsidRPr="00F81151" w14:paraId="169797D3" w14:textId="77777777" w:rsidTr="007F7533">
        <w:trPr>
          <w:trHeight w:val="336"/>
          <w:jc w:val="center"/>
        </w:trPr>
        <w:tc>
          <w:tcPr>
            <w:tcW w:w="1284" w:type="pct"/>
            <w:shd w:val="clear" w:color="auto" w:fill="auto"/>
          </w:tcPr>
          <w:p w14:paraId="4112B7EC"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OS</w:t>
            </w:r>
          </w:p>
        </w:tc>
        <w:tc>
          <w:tcPr>
            <w:tcW w:w="3716" w:type="pct"/>
            <w:shd w:val="clear" w:color="auto" w:fill="auto"/>
          </w:tcPr>
          <w:p w14:paraId="0626B919" w14:textId="77777777" w:rsidR="00170FF5" w:rsidRPr="00BA3AC1" w:rsidRDefault="00170FF5" w:rsidP="007170AE">
            <w:pPr>
              <w:spacing w:after="0"/>
              <w:jc w:val="left"/>
              <w:rPr>
                <w:sz w:val="18"/>
                <w:szCs w:val="18"/>
              </w:rPr>
            </w:pPr>
            <w:r w:rsidRPr="00BA3AC1">
              <w:rPr>
                <w:sz w:val="18"/>
                <w:szCs w:val="18"/>
              </w:rPr>
              <w:t>očakávaná skutočnosť</w:t>
            </w:r>
          </w:p>
        </w:tc>
      </w:tr>
      <w:tr w:rsidR="00170FF5" w:rsidRPr="00F81151" w14:paraId="5C4E6ED0" w14:textId="77777777" w:rsidTr="007F7533">
        <w:trPr>
          <w:trHeight w:val="336"/>
          <w:jc w:val="center"/>
        </w:trPr>
        <w:tc>
          <w:tcPr>
            <w:tcW w:w="1284" w:type="pct"/>
            <w:shd w:val="clear" w:color="auto" w:fill="auto"/>
          </w:tcPr>
          <w:p w14:paraId="50A845C7"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PO</w:t>
            </w:r>
          </w:p>
        </w:tc>
        <w:tc>
          <w:tcPr>
            <w:tcW w:w="3716" w:type="pct"/>
            <w:shd w:val="clear" w:color="auto" w:fill="auto"/>
          </w:tcPr>
          <w:p w14:paraId="6289D21C" w14:textId="77777777" w:rsidR="00170FF5" w:rsidRPr="00BA3AC1" w:rsidRDefault="00170FF5" w:rsidP="007170AE">
            <w:pPr>
              <w:spacing w:after="0"/>
              <w:jc w:val="left"/>
              <w:rPr>
                <w:sz w:val="18"/>
                <w:szCs w:val="18"/>
              </w:rPr>
            </w:pPr>
            <w:r w:rsidRPr="00BA3AC1">
              <w:rPr>
                <w:sz w:val="18"/>
                <w:szCs w:val="18"/>
              </w:rPr>
              <w:t>programové obdobie</w:t>
            </w:r>
          </w:p>
        </w:tc>
      </w:tr>
      <w:tr w:rsidR="00170FF5" w:rsidRPr="00F81151" w14:paraId="230BF4C7" w14:textId="77777777" w:rsidTr="007F7533">
        <w:trPr>
          <w:trHeight w:val="336"/>
          <w:jc w:val="center"/>
        </w:trPr>
        <w:tc>
          <w:tcPr>
            <w:tcW w:w="1284" w:type="pct"/>
            <w:shd w:val="clear" w:color="auto" w:fill="auto"/>
          </w:tcPr>
          <w:p w14:paraId="47FDF7F4"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POO</w:t>
            </w:r>
          </w:p>
        </w:tc>
        <w:tc>
          <w:tcPr>
            <w:tcW w:w="3716" w:type="pct"/>
            <w:shd w:val="clear" w:color="auto" w:fill="auto"/>
          </w:tcPr>
          <w:p w14:paraId="751E3609" w14:textId="77777777" w:rsidR="00170FF5" w:rsidRPr="00BA3AC1" w:rsidRDefault="00170FF5" w:rsidP="007170AE">
            <w:pPr>
              <w:spacing w:after="0"/>
              <w:jc w:val="left"/>
              <w:rPr>
                <w:sz w:val="18"/>
                <w:szCs w:val="18"/>
              </w:rPr>
            </w:pPr>
            <w:r w:rsidRPr="00BA3AC1">
              <w:rPr>
                <w:sz w:val="18"/>
                <w:szCs w:val="18"/>
              </w:rPr>
              <w:t>Plán obnovy a odolnosti</w:t>
            </w:r>
          </w:p>
        </w:tc>
      </w:tr>
      <w:tr w:rsidR="00170FF5" w:rsidRPr="00F81151" w14:paraId="7B05BB8D" w14:textId="77777777" w:rsidTr="007F7533">
        <w:trPr>
          <w:trHeight w:val="336"/>
          <w:jc w:val="center"/>
        </w:trPr>
        <w:tc>
          <w:tcPr>
            <w:tcW w:w="1284" w:type="pct"/>
            <w:shd w:val="clear" w:color="auto" w:fill="auto"/>
          </w:tcPr>
          <w:p w14:paraId="1CBA335D"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PRV</w:t>
            </w:r>
          </w:p>
        </w:tc>
        <w:tc>
          <w:tcPr>
            <w:tcW w:w="3716" w:type="pct"/>
            <w:shd w:val="clear" w:color="auto" w:fill="auto"/>
          </w:tcPr>
          <w:p w14:paraId="2E512BB0" w14:textId="77777777" w:rsidR="00170FF5" w:rsidRPr="00BA3AC1" w:rsidRDefault="00170FF5" w:rsidP="007170AE">
            <w:pPr>
              <w:spacing w:after="0"/>
              <w:jc w:val="left"/>
              <w:rPr>
                <w:sz w:val="18"/>
                <w:szCs w:val="18"/>
              </w:rPr>
            </w:pPr>
            <w:r w:rsidRPr="00BA3AC1">
              <w:rPr>
                <w:sz w:val="18"/>
                <w:szCs w:val="18"/>
              </w:rPr>
              <w:t>Program rozvoja vidieka</w:t>
            </w:r>
          </w:p>
        </w:tc>
      </w:tr>
      <w:tr w:rsidR="00170FF5" w:rsidRPr="00F81151" w14:paraId="4868C068" w14:textId="77777777" w:rsidTr="007F7533">
        <w:trPr>
          <w:trHeight w:val="336"/>
          <w:jc w:val="center"/>
        </w:trPr>
        <w:tc>
          <w:tcPr>
            <w:tcW w:w="1284" w:type="pct"/>
            <w:shd w:val="clear" w:color="auto" w:fill="auto"/>
          </w:tcPr>
          <w:p w14:paraId="25F90E67"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PVV</w:t>
            </w:r>
          </w:p>
        </w:tc>
        <w:tc>
          <w:tcPr>
            <w:tcW w:w="3716" w:type="pct"/>
            <w:shd w:val="clear" w:color="auto" w:fill="auto"/>
          </w:tcPr>
          <w:p w14:paraId="5EAA5AC2" w14:textId="77777777" w:rsidR="00170FF5" w:rsidRPr="00BA3AC1" w:rsidRDefault="00170FF5" w:rsidP="007170AE">
            <w:pPr>
              <w:spacing w:after="0"/>
              <w:jc w:val="left"/>
              <w:rPr>
                <w:sz w:val="18"/>
                <w:szCs w:val="18"/>
              </w:rPr>
            </w:pPr>
            <w:r w:rsidRPr="00BA3AC1">
              <w:rPr>
                <w:sz w:val="18"/>
                <w:szCs w:val="18"/>
              </w:rPr>
              <w:t>Programové vyhlásenie vlády</w:t>
            </w:r>
          </w:p>
        </w:tc>
      </w:tr>
      <w:tr w:rsidR="00170FF5" w:rsidRPr="00F81151" w14:paraId="214D2771" w14:textId="77777777" w:rsidTr="007F7533">
        <w:trPr>
          <w:trHeight w:val="336"/>
          <w:jc w:val="center"/>
        </w:trPr>
        <w:tc>
          <w:tcPr>
            <w:tcW w:w="1284" w:type="pct"/>
            <w:shd w:val="clear" w:color="auto" w:fill="auto"/>
          </w:tcPr>
          <w:p w14:paraId="75AA4040"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RIS</w:t>
            </w:r>
          </w:p>
        </w:tc>
        <w:tc>
          <w:tcPr>
            <w:tcW w:w="3716" w:type="pct"/>
            <w:shd w:val="clear" w:color="auto" w:fill="auto"/>
          </w:tcPr>
          <w:p w14:paraId="1F6FDBBA" w14:textId="77777777" w:rsidR="00170FF5" w:rsidRPr="00BA3AC1" w:rsidRDefault="00170FF5" w:rsidP="007170AE">
            <w:pPr>
              <w:spacing w:after="0"/>
              <w:jc w:val="left"/>
              <w:rPr>
                <w:sz w:val="18"/>
                <w:szCs w:val="18"/>
              </w:rPr>
            </w:pPr>
            <w:r w:rsidRPr="00BA3AC1">
              <w:rPr>
                <w:sz w:val="18"/>
                <w:szCs w:val="18"/>
              </w:rPr>
              <w:t>Rozpočtový informačný systém</w:t>
            </w:r>
          </w:p>
        </w:tc>
      </w:tr>
      <w:tr w:rsidR="00170FF5" w:rsidRPr="00F81151" w14:paraId="4CA2D46F" w14:textId="77777777" w:rsidTr="007F7533">
        <w:trPr>
          <w:trHeight w:val="336"/>
          <w:jc w:val="center"/>
        </w:trPr>
        <w:tc>
          <w:tcPr>
            <w:tcW w:w="1284" w:type="pct"/>
            <w:shd w:val="clear" w:color="auto" w:fill="auto"/>
          </w:tcPr>
          <w:p w14:paraId="27EEEEB9"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RRZ</w:t>
            </w:r>
          </w:p>
        </w:tc>
        <w:tc>
          <w:tcPr>
            <w:tcW w:w="3716" w:type="pct"/>
            <w:shd w:val="clear" w:color="auto" w:fill="auto"/>
          </w:tcPr>
          <w:p w14:paraId="1448EC6D" w14:textId="77777777" w:rsidR="00170FF5" w:rsidRPr="00BA3AC1" w:rsidRDefault="00170FF5" w:rsidP="007170AE">
            <w:pPr>
              <w:spacing w:after="0"/>
              <w:jc w:val="left"/>
              <w:rPr>
                <w:sz w:val="18"/>
                <w:szCs w:val="18"/>
              </w:rPr>
            </w:pPr>
            <w:r w:rsidRPr="00BA3AC1">
              <w:rPr>
                <w:sz w:val="18"/>
                <w:szCs w:val="18"/>
              </w:rPr>
              <w:t>Rada pre rozpočtovú zodpovednosť</w:t>
            </w:r>
          </w:p>
        </w:tc>
      </w:tr>
      <w:tr w:rsidR="00170FF5" w:rsidRPr="00F81151" w14:paraId="76172689" w14:textId="77777777" w:rsidTr="007F7533">
        <w:trPr>
          <w:trHeight w:val="336"/>
          <w:jc w:val="center"/>
        </w:trPr>
        <w:tc>
          <w:tcPr>
            <w:tcW w:w="1284" w:type="pct"/>
            <w:shd w:val="clear" w:color="auto" w:fill="auto"/>
          </w:tcPr>
          <w:p w14:paraId="1DBC8111"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RVS</w:t>
            </w:r>
          </w:p>
        </w:tc>
        <w:tc>
          <w:tcPr>
            <w:tcW w:w="3716" w:type="pct"/>
            <w:shd w:val="clear" w:color="auto" w:fill="auto"/>
          </w:tcPr>
          <w:p w14:paraId="63B01B60" w14:textId="77777777" w:rsidR="00170FF5" w:rsidRPr="00BA3AC1" w:rsidRDefault="00170FF5" w:rsidP="007170AE">
            <w:pPr>
              <w:spacing w:after="0"/>
              <w:jc w:val="left"/>
              <w:rPr>
                <w:sz w:val="18"/>
                <w:szCs w:val="18"/>
              </w:rPr>
            </w:pPr>
            <w:r w:rsidRPr="00BA3AC1">
              <w:rPr>
                <w:sz w:val="18"/>
                <w:szCs w:val="18"/>
              </w:rPr>
              <w:t>rozpočet verejnej správy</w:t>
            </w:r>
          </w:p>
        </w:tc>
      </w:tr>
      <w:tr w:rsidR="00170FF5" w:rsidRPr="00F81151" w14:paraId="7E5496D6" w14:textId="77777777" w:rsidTr="007F7533">
        <w:trPr>
          <w:trHeight w:val="336"/>
          <w:jc w:val="center"/>
        </w:trPr>
        <w:tc>
          <w:tcPr>
            <w:tcW w:w="1284" w:type="pct"/>
            <w:shd w:val="clear" w:color="auto" w:fill="auto"/>
          </w:tcPr>
          <w:p w14:paraId="712E4EDA"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S</w:t>
            </w:r>
          </w:p>
        </w:tc>
        <w:tc>
          <w:tcPr>
            <w:tcW w:w="3716" w:type="pct"/>
            <w:shd w:val="clear" w:color="auto" w:fill="auto"/>
          </w:tcPr>
          <w:p w14:paraId="1893EF6B" w14:textId="77777777" w:rsidR="00170FF5" w:rsidRPr="00BA3AC1" w:rsidRDefault="00170FF5" w:rsidP="007170AE">
            <w:pPr>
              <w:spacing w:after="0"/>
              <w:jc w:val="left"/>
              <w:rPr>
                <w:sz w:val="18"/>
                <w:szCs w:val="18"/>
              </w:rPr>
            </w:pPr>
            <w:r w:rsidRPr="00BA3AC1">
              <w:rPr>
                <w:sz w:val="18"/>
                <w:szCs w:val="18"/>
              </w:rPr>
              <w:t>skutočnosť</w:t>
            </w:r>
          </w:p>
        </w:tc>
      </w:tr>
      <w:tr w:rsidR="00170FF5" w:rsidRPr="00F81151" w14:paraId="7A01A45A" w14:textId="77777777" w:rsidTr="007F7533">
        <w:trPr>
          <w:trHeight w:val="336"/>
          <w:jc w:val="center"/>
        </w:trPr>
        <w:tc>
          <w:tcPr>
            <w:tcW w:w="1284" w:type="pct"/>
            <w:shd w:val="clear" w:color="auto" w:fill="auto"/>
          </w:tcPr>
          <w:p w14:paraId="0E2B8E13"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SAV</w:t>
            </w:r>
          </w:p>
        </w:tc>
        <w:tc>
          <w:tcPr>
            <w:tcW w:w="3716" w:type="pct"/>
            <w:shd w:val="clear" w:color="auto" w:fill="auto"/>
          </w:tcPr>
          <w:p w14:paraId="37F62BF8" w14:textId="77777777" w:rsidR="00170FF5" w:rsidRPr="00BA3AC1" w:rsidRDefault="00170FF5" w:rsidP="007170AE">
            <w:pPr>
              <w:spacing w:after="0"/>
              <w:jc w:val="left"/>
              <w:rPr>
                <w:sz w:val="18"/>
                <w:szCs w:val="18"/>
              </w:rPr>
            </w:pPr>
            <w:r w:rsidRPr="00BA3AC1">
              <w:rPr>
                <w:sz w:val="18"/>
                <w:szCs w:val="18"/>
              </w:rPr>
              <w:t>Slovenská akadémia vied</w:t>
            </w:r>
          </w:p>
        </w:tc>
      </w:tr>
      <w:tr w:rsidR="00170FF5" w:rsidRPr="00F81151" w14:paraId="3D29F5FE" w14:textId="77777777" w:rsidTr="007F7533">
        <w:trPr>
          <w:trHeight w:val="336"/>
          <w:jc w:val="center"/>
        </w:trPr>
        <w:tc>
          <w:tcPr>
            <w:tcW w:w="1284" w:type="pct"/>
            <w:shd w:val="clear" w:color="auto" w:fill="auto"/>
          </w:tcPr>
          <w:p w14:paraId="2C0B1A0A"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SHMÚ</w:t>
            </w:r>
          </w:p>
        </w:tc>
        <w:tc>
          <w:tcPr>
            <w:tcW w:w="3716" w:type="pct"/>
            <w:shd w:val="clear" w:color="auto" w:fill="auto"/>
          </w:tcPr>
          <w:p w14:paraId="40F2C986" w14:textId="77777777" w:rsidR="00170FF5" w:rsidRPr="00BA3AC1" w:rsidRDefault="00170FF5" w:rsidP="007170AE">
            <w:pPr>
              <w:spacing w:after="0"/>
              <w:jc w:val="left"/>
              <w:rPr>
                <w:sz w:val="18"/>
                <w:szCs w:val="18"/>
              </w:rPr>
            </w:pPr>
            <w:r w:rsidRPr="00BA3AC1">
              <w:rPr>
                <w:sz w:val="18"/>
                <w:szCs w:val="18"/>
              </w:rPr>
              <w:t>Slovenský hydrometeorologický ústav</w:t>
            </w:r>
          </w:p>
        </w:tc>
      </w:tr>
      <w:tr w:rsidR="00170FF5" w:rsidRPr="00F81151" w14:paraId="2DB43BE4" w14:textId="77777777" w:rsidTr="007F7533">
        <w:trPr>
          <w:trHeight w:val="336"/>
          <w:jc w:val="center"/>
        </w:trPr>
        <w:tc>
          <w:tcPr>
            <w:tcW w:w="1284" w:type="pct"/>
            <w:shd w:val="clear" w:color="auto" w:fill="auto"/>
          </w:tcPr>
          <w:p w14:paraId="0DCEE2B9"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SP</w:t>
            </w:r>
          </w:p>
        </w:tc>
        <w:tc>
          <w:tcPr>
            <w:tcW w:w="3716" w:type="pct"/>
            <w:shd w:val="clear" w:color="auto" w:fill="auto"/>
          </w:tcPr>
          <w:p w14:paraId="54DC97B1" w14:textId="77777777" w:rsidR="00170FF5" w:rsidRPr="00BA3AC1" w:rsidRDefault="00170FF5" w:rsidP="007170AE">
            <w:pPr>
              <w:spacing w:after="0"/>
              <w:jc w:val="left"/>
              <w:rPr>
                <w:sz w:val="18"/>
                <w:szCs w:val="18"/>
              </w:rPr>
            </w:pPr>
            <w:r w:rsidRPr="00BA3AC1">
              <w:rPr>
                <w:sz w:val="18"/>
                <w:szCs w:val="18"/>
              </w:rPr>
              <w:t>Sociálna poisťovňa</w:t>
            </w:r>
          </w:p>
        </w:tc>
      </w:tr>
      <w:tr w:rsidR="00170FF5" w:rsidRPr="00F81151" w14:paraId="188DA569" w14:textId="77777777" w:rsidTr="007F7533">
        <w:trPr>
          <w:trHeight w:val="336"/>
          <w:jc w:val="center"/>
        </w:trPr>
        <w:tc>
          <w:tcPr>
            <w:tcW w:w="1284" w:type="pct"/>
            <w:shd w:val="clear" w:color="auto" w:fill="auto"/>
          </w:tcPr>
          <w:p w14:paraId="766A6474"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SR</w:t>
            </w:r>
          </w:p>
        </w:tc>
        <w:tc>
          <w:tcPr>
            <w:tcW w:w="3716" w:type="pct"/>
            <w:shd w:val="clear" w:color="auto" w:fill="auto"/>
          </w:tcPr>
          <w:p w14:paraId="6A9CB30B" w14:textId="77777777" w:rsidR="00170FF5" w:rsidRPr="00BA3AC1" w:rsidRDefault="00170FF5" w:rsidP="007170AE">
            <w:pPr>
              <w:spacing w:after="0"/>
              <w:jc w:val="left"/>
              <w:rPr>
                <w:sz w:val="18"/>
                <w:szCs w:val="18"/>
              </w:rPr>
            </w:pPr>
            <w:r w:rsidRPr="00BA3AC1">
              <w:rPr>
                <w:sz w:val="18"/>
                <w:szCs w:val="18"/>
              </w:rPr>
              <w:t>Slovenská republika</w:t>
            </w:r>
          </w:p>
        </w:tc>
      </w:tr>
      <w:tr w:rsidR="00170FF5" w:rsidRPr="00F81151" w14:paraId="4E49E082" w14:textId="77777777" w:rsidTr="007F7533">
        <w:trPr>
          <w:trHeight w:val="336"/>
          <w:jc w:val="center"/>
        </w:trPr>
        <w:tc>
          <w:tcPr>
            <w:tcW w:w="1284" w:type="pct"/>
            <w:shd w:val="clear" w:color="auto" w:fill="auto"/>
          </w:tcPr>
          <w:p w14:paraId="0D0F5CA7" w14:textId="77777777" w:rsidR="00170FF5" w:rsidRPr="00BA3AC1" w:rsidRDefault="00170FF5" w:rsidP="007170AE">
            <w:pPr>
              <w:spacing w:after="0"/>
              <w:jc w:val="left"/>
              <w:rPr>
                <w:color w:val="314364" w:themeColor="text2"/>
                <w:sz w:val="18"/>
                <w:szCs w:val="18"/>
              </w:rPr>
            </w:pPr>
            <w:r w:rsidRPr="00DC259A">
              <w:rPr>
                <w:color w:val="314364" w:themeColor="text2"/>
                <w:sz w:val="18"/>
                <w:szCs w:val="18"/>
              </w:rPr>
              <w:t>SVP, š. p.</w:t>
            </w:r>
          </w:p>
        </w:tc>
        <w:tc>
          <w:tcPr>
            <w:tcW w:w="3716" w:type="pct"/>
            <w:shd w:val="clear" w:color="auto" w:fill="auto"/>
          </w:tcPr>
          <w:p w14:paraId="21622C4A" w14:textId="77777777" w:rsidR="00170FF5" w:rsidRPr="00BA3AC1" w:rsidRDefault="00170FF5" w:rsidP="007170AE">
            <w:pPr>
              <w:spacing w:after="0"/>
              <w:jc w:val="left"/>
              <w:rPr>
                <w:sz w:val="18"/>
                <w:szCs w:val="18"/>
              </w:rPr>
            </w:pPr>
            <w:r>
              <w:rPr>
                <w:sz w:val="18"/>
                <w:szCs w:val="18"/>
              </w:rPr>
              <w:t xml:space="preserve">Slovenský </w:t>
            </w:r>
            <w:r w:rsidRPr="00DC259A">
              <w:rPr>
                <w:sz w:val="18"/>
                <w:szCs w:val="18"/>
              </w:rPr>
              <w:t>vodohospodársky podnik, štátny podnik</w:t>
            </w:r>
          </w:p>
        </w:tc>
      </w:tr>
      <w:tr w:rsidR="00170FF5" w:rsidRPr="00F81151" w14:paraId="4D73522A" w14:textId="77777777" w:rsidTr="007F7533">
        <w:trPr>
          <w:trHeight w:val="336"/>
          <w:jc w:val="center"/>
        </w:trPr>
        <w:tc>
          <w:tcPr>
            <w:tcW w:w="1284" w:type="pct"/>
            <w:shd w:val="clear" w:color="auto" w:fill="auto"/>
          </w:tcPr>
          <w:p w14:paraId="0336BBF7"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SZČO</w:t>
            </w:r>
          </w:p>
        </w:tc>
        <w:tc>
          <w:tcPr>
            <w:tcW w:w="3716" w:type="pct"/>
            <w:shd w:val="clear" w:color="auto" w:fill="auto"/>
          </w:tcPr>
          <w:p w14:paraId="65D592F3" w14:textId="77777777" w:rsidR="00170FF5" w:rsidRPr="00BA3AC1" w:rsidRDefault="00170FF5" w:rsidP="007170AE">
            <w:pPr>
              <w:spacing w:after="0"/>
              <w:jc w:val="left"/>
              <w:rPr>
                <w:sz w:val="18"/>
                <w:szCs w:val="18"/>
              </w:rPr>
            </w:pPr>
            <w:r w:rsidRPr="00BA3AC1">
              <w:rPr>
                <w:sz w:val="18"/>
                <w:szCs w:val="18"/>
              </w:rPr>
              <w:t>samostatne zárobkovo činná osoba</w:t>
            </w:r>
          </w:p>
        </w:tc>
      </w:tr>
      <w:tr w:rsidR="00170FF5" w:rsidRPr="00F81151" w14:paraId="29B91992" w14:textId="77777777" w:rsidTr="007F7533">
        <w:trPr>
          <w:trHeight w:val="336"/>
          <w:jc w:val="center"/>
        </w:trPr>
        <w:tc>
          <w:tcPr>
            <w:tcW w:w="1284" w:type="pct"/>
            <w:shd w:val="clear" w:color="auto" w:fill="auto"/>
          </w:tcPr>
          <w:p w14:paraId="5C23F697"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ŠR</w:t>
            </w:r>
          </w:p>
        </w:tc>
        <w:tc>
          <w:tcPr>
            <w:tcW w:w="3716" w:type="pct"/>
            <w:shd w:val="clear" w:color="auto" w:fill="auto"/>
          </w:tcPr>
          <w:p w14:paraId="6AB7D6D2" w14:textId="77777777" w:rsidR="00170FF5" w:rsidRPr="00BA3AC1" w:rsidRDefault="00170FF5" w:rsidP="007170AE">
            <w:pPr>
              <w:spacing w:after="0"/>
              <w:jc w:val="left"/>
              <w:rPr>
                <w:sz w:val="18"/>
                <w:szCs w:val="18"/>
              </w:rPr>
            </w:pPr>
            <w:r w:rsidRPr="00BA3AC1">
              <w:rPr>
                <w:sz w:val="18"/>
                <w:szCs w:val="18"/>
              </w:rPr>
              <w:t>štátny rozpočet</w:t>
            </w:r>
          </w:p>
        </w:tc>
      </w:tr>
      <w:tr w:rsidR="00170FF5" w:rsidRPr="00F81151" w14:paraId="3226CDCB" w14:textId="77777777" w:rsidTr="007F7533">
        <w:trPr>
          <w:trHeight w:val="336"/>
          <w:jc w:val="center"/>
        </w:trPr>
        <w:tc>
          <w:tcPr>
            <w:tcW w:w="1284" w:type="pct"/>
            <w:shd w:val="clear" w:color="auto" w:fill="auto"/>
          </w:tcPr>
          <w:p w14:paraId="3D16C35E"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ŠÚ SR</w:t>
            </w:r>
          </w:p>
        </w:tc>
        <w:tc>
          <w:tcPr>
            <w:tcW w:w="3716" w:type="pct"/>
            <w:shd w:val="clear" w:color="auto" w:fill="auto"/>
          </w:tcPr>
          <w:p w14:paraId="2D51B202" w14:textId="77777777" w:rsidR="00170FF5" w:rsidRPr="00BA3AC1" w:rsidRDefault="00170FF5" w:rsidP="007170AE">
            <w:pPr>
              <w:spacing w:after="0"/>
              <w:jc w:val="left"/>
              <w:rPr>
                <w:sz w:val="18"/>
                <w:szCs w:val="18"/>
              </w:rPr>
            </w:pPr>
            <w:r w:rsidRPr="00BA3AC1">
              <w:rPr>
                <w:sz w:val="18"/>
                <w:szCs w:val="18"/>
              </w:rPr>
              <w:t>Štatistický úrad Slovenskej republiky</w:t>
            </w:r>
          </w:p>
        </w:tc>
      </w:tr>
      <w:tr w:rsidR="00170FF5" w:rsidRPr="00F81151" w14:paraId="5D5BFEEE" w14:textId="77777777" w:rsidTr="007F7533">
        <w:trPr>
          <w:trHeight w:val="336"/>
          <w:jc w:val="center"/>
        </w:trPr>
        <w:tc>
          <w:tcPr>
            <w:tcW w:w="1284" w:type="pct"/>
            <w:shd w:val="clear" w:color="auto" w:fill="auto"/>
          </w:tcPr>
          <w:p w14:paraId="15B1C123"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ŠZÚ</w:t>
            </w:r>
          </w:p>
        </w:tc>
        <w:tc>
          <w:tcPr>
            <w:tcW w:w="3716" w:type="pct"/>
            <w:shd w:val="clear" w:color="auto" w:fill="auto"/>
          </w:tcPr>
          <w:p w14:paraId="5F4B0DC4" w14:textId="77777777" w:rsidR="00170FF5" w:rsidRPr="00BA3AC1" w:rsidRDefault="00170FF5" w:rsidP="007170AE">
            <w:pPr>
              <w:spacing w:after="0"/>
              <w:jc w:val="left"/>
              <w:rPr>
                <w:sz w:val="18"/>
                <w:szCs w:val="18"/>
              </w:rPr>
            </w:pPr>
            <w:r w:rsidRPr="00BA3AC1">
              <w:rPr>
                <w:sz w:val="18"/>
                <w:szCs w:val="18"/>
              </w:rPr>
              <w:t>štátny záverečný účet</w:t>
            </w:r>
          </w:p>
        </w:tc>
      </w:tr>
      <w:tr w:rsidR="00170FF5" w:rsidRPr="00F81151" w14:paraId="386870B1" w14:textId="77777777" w:rsidTr="007F7533">
        <w:trPr>
          <w:trHeight w:val="336"/>
          <w:jc w:val="center"/>
        </w:trPr>
        <w:tc>
          <w:tcPr>
            <w:tcW w:w="1284" w:type="pct"/>
          </w:tcPr>
          <w:p w14:paraId="2D4FCB6D"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ÚHP</w:t>
            </w:r>
          </w:p>
        </w:tc>
        <w:tc>
          <w:tcPr>
            <w:tcW w:w="3716" w:type="pct"/>
          </w:tcPr>
          <w:p w14:paraId="693BDBB4" w14:textId="77777777" w:rsidR="00170FF5" w:rsidRPr="00BA3AC1" w:rsidRDefault="00170FF5" w:rsidP="007170AE">
            <w:pPr>
              <w:spacing w:after="0"/>
              <w:jc w:val="left"/>
              <w:rPr>
                <w:sz w:val="18"/>
                <w:szCs w:val="18"/>
              </w:rPr>
            </w:pPr>
            <w:r w:rsidRPr="00BA3AC1">
              <w:rPr>
                <w:sz w:val="18"/>
                <w:szCs w:val="18"/>
              </w:rPr>
              <w:t>Útvar hodnoty za peniaze</w:t>
            </w:r>
          </w:p>
        </w:tc>
      </w:tr>
      <w:tr w:rsidR="00170FF5" w:rsidRPr="00F81151" w14:paraId="341EB5E3" w14:textId="77777777" w:rsidTr="007F7533">
        <w:trPr>
          <w:trHeight w:val="336"/>
          <w:jc w:val="center"/>
        </w:trPr>
        <w:tc>
          <w:tcPr>
            <w:tcW w:w="1284" w:type="pct"/>
            <w:shd w:val="clear" w:color="auto" w:fill="auto"/>
          </w:tcPr>
          <w:p w14:paraId="19B80A26"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V4</w:t>
            </w:r>
          </w:p>
        </w:tc>
        <w:tc>
          <w:tcPr>
            <w:tcW w:w="3716" w:type="pct"/>
            <w:shd w:val="clear" w:color="auto" w:fill="auto"/>
          </w:tcPr>
          <w:p w14:paraId="446A1119" w14:textId="77777777" w:rsidR="00170FF5" w:rsidRPr="00BA3AC1" w:rsidRDefault="00170FF5" w:rsidP="007170AE">
            <w:pPr>
              <w:spacing w:after="0"/>
              <w:jc w:val="left"/>
              <w:rPr>
                <w:sz w:val="18"/>
                <w:szCs w:val="18"/>
              </w:rPr>
            </w:pPr>
            <w:r w:rsidRPr="00BA3AC1">
              <w:rPr>
                <w:sz w:val="18"/>
                <w:szCs w:val="18"/>
              </w:rPr>
              <w:t>Vyšehradská skupina</w:t>
            </w:r>
          </w:p>
        </w:tc>
      </w:tr>
      <w:tr w:rsidR="00170FF5" w:rsidRPr="00F81151" w14:paraId="55206DD1" w14:textId="77777777" w:rsidTr="007F7533">
        <w:trPr>
          <w:trHeight w:val="336"/>
          <w:jc w:val="center"/>
        </w:trPr>
        <w:tc>
          <w:tcPr>
            <w:tcW w:w="1284" w:type="pct"/>
            <w:shd w:val="clear" w:color="auto" w:fill="auto"/>
          </w:tcPr>
          <w:p w14:paraId="19349C16"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VpDP</w:t>
            </w:r>
          </w:p>
        </w:tc>
        <w:tc>
          <w:tcPr>
            <w:tcW w:w="3716" w:type="pct"/>
            <w:shd w:val="clear" w:color="auto" w:fill="auto"/>
          </w:tcPr>
          <w:p w14:paraId="1254AA92" w14:textId="77777777" w:rsidR="00170FF5" w:rsidRPr="00BA3AC1" w:rsidRDefault="00170FF5" w:rsidP="007170AE">
            <w:pPr>
              <w:spacing w:after="0"/>
              <w:jc w:val="left"/>
              <w:rPr>
                <w:sz w:val="18"/>
                <w:szCs w:val="18"/>
              </w:rPr>
            </w:pPr>
            <w:r w:rsidRPr="00BA3AC1">
              <w:rPr>
                <w:sz w:val="18"/>
                <w:szCs w:val="18"/>
              </w:rPr>
              <w:t>Výbor pre daňové prognózy</w:t>
            </w:r>
          </w:p>
        </w:tc>
      </w:tr>
      <w:tr w:rsidR="00170FF5" w:rsidRPr="00F81151" w14:paraId="43E77B3D" w14:textId="77777777" w:rsidTr="007F7533">
        <w:trPr>
          <w:trHeight w:val="336"/>
          <w:jc w:val="center"/>
        </w:trPr>
        <w:tc>
          <w:tcPr>
            <w:tcW w:w="1284" w:type="pct"/>
            <w:shd w:val="clear" w:color="auto" w:fill="auto"/>
          </w:tcPr>
          <w:p w14:paraId="5821CF67"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VpMP</w:t>
            </w:r>
          </w:p>
        </w:tc>
        <w:tc>
          <w:tcPr>
            <w:tcW w:w="3716" w:type="pct"/>
            <w:shd w:val="clear" w:color="auto" w:fill="auto"/>
          </w:tcPr>
          <w:p w14:paraId="241E9283" w14:textId="77777777" w:rsidR="00170FF5" w:rsidRPr="00BA3AC1" w:rsidRDefault="00170FF5" w:rsidP="007170AE">
            <w:pPr>
              <w:spacing w:after="0"/>
              <w:jc w:val="left"/>
              <w:rPr>
                <w:sz w:val="18"/>
                <w:szCs w:val="18"/>
              </w:rPr>
            </w:pPr>
            <w:r w:rsidRPr="00BA3AC1">
              <w:rPr>
                <w:sz w:val="18"/>
                <w:szCs w:val="18"/>
              </w:rPr>
              <w:t>Výbor pre makroekonomické prognózy</w:t>
            </w:r>
          </w:p>
        </w:tc>
      </w:tr>
      <w:tr w:rsidR="00170FF5" w:rsidRPr="00F81151" w14:paraId="6B102B2C" w14:textId="77777777" w:rsidTr="007F7533">
        <w:trPr>
          <w:trHeight w:val="336"/>
          <w:jc w:val="center"/>
        </w:trPr>
        <w:tc>
          <w:tcPr>
            <w:tcW w:w="1284" w:type="pct"/>
            <w:shd w:val="clear" w:color="auto" w:fill="auto"/>
          </w:tcPr>
          <w:p w14:paraId="226FB039"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VPS</w:t>
            </w:r>
          </w:p>
        </w:tc>
        <w:tc>
          <w:tcPr>
            <w:tcW w:w="3716" w:type="pct"/>
            <w:shd w:val="clear" w:color="auto" w:fill="auto"/>
          </w:tcPr>
          <w:p w14:paraId="31C8451D" w14:textId="77777777" w:rsidR="00170FF5" w:rsidRPr="00BA3AC1" w:rsidRDefault="00170FF5" w:rsidP="007170AE">
            <w:pPr>
              <w:spacing w:after="0"/>
              <w:jc w:val="left"/>
              <w:rPr>
                <w:sz w:val="18"/>
                <w:szCs w:val="18"/>
              </w:rPr>
            </w:pPr>
            <w:r w:rsidRPr="00BA3AC1">
              <w:rPr>
                <w:sz w:val="18"/>
                <w:szCs w:val="18"/>
              </w:rPr>
              <w:t>Všeobecná pokladničná správa</w:t>
            </w:r>
          </w:p>
        </w:tc>
      </w:tr>
      <w:tr w:rsidR="00170FF5" w:rsidRPr="00F81151" w14:paraId="00FB3ADB" w14:textId="77777777" w:rsidTr="007F7533">
        <w:trPr>
          <w:trHeight w:val="336"/>
          <w:jc w:val="center"/>
        </w:trPr>
        <w:tc>
          <w:tcPr>
            <w:tcW w:w="1284" w:type="pct"/>
            <w:shd w:val="clear" w:color="auto" w:fill="auto"/>
          </w:tcPr>
          <w:p w14:paraId="66551551"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VS</w:t>
            </w:r>
          </w:p>
        </w:tc>
        <w:tc>
          <w:tcPr>
            <w:tcW w:w="3716" w:type="pct"/>
            <w:shd w:val="clear" w:color="auto" w:fill="auto"/>
          </w:tcPr>
          <w:p w14:paraId="691FB8A3" w14:textId="77777777" w:rsidR="00170FF5" w:rsidRPr="00BA3AC1" w:rsidRDefault="00170FF5" w:rsidP="007170AE">
            <w:pPr>
              <w:spacing w:after="0"/>
              <w:jc w:val="left"/>
              <w:rPr>
                <w:sz w:val="18"/>
                <w:szCs w:val="18"/>
              </w:rPr>
            </w:pPr>
            <w:r w:rsidRPr="00BA3AC1">
              <w:rPr>
                <w:sz w:val="18"/>
                <w:szCs w:val="18"/>
              </w:rPr>
              <w:t>verejná správa</w:t>
            </w:r>
          </w:p>
        </w:tc>
      </w:tr>
      <w:tr w:rsidR="00170FF5" w:rsidRPr="00F81151" w14:paraId="137A0D91" w14:textId="77777777" w:rsidTr="007F7533">
        <w:trPr>
          <w:trHeight w:val="336"/>
          <w:jc w:val="center"/>
        </w:trPr>
        <w:tc>
          <w:tcPr>
            <w:tcW w:w="1284" w:type="pct"/>
            <w:shd w:val="clear" w:color="auto" w:fill="auto"/>
          </w:tcPr>
          <w:p w14:paraId="410D9DC7"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VÚC</w:t>
            </w:r>
          </w:p>
        </w:tc>
        <w:tc>
          <w:tcPr>
            <w:tcW w:w="3716" w:type="pct"/>
            <w:shd w:val="clear" w:color="auto" w:fill="auto"/>
          </w:tcPr>
          <w:p w14:paraId="426ABA4E" w14:textId="77777777" w:rsidR="00170FF5" w:rsidRPr="00BA3AC1" w:rsidRDefault="00170FF5" w:rsidP="007170AE">
            <w:pPr>
              <w:spacing w:after="0"/>
              <w:jc w:val="left"/>
              <w:rPr>
                <w:sz w:val="18"/>
                <w:szCs w:val="18"/>
              </w:rPr>
            </w:pPr>
            <w:r w:rsidRPr="00BA3AC1">
              <w:rPr>
                <w:sz w:val="18"/>
                <w:szCs w:val="18"/>
              </w:rPr>
              <w:t>vyšší územný celok</w:t>
            </w:r>
          </w:p>
        </w:tc>
      </w:tr>
      <w:tr w:rsidR="00170FF5" w:rsidRPr="00F81151" w14:paraId="6F88D8F0" w14:textId="77777777" w:rsidTr="007F7533">
        <w:trPr>
          <w:trHeight w:val="336"/>
          <w:jc w:val="center"/>
        </w:trPr>
        <w:tc>
          <w:tcPr>
            <w:tcW w:w="1284" w:type="pct"/>
            <w:shd w:val="clear" w:color="auto" w:fill="auto"/>
          </w:tcPr>
          <w:p w14:paraId="4C67353D"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VZP</w:t>
            </w:r>
          </w:p>
        </w:tc>
        <w:tc>
          <w:tcPr>
            <w:tcW w:w="3716" w:type="pct"/>
            <w:shd w:val="clear" w:color="auto" w:fill="auto"/>
          </w:tcPr>
          <w:p w14:paraId="2E723C87" w14:textId="77777777" w:rsidR="00170FF5" w:rsidRPr="00BA3AC1" w:rsidRDefault="00170FF5" w:rsidP="007170AE">
            <w:pPr>
              <w:spacing w:after="0"/>
              <w:jc w:val="left"/>
              <w:rPr>
                <w:sz w:val="18"/>
                <w:szCs w:val="18"/>
              </w:rPr>
            </w:pPr>
            <w:r w:rsidRPr="00BA3AC1">
              <w:rPr>
                <w:sz w:val="18"/>
                <w:szCs w:val="18"/>
              </w:rPr>
              <w:t>verejné zdravotné poistenie</w:t>
            </w:r>
          </w:p>
        </w:tc>
      </w:tr>
      <w:tr w:rsidR="00170FF5" w:rsidRPr="00F81151" w14:paraId="0836FA9A" w14:textId="77777777" w:rsidTr="007F7533">
        <w:trPr>
          <w:trHeight w:val="336"/>
          <w:jc w:val="center"/>
        </w:trPr>
        <w:tc>
          <w:tcPr>
            <w:tcW w:w="1284" w:type="pct"/>
            <w:shd w:val="clear" w:color="auto" w:fill="auto"/>
          </w:tcPr>
          <w:p w14:paraId="6FF75D7B" w14:textId="77777777" w:rsidR="00170FF5" w:rsidRPr="00BA3AC1" w:rsidRDefault="00170FF5" w:rsidP="007170AE">
            <w:pPr>
              <w:spacing w:after="0"/>
              <w:jc w:val="left"/>
              <w:rPr>
                <w:color w:val="314364" w:themeColor="text2"/>
                <w:sz w:val="18"/>
                <w:szCs w:val="18"/>
              </w:rPr>
            </w:pPr>
            <w:r w:rsidRPr="00BA3AC1">
              <w:rPr>
                <w:color w:val="314364" w:themeColor="text2"/>
                <w:sz w:val="18"/>
                <w:szCs w:val="18"/>
              </w:rPr>
              <w:t>ZS</w:t>
            </w:r>
          </w:p>
        </w:tc>
        <w:tc>
          <w:tcPr>
            <w:tcW w:w="3716" w:type="pct"/>
            <w:shd w:val="clear" w:color="auto" w:fill="auto"/>
          </w:tcPr>
          <w:p w14:paraId="7FCA1FE8" w14:textId="77777777" w:rsidR="00170FF5" w:rsidRPr="00BA3AC1" w:rsidRDefault="00170FF5" w:rsidP="007170AE">
            <w:pPr>
              <w:spacing w:after="0"/>
              <w:jc w:val="left"/>
              <w:rPr>
                <w:sz w:val="18"/>
                <w:szCs w:val="18"/>
              </w:rPr>
            </w:pPr>
            <w:r w:rsidRPr="00BA3AC1">
              <w:rPr>
                <w:sz w:val="18"/>
                <w:szCs w:val="18"/>
              </w:rPr>
              <w:t>zdravotná starostlivosť</w:t>
            </w:r>
          </w:p>
        </w:tc>
      </w:tr>
      <w:tr w:rsidR="00170FF5" w:rsidRPr="00F81151" w14:paraId="2F4DC80A" w14:textId="77777777" w:rsidTr="007F7533">
        <w:trPr>
          <w:trHeight w:val="336"/>
          <w:jc w:val="center"/>
        </w:trPr>
        <w:tc>
          <w:tcPr>
            <w:tcW w:w="1284" w:type="pct"/>
            <w:shd w:val="clear" w:color="auto" w:fill="auto"/>
          </w:tcPr>
          <w:p w14:paraId="4038880A" w14:textId="77777777" w:rsidR="00170FF5" w:rsidRPr="00BA3AC1" w:rsidRDefault="00170FF5" w:rsidP="007170AE">
            <w:pPr>
              <w:spacing w:after="0"/>
              <w:jc w:val="left"/>
              <w:rPr>
                <w:color w:val="314364" w:themeColor="text2"/>
                <w:sz w:val="18"/>
                <w:szCs w:val="18"/>
              </w:rPr>
            </w:pPr>
          </w:p>
        </w:tc>
        <w:tc>
          <w:tcPr>
            <w:tcW w:w="3716" w:type="pct"/>
            <w:shd w:val="clear" w:color="auto" w:fill="auto"/>
          </w:tcPr>
          <w:p w14:paraId="53C7B3E9" w14:textId="77777777" w:rsidR="00170FF5" w:rsidRPr="00BA3AC1" w:rsidRDefault="00170FF5" w:rsidP="007170AE">
            <w:pPr>
              <w:spacing w:after="0"/>
              <w:jc w:val="left"/>
              <w:rPr>
                <w:sz w:val="18"/>
                <w:szCs w:val="18"/>
              </w:rPr>
            </w:pPr>
          </w:p>
        </w:tc>
      </w:tr>
      <w:tr w:rsidR="00170FF5" w:rsidRPr="00F81151" w14:paraId="7928ABB1" w14:textId="77777777" w:rsidTr="007F7533">
        <w:trPr>
          <w:trHeight w:val="336"/>
          <w:jc w:val="center"/>
        </w:trPr>
        <w:tc>
          <w:tcPr>
            <w:tcW w:w="1284" w:type="pct"/>
            <w:shd w:val="clear" w:color="auto" w:fill="auto"/>
            <w:vAlign w:val="bottom"/>
          </w:tcPr>
          <w:p w14:paraId="55FFEBAB" w14:textId="77777777" w:rsidR="00170FF5" w:rsidRPr="00BA3AC1" w:rsidRDefault="00170FF5" w:rsidP="007170AE">
            <w:pPr>
              <w:spacing w:after="0"/>
              <w:jc w:val="left"/>
              <w:rPr>
                <w:color w:val="314364" w:themeColor="text2"/>
                <w:sz w:val="18"/>
                <w:szCs w:val="18"/>
              </w:rPr>
            </w:pPr>
          </w:p>
        </w:tc>
        <w:tc>
          <w:tcPr>
            <w:tcW w:w="3716" w:type="pct"/>
            <w:shd w:val="clear" w:color="auto" w:fill="auto"/>
            <w:vAlign w:val="bottom"/>
          </w:tcPr>
          <w:p w14:paraId="5600D643" w14:textId="77777777" w:rsidR="00170FF5" w:rsidRPr="00BA3AC1" w:rsidRDefault="00170FF5" w:rsidP="007170AE">
            <w:pPr>
              <w:spacing w:after="0"/>
              <w:rPr>
                <w:sz w:val="18"/>
                <w:szCs w:val="18"/>
              </w:rPr>
            </w:pPr>
          </w:p>
        </w:tc>
      </w:tr>
    </w:tbl>
    <w:p w14:paraId="284F9FF6" w14:textId="77777777" w:rsidR="00170FF5" w:rsidRDefault="00170FF5" w:rsidP="00170FF5">
      <w:pPr>
        <w:spacing w:after="0"/>
        <w:rPr>
          <w:color w:val="314364" w:themeColor="text2"/>
          <w:sz w:val="18"/>
          <w:szCs w:val="18"/>
        </w:rPr>
        <w:sectPr w:rsidR="00170FF5" w:rsidSect="007170AE">
          <w:type w:val="continuous"/>
          <w:pgSz w:w="11906" w:h="16838"/>
          <w:pgMar w:top="1418" w:right="1418" w:bottom="1134" w:left="1418" w:header="0" w:footer="709" w:gutter="0"/>
          <w:cols w:num="2" w:space="708"/>
          <w:docGrid w:linePitch="360"/>
        </w:sectPr>
      </w:pPr>
    </w:p>
    <w:p w14:paraId="03AADF1D" w14:textId="4A3511C2" w:rsidR="001609D9" w:rsidRDefault="001609D9" w:rsidP="00277C8B">
      <w:pPr>
        <w:pStyle w:val="vodZverZhrnutie"/>
      </w:pPr>
      <w:bookmarkStart w:id="1" w:name="_Toc86396371"/>
      <w:bookmarkStart w:id="2" w:name="_Toc119482903"/>
      <w:r>
        <w:lastRenderedPageBreak/>
        <w:t>Zhrnutie</w:t>
      </w:r>
      <w:bookmarkEnd w:id="1"/>
      <w:bookmarkEnd w:id="2"/>
    </w:p>
    <w:p w14:paraId="41EF9155" w14:textId="7F40CBA3" w:rsidR="002375A0" w:rsidRPr="002375A0" w:rsidRDefault="002375A0" w:rsidP="00F50F0D">
      <w:pPr>
        <w:pStyle w:val="Textpoznmkypodiarou"/>
        <w:spacing w:after="120" w:line="276" w:lineRule="auto"/>
        <w:rPr>
          <w:sz w:val="20"/>
        </w:rPr>
      </w:pPr>
      <w:r w:rsidRPr="002375A0">
        <w:rPr>
          <w:sz w:val="20"/>
        </w:rPr>
        <w:t>Návrh RVS na rok 202</w:t>
      </w:r>
      <w:r>
        <w:rPr>
          <w:sz w:val="20"/>
        </w:rPr>
        <w:t xml:space="preserve">3 </w:t>
      </w:r>
      <w:r w:rsidRPr="002375A0">
        <w:rPr>
          <w:sz w:val="20"/>
        </w:rPr>
        <w:t xml:space="preserve">bol zostavený v súlade so zákonom o rozpočtových pravidlách </w:t>
      </w:r>
      <w:r w:rsidR="00346C5D">
        <w:rPr>
          <w:sz w:val="20"/>
        </w:rPr>
        <w:t>verejnej správy</w:t>
      </w:r>
      <w:r w:rsidRPr="002375A0">
        <w:rPr>
          <w:sz w:val="20"/>
        </w:rPr>
        <w:t xml:space="preserve"> po zohľadnení makroekonomických </w:t>
      </w:r>
      <w:r>
        <w:rPr>
          <w:sz w:val="20"/>
        </w:rPr>
        <w:t xml:space="preserve">a </w:t>
      </w:r>
      <w:r w:rsidRPr="002375A0">
        <w:rPr>
          <w:sz w:val="20"/>
        </w:rPr>
        <w:t>východiskov</w:t>
      </w:r>
      <w:r>
        <w:rPr>
          <w:sz w:val="20"/>
        </w:rPr>
        <w:t>ých</w:t>
      </w:r>
      <w:r w:rsidRPr="002375A0">
        <w:rPr>
          <w:sz w:val="20"/>
        </w:rPr>
        <w:t xml:space="preserve"> rámc</w:t>
      </w:r>
      <w:r>
        <w:rPr>
          <w:sz w:val="20"/>
        </w:rPr>
        <w:t>ov</w:t>
      </w:r>
      <w:r w:rsidR="00B850C6">
        <w:rPr>
          <w:sz w:val="20"/>
        </w:rPr>
        <w:t xml:space="preserve">. V tomto stanovisku vyjadruje NKÚ SR svoj </w:t>
      </w:r>
      <w:r w:rsidR="002D0A8C">
        <w:rPr>
          <w:sz w:val="20"/>
        </w:rPr>
        <w:t>názor</w:t>
      </w:r>
      <w:r w:rsidR="00B850C6">
        <w:rPr>
          <w:sz w:val="20"/>
        </w:rPr>
        <w:t xml:space="preserve"> na návrh štátneho rozpočtu a </w:t>
      </w:r>
      <w:r w:rsidRPr="002375A0">
        <w:rPr>
          <w:sz w:val="20"/>
        </w:rPr>
        <w:t>vyjadruje</w:t>
      </w:r>
      <w:r w:rsidR="00B850C6">
        <w:rPr>
          <w:sz w:val="20"/>
        </w:rPr>
        <w:t xml:space="preserve"> v ňom aj svoje </w:t>
      </w:r>
      <w:r w:rsidRPr="002375A0">
        <w:rPr>
          <w:sz w:val="20"/>
        </w:rPr>
        <w:t>pripomienky</w:t>
      </w:r>
      <w:r w:rsidR="00B850C6">
        <w:rPr>
          <w:sz w:val="20"/>
        </w:rPr>
        <w:t xml:space="preserve"> a odporúčania</w:t>
      </w:r>
      <w:r w:rsidRPr="002375A0">
        <w:rPr>
          <w:sz w:val="20"/>
        </w:rPr>
        <w:t>.</w:t>
      </w:r>
    </w:p>
    <w:p w14:paraId="1C5F7C11" w14:textId="63CDFE5E" w:rsidR="00B85D12" w:rsidRPr="0005332F" w:rsidRDefault="00D45587" w:rsidP="00F50F0D">
      <w:pPr>
        <w:pStyle w:val="Textpoznmkypodiarou"/>
        <w:spacing w:after="120" w:line="276" w:lineRule="auto"/>
        <w:rPr>
          <w:sz w:val="20"/>
        </w:rPr>
      </w:pPr>
      <w:r w:rsidRPr="00AE7D69">
        <w:rPr>
          <w:b/>
          <w:sz w:val="20"/>
        </w:rPr>
        <w:t>Návrh R</w:t>
      </w:r>
      <w:r w:rsidR="006643CF">
        <w:rPr>
          <w:b/>
          <w:sz w:val="20"/>
        </w:rPr>
        <w:t>VS</w:t>
      </w:r>
      <w:r w:rsidRPr="00AE7D69">
        <w:rPr>
          <w:b/>
          <w:sz w:val="20"/>
        </w:rPr>
        <w:t xml:space="preserve"> </w:t>
      </w:r>
      <w:r w:rsidR="00BD1526" w:rsidRPr="00AE7D69">
        <w:rPr>
          <w:b/>
          <w:sz w:val="20"/>
        </w:rPr>
        <w:t>bol</w:t>
      </w:r>
      <w:r w:rsidRPr="00AE7D69">
        <w:rPr>
          <w:b/>
          <w:sz w:val="20"/>
        </w:rPr>
        <w:t xml:space="preserve"> priprav</w:t>
      </w:r>
      <w:r w:rsidR="0042291D" w:rsidRPr="00AE7D69">
        <w:rPr>
          <w:b/>
          <w:sz w:val="20"/>
        </w:rPr>
        <w:t>ený</w:t>
      </w:r>
      <w:r w:rsidRPr="00AE7D69">
        <w:rPr>
          <w:b/>
          <w:sz w:val="20"/>
        </w:rPr>
        <w:t xml:space="preserve"> už tretí rok po sebe v mimoriadnych časoch, ktoré vyústili do energetickej krízy a vysokej inflácie.</w:t>
      </w:r>
      <w:r w:rsidRPr="00D45587">
        <w:rPr>
          <w:sz w:val="20"/>
        </w:rPr>
        <w:t xml:space="preserve"> </w:t>
      </w:r>
      <w:r w:rsidR="0042291D">
        <w:rPr>
          <w:sz w:val="20"/>
        </w:rPr>
        <w:t xml:space="preserve">Na nižší rast slovenskej ekonomiky v budúcom roku bude mať okrem rýchleho rastu cien </w:t>
      </w:r>
      <w:r w:rsidR="00AE7D69">
        <w:rPr>
          <w:sz w:val="20"/>
        </w:rPr>
        <w:t xml:space="preserve">vplyv </w:t>
      </w:r>
      <w:r w:rsidR="0042291D">
        <w:rPr>
          <w:sz w:val="20"/>
        </w:rPr>
        <w:t xml:space="preserve">aj </w:t>
      </w:r>
      <w:r w:rsidR="00AE7D69" w:rsidRPr="00AE7D69">
        <w:rPr>
          <w:sz w:val="20"/>
        </w:rPr>
        <w:t>riziko zníženia dodávok plynu</w:t>
      </w:r>
      <w:r w:rsidR="00531584">
        <w:rPr>
          <w:sz w:val="20"/>
        </w:rPr>
        <w:t>.</w:t>
      </w:r>
      <w:r w:rsidR="00AE7D69">
        <w:rPr>
          <w:sz w:val="20"/>
        </w:rPr>
        <w:t> </w:t>
      </w:r>
      <w:r w:rsidR="00531584">
        <w:rPr>
          <w:sz w:val="20"/>
        </w:rPr>
        <w:t>D</w:t>
      </w:r>
      <w:r w:rsidR="00AE7D69">
        <w:rPr>
          <w:sz w:val="20"/>
        </w:rPr>
        <w:t xml:space="preserve">rahé energie budú mať dopad aj na </w:t>
      </w:r>
      <w:r w:rsidR="00952AF9">
        <w:rPr>
          <w:sz w:val="20"/>
        </w:rPr>
        <w:t xml:space="preserve">produkciu </w:t>
      </w:r>
      <w:r w:rsidR="00AE7D69">
        <w:rPr>
          <w:sz w:val="20"/>
        </w:rPr>
        <w:t>energeticky náročný</w:t>
      </w:r>
      <w:r w:rsidR="00952AF9">
        <w:rPr>
          <w:sz w:val="20"/>
        </w:rPr>
        <w:t>ch firiem</w:t>
      </w:r>
      <w:r w:rsidR="00AE7D69">
        <w:rPr>
          <w:sz w:val="20"/>
        </w:rPr>
        <w:t xml:space="preserve">. </w:t>
      </w:r>
      <w:r w:rsidR="00AE7D69" w:rsidRPr="0005332F">
        <w:rPr>
          <w:sz w:val="20"/>
        </w:rPr>
        <w:t xml:space="preserve">Na podporu ekonomického rastu návrh </w:t>
      </w:r>
      <w:r w:rsidR="0042291D" w:rsidRPr="0005332F">
        <w:rPr>
          <w:sz w:val="20"/>
        </w:rPr>
        <w:t xml:space="preserve">RVS na rok 2023 </w:t>
      </w:r>
      <w:r w:rsidR="00087F3C" w:rsidRPr="0005332F">
        <w:rPr>
          <w:sz w:val="20"/>
        </w:rPr>
        <w:t>reaguje</w:t>
      </w:r>
      <w:r w:rsidR="00443BF5" w:rsidRPr="0005332F">
        <w:rPr>
          <w:sz w:val="20"/>
        </w:rPr>
        <w:t xml:space="preserve"> alokáciou výdavkov na podporu domácností a firiem, ale neprináša zásadné zmeny v</w:t>
      </w:r>
      <w:r w:rsidR="00AE7D69" w:rsidRPr="0005332F">
        <w:rPr>
          <w:sz w:val="20"/>
        </w:rPr>
        <w:t xml:space="preserve"> daňovo-odvodovo</w:t>
      </w:r>
      <w:r w:rsidR="00443BF5" w:rsidRPr="0005332F">
        <w:rPr>
          <w:sz w:val="20"/>
        </w:rPr>
        <w:t>m systéme</w:t>
      </w:r>
      <w:r w:rsidR="009333BF" w:rsidRPr="0005332F">
        <w:rPr>
          <w:sz w:val="20"/>
        </w:rPr>
        <w:t>.</w:t>
      </w:r>
      <w:r w:rsidR="00AE7D69" w:rsidRPr="0005332F">
        <w:rPr>
          <w:sz w:val="20"/>
        </w:rPr>
        <w:t xml:space="preserve"> </w:t>
      </w:r>
      <w:r w:rsidR="000F53F1" w:rsidRPr="0005332F">
        <w:rPr>
          <w:sz w:val="20"/>
        </w:rPr>
        <w:t>Opatrenia na pomoc rodinám</w:t>
      </w:r>
      <w:r w:rsidR="00D03DD1" w:rsidRPr="0005332F">
        <w:rPr>
          <w:sz w:val="20"/>
        </w:rPr>
        <w:t> bud</w:t>
      </w:r>
      <w:r w:rsidR="000F53F1" w:rsidRPr="0005332F">
        <w:rPr>
          <w:sz w:val="20"/>
        </w:rPr>
        <w:t>ú</w:t>
      </w:r>
      <w:r w:rsidR="00D03DD1" w:rsidRPr="0005332F">
        <w:rPr>
          <w:sz w:val="20"/>
        </w:rPr>
        <w:t xml:space="preserve"> mať negatívny dopad na príjmy</w:t>
      </w:r>
      <w:r w:rsidR="00AE7D69" w:rsidRPr="0005332F">
        <w:rPr>
          <w:sz w:val="20"/>
        </w:rPr>
        <w:t xml:space="preserve"> samospráv</w:t>
      </w:r>
      <w:r w:rsidR="00D03DD1" w:rsidRPr="0005332F">
        <w:rPr>
          <w:sz w:val="20"/>
        </w:rPr>
        <w:t>y</w:t>
      </w:r>
      <w:r w:rsidR="00AE7D69" w:rsidRPr="0005332F">
        <w:rPr>
          <w:sz w:val="20"/>
        </w:rPr>
        <w:t>.</w:t>
      </w:r>
    </w:p>
    <w:p w14:paraId="62CC73AF" w14:textId="2B68E26F" w:rsidR="009C630C" w:rsidRPr="00715123" w:rsidRDefault="009757BD" w:rsidP="009757BD">
      <w:pPr>
        <w:pStyle w:val="Textpoznmkypodiarou"/>
        <w:spacing w:after="120" w:line="276" w:lineRule="auto"/>
        <w:rPr>
          <w:sz w:val="20"/>
        </w:rPr>
      </w:pPr>
      <w:r w:rsidRPr="00AE7D69">
        <w:rPr>
          <w:b/>
          <w:sz w:val="20"/>
        </w:rPr>
        <w:t>Rozpočet VS predpokladá v roku 202</w:t>
      </w:r>
      <w:r w:rsidR="0042291D" w:rsidRPr="00AE7D69">
        <w:rPr>
          <w:b/>
          <w:sz w:val="20"/>
        </w:rPr>
        <w:t>3</w:t>
      </w:r>
      <w:r w:rsidRPr="00AE7D69">
        <w:rPr>
          <w:b/>
          <w:sz w:val="20"/>
        </w:rPr>
        <w:t xml:space="preserve"> deficit VS na úrovni </w:t>
      </w:r>
      <w:r w:rsidR="0042291D" w:rsidRPr="00AE7D69">
        <w:rPr>
          <w:b/>
          <w:sz w:val="20"/>
        </w:rPr>
        <w:t>6</w:t>
      </w:r>
      <w:r w:rsidRPr="00AE7D69">
        <w:rPr>
          <w:b/>
          <w:sz w:val="20"/>
        </w:rPr>
        <w:t>,</w:t>
      </w:r>
      <w:r w:rsidR="00AE7D69" w:rsidRPr="00AE7D69">
        <w:rPr>
          <w:b/>
          <w:sz w:val="20"/>
        </w:rPr>
        <w:t>44</w:t>
      </w:r>
      <w:r w:rsidRPr="00AE7D69">
        <w:rPr>
          <w:b/>
          <w:sz w:val="20"/>
        </w:rPr>
        <w:t xml:space="preserve"> %, čo predstavuje </w:t>
      </w:r>
      <w:r w:rsidR="00AE7D69" w:rsidRPr="00AE7D69">
        <w:rPr>
          <w:b/>
          <w:sz w:val="20"/>
        </w:rPr>
        <w:t>7,9</w:t>
      </w:r>
      <w:r w:rsidRPr="00AE7D69">
        <w:rPr>
          <w:b/>
          <w:sz w:val="20"/>
        </w:rPr>
        <w:t xml:space="preserve"> ml</w:t>
      </w:r>
      <w:r w:rsidR="00AE7D69" w:rsidRPr="00AE7D69">
        <w:rPr>
          <w:b/>
          <w:sz w:val="20"/>
        </w:rPr>
        <w:t>d</w:t>
      </w:r>
      <w:r w:rsidRPr="00AE7D69">
        <w:rPr>
          <w:b/>
          <w:sz w:val="20"/>
        </w:rPr>
        <w:t xml:space="preserve">. eur. </w:t>
      </w:r>
      <w:r w:rsidR="00AE7D69" w:rsidRPr="00AE7D69">
        <w:rPr>
          <w:sz w:val="20"/>
        </w:rPr>
        <w:t>Rozpočet však nepočíta s možnosťou využiť prostriedky nevyužitých fondov</w:t>
      </w:r>
      <w:r w:rsidR="00346C5D">
        <w:rPr>
          <w:sz w:val="20"/>
        </w:rPr>
        <w:t xml:space="preserve"> EÚ</w:t>
      </w:r>
      <w:r w:rsidR="00AE7D69" w:rsidRPr="00AE7D69">
        <w:rPr>
          <w:sz w:val="20"/>
        </w:rPr>
        <w:t>, ktorými by tak pokryl časť nákladov na boj s energetickou krízou, vďaka čomu by bol budúcoročný deficit nižší. Okrem toho uplynie v máji 2023 výnimka z uplatňovania opatrení na zníženie dlhu a v prípade absencie novely zákona o rozpočtovej zodpovednosti (prechod na čistý dlh), by musela vláda SR prísť v</w:t>
      </w:r>
      <w:r w:rsidR="00952AF9">
        <w:rPr>
          <w:sz w:val="20"/>
        </w:rPr>
        <w:t xml:space="preserve"> návrhu </w:t>
      </w:r>
      <w:r w:rsidR="00AE7D69" w:rsidRPr="00AE7D69">
        <w:rPr>
          <w:sz w:val="20"/>
        </w:rPr>
        <w:t xml:space="preserve">RVS na rok 2024 </w:t>
      </w:r>
      <w:r w:rsidR="00AE7D69" w:rsidRPr="009E303A">
        <w:rPr>
          <w:sz w:val="20"/>
        </w:rPr>
        <w:t>s vyrovnaným rozpočtom.</w:t>
      </w:r>
      <w:r w:rsidR="00715123" w:rsidRPr="00715123">
        <w:rPr>
          <w:b/>
          <w:sz w:val="20"/>
        </w:rPr>
        <w:t xml:space="preserve"> </w:t>
      </w:r>
      <w:r w:rsidR="00715123" w:rsidRPr="00715123">
        <w:rPr>
          <w:sz w:val="20"/>
        </w:rPr>
        <w:t>V roku 2023 sa očakáva dlh na úrovni 57,8 % HDP.</w:t>
      </w:r>
    </w:p>
    <w:p w14:paraId="58C1D2CD" w14:textId="1BA3CD4F" w:rsidR="009757BD" w:rsidRPr="009E303A" w:rsidRDefault="009C630C" w:rsidP="009757BD">
      <w:pPr>
        <w:pStyle w:val="Textpoznmkypodiarou"/>
        <w:spacing w:after="120" w:line="276" w:lineRule="auto"/>
        <w:rPr>
          <w:sz w:val="20"/>
        </w:rPr>
      </w:pPr>
      <w:r>
        <w:rPr>
          <w:b/>
          <w:sz w:val="20"/>
        </w:rPr>
        <w:t>V</w:t>
      </w:r>
      <w:r w:rsidRPr="009E303A">
        <w:rPr>
          <w:b/>
          <w:sz w:val="20"/>
        </w:rPr>
        <w:t xml:space="preserve"> záujme udržateľnosti verejných financií </w:t>
      </w:r>
      <w:r>
        <w:rPr>
          <w:b/>
          <w:sz w:val="20"/>
        </w:rPr>
        <w:t>a v súlade s dobrou praxou v</w:t>
      </w:r>
      <w:r w:rsidR="00A64840">
        <w:rPr>
          <w:b/>
          <w:sz w:val="20"/>
        </w:rPr>
        <w:t> </w:t>
      </w:r>
      <w:r>
        <w:rPr>
          <w:b/>
          <w:sz w:val="20"/>
        </w:rPr>
        <w:t>zahraničí</w:t>
      </w:r>
      <w:r w:rsidR="00A64840">
        <w:rPr>
          <w:b/>
          <w:sz w:val="20"/>
        </w:rPr>
        <w:t>,</w:t>
      </w:r>
      <w:r>
        <w:rPr>
          <w:b/>
          <w:sz w:val="20"/>
        </w:rPr>
        <w:t xml:space="preserve"> NKÚ SR upozorňuje, že </w:t>
      </w:r>
      <w:r w:rsidRPr="009E303A">
        <w:rPr>
          <w:b/>
          <w:sz w:val="20"/>
        </w:rPr>
        <w:t xml:space="preserve">MF SR </w:t>
      </w:r>
      <w:r>
        <w:rPr>
          <w:b/>
          <w:sz w:val="20"/>
        </w:rPr>
        <w:t xml:space="preserve">malo </w:t>
      </w:r>
      <w:r w:rsidRPr="009E303A">
        <w:rPr>
          <w:b/>
          <w:sz w:val="20"/>
        </w:rPr>
        <w:t>zaviesť výdavkové limity prvýkrát v RVS na obdobie rokov 2023 až 2025.</w:t>
      </w:r>
      <w:r w:rsidR="009E303A" w:rsidRPr="009E303A">
        <w:rPr>
          <w:b/>
          <w:sz w:val="20"/>
        </w:rPr>
        <w:t xml:space="preserve"> </w:t>
      </w:r>
      <w:r w:rsidR="009E303A" w:rsidRPr="009E303A">
        <w:rPr>
          <w:sz w:val="20"/>
        </w:rPr>
        <w:t xml:space="preserve">Ak by boli limity vypočítané ešte pred schválením návrhu </w:t>
      </w:r>
      <w:r w:rsidR="00346C5D">
        <w:rPr>
          <w:sz w:val="20"/>
        </w:rPr>
        <w:t>RVS</w:t>
      </w:r>
      <w:r w:rsidR="009E303A" w:rsidRPr="009E303A">
        <w:rPr>
          <w:sz w:val="20"/>
        </w:rPr>
        <w:t xml:space="preserve"> v parlamente, </w:t>
      </w:r>
      <w:r w:rsidR="00DA2247">
        <w:rPr>
          <w:sz w:val="20"/>
        </w:rPr>
        <w:t xml:space="preserve">musel </w:t>
      </w:r>
      <w:r w:rsidR="009E303A" w:rsidRPr="009E303A">
        <w:rPr>
          <w:sz w:val="20"/>
        </w:rPr>
        <w:t>by byť</w:t>
      </w:r>
      <w:r w:rsidR="00DA2247">
        <w:rPr>
          <w:sz w:val="20"/>
        </w:rPr>
        <w:t xml:space="preserve"> </w:t>
      </w:r>
      <w:r w:rsidR="00346C5D">
        <w:rPr>
          <w:sz w:val="20"/>
        </w:rPr>
        <w:t xml:space="preserve">tento </w:t>
      </w:r>
      <w:r w:rsidR="00DA2247">
        <w:rPr>
          <w:sz w:val="20"/>
        </w:rPr>
        <w:t>návrh</w:t>
      </w:r>
      <w:r w:rsidR="009E303A" w:rsidRPr="009E303A">
        <w:rPr>
          <w:sz w:val="20"/>
        </w:rPr>
        <w:t xml:space="preserve"> zosúladený s limitmi. Zásadný posun pri výdavkových limitoch oproti súčasnému stavu (schválený rozpočet je záväzný na jeden rok, zvyšné dva </w:t>
      </w:r>
      <w:r w:rsidR="00DA2247">
        <w:rPr>
          <w:sz w:val="20"/>
        </w:rPr>
        <w:t xml:space="preserve">roky </w:t>
      </w:r>
      <w:r w:rsidR="009E303A" w:rsidRPr="009E303A">
        <w:rPr>
          <w:sz w:val="20"/>
        </w:rPr>
        <w:t>sú indikatívne) je ten, že by ich mala NR SR schváliť na celé štvorročné volebné obdobie</w:t>
      </w:r>
      <w:r w:rsidR="00346C5D">
        <w:rPr>
          <w:sz w:val="20"/>
        </w:rPr>
        <w:t>.</w:t>
      </w:r>
    </w:p>
    <w:p w14:paraId="21CF0534" w14:textId="2F312D0E" w:rsidR="000218FC" w:rsidRDefault="002D0A8C" w:rsidP="000218FC">
      <w:pPr>
        <w:pStyle w:val="Textpoznmkypodiarou"/>
        <w:spacing w:after="120" w:line="276" w:lineRule="auto"/>
        <w:rPr>
          <w:sz w:val="20"/>
        </w:rPr>
      </w:pPr>
      <w:r>
        <w:rPr>
          <w:b/>
          <w:sz w:val="20"/>
        </w:rPr>
        <w:t>Z fondov EÚ môže</w:t>
      </w:r>
      <w:r w:rsidR="000218FC" w:rsidRPr="000C6EEF">
        <w:rPr>
          <w:b/>
          <w:sz w:val="20"/>
        </w:rPr>
        <w:t xml:space="preserve"> SR </w:t>
      </w:r>
      <w:r>
        <w:rPr>
          <w:b/>
          <w:sz w:val="20"/>
        </w:rPr>
        <w:t xml:space="preserve">momentálne čerpať </w:t>
      </w:r>
      <w:r w:rsidR="000218FC" w:rsidRPr="000C6EEF">
        <w:rPr>
          <w:b/>
          <w:sz w:val="20"/>
        </w:rPr>
        <w:t>ešte 5,53 mld. eur z PO 2014 – 2020 a zároveň bude môcť do roku 2026 čerpať prostriedky z P</w:t>
      </w:r>
      <w:r w:rsidR="00D45587">
        <w:rPr>
          <w:b/>
          <w:sz w:val="20"/>
        </w:rPr>
        <w:t>OO</w:t>
      </w:r>
      <w:r w:rsidR="005719B3">
        <w:rPr>
          <w:b/>
          <w:sz w:val="20"/>
        </w:rPr>
        <w:t xml:space="preserve"> </w:t>
      </w:r>
      <w:r>
        <w:rPr>
          <w:b/>
          <w:sz w:val="20"/>
        </w:rPr>
        <w:t xml:space="preserve">vo výške </w:t>
      </w:r>
      <w:r w:rsidR="005719B3">
        <w:rPr>
          <w:b/>
          <w:sz w:val="20"/>
        </w:rPr>
        <w:t>6,3 mld. eur</w:t>
      </w:r>
      <w:r w:rsidR="000218FC">
        <w:rPr>
          <w:sz w:val="20"/>
        </w:rPr>
        <w:t xml:space="preserve"> </w:t>
      </w:r>
      <w:r w:rsidR="000C6EEF" w:rsidRPr="000C6EEF">
        <w:rPr>
          <w:b/>
          <w:sz w:val="20"/>
        </w:rPr>
        <w:t>a nového</w:t>
      </w:r>
      <w:r w:rsidR="000218FC" w:rsidRPr="000C6EEF">
        <w:rPr>
          <w:b/>
          <w:sz w:val="20"/>
        </w:rPr>
        <w:t xml:space="preserve"> PO 2021 – 2027</w:t>
      </w:r>
      <w:r w:rsidR="005719B3">
        <w:rPr>
          <w:b/>
          <w:sz w:val="20"/>
        </w:rPr>
        <w:t xml:space="preserve"> </w:t>
      </w:r>
      <w:r>
        <w:rPr>
          <w:b/>
          <w:sz w:val="20"/>
        </w:rPr>
        <w:t xml:space="preserve">v sume </w:t>
      </w:r>
      <w:r w:rsidR="005719B3">
        <w:rPr>
          <w:b/>
          <w:sz w:val="20"/>
        </w:rPr>
        <w:t>12,6 mld. eur</w:t>
      </w:r>
      <w:r w:rsidR="000218FC" w:rsidRPr="000C6EEF">
        <w:rPr>
          <w:b/>
          <w:sz w:val="20"/>
        </w:rPr>
        <w:t>.</w:t>
      </w:r>
      <w:r w:rsidR="000218FC">
        <w:rPr>
          <w:sz w:val="20"/>
        </w:rPr>
        <w:t xml:space="preserve"> </w:t>
      </w:r>
      <w:r w:rsidR="001238DA">
        <w:rPr>
          <w:sz w:val="20"/>
        </w:rPr>
        <w:t xml:space="preserve">V čerpaní </w:t>
      </w:r>
      <w:r w:rsidR="000D0904">
        <w:rPr>
          <w:sz w:val="20"/>
        </w:rPr>
        <w:t>prostriedkov</w:t>
      </w:r>
      <w:r w:rsidR="000C6EEF">
        <w:rPr>
          <w:sz w:val="20"/>
        </w:rPr>
        <w:t xml:space="preserve"> v </w:t>
      </w:r>
      <w:r w:rsidR="000218FC">
        <w:rPr>
          <w:sz w:val="20"/>
        </w:rPr>
        <w:t xml:space="preserve">PO 2014 – 2020 </w:t>
      </w:r>
      <w:r w:rsidR="001238DA">
        <w:rPr>
          <w:sz w:val="20"/>
        </w:rPr>
        <w:t>je SR na posledných miestach v</w:t>
      </w:r>
      <w:r w:rsidR="00715123">
        <w:rPr>
          <w:sz w:val="20"/>
        </w:rPr>
        <w:t> medzinárodnom porovnaní</w:t>
      </w:r>
      <w:r w:rsidR="00354AFA">
        <w:rPr>
          <w:sz w:val="20"/>
        </w:rPr>
        <w:t>, pričom</w:t>
      </w:r>
      <w:r w:rsidR="000218FC">
        <w:rPr>
          <w:sz w:val="20"/>
        </w:rPr>
        <w:t xml:space="preserve"> čerpať </w:t>
      </w:r>
      <w:r w:rsidR="00354AFA">
        <w:rPr>
          <w:sz w:val="20"/>
        </w:rPr>
        <w:t xml:space="preserve">ich možno </w:t>
      </w:r>
      <w:r w:rsidR="000218FC">
        <w:rPr>
          <w:sz w:val="20"/>
        </w:rPr>
        <w:t>už iba do konca roku 2023. Existuje ta</w:t>
      </w:r>
      <w:r w:rsidR="00715123">
        <w:rPr>
          <w:sz w:val="20"/>
        </w:rPr>
        <w:t>k</w:t>
      </w:r>
      <w:r w:rsidR="000218FC">
        <w:rPr>
          <w:sz w:val="20"/>
        </w:rPr>
        <w:t xml:space="preserve"> </w:t>
      </w:r>
      <w:r w:rsidR="005719B3">
        <w:rPr>
          <w:sz w:val="20"/>
        </w:rPr>
        <w:t xml:space="preserve">vysoké </w:t>
      </w:r>
      <w:r w:rsidR="000218FC">
        <w:rPr>
          <w:sz w:val="20"/>
        </w:rPr>
        <w:t>riziko nedočer</w:t>
      </w:r>
      <w:r w:rsidR="005719B3">
        <w:rPr>
          <w:sz w:val="20"/>
        </w:rPr>
        <w:t>pania alokovaných prostriedkov</w:t>
      </w:r>
      <w:r w:rsidR="00D45587">
        <w:rPr>
          <w:sz w:val="20"/>
        </w:rPr>
        <w:t>, preto by</w:t>
      </w:r>
      <w:r w:rsidR="005719B3">
        <w:rPr>
          <w:sz w:val="20"/>
        </w:rPr>
        <w:t xml:space="preserve"> </w:t>
      </w:r>
      <w:r w:rsidR="00715123">
        <w:rPr>
          <w:sz w:val="20"/>
        </w:rPr>
        <w:t xml:space="preserve">ich </w:t>
      </w:r>
      <w:r w:rsidR="00D45587" w:rsidRPr="00D45587">
        <w:rPr>
          <w:sz w:val="20"/>
        </w:rPr>
        <w:t>S</w:t>
      </w:r>
      <w:r w:rsidR="001238DA">
        <w:rPr>
          <w:sz w:val="20"/>
        </w:rPr>
        <w:t>R</w:t>
      </w:r>
      <w:r w:rsidR="00D45587" w:rsidRPr="00D45587">
        <w:rPr>
          <w:sz w:val="20"/>
        </w:rPr>
        <w:t xml:space="preserve"> </w:t>
      </w:r>
      <w:r w:rsidR="00D45587">
        <w:rPr>
          <w:sz w:val="20"/>
        </w:rPr>
        <w:t>chcel</w:t>
      </w:r>
      <w:r w:rsidR="001238DA">
        <w:rPr>
          <w:sz w:val="20"/>
        </w:rPr>
        <w:t>a</w:t>
      </w:r>
      <w:r w:rsidR="00D45587">
        <w:rPr>
          <w:sz w:val="20"/>
        </w:rPr>
        <w:t xml:space="preserve"> využiť </w:t>
      </w:r>
      <w:r w:rsidR="00D45587" w:rsidRPr="00D45587">
        <w:rPr>
          <w:sz w:val="20"/>
        </w:rPr>
        <w:t xml:space="preserve">na boj s energetickou krízou. </w:t>
      </w:r>
      <w:r w:rsidR="006936AB" w:rsidRPr="006936AB">
        <w:rPr>
          <w:sz w:val="20"/>
        </w:rPr>
        <w:t xml:space="preserve">Dôležitou súčasťou rozpočtu </w:t>
      </w:r>
      <w:r w:rsidR="006936AB">
        <w:rPr>
          <w:sz w:val="20"/>
        </w:rPr>
        <w:t xml:space="preserve">sú </w:t>
      </w:r>
      <w:r w:rsidR="00715123">
        <w:rPr>
          <w:sz w:val="20"/>
        </w:rPr>
        <w:t xml:space="preserve">aj </w:t>
      </w:r>
      <w:r w:rsidR="006936AB">
        <w:rPr>
          <w:sz w:val="20"/>
        </w:rPr>
        <w:t>prostriedky z</w:t>
      </w:r>
      <w:r w:rsidR="006936AB" w:rsidRPr="006936AB">
        <w:rPr>
          <w:sz w:val="20"/>
        </w:rPr>
        <w:t xml:space="preserve"> P</w:t>
      </w:r>
      <w:r w:rsidR="006936AB">
        <w:rPr>
          <w:sz w:val="20"/>
        </w:rPr>
        <w:t>OO</w:t>
      </w:r>
      <w:r w:rsidR="006936AB" w:rsidRPr="006936AB">
        <w:rPr>
          <w:sz w:val="20"/>
        </w:rPr>
        <w:t xml:space="preserve">, ktorý predstavuje návratný zdroj financovania a SR ich bude musieť začať splácať od roku 2028. </w:t>
      </w:r>
      <w:r w:rsidR="00D45587">
        <w:rPr>
          <w:sz w:val="20"/>
        </w:rPr>
        <w:t>Z POO už bola prijatá p</w:t>
      </w:r>
      <w:r w:rsidR="005719B3">
        <w:rPr>
          <w:sz w:val="20"/>
        </w:rPr>
        <w:t>rvá platba</w:t>
      </w:r>
      <w:r w:rsidR="000218FC">
        <w:rPr>
          <w:sz w:val="20"/>
        </w:rPr>
        <w:t xml:space="preserve"> </w:t>
      </w:r>
      <w:r w:rsidR="00EA2E34">
        <w:rPr>
          <w:sz w:val="20"/>
        </w:rPr>
        <w:t xml:space="preserve">(458,3 mil. eur) </w:t>
      </w:r>
      <w:r w:rsidR="000218FC">
        <w:rPr>
          <w:sz w:val="20"/>
        </w:rPr>
        <w:t xml:space="preserve">a žiadosť o druhú platbu (814,7 mil. </w:t>
      </w:r>
      <w:r w:rsidR="00D1721D">
        <w:rPr>
          <w:sz w:val="20"/>
        </w:rPr>
        <w:t>e</w:t>
      </w:r>
      <w:r w:rsidR="000218FC">
        <w:rPr>
          <w:sz w:val="20"/>
        </w:rPr>
        <w:t xml:space="preserve">ur) bola podaná. </w:t>
      </w:r>
      <w:r w:rsidR="00531584">
        <w:rPr>
          <w:sz w:val="20"/>
        </w:rPr>
        <w:t>NKÚ SR</w:t>
      </w:r>
      <w:r w:rsidR="005719B3">
        <w:rPr>
          <w:sz w:val="20"/>
        </w:rPr>
        <w:t xml:space="preserve"> upozorňuje, že v</w:t>
      </w:r>
      <w:r w:rsidR="000C2C14">
        <w:rPr>
          <w:sz w:val="20"/>
        </w:rPr>
        <w:t xml:space="preserve"> prípade </w:t>
      </w:r>
      <w:r w:rsidR="005719B3">
        <w:rPr>
          <w:sz w:val="20"/>
        </w:rPr>
        <w:t>ne</w:t>
      </w:r>
      <w:r w:rsidR="000C2C14">
        <w:rPr>
          <w:sz w:val="20"/>
        </w:rPr>
        <w:t xml:space="preserve">plnenia </w:t>
      </w:r>
      <w:r w:rsidR="00EA2E34">
        <w:rPr>
          <w:sz w:val="20"/>
        </w:rPr>
        <w:t>stanovených</w:t>
      </w:r>
      <w:r w:rsidR="005719B3">
        <w:rPr>
          <w:sz w:val="20"/>
        </w:rPr>
        <w:t xml:space="preserve"> </w:t>
      </w:r>
      <w:r w:rsidR="000C2C14">
        <w:rPr>
          <w:sz w:val="20"/>
        </w:rPr>
        <w:t>míľnikov</w:t>
      </w:r>
      <w:r w:rsidR="005719B3">
        <w:rPr>
          <w:sz w:val="20"/>
        </w:rPr>
        <w:t xml:space="preserve">, napríklad </w:t>
      </w:r>
      <w:r w:rsidR="00EA2E34">
        <w:rPr>
          <w:sz w:val="20"/>
        </w:rPr>
        <w:t>nevykonávania</w:t>
      </w:r>
      <w:r w:rsidR="005719B3">
        <w:rPr>
          <w:sz w:val="20"/>
        </w:rPr>
        <w:t xml:space="preserve"> výdavkových limitov alebo odloženia súdnej reformy,</w:t>
      </w:r>
      <w:r w:rsidR="000C2C14">
        <w:rPr>
          <w:sz w:val="20"/>
        </w:rPr>
        <w:t xml:space="preserve"> existujú riziká</w:t>
      </w:r>
      <w:r w:rsidR="005719B3">
        <w:rPr>
          <w:sz w:val="20"/>
        </w:rPr>
        <w:t>, že EK môže siahnuť na poskytnuté prostriedky.</w:t>
      </w:r>
      <w:r w:rsidR="00A55625" w:rsidRPr="00A55625">
        <w:t xml:space="preserve"> </w:t>
      </w:r>
      <w:r w:rsidR="00A55625">
        <w:rPr>
          <w:sz w:val="20"/>
        </w:rPr>
        <w:t>Č</w:t>
      </w:r>
      <w:r w:rsidR="00A55625" w:rsidRPr="00A55625">
        <w:rPr>
          <w:sz w:val="20"/>
        </w:rPr>
        <w:t xml:space="preserve">erpanie prostriedkov </w:t>
      </w:r>
      <w:r w:rsidR="00A55625">
        <w:rPr>
          <w:sz w:val="20"/>
        </w:rPr>
        <w:t xml:space="preserve">z PO 2021 – 2027 ešte prakticky nezačalo a to aj </w:t>
      </w:r>
      <w:r w:rsidR="00A55625" w:rsidRPr="00A55625">
        <w:rPr>
          <w:sz w:val="20"/>
        </w:rPr>
        <w:t xml:space="preserve">napriek tomu, že končí druhý rok </w:t>
      </w:r>
      <w:r w:rsidR="00A55625">
        <w:rPr>
          <w:sz w:val="20"/>
        </w:rPr>
        <w:t xml:space="preserve">jeho </w:t>
      </w:r>
      <w:r w:rsidR="00A55625" w:rsidRPr="00A55625">
        <w:rPr>
          <w:sz w:val="20"/>
        </w:rPr>
        <w:t>implementácie.</w:t>
      </w:r>
    </w:p>
    <w:p w14:paraId="1A6B1D44" w14:textId="232FA309" w:rsidR="00C22782" w:rsidRDefault="00304609" w:rsidP="00C22782">
      <w:pPr>
        <w:pStyle w:val="Textpoznmkypodiarou"/>
        <w:spacing w:after="120" w:line="276" w:lineRule="auto"/>
        <w:rPr>
          <w:b/>
          <w:sz w:val="20"/>
        </w:rPr>
      </w:pPr>
      <w:r w:rsidRPr="0069077B">
        <w:rPr>
          <w:b/>
          <w:sz w:val="20"/>
        </w:rPr>
        <w:t xml:space="preserve">NKÚ SR pozitívne </w:t>
      </w:r>
      <w:r w:rsidR="00B15392" w:rsidRPr="0069077B">
        <w:rPr>
          <w:b/>
          <w:sz w:val="20"/>
        </w:rPr>
        <w:t xml:space="preserve">vníma </w:t>
      </w:r>
      <w:r w:rsidRPr="0069077B">
        <w:rPr>
          <w:b/>
          <w:sz w:val="20"/>
        </w:rPr>
        <w:t>zmeny</w:t>
      </w:r>
      <w:r w:rsidR="00B15392" w:rsidRPr="0069077B">
        <w:rPr>
          <w:b/>
          <w:sz w:val="20"/>
        </w:rPr>
        <w:t xml:space="preserve"> v rozpočtovaní</w:t>
      </w:r>
      <w:r w:rsidRPr="0069077B">
        <w:rPr>
          <w:b/>
          <w:sz w:val="20"/>
        </w:rPr>
        <w:t xml:space="preserve"> </w:t>
      </w:r>
      <w:r w:rsidR="00B15392" w:rsidRPr="0069077B">
        <w:rPr>
          <w:b/>
          <w:sz w:val="20"/>
        </w:rPr>
        <w:t>kapitálových</w:t>
      </w:r>
      <w:r w:rsidRPr="0069077B">
        <w:rPr>
          <w:b/>
          <w:sz w:val="20"/>
        </w:rPr>
        <w:t xml:space="preserve"> výdavkov</w:t>
      </w:r>
      <w:r w:rsidR="0069077B" w:rsidRPr="0069077B">
        <w:rPr>
          <w:sz w:val="20"/>
        </w:rPr>
        <w:t>:</w:t>
      </w:r>
      <w:r w:rsidR="008554D4" w:rsidRPr="0069077B">
        <w:rPr>
          <w:sz w:val="20"/>
        </w:rPr>
        <w:t xml:space="preserve"> ich alokáciu na prebiehajúce projekty v kapitolách a rozpočtovanie projektov, ktoré musia prejsť posúdením UHP vo Všeobecnej pokladničnej správe. Negatívom sú </w:t>
      </w:r>
      <w:r w:rsidR="00D1325C">
        <w:rPr>
          <w:sz w:val="20"/>
        </w:rPr>
        <w:t>nedostatočné</w:t>
      </w:r>
      <w:r w:rsidR="008554D4" w:rsidRPr="0069077B">
        <w:rPr>
          <w:sz w:val="20"/>
        </w:rPr>
        <w:t xml:space="preserve"> výdavky na rekonštrukcie mostov na cestách I. triedy a ne</w:t>
      </w:r>
      <w:r w:rsidR="00D1325C">
        <w:rPr>
          <w:sz w:val="20"/>
        </w:rPr>
        <w:t>existujúci</w:t>
      </w:r>
      <w:r w:rsidR="008554D4" w:rsidRPr="0069077B">
        <w:rPr>
          <w:sz w:val="20"/>
        </w:rPr>
        <w:t xml:space="preserve"> legislatívny rámec pri riešení kompenzačných programov na ministerstve obrany.</w:t>
      </w:r>
      <w:r w:rsidR="00C22782" w:rsidRPr="00C22782">
        <w:rPr>
          <w:b/>
          <w:sz w:val="20"/>
        </w:rPr>
        <w:t xml:space="preserve"> </w:t>
      </w:r>
      <w:r w:rsidR="00C22782">
        <w:rPr>
          <w:b/>
          <w:sz w:val="20"/>
        </w:rPr>
        <w:t>V tejto súvislosti NKÚ SR dlhodobo a opakovane upozorňuje na nevyužívanie potenciálu programového rozpočtovania.</w:t>
      </w:r>
    </w:p>
    <w:p w14:paraId="00AC1073" w14:textId="2212DCA4" w:rsidR="008554D4" w:rsidRDefault="008554D4" w:rsidP="008554D4">
      <w:pPr>
        <w:pStyle w:val="Textpoznmkypodiarou"/>
        <w:spacing w:after="120" w:line="276" w:lineRule="auto"/>
        <w:rPr>
          <w:sz w:val="20"/>
        </w:rPr>
      </w:pPr>
    </w:p>
    <w:p w14:paraId="1FAA18A7" w14:textId="456EFE60" w:rsidR="008554D4" w:rsidRPr="008554D4" w:rsidRDefault="008554D4" w:rsidP="008554D4">
      <w:pPr>
        <w:pStyle w:val="Textpoznmkypodiarou"/>
        <w:spacing w:after="120" w:line="276" w:lineRule="auto"/>
        <w:rPr>
          <w:sz w:val="20"/>
        </w:rPr>
      </w:pPr>
      <w:r w:rsidRPr="008554D4">
        <w:rPr>
          <w:b/>
          <w:sz w:val="20"/>
        </w:rPr>
        <w:lastRenderedPageBreak/>
        <w:t xml:space="preserve">S ohľadom na rastúcu výšku rezerv </w:t>
      </w:r>
      <w:r w:rsidR="00715123">
        <w:rPr>
          <w:b/>
          <w:sz w:val="20"/>
        </w:rPr>
        <w:t xml:space="preserve">v rozpočte </w:t>
      </w:r>
      <w:r w:rsidRPr="008554D4">
        <w:rPr>
          <w:b/>
          <w:sz w:val="20"/>
        </w:rPr>
        <w:t>a</w:t>
      </w:r>
      <w:r w:rsidR="00715123">
        <w:rPr>
          <w:b/>
          <w:sz w:val="20"/>
        </w:rPr>
        <w:t xml:space="preserve"> ich </w:t>
      </w:r>
      <w:r w:rsidR="00553F8A">
        <w:rPr>
          <w:b/>
          <w:sz w:val="20"/>
        </w:rPr>
        <w:t>transparentnosť je žiadúce</w:t>
      </w:r>
      <w:r w:rsidRPr="008554D4">
        <w:rPr>
          <w:b/>
          <w:sz w:val="20"/>
        </w:rPr>
        <w:t xml:space="preserve"> legislatívne upraviť ich tvorbu</w:t>
      </w:r>
      <w:r w:rsidR="00F650C3">
        <w:rPr>
          <w:b/>
          <w:sz w:val="20"/>
        </w:rPr>
        <w:t>,</w:t>
      </w:r>
      <w:r w:rsidRPr="008554D4">
        <w:rPr>
          <w:b/>
          <w:sz w:val="20"/>
        </w:rPr>
        <w:t xml:space="preserve"> použitie</w:t>
      </w:r>
      <w:r w:rsidR="00F650C3">
        <w:rPr>
          <w:b/>
          <w:sz w:val="20"/>
        </w:rPr>
        <w:t xml:space="preserve"> a</w:t>
      </w:r>
      <w:r w:rsidR="00553F8A">
        <w:rPr>
          <w:b/>
          <w:sz w:val="20"/>
        </w:rPr>
        <w:t> </w:t>
      </w:r>
      <w:r w:rsidR="00F650C3">
        <w:rPr>
          <w:b/>
          <w:sz w:val="20"/>
        </w:rPr>
        <w:t>rušenie</w:t>
      </w:r>
      <w:r w:rsidR="00553F8A">
        <w:rPr>
          <w:b/>
          <w:sz w:val="20"/>
        </w:rPr>
        <w:t>, na čo NKÚ SR upozorň</w:t>
      </w:r>
      <w:r w:rsidR="0054027D">
        <w:rPr>
          <w:b/>
          <w:sz w:val="20"/>
        </w:rPr>
        <w:t>oval už v minulosti</w:t>
      </w:r>
      <w:r w:rsidRPr="008554D4">
        <w:rPr>
          <w:b/>
          <w:sz w:val="20"/>
        </w:rPr>
        <w:t>.</w:t>
      </w:r>
      <w:r w:rsidRPr="008554D4">
        <w:rPr>
          <w:sz w:val="20"/>
        </w:rPr>
        <w:t xml:space="preserve"> Súčasne upozorňuje, že nevyčerpané rezervy by mali byť </w:t>
      </w:r>
      <w:r w:rsidR="00553F8A">
        <w:rPr>
          <w:sz w:val="20"/>
        </w:rPr>
        <w:t xml:space="preserve">prioritne </w:t>
      </w:r>
      <w:r w:rsidRPr="008554D4">
        <w:rPr>
          <w:sz w:val="20"/>
        </w:rPr>
        <w:t>využité na znižovanie deficitu verejných financií.</w:t>
      </w:r>
    </w:p>
    <w:p w14:paraId="1DF4FCC8" w14:textId="0B879E58" w:rsidR="008554D4" w:rsidRPr="008554D4" w:rsidRDefault="008554D4" w:rsidP="008554D4">
      <w:pPr>
        <w:pStyle w:val="Textpoznmkypodiarou"/>
        <w:spacing w:after="120" w:line="276" w:lineRule="auto"/>
        <w:rPr>
          <w:sz w:val="20"/>
        </w:rPr>
      </w:pPr>
      <w:r w:rsidRPr="008554D4">
        <w:rPr>
          <w:b/>
          <w:sz w:val="20"/>
        </w:rPr>
        <w:t xml:space="preserve">Krízové obdobie sa neprejavuje v úsporných opatreniach štátu </w:t>
      </w:r>
      <w:r w:rsidR="006C699E">
        <w:rPr>
          <w:b/>
          <w:sz w:val="20"/>
        </w:rPr>
        <w:t xml:space="preserve">ani územnej samosprávy </w:t>
      </w:r>
      <w:r w:rsidRPr="008554D4">
        <w:rPr>
          <w:b/>
          <w:sz w:val="20"/>
        </w:rPr>
        <w:t>týkajúcich sa počtu zamestnancov VS a mzdových výdavkov</w:t>
      </w:r>
      <w:r w:rsidRPr="008554D4">
        <w:rPr>
          <w:sz w:val="20"/>
        </w:rPr>
        <w:t>, ktoré tvoria skoro jednu pätinu z celkových výdavkov VS. Zamestnanosť VS medziročne vzrastie o</w:t>
      </w:r>
      <w:r w:rsidR="001768FA">
        <w:rPr>
          <w:sz w:val="20"/>
        </w:rPr>
        <w:t xml:space="preserve"> 2,4 %, t. j. o </w:t>
      </w:r>
      <w:r w:rsidRPr="008554D4">
        <w:rPr>
          <w:sz w:val="20"/>
        </w:rPr>
        <w:t>10 377 osôb</w:t>
      </w:r>
      <w:r w:rsidR="00804BDF">
        <w:rPr>
          <w:sz w:val="20"/>
        </w:rPr>
        <w:t xml:space="preserve"> </w:t>
      </w:r>
      <w:r w:rsidR="001768FA" w:rsidRPr="0005332F">
        <w:rPr>
          <w:sz w:val="20"/>
        </w:rPr>
        <w:t>(</w:t>
      </w:r>
      <w:r w:rsidRPr="0005332F">
        <w:rPr>
          <w:sz w:val="20"/>
        </w:rPr>
        <w:t xml:space="preserve">vrátane </w:t>
      </w:r>
      <w:r w:rsidR="000F53F1" w:rsidRPr="0005332F">
        <w:rPr>
          <w:sz w:val="20"/>
        </w:rPr>
        <w:t>3 tis. zamestnancov z dôvodu začlenenia SVP, š. p. do VS</w:t>
      </w:r>
      <w:r w:rsidR="001768FA" w:rsidRPr="0005332F">
        <w:rPr>
          <w:sz w:val="20"/>
        </w:rPr>
        <w:t>)</w:t>
      </w:r>
      <w:r w:rsidRPr="0005332F">
        <w:rPr>
          <w:sz w:val="20"/>
        </w:rPr>
        <w:t>.</w:t>
      </w:r>
      <w:r w:rsidRPr="008554D4">
        <w:rPr>
          <w:sz w:val="20"/>
        </w:rPr>
        <w:t xml:space="preserve"> Napriek rastúcemu  počtu zamestnancov a vytváraniu nových úradov, vybrané úrady trpia nedostatkom zamestnancov.</w:t>
      </w:r>
    </w:p>
    <w:p w14:paraId="2DA7666D" w14:textId="30B354B7" w:rsidR="00DE07FA" w:rsidRPr="00DE07FA" w:rsidRDefault="00DE07FA" w:rsidP="003A5A60">
      <w:pPr>
        <w:pStyle w:val="Textpoznmkypodiarou"/>
        <w:spacing w:after="120" w:line="276" w:lineRule="auto"/>
        <w:rPr>
          <w:sz w:val="20"/>
        </w:rPr>
      </w:pPr>
      <w:r w:rsidRPr="00590730">
        <w:rPr>
          <w:b/>
          <w:sz w:val="20"/>
        </w:rPr>
        <w:t xml:space="preserve">Pre rezort zdravotníctva </w:t>
      </w:r>
      <w:r w:rsidR="00123133" w:rsidRPr="00590730">
        <w:rPr>
          <w:b/>
          <w:sz w:val="20"/>
        </w:rPr>
        <w:t xml:space="preserve">hrozí riziko </w:t>
      </w:r>
      <w:proofErr w:type="spellStart"/>
      <w:r w:rsidR="00123133" w:rsidRPr="00590730">
        <w:rPr>
          <w:b/>
          <w:sz w:val="20"/>
        </w:rPr>
        <w:t>podfinancovania</w:t>
      </w:r>
      <w:proofErr w:type="spellEnd"/>
      <w:r w:rsidR="00123133" w:rsidRPr="00590730">
        <w:rPr>
          <w:b/>
          <w:sz w:val="20"/>
        </w:rPr>
        <w:t>.</w:t>
      </w:r>
      <w:r w:rsidR="00123133">
        <w:rPr>
          <w:sz w:val="20"/>
        </w:rPr>
        <w:t xml:space="preserve"> V</w:t>
      </w:r>
      <w:r w:rsidRPr="00DE07FA">
        <w:rPr>
          <w:sz w:val="20"/>
        </w:rPr>
        <w:t xml:space="preserve"> rozpočte </w:t>
      </w:r>
      <w:r w:rsidR="00123133">
        <w:rPr>
          <w:sz w:val="20"/>
        </w:rPr>
        <w:t xml:space="preserve">je </w:t>
      </w:r>
      <w:r w:rsidRPr="00DE07FA">
        <w:rPr>
          <w:sz w:val="20"/>
        </w:rPr>
        <w:t>navrhovaný celkový objem prostriedkov o 83 mil. eur nižší, ako sú očakávané reálne celkové výdavky zdravotníctva v roku 2022</w:t>
      </w:r>
      <w:r w:rsidR="00123133">
        <w:rPr>
          <w:sz w:val="20"/>
        </w:rPr>
        <w:t>.</w:t>
      </w:r>
      <w:r w:rsidRPr="00DE07FA">
        <w:rPr>
          <w:sz w:val="20"/>
        </w:rPr>
        <w:t xml:space="preserve"> Navyše štruktúra týchto prostriedkov negarantuje stabilitu a predvídateľnosť financovania </w:t>
      </w:r>
      <w:r w:rsidR="00123133">
        <w:rPr>
          <w:sz w:val="20"/>
        </w:rPr>
        <w:t>zd</w:t>
      </w:r>
      <w:r w:rsidRPr="00DE07FA">
        <w:rPr>
          <w:sz w:val="20"/>
        </w:rPr>
        <w:t xml:space="preserve">ravotníctva. Riziko </w:t>
      </w:r>
      <w:r w:rsidR="00887EE8">
        <w:rPr>
          <w:sz w:val="20"/>
        </w:rPr>
        <w:t>rozpočtu</w:t>
      </w:r>
      <w:r w:rsidRPr="00DE07FA">
        <w:rPr>
          <w:sz w:val="20"/>
        </w:rPr>
        <w:t xml:space="preserve"> existuje konkrétne pri fungovaní ambulantného sektora. Pokračujúce </w:t>
      </w:r>
      <w:proofErr w:type="spellStart"/>
      <w:r w:rsidR="00887EE8">
        <w:rPr>
          <w:sz w:val="20"/>
        </w:rPr>
        <w:t>podfinancovanie</w:t>
      </w:r>
      <w:proofErr w:type="spellEnd"/>
      <w:r w:rsidRPr="00DE07FA">
        <w:rPr>
          <w:sz w:val="20"/>
        </w:rPr>
        <w:t xml:space="preserve"> sektora nie je dobrá správa ani pre zadlžovanie zdravotníckych zariadení, v ktorom sa dlhodobo kumulujú viaceré systémové problémy rezortu. Na strane úspor, s ktorými rozpočet počíta, možn</w:t>
      </w:r>
      <w:r w:rsidR="00590730">
        <w:rPr>
          <w:sz w:val="20"/>
        </w:rPr>
        <w:t>o</w:t>
      </w:r>
      <w:r w:rsidRPr="00DE07FA">
        <w:rPr>
          <w:sz w:val="20"/>
        </w:rPr>
        <w:t xml:space="preserve"> identifikovať riziká nedostatočného plnenia viacerých opatrení, predovšetkým v oblasti liekovej politiky.</w:t>
      </w:r>
    </w:p>
    <w:p w14:paraId="5EDEFBE5" w14:textId="71370099" w:rsidR="00C35785" w:rsidRDefault="00770191" w:rsidP="00C35785">
      <w:pPr>
        <w:pStyle w:val="Textpoznmkypodiarou"/>
        <w:spacing w:after="120" w:line="276" w:lineRule="auto"/>
        <w:rPr>
          <w:sz w:val="20"/>
        </w:rPr>
      </w:pPr>
      <w:r>
        <w:rPr>
          <w:b/>
          <w:sz w:val="20"/>
        </w:rPr>
        <w:t>A</w:t>
      </w:r>
      <w:r w:rsidR="00590730" w:rsidRPr="00590730">
        <w:rPr>
          <w:b/>
          <w:sz w:val="20"/>
        </w:rPr>
        <w:t>ni rast</w:t>
      </w:r>
      <w:r w:rsidR="00C35785" w:rsidRPr="00590730">
        <w:rPr>
          <w:b/>
          <w:sz w:val="20"/>
        </w:rPr>
        <w:t xml:space="preserve"> výdavk</w:t>
      </w:r>
      <w:r w:rsidR="00590730" w:rsidRPr="00590730">
        <w:rPr>
          <w:b/>
          <w:sz w:val="20"/>
        </w:rPr>
        <w:t>ov</w:t>
      </w:r>
      <w:r w:rsidR="00C35785" w:rsidRPr="00590730">
        <w:rPr>
          <w:b/>
          <w:sz w:val="20"/>
        </w:rPr>
        <w:t xml:space="preserve"> </w:t>
      </w:r>
      <w:r>
        <w:rPr>
          <w:b/>
          <w:sz w:val="20"/>
        </w:rPr>
        <w:t xml:space="preserve">v rezorte školstva, </w:t>
      </w:r>
      <w:r w:rsidR="00C35785" w:rsidRPr="00590730">
        <w:rPr>
          <w:b/>
          <w:sz w:val="20"/>
        </w:rPr>
        <w:t>najmä z dôvodu valorizácie platov zamestnancov v regionálnom a vysokom školstve</w:t>
      </w:r>
      <w:r>
        <w:rPr>
          <w:b/>
          <w:sz w:val="20"/>
        </w:rPr>
        <w:t>,</w:t>
      </w:r>
      <w:r w:rsidR="002109DF" w:rsidRPr="00590730">
        <w:rPr>
          <w:b/>
          <w:sz w:val="20"/>
        </w:rPr>
        <w:t xml:space="preserve"> nezabráni poklesu reálnych miezd zamestnancov v regionálnom školstve.</w:t>
      </w:r>
      <w:r w:rsidR="002109DF" w:rsidRPr="00C35785">
        <w:rPr>
          <w:sz w:val="20"/>
        </w:rPr>
        <w:t xml:space="preserve"> </w:t>
      </w:r>
      <w:r w:rsidR="00C35785" w:rsidRPr="00C35785">
        <w:rPr>
          <w:sz w:val="20"/>
        </w:rPr>
        <w:t xml:space="preserve">Nárast priemernej mzdy pedagogických a odborných zamestnancov za obdobie 2021 – 2023 bude pod úrovňou </w:t>
      </w:r>
      <w:r w:rsidR="006643CF">
        <w:rPr>
          <w:sz w:val="20"/>
        </w:rPr>
        <w:t xml:space="preserve">priemernej mzdy </w:t>
      </w:r>
      <w:r w:rsidR="00C35785" w:rsidRPr="00C35785">
        <w:rPr>
          <w:sz w:val="20"/>
        </w:rPr>
        <w:t>za celé hospodárstvo. Navyše v dôsledku vysokej inflácie bude priemerná reálna mzda pedagogických a odborných zamestnancov o 9 % nižšia ako v roku 2021. Pokles reálnych príjmov bude mať za následok zníženie už v súčasnosti nízkej atraktivity učiteľského povolania.</w:t>
      </w:r>
    </w:p>
    <w:p w14:paraId="2E639D83" w14:textId="22321073" w:rsidR="00316917" w:rsidRDefault="00316917" w:rsidP="00316917">
      <w:pPr>
        <w:pStyle w:val="Textpoznmkypodiarou"/>
        <w:spacing w:after="120" w:line="276" w:lineRule="auto"/>
        <w:rPr>
          <w:sz w:val="20"/>
        </w:rPr>
      </w:pPr>
      <w:r w:rsidRPr="00770191">
        <w:rPr>
          <w:b/>
          <w:sz w:val="20"/>
        </w:rPr>
        <w:t xml:space="preserve">V rezorte práce a sociálnych vecí </w:t>
      </w:r>
      <w:r w:rsidR="00770191" w:rsidRPr="00770191">
        <w:rPr>
          <w:b/>
          <w:sz w:val="20"/>
        </w:rPr>
        <w:t>sú naplánované historicky</w:t>
      </w:r>
      <w:r w:rsidRPr="00770191">
        <w:rPr>
          <w:b/>
          <w:sz w:val="20"/>
        </w:rPr>
        <w:t xml:space="preserve"> najvyšš</w:t>
      </w:r>
      <w:r w:rsidR="00770191" w:rsidRPr="00770191">
        <w:rPr>
          <w:b/>
          <w:sz w:val="20"/>
        </w:rPr>
        <w:t>ie</w:t>
      </w:r>
      <w:r w:rsidRPr="00770191">
        <w:rPr>
          <w:b/>
          <w:sz w:val="20"/>
        </w:rPr>
        <w:t xml:space="preserve"> výdavk</w:t>
      </w:r>
      <w:r w:rsidR="00770191" w:rsidRPr="00770191">
        <w:rPr>
          <w:b/>
          <w:sz w:val="20"/>
        </w:rPr>
        <w:t>y</w:t>
      </w:r>
      <w:r w:rsidRPr="00770191">
        <w:rPr>
          <w:b/>
          <w:sz w:val="20"/>
        </w:rPr>
        <w:t xml:space="preserve"> na podporu rodiny vo výške 1,7 mld. eur a na tvorbu a implementáciu politík v sume 1,1 mld. eur</w:t>
      </w:r>
      <w:r w:rsidRPr="00770191">
        <w:rPr>
          <w:rFonts w:cs="Segoe UI"/>
          <w:b/>
          <w:sz w:val="20"/>
        </w:rPr>
        <w:t>.</w:t>
      </w:r>
      <w:r w:rsidRPr="00BF353D">
        <w:rPr>
          <w:sz w:val="20"/>
        </w:rPr>
        <w:t xml:space="preserve"> </w:t>
      </w:r>
      <w:r>
        <w:rPr>
          <w:sz w:val="20"/>
        </w:rPr>
        <w:t>Nesprávne z</w:t>
      </w:r>
      <w:r w:rsidRPr="00BF353D">
        <w:rPr>
          <w:sz w:val="20"/>
        </w:rPr>
        <w:t xml:space="preserve">aradenie </w:t>
      </w:r>
      <w:r>
        <w:rPr>
          <w:sz w:val="20"/>
        </w:rPr>
        <w:t>výdavkov, určených na kompenzačné opatrenia v súvislosti s rastom cien energií (900 mil. eur) na prvok aparát ministerstva a ich vopred nešpecifikované použitie</w:t>
      </w:r>
      <w:r w:rsidR="00770191">
        <w:rPr>
          <w:sz w:val="20"/>
        </w:rPr>
        <w:t>,</w:t>
      </w:r>
      <w:r>
        <w:rPr>
          <w:sz w:val="20"/>
        </w:rPr>
        <w:t xml:space="preserve"> predstavuje riziko </w:t>
      </w:r>
      <w:r w:rsidR="002109DF">
        <w:rPr>
          <w:sz w:val="20"/>
        </w:rPr>
        <w:t>korektného čerpania</w:t>
      </w:r>
      <w:r>
        <w:rPr>
          <w:sz w:val="20"/>
        </w:rPr>
        <w:t xml:space="preserve"> rozpočtu.</w:t>
      </w:r>
      <w:r w:rsidRPr="00BF353D">
        <w:rPr>
          <w:sz w:val="20"/>
        </w:rPr>
        <w:t xml:space="preserve"> </w:t>
      </w:r>
      <w:r>
        <w:rPr>
          <w:sz w:val="20"/>
        </w:rPr>
        <w:t xml:space="preserve">Prijatá dôchodková reforma I. piliera, ktorá je splnením </w:t>
      </w:r>
      <w:r w:rsidR="00770191">
        <w:rPr>
          <w:sz w:val="20"/>
        </w:rPr>
        <w:t xml:space="preserve">cieľa </w:t>
      </w:r>
      <w:r>
        <w:rPr>
          <w:sz w:val="20"/>
        </w:rPr>
        <w:t>PVV, bude mať zásadný vplyv na udržateľnosť verejných financií a na výšku dôchodkov v budúcnosti.</w:t>
      </w:r>
    </w:p>
    <w:p w14:paraId="307D32F1" w14:textId="4665A0D9" w:rsidR="00036FF9" w:rsidRPr="006928B4" w:rsidRDefault="00036FF9" w:rsidP="00036FF9">
      <w:pPr>
        <w:pStyle w:val="Textpoznmkypodiarou"/>
        <w:spacing w:after="120" w:line="276" w:lineRule="auto"/>
        <w:rPr>
          <w:rFonts w:cs="Segoe UI"/>
          <w:color w:val="FF0000"/>
          <w:sz w:val="20"/>
        </w:rPr>
      </w:pPr>
      <w:r w:rsidRPr="00770191">
        <w:rPr>
          <w:rFonts w:cs="Segoe UI"/>
          <w:b/>
          <w:sz w:val="20"/>
        </w:rPr>
        <w:t>V </w:t>
      </w:r>
      <w:r w:rsidRPr="00770191">
        <w:rPr>
          <w:rFonts w:cs="Segoe UI"/>
          <w:b/>
          <w:bCs/>
          <w:sz w:val="20"/>
        </w:rPr>
        <w:t>rezorte životného prostredia</w:t>
      </w:r>
      <w:r w:rsidRPr="00770191">
        <w:rPr>
          <w:rFonts w:cs="Segoe UI"/>
          <w:b/>
          <w:sz w:val="20"/>
        </w:rPr>
        <w:t xml:space="preserve"> je plánované výrazné navýšenie finančných zdrojov</w:t>
      </w:r>
      <w:r w:rsidR="00770191" w:rsidRPr="00770191">
        <w:rPr>
          <w:rFonts w:cs="Segoe UI"/>
          <w:b/>
          <w:sz w:val="20"/>
        </w:rPr>
        <w:t xml:space="preserve">, ale </w:t>
      </w:r>
      <w:r w:rsidRPr="00770191">
        <w:rPr>
          <w:rFonts w:cs="Segoe UI"/>
          <w:b/>
          <w:sz w:val="20"/>
        </w:rPr>
        <w:t xml:space="preserve">napriek tomu alokované finančné zdroje </w:t>
      </w:r>
      <w:r w:rsidR="00775CC3">
        <w:rPr>
          <w:rFonts w:cs="Segoe UI"/>
          <w:b/>
          <w:sz w:val="20"/>
        </w:rPr>
        <w:t>nebudú dostatočné pre</w:t>
      </w:r>
      <w:r w:rsidRPr="00770191">
        <w:rPr>
          <w:rFonts w:cs="Segoe UI"/>
          <w:b/>
          <w:sz w:val="20"/>
        </w:rPr>
        <w:t> výraznejšie</w:t>
      </w:r>
      <w:bookmarkStart w:id="3" w:name="_GoBack"/>
      <w:bookmarkEnd w:id="3"/>
      <w:r w:rsidRPr="00770191">
        <w:rPr>
          <w:rFonts w:cs="Segoe UI"/>
          <w:b/>
          <w:sz w:val="20"/>
        </w:rPr>
        <w:t xml:space="preserve"> zníženi</w:t>
      </w:r>
      <w:r w:rsidR="00775CC3">
        <w:rPr>
          <w:rFonts w:cs="Segoe UI"/>
          <w:b/>
          <w:sz w:val="20"/>
        </w:rPr>
        <w:t>e</w:t>
      </w:r>
      <w:r w:rsidRPr="00770191">
        <w:rPr>
          <w:rFonts w:cs="Segoe UI"/>
          <w:b/>
          <w:sz w:val="20"/>
        </w:rPr>
        <w:t xml:space="preserve"> investičného dlhu.</w:t>
      </w:r>
      <w:r w:rsidRPr="006928B4">
        <w:rPr>
          <w:rFonts w:cs="Segoe UI"/>
          <w:sz w:val="20"/>
        </w:rPr>
        <w:t xml:space="preserve"> Riziko</w:t>
      </w:r>
      <w:r>
        <w:rPr>
          <w:rFonts w:cs="Segoe UI"/>
          <w:sz w:val="20"/>
        </w:rPr>
        <w:t>m</w:t>
      </w:r>
      <w:r w:rsidRPr="006928B4">
        <w:rPr>
          <w:rFonts w:cs="Segoe UI"/>
          <w:sz w:val="20"/>
        </w:rPr>
        <w:t xml:space="preserve"> </w:t>
      </w:r>
      <w:r>
        <w:rPr>
          <w:rFonts w:cs="Segoe UI"/>
          <w:sz w:val="20"/>
        </w:rPr>
        <w:t xml:space="preserve">sa javí aj absencia </w:t>
      </w:r>
      <w:r w:rsidRPr="006928B4">
        <w:rPr>
          <w:rFonts w:cs="Segoe UI"/>
          <w:sz w:val="20"/>
        </w:rPr>
        <w:t xml:space="preserve">implementačného plánu </w:t>
      </w:r>
      <w:proofErr w:type="spellStart"/>
      <w:r w:rsidRPr="006928B4">
        <w:rPr>
          <w:rFonts w:cs="Segoe UI"/>
          <w:sz w:val="20"/>
        </w:rPr>
        <w:t>Envirostratégie</w:t>
      </w:r>
      <w:proofErr w:type="spellEnd"/>
      <w:r w:rsidRPr="006928B4">
        <w:rPr>
          <w:rFonts w:cs="Segoe UI"/>
          <w:sz w:val="20"/>
        </w:rPr>
        <w:t xml:space="preserve"> 2030 spolu s chýbajúcim ročným odpočtom jednotlivých merateľných ukazovateľov jej plnenia. V kapitole je potrebné </w:t>
      </w:r>
      <w:r>
        <w:rPr>
          <w:rFonts w:cs="Segoe UI"/>
          <w:sz w:val="20"/>
        </w:rPr>
        <w:t>spracovanie</w:t>
      </w:r>
      <w:r w:rsidRPr="006928B4">
        <w:rPr>
          <w:rFonts w:cs="Segoe UI"/>
          <w:sz w:val="20"/>
        </w:rPr>
        <w:t xml:space="preserve"> stratégie riadenia rizika sucha, aktualizácie Národného energetického a klimatického plánu a</w:t>
      </w:r>
      <w:r>
        <w:rPr>
          <w:rFonts w:cs="Segoe UI"/>
          <w:sz w:val="20"/>
        </w:rPr>
        <w:t> vysporiadanie</w:t>
      </w:r>
      <w:r w:rsidRPr="006928B4">
        <w:rPr>
          <w:rFonts w:cs="Segoe UI"/>
          <w:sz w:val="20"/>
        </w:rPr>
        <w:t xml:space="preserve"> sa s upozorneniami a žalobami EK. Záväzky SR v dekarbonizácii ekonomiky si budú vyžadovať efektívne využívanie všetkých zdrojov. </w:t>
      </w:r>
    </w:p>
    <w:p w14:paraId="3CFD1492" w14:textId="79A683C4" w:rsidR="00E973EC" w:rsidRDefault="00B15392" w:rsidP="00E973EC">
      <w:pPr>
        <w:rPr>
          <w:highlight w:val="yellow"/>
        </w:rPr>
      </w:pPr>
      <w:r w:rsidRPr="00A64840">
        <w:rPr>
          <w:rFonts w:cs="Segoe UI"/>
          <w:b/>
          <w:bCs/>
          <w:color w:val="000000"/>
          <w:szCs w:val="20"/>
          <w:lang w:eastAsia="sk-SK"/>
        </w:rPr>
        <w:t>Rozpočet samosprávy</w:t>
      </w:r>
      <w:r w:rsidRPr="00A64840">
        <w:rPr>
          <w:rFonts w:cs="Segoe UI"/>
          <w:b/>
          <w:color w:val="000000"/>
          <w:szCs w:val="20"/>
          <w:lang w:eastAsia="sk-SK"/>
        </w:rPr>
        <w:t xml:space="preserve"> sa ani v roku 2023 nedočká výraznejších systémových úprav financovania.</w:t>
      </w:r>
      <w:r>
        <w:rPr>
          <w:rFonts w:cs="Segoe UI"/>
          <w:color w:val="000000"/>
          <w:szCs w:val="20"/>
          <w:lang w:eastAsia="sk-SK"/>
        </w:rPr>
        <w:t xml:space="preserve"> Zmena daňových príjmov od štátu z jedného odvodu na daňový mix by zabezpečila rozloženie rizika pri nepredvídaných udalostiach. Takou je aj zavedenie daňového bonusu, kvôli ktorému samospráva príde o časť príjmov v podobe nižšieho výnosu z DPFO. Bez adekvátnej kompenzácie považuje NKÚ SR takýto krok v období nárastu výdavkov na energie, mzdy, stavebné materiály či iné tovary a služby za ohrozenie rozpočtov samosprávy. Plánovaný pokles kapitálových výdavkov v roku 2023 pravdepodobne nenastane aj napriek tomu, že bude povolebný rok, kedy majú tendenciu tieto výdavky klesnúť. Dôvodom bude akcelerácia ukončenia projektov z fondov EÚ v poslednom roku PO 2014 </w:t>
      </w:r>
      <w:r w:rsidR="00A64840">
        <w:rPr>
          <w:rFonts w:cs="Segoe UI"/>
          <w:color w:val="000000"/>
          <w:szCs w:val="20"/>
          <w:lang w:eastAsia="sk-SK"/>
        </w:rPr>
        <w:t xml:space="preserve">– </w:t>
      </w:r>
      <w:r>
        <w:rPr>
          <w:rFonts w:cs="Segoe UI"/>
          <w:color w:val="000000"/>
          <w:szCs w:val="20"/>
          <w:lang w:eastAsia="sk-SK"/>
        </w:rPr>
        <w:t xml:space="preserve"> 2020.</w:t>
      </w:r>
    </w:p>
    <w:p w14:paraId="623167FB" w14:textId="4A601D24" w:rsidR="000F6D77" w:rsidRPr="00B70CA3" w:rsidRDefault="002529B9" w:rsidP="002529B9">
      <w:pPr>
        <w:pStyle w:val="Textpoznmkypodiarou"/>
        <w:spacing w:after="120" w:line="276" w:lineRule="auto"/>
        <w:jc w:val="center"/>
        <w:rPr>
          <w:sz w:val="20"/>
          <w:highlight w:val="yellow"/>
        </w:rPr>
      </w:pPr>
      <w:r>
        <w:rPr>
          <w:noProof/>
          <w:sz w:val="20"/>
          <w:lang w:eastAsia="sk-SK"/>
        </w:rPr>
        <w:lastRenderedPageBreak/>
        <w:drawing>
          <wp:anchor distT="0" distB="0" distL="114300" distR="114300" simplePos="0" relativeHeight="251658240" behindDoc="0" locked="0" layoutInCell="1" allowOverlap="1" wp14:anchorId="12E43D63" wp14:editId="3F61EFF1">
            <wp:simplePos x="0" y="0"/>
            <wp:positionH relativeFrom="margin">
              <wp:posOffset>-721995</wp:posOffset>
            </wp:positionH>
            <wp:positionV relativeFrom="margin">
              <wp:posOffset>86995</wp:posOffset>
            </wp:positionV>
            <wp:extent cx="6595745" cy="8753475"/>
            <wp:effectExtent l="0" t="0" r="0" b="9525"/>
            <wp:wrapSquare wrapText="bothSides"/>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py-rozpocet-2023_tlac.png"/>
                    <pic:cNvPicPr/>
                  </pic:nvPicPr>
                  <pic:blipFill>
                    <a:blip r:embed="rId12">
                      <a:extLst>
                        <a:ext uri="{28A0092B-C50C-407E-A947-70E740481C1C}">
                          <a14:useLocalDpi xmlns:a14="http://schemas.microsoft.com/office/drawing/2010/main" val="0"/>
                        </a:ext>
                      </a:extLst>
                    </a:blip>
                    <a:stretch>
                      <a:fillRect/>
                    </a:stretch>
                  </pic:blipFill>
                  <pic:spPr>
                    <a:xfrm>
                      <a:off x="0" y="0"/>
                      <a:ext cx="6595745" cy="8753475"/>
                    </a:xfrm>
                    <a:prstGeom prst="rect">
                      <a:avLst/>
                    </a:prstGeom>
                  </pic:spPr>
                </pic:pic>
              </a:graphicData>
            </a:graphic>
            <wp14:sizeRelH relativeFrom="margin">
              <wp14:pctWidth>0</wp14:pctWidth>
            </wp14:sizeRelH>
            <wp14:sizeRelV relativeFrom="margin">
              <wp14:pctHeight>0</wp14:pctHeight>
            </wp14:sizeRelV>
          </wp:anchor>
        </w:drawing>
      </w:r>
      <w:r w:rsidR="00B70CA3">
        <w:rPr>
          <w:sz w:val="20"/>
          <w:highlight w:val="yellow"/>
        </w:rPr>
        <w:br w:type="page"/>
      </w:r>
    </w:p>
    <w:p w14:paraId="1C6F03E5" w14:textId="77777777" w:rsidR="00B10EC5" w:rsidRDefault="00092577" w:rsidP="0011737A">
      <w:pPr>
        <w:pStyle w:val="Nadpis1"/>
      </w:pPr>
      <w:bookmarkStart w:id="4" w:name="_Toc86396372"/>
      <w:bookmarkStart w:id="5" w:name="_Toc119482904"/>
      <w:bookmarkStart w:id="6" w:name="_Toc53475707"/>
      <w:bookmarkEnd w:id="0"/>
      <w:r>
        <w:lastRenderedPageBreak/>
        <w:t>Makroekonomick</w:t>
      </w:r>
      <w:r w:rsidR="00F36F51">
        <w:t>é predpoklady rozpočtu</w:t>
      </w:r>
      <w:bookmarkEnd w:id="4"/>
      <w:bookmarkEnd w:id="5"/>
    </w:p>
    <w:p w14:paraId="1EF781C9" w14:textId="67EAF5FB" w:rsidR="006E1C75" w:rsidRDefault="00D0376D" w:rsidP="00D0376D">
      <w:bookmarkStart w:id="7" w:name="_Toc86396373"/>
      <w:bookmarkEnd w:id="6"/>
      <w:r w:rsidRPr="008D7FD2">
        <w:rPr>
          <w:b/>
        </w:rPr>
        <w:t>Návrh rozpočtu verejnej správy (RVS) na roky 2023 až 2025 bol pripravovaný už tretí rok po sebe v mimoriadnych časoch.</w:t>
      </w:r>
      <w:r>
        <w:t xml:space="preserve"> Okrem doznievajúcej pandémie COVID-19 musí Slovensko vyriešiť viacero problémov. </w:t>
      </w:r>
      <w:r w:rsidR="006E1C75" w:rsidRPr="006E1C75">
        <w:t xml:space="preserve">Najväčším bezpečnostným rizikom pre krajiny EÚ vrátane Slovenska je vojnový konflikt na Ukrajine. Slovensko, ako susediaci štát, poskytol v rámci solidarity humanitárnu a vojenskú pomoc Ukrajine a tiež dočasné útočisko pre utečencov. Vojnový konflikt na Ukrajine ako aj znižovanie dodávok ropy a plynu z Ruska vyústili do energetickej krízy, čo spolu so zvýšením dopytu po tovaroch z dôvodu pandémie a vysokými cenami energií vytlačilo infláciu na dvojciferné čísla. </w:t>
      </w:r>
    </w:p>
    <w:p w14:paraId="305D8259" w14:textId="484461C5" w:rsidR="00D0376D" w:rsidRPr="00005263" w:rsidRDefault="00D0376D" w:rsidP="00D0376D">
      <w:r w:rsidRPr="008D7FD2">
        <w:rPr>
          <w:b/>
        </w:rPr>
        <w:t>Slovensk</w:t>
      </w:r>
      <w:r w:rsidR="00E247AB">
        <w:rPr>
          <w:b/>
        </w:rPr>
        <w:t>á</w:t>
      </w:r>
      <w:r w:rsidRPr="008D7FD2">
        <w:rPr>
          <w:b/>
        </w:rPr>
        <w:t xml:space="preserve"> ekonomika napokon neporastie v tomto roku medziročne o 4,2 %</w:t>
      </w:r>
      <w:r w:rsidR="006E61D7" w:rsidRPr="008D7FD2">
        <w:rPr>
          <w:b/>
        </w:rPr>
        <w:t>,</w:t>
      </w:r>
      <w:r w:rsidRPr="008D7FD2">
        <w:rPr>
          <w:b/>
        </w:rPr>
        <w:t xml:space="preserve"> ako </w:t>
      </w:r>
      <w:r w:rsidR="006E61D7" w:rsidRPr="008D7FD2">
        <w:rPr>
          <w:b/>
        </w:rPr>
        <w:t xml:space="preserve">pôvodne </w:t>
      </w:r>
      <w:r w:rsidRPr="008D7FD2">
        <w:rPr>
          <w:b/>
        </w:rPr>
        <w:t xml:space="preserve">predpokladal schválený RVS, ale </w:t>
      </w:r>
      <w:r w:rsidR="006E61D7" w:rsidRPr="008D7FD2">
        <w:rPr>
          <w:b/>
        </w:rPr>
        <w:t xml:space="preserve">očakáva sa rast </w:t>
      </w:r>
      <w:r w:rsidRPr="008D7FD2">
        <w:rPr>
          <w:b/>
        </w:rPr>
        <w:t>len o 1,9 %.</w:t>
      </w:r>
      <w:r>
        <w:t xml:space="preserve"> Vplyv na zníženie ekonomického rastu v druhom polroku 2022 ma</w:t>
      </w:r>
      <w:r w:rsidR="006E61D7">
        <w:t>jú</w:t>
      </w:r>
      <w:r>
        <w:t xml:space="preserve"> najmä vysoké ceny energií</w:t>
      </w:r>
      <w:r w:rsidR="006E61D7">
        <w:t>,</w:t>
      </w:r>
      <w:r>
        <w:t xml:space="preserve"> ako aj riziko zníženia dodávok plynu. Drahé energie majú najväčší dopad hlavne na energeticky náročný priemysel, kde už niekoľko firiem obmedzilo alebo dočasne pozastavilo výrobu.  </w:t>
      </w:r>
    </w:p>
    <w:p w14:paraId="0E5E4AB4" w14:textId="0F3109B2" w:rsidR="00D0376D" w:rsidRDefault="00D0376D" w:rsidP="00D0376D">
      <w:r w:rsidRPr="00864506">
        <w:rPr>
          <w:b/>
        </w:rPr>
        <w:t xml:space="preserve">Ceny energií rastú kontinuálne už od leta minulého roka, pričom na prelome rokov 2021 a 2022 boli </w:t>
      </w:r>
      <w:r w:rsidR="00DC1F91" w:rsidRPr="00864506">
        <w:rPr>
          <w:b/>
        </w:rPr>
        <w:t xml:space="preserve">už </w:t>
      </w:r>
      <w:r w:rsidRPr="00864506">
        <w:rPr>
          <w:b/>
        </w:rPr>
        <w:t>dvojnásobné.</w:t>
      </w:r>
      <w:r>
        <w:t xml:space="preserve"> Po invázii Ruska na Ukrajinu </w:t>
      </w:r>
      <w:r w:rsidR="00097920">
        <w:t>pokračovali</w:t>
      </w:r>
      <w:r>
        <w:t xml:space="preserve"> ceny elektriny aj plynu </w:t>
      </w:r>
      <w:r w:rsidR="00097920">
        <w:t>v</w:t>
      </w:r>
      <w:r>
        <w:t xml:space="preserve"> rastúc</w:t>
      </w:r>
      <w:r w:rsidR="00097920">
        <w:t>om</w:t>
      </w:r>
      <w:r>
        <w:t xml:space="preserve"> trend</w:t>
      </w:r>
      <w:r w:rsidR="00097920">
        <w:t>e</w:t>
      </w:r>
      <w:r>
        <w:t>, ktorý vyvrcholil v lete tohto roku</w:t>
      </w:r>
      <w:r w:rsidR="00DC1F91">
        <w:t xml:space="preserve"> (graf 1)</w:t>
      </w:r>
      <w:r>
        <w:t xml:space="preserve">. Ceny elektriny (1 000 </w:t>
      </w:r>
      <w:r w:rsidR="00E8007F">
        <w:t>eur</w:t>
      </w:r>
      <w:r w:rsidRPr="0050599E">
        <w:t>/MWh</w:t>
      </w:r>
      <w:r>
        <w:t xml:space="preserve">) a plynu (315 </w:t>
      </w:r>
      <w:r w:rsidR="00E8007F">
        <w:t>eur</w:t>
      </w:r>
      <w:r w:rsidRPr="0050599E">
        <w:t>/MWh</w:t>
      </w:r>
      <w:r>
        <w:t xml:space="preserve">) tak dosiahli svoje historické maximum. Rastúce ceny energií majú výrazný vplyv na regulované ceny, kde pre aktuálnu situáciu vzrastú ceny energií pre domácnosti na začiatku roka 2023. Okrem toho tlačia regulované ceny na infláciu, ktorá </w:t>
      </w:r>
      <w:r w:rsidR="00EF760C">
        <w:t xml:space="preserve">by mala podľa MF SR </w:t>
      </w:r>
      <w:r>
        <w:t xml:space="preserve">v tomto roku </w:t>
      </w:r>
      <w:r w:rsidR="00EF760C">
        <w:t xml:space="preserve">dosiahnuť </w:t>
      </w:r>
      <w:r>
        <w:t>12,4 % a v budúcom 13,5 %.</w:t>
      </w:r>
      <w:r w:rsidR="00EF760C">
        <w:t xml:space="preserve"> </w:t>
      </w:r>
      <w:r w:rsidR="00BE6EED">
        <w:t xml:space="preserve">Neistotu prognózovania inflácie v tomto období však potvrdzujú </w:t>
      </w:r>
      <w:r w:rsidR="009E017A">
        <w:t xml:space="preserve">aj </w:t>
      </w:r>
      <w:r w:rsidR="00BE6EED">
        <w:t>odhady iných inštitúcií, ktoré sa od predpokladov MF SR výrazne líšia oboma smermi. Napríklad</w:t>
      </w:r>
      <w:r w:rsidR="001E2E3E">
        <w:t xml:space="preserve"> NBS odhaduje infláciu </w:t>
      </w:r>
      <w:r w:rsidR="00A65987">
        <w:t xml:space="preserve">v SR </w:t>
      </w:r>
      <w:r w:rsidR="001E2E3E">
        <w:t xml:space="preserve">v roku 2023 </w:t>
      </w:r>
      <w:r w:rsidR="00A65987">
        <w:t xml:space="preserve">až </w:t>
      </w:r>
      <w:r w:rsidR="001E2E3E">
        <w:t>na úrovni 18,3 %</w:t>
      </w:r>
      <w:r w:rsidR="00BE6EED">
        <w:t xml:space="preserve">, </w:t>
      </w:r>
      <w:r w:rsidR="001E2E3E">
        <w:t>E</w:t>
      </w:r>
      <w:r w:rsidR="00A17E5E">
        <w:t>K</w:t>
      </w:r>
      <w:r w:rsidR="001E2E3E">
        <w:t xml:space="preserve"> </w:t>
      </w:r>
      <w:r w:rsidR="009E017A">
        <w:t xml:space="preserve">na úrovni </w:t>
      </w:r>
      <w:r w:rsidR="001E2E3E">
        <w:t xml:space="preserve">8,2 % a Medzinárodný menový fond </w:t>
      </w:r>
      <w:r w:rsidR="00BE6EED">
        <w:t xml:space="preserve">len </w:t>
      </w:r>
      <w:r w:rsidR="001E2E3E">
        <w:t>4,1 %.</w:t>
      </w:r>
    </w:p>
    <w:p w14:paraId="5264A1F9" w14:textId="168A9B7A" w:rsidR="00D0376D" w:rsidRPr="00BC3CA3" w:rsidRDefault="00D0376D" w:rsidP="00D0376D">
      <w:pPr>
        <w:pStyle w:val="Popis"/>
        <w:keepNext/>
        <w:rPr>
          <w:color w:val="314364"/>
        </w:rPr>
      </w:pPr>
      <w:r w:rsidRPr="00BC3CA3">
        <w:rPr>
          <w:color w:val="314364"/>
        </w:rPr>
        <w:t xml:space="preserve">Graf </w:t>
      </w:r>
      <w:r w:rsidRPr="00BC3CA3">
        <w:rPr>
          <w:color w:val="314364"/>
        </w:rPr>
        <w:fldChar w:fldCharType="begin"/>
      </w:r>
      <w:r w:rsidRPr="00BC3CA3">
        <w:rPr>
          <w:color w:val="314364"/>
        </w:rPr>
        <w:instrText xml:space="preserve"> SEQ Graf \* ARABIC </w:instrText>
      </w:r>
      <w:r w:rsidRPr="00BC3CA3">
        <w:rPr>
          <w:color w:val="314364"/>
        </w:rPr>
        <w:fldChar w:fldCharType="separate"/>
      </w:r>
      <w:r w:rsidR="002529B9">
        <w:rPr>
          <w:noProof/>
          <w:color w:val="314364"/>
        </w:rPr>
        <w:t>1</w:t>
      </w:r>
      <w:r w:rsidRPr="00BC3CA3">
        <w:rPr>
          <w:color w:val="314364"/>
        </w:rPr>
        <w:fldChar w:fldCharType="end"/>
      </w:r>
      <w:r w:rsidRPr="00BC3CA3">
        <w:rPr>
          <w:color w:val="314364"/>
        </w:rPr>
        <w:t>:</w:t>
      </w:r>
      <w:r>
        <w:rPr>
          <w:color w:val="314364"/>
        </w:rPr>
        <w:t xml:space="preserve"> Vývoj cien energií </w:t>
      </w:r>
      <w:r w:rsidR="00DC1F91">
        <w:rPr>
          <w:color w:val="314364"/>
        </w:rPr>
        <w:t>v roku 2022</w:t>
      </w:r>
      <w:r>
        <w:rPr>
          <w:color w:val="314364"/>
        </w:rPr>
        <w:t xml:space="preserve"> s odberom v roku 2023 (v </w:t>
      </w:r>
      <w:r w:rsidR="00EF760C">
        <w:rPr>
          <w:color w:val="314364"/>
        </w:rPr>
        <w:t>eurách</w:t>
      </w:r>
      <w:r>
        <w:rPr>
          <w:color w:val="314364"/>
        </w:rPr>
        <w:t>/MWh)</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D0376D" w:rsidRPr="00C75134" w14:paraId="0A08194D" w14:textId="77777777" w:rsidTr="00580410">
        <w:trPr>
          <w:trHeight w:val="3402"/>
        </w:trPr>
        <w:tc>
          <w:tcPr>
            <w:tcW w:w="9070" w:type="dxa"/>
            <w:tcBorders>
              <w:top w:val="single" w:sz="4" w:space="0" w:color="314364"/>
              <w:bottom w:val="single" w:sz="4" w:space="0" w:color="314364"/>
            </w:tcBorders>
            <w:vAlign w:val="center"/>
          </w:tcPr>
          <w:p w14:paraId="79A6AB57" w14:textId="77777777" w:rsidR="00D0376D" w:rsidRPr="00C75134" w:rsidRDefault="00D0376D" w:rsidP="00580410">
            <w:pPr>
              <w:spacing w:after="0"/>
              <w:rPr>
                <w:b/>
                <w:color w:val="576431"/>
              </w:rPr>
            </w:pPr>
            <w:r>
              <w:rPr>
                <w:noProof/>
                <w:lang w:eastAsia="sk-SK"/>
              </w:rPr>
              <w:drawing>
                <wp:inline distT="0" distB="0" distL="0" distR="0" wp14:anchorId="56EC3385" wp14:editId="3E815034">
                  <wp:extent cx="5759450" cy="21336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73BF59A4" w14:textId="77777777" w:rsidR="00D0376D" w:rsidRDefault="00D0376D" w:rsidP="00D0376D">
      <w:pPr>
        <w:pStyle w:val="Zdroj"/>
      </w:pPr>
      <w:r w:rsidRPr="00627D87">
        <w:t xml:space="preserve">Zdroj: </w:t>
      </w:r>
      <w:r>
        <w:t>IFP, EEX</w:t>
      </w:r>
    </w:p>
    <w:p w14:paraId="3BC7A791" w14:textId="1D3022E2" w:rsidR="004F7BCA" w:rsidRDefault="00A17E5E" w:rsidP="004F7BCA">
      <w:pPr>
        <w:spacing w:after="160"/>
        <w:rPr>
          <w:szCs w:val="20"/>
        </w:rPr>
      </w:pPr>
      <w:r>
        <w:rPr>
          <w:szCs w:val="20"/>
        </w:rPr>
        <w:t>Všetky tieto problémy</w:t>
      </w:r>
      <w:r w:rsidR="004F7BCA" w:rsidRPr="00EC61E9">
        <w:rPr>
          <w:szCs w:val="20"/>
        </w:rPr>
        <w:t xml:space="preserve"> sa premietajú do historicky najvyšších cien poľnohospodárskych aj potravinárskych komodít. Saldo zahraničného obchodu SR s poľnohospodárskymi a potravinárskymi výrobkami bolo v januári až júli 2022 pasívne (-1,21 mld. eur), pričom sa medziročne zvýšilo o 14,6 %. Nízka produktivita</w:t>
      </w:r>
      <w:r w:rsidR="004F7BCA">
        <w:rPr>
          <w:szCs w:val="20"/>
        </w:rPr>
        <w:t xml:space="preserve"> a</w:t>
      </w:r>
      <w:r w:rsidR="004F7BCA" w:rsidRPr="00EC61E9">
        <w:rPr>
          <w:szCs w:val="20"/>
        </w:rPr>
        <w:t xml:space="preserve"> záporné saldo znamen</w:t>
      </w:r>
      <w:r w:rsidR="004F7BCA">
        <w:rPr>
          <w:szCs w:val="20"/>
        </w:rPr>
        <w:t>ajú</w:t>
      </w:r>
      <w:r w:rsidR="004F7BCA" w:rsidRPr="00EC61E9">
        <w:rPr>
          <w:szCs w:val="20"/>
        </w:rPr>
        <w:t xml:space="preserve"> silnú závislosť Slovenska </w:t>
      </w:r>
      <w:r w:rsidR="00864506">
        <w:rPr>
          <w:szCs w:val="20"/>
        </w:rPr>
        <w:t>od</w:t>
      </w:r>
      <w:r w:rsidR="004F7BCA" w:rsidRPr="00EC61E9">
        <w:rPr>
          <w:szCs w:val="20"/>
        </w:rPr>
        <w:t xml:space="preserve"> dovoz</w:t>
      </w:r>
      <w:r w:rsidR="00864506">
        <w:rPr>
          <w:szCs w:val="20"/>
        </w:rPr>
        <w:t>u</w:t>
      </w:r>
      <w:r w:rsidR="004F7BCA" w:rsidRPr="00EC61E9">
        <w:rPr>
          <w:szCs w:val="20"/>
        </w:rPr>
        <w:t xml:space="preserve"> potravín a</w:t>
      </w:r>
      <w:r w:rsidR="00864506">
        <w:rPr>
          <w:szCs w:val="20"/>
        </w:rPr>
        <w:t xml:space="preserve"> predstavujú </w:t>
      </w:r>
      <w:r w:rsidR="004F7BCA" w:rsidRPr="00EC61E9">
        <w:rPr>
          <w:szCs w:val="20"/>
        </w:rPr>
        <w:t>ohrozenie strategickej bezpečnosti štátu.</w:t>
      </w:r>
    </w:p>
    <w:p w14:paraId="1BBA7D4F" w14:textId="59111248" w:rsidR="00D6190A" w:rsidRPr="0099091E" w:rsidRDefault="00EF760C" w:rsidP="00D6190A">
      <w:pPr>
        <w:tabs>
          <w:tab w:val="left" w:pos="2724"/>
        </w:tabs>
      </w:pPr>
      <w:r w:rsidRPr="00F0126B">
        <w:rPr>
          <w:b/>
        </w:rPr>
        <w:t>Podľa prognózy MF SR by mala v</w:t>
      </w:r>
      <w:r w:rsidR="00D0376D" w:rsidRPr="00F0126B">
        <w:rPr>
          <w:b/>
        </w:rPr>
        <w:t> budúcom roku vzr</w:t>
      </w:r>
      <w:r w:rsidRPr="00F0126B">
        <w:rPr>
          <w:b/>
        </w:rPr>
        <w:t>ásť</w:t>
      </w:r>
      <w:r w:rsidR="00D0376D" w:rsidRPr="00F0126B">
        <w:rPr>
          <w:b/>
        </w:rPr>
        <w:t xml:space="preserve"> slovenská ekonomika o 0,6 %.</w:t>
      </w:r>
      <w:r w:rsidR="00D0376D">
        <w:t xml:space="preserve"> </w:t>
      </w:r>
      <w:r w:rsidR="00D41A74">
        <w:t xml:space="preserve">NBS očakáva vo svojej prognóze v budúcom roku </w:t>
      </w:r>
      <w:r w:rsidR="002B6E2B">
        <w:t xml:space="preserve">dokonca </w:t>
      </w:r>
      <w:r w:rsidR="00A65987">
        <w:t>recesiu s poklesom</w:t>
      </w:r>
      <w:r w:rsidR="00D41A74">
        <w:t xml:space="preserve"> </w:t>
      </w:r>
      <w:r w:rsidR="00A65987">
        <w:t xml:space="preserve">HDP o </w:t>
      </w:r>
      <w:r w:rsidR="00D41A74">
        <w:t xml:space="preserve">1 %. </w:t>
      </w:r>
      <w:r w:rsidR="00D0376D">
        <w:t xml:space="preserve">Jednou z príčin bude aj pokles domácej spotreby, </w:t>
      </w:r>
      <w:r w:rsidR="00864506">
        <w:t>pretože</w:t>
      </w:r>
      <w:r w:rsidR="00D0376D">
        <w:t xml:space="preserve"> nominálne mzdy nebudú stíhať za infláciou a reálne mzdy tak </w:t>
      </w:r>
      <w:r w:rsidR="00D0376D">
        <w:lastRenderedPageBreak/>
        <w:t xml:space="preserve">poklesnú o 6 %. Disponibilné príjmy by však mala podporiť valorizácia platov vo verejnom sektore o 17,7 %. Zmierniť vplyv inflácie na spotrebu by mal podľa RVS na rok 2023 </w:t>
      </w:r>
      <w:r w:rsidR="002B6E2B">
        <w:t xml:space="preserve">tzv. </w:t>
      </w:r>
      <w:r w:rsidR="00D6190A">
        <w:t>rodinný balíček.</w:t>
      </w:r>
    </w:p>
    <w:p w14:paraId="140BE53C" w14:textId="714310B9" w:rsidR="003D50E6" w:rsidRPr="00AF4350" w:rsidRDefault="003D50E6" w:rsidP="003D50E6">
      <w:r w:rsidRPr="006F0A6E">
        <w:rPr>
          <w:b/>
        </w:rPr>
        <w:t xml:space="preserve">Na boj s energetickou krízou by mohlo Slovensko využiť aj nevyčerpané eurofondy z PO 2014 – 2020. </w:t>
      </w:r>
      <w:r w:rsidRPr="00D02ACE">
        <w:t>Európska komisia (EK) zverejnila návrh na úpravu legislatívy (</w:t>
      </w:r>
      <w:r>
        <w:t xml:space="preserve">schválenie sa </w:t>
      </w:r>
      <w:r w:rsidRPr="00D02ACE">
        <w:t>očakáva</w:t>
      </w:r>
      <w:r>
        <w:t xml:space="preserve"> v decemb</w:t>
      </w:r>
      <w:r w:rsidRPr="00D02ACE">
        <w:t>r</w:t>
      </w:r>
      <w:r>
        <w:t>i</w:t>
      </w:r>
      <w:r w:rsidRPr="00D02ACE">
        <w:t xml:space="preserve"> 2022 </w:t>
      </w:r>
      <w:r>
        <w:t>až</w:t>
      </w:r>
      <w:r w:rsidRPr="00D02ACE">
        <w:t xml:space="preserve"> január</w:t>
      </w:r>
      <w:r>
        <w:t>i</w:t>
      </w:r>
      <w:r w:rsidRPr="00D02ACE">
        <w:t xml:space="preserve"> 2023), podľa ktorej Slovensko môže využiť 10 % alokácie eurofondov PO 2014 – 2020 (1,5 mld. eur) na riešenie energetickej krízy. Návrh ešte musí schváliť Európsky parlament a Rada EÚ. Prostriedky by mali byť určené pre malé a stredné podniky (poskytované pod schémou štátnej pomoci), ako aj pre zraniteľné domácnosti.</w:t>
      </w:r>
    </w:p>
    <w:p w14:paraId="26C0830E" w14:textId="2447309C" w:rsidR="00D0376D" w:rsidRDefault="00D0376D" w:rsidP="00D0376D">
      <w:r w:rsidRPr="008D7FD2">
        <w:rPr>
          <w:b/>
        </w:rPr>
        <w:t xml:space="preserve">Spoľahlivosť makroekonomických prognóz je v návrhoch RVS od roku 2008 vysoká, keďže v období medzi krízami vykazovali prognózy hlavných makroekonomických ukazovateľov </w:t>
      </w:r>
      <w:r w:rsidRPr="00F11A0F">
        <w:t>(HDP a inflácia)</w:t>
      </w:r>
      <w:r w:rsidRPr="008D7FD2">
        <w:rPr>
          <w:b/>
        </w:rPr>
        <w:t xml:space="preserve"> len malé odchýlky od skutočnosti</w:t>
      </w:r>
      <w:r>
        <w:t xml:space="preserve"> (graf 2). Významnejšie odchýlky sa prejavili v krízových rokoch 2009</w:t>
      </w:r>
      <w:r w:rsidR="00864506">
        <w:t>,</w:t>
      </w:r>
      <w:r>
        <w:t xml:space="preserve"> 2010 a 2020 až 2022, čo </w:t>
      </w:r>
      <w:r w:rsidR="00EF760C">
        <w:t>bolo dôsledkom</w:t>
      </w:r>
      <w:r>
        <w:t xml:space="preserve"> nečakaného vplyvu extern</w:t>
      </w:r>
      <w:r w:rsidR="000C77CD">
        <w:t>ých</w:t>
      </w:r>
      <w:r>
        <w:t xml:space="preserve"> šok</w:t>
      </w:r>
      <w:r w:rsidR="000C77CD">
        <w:t>ov</w:t>
      </w:r>
      <w:r>
        <w:t xml:space="preserve"> na ekonomiku. Je zrejmé, že v septembri 2021 pri zostavovaní rozpočtu na rok 2022 nepočítal Výbor pre makroekonomické prognózy (VpMP) s vyššie popísanými krízami, čo sa prejavilo na odchýlke</w:t>
      </w:r>
      <w:r w:rsidR="00BB0999">
        <w:t xml:space="preserve"> najmä pri prognóz</w:t>
      </w:r>
      <w:r w:rsidR="00F11A0F">
        <w:t>ovaní</w:t>
      </w:r>
      <w:r w:rsidR="00BB0999">
        <w:t xml:space="preserve"> inflácie </w:t>
      </w:r>
      <w:r>
        <w:t>za rok 2022</w:t>
      </w:r>
      <w:r w:rsidR="00DC1F91">
        <w:t>.</w:t>
      </w:r>
    </w:p>
    <w:p w14:paraId="164E125E" w14:textId="1D3B8F36" w:rsidR="00DC1F91" w:rsidRPr="00BC3CA3" w:rsidRDefault="00DC1F91" w:rsidP="00DC1F91">
      <w:pPr>
        <w:pStyle w:val="Popis"/>
        <w:keepNext/>
        <w:rPr>
          <w:color w:val="314364"/>
        </w:rPr>
      </w:pPr>
      <w:r w:rsidRPr="00BC3CA3">
        <w:rPr>
          <w:color w:val="314364"/>
        </w:rPr>
        <w:t xml:space="preserve">Graf </w:t>
      </w:r>
      <w:r w:rsidRPr="00BC3CA3">
        <w:rPr>
          <w:color w:val="314364"/>
        </w:rPr>
        <w:fldChar w:fldCharType="begin"/>
      </w:r>
      <w:r w:rsidRPr="00BC3CA3">
        <w:rPr>
          <w:color w:val="314364"/>
        </w:rPr>
        <w:instrText xml:space="preserve"> SEQ Graf \* ARABIC </w:instrText>
      </w:r>
      <w:r w:rsidRPr="00BC3CA3">
        <w:rPr>
          <w:color w:val="314364"/>
        </w:rPr>
        <w:fldChar w:fldCharType="separate"/>
      </w:r>
      <w:r w:rsidR="002529B9">
        <w:rPr>
          <w:noProof/>
          <w:color w:val="314364"/>
        </w:rPr>
        <w:t>2</w:t>
      </w:r>
      <w:r w:rsidRPr="00BC3CA3">
        <w:rPr>
          <w:color w:val="314364"/>
        </w:rPr>
        <w:fldChar w:fldCharType="end"/>
      </w:r>
      <w:r w:rsidRPr="00BC3CA3">
        <w:rPr>
          <w:color w:val="314364"/>
        </w:rPr>
        <w:t>:</w:t>
      </w:r>
      <w:r>
        <w:rPr>
          <w:color w:val="314364"/>
        </w:rPr>
        <w:t xml:space="preserve"> Spoľahlivosť makroekonomických prognóz vybraných ukazovateľov za roky 2008 až 2022 (medziročná zmena v %)</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DC1F91" w:rsidRPr="00C75134" w14:paraId="01859BB9" w14:textId="77777777" w:rsidTr="002E22DA">
        <w:trPr>
          <w:trHeight w:val="3402"/>
        </w:trPr>
        <w:tc>
          <w:tcPr>
            <w:tcW w:w="9070" w:type="dxa"/>
            <w:tcBorders>
              <w:top w:val="single" w:sz="4" w:space="0" w:color="314364"/>
              <w:bottom w:val="single" w:sz="4" w:space="0" w:color="314364"/>
            </w:tcBorders>
            <w:vAlign w:val="center"/>
          </w:tcPr>
          <w:p w14:paraId="4C234E74" w14:textId="77777777" w:rsidR="00DC1F91" w:rsidRPr="00C75134" w:rsidRDefault="00DC1F91" w:rsidP="002E22DA">
            <w:pPr>
              <w:spacing w:after="0"/>
              <w:rPr>
                <w:b/>
                <w:color w:val="576431"/>
              </w:rPr>
            </w:pPr>
            <w:r>
              <w:rPr>
                <w:noProof/>
                <w:lang w:eastAsia="sk-SK"/>
              </w:rPr>
              <w:drawing>
                <wp:inline distT="0" distB="0" distL="0" distR="0" wp14:anchorId="75813FBC" wp14:editId="7A76F379">
                  <wp:extent cx="5759450" cy="2148840"/>
                  <wp:effectExtent l="0" t="0" r="0" b="381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7DB3CB0A" w14:textId="2BB66FCA" w:rsidR="00DC1F91" w:rsidRDefault="00DC1F91" w:rsidP="00DC1F91">
      <w:pPr>
        <w:pStyle w:val="Zdroj"/>
      </w:pPr>
      <w:r w:rsidRPr="00627D87">
        <w:t xml:space="preserve">Zdroj: </w:t>
      </w:r>
      <w:r>
        <w:t>MF SR; spracovanie NKÚ SR</w:t>
      </w:r>
      <w:r>
        <w:br/>
        <w:t>s – skutočnosť, p – prognóza uvedená v návrhu RVS na nasledujúci rok</w:t>
      </w:r>
    </w:p>
    <w:p w14:paraId="59F546D8" w14:textId="4D082A95" w:rsidR="00BD3507" w:rsidRDefault="00092577" w:rsidP="00BF2818">
      <w:pPr>
        <w:pStyle w:val="Nadpis1"/>
      </w:pPr>
      <w:bookmarkStart w:id="8" w:name="_Toc119482905"/>
      <w:r>
        <w:lastRenderedPageBreak/>
        <w:t>Východiskový rámec návrhu RVS</w:t>
      </w:r>
      <w:bookmarkEnd w:id="7"/>
      <w:bookmarkEnd w:id="8"/>
    </w:p>
    <w:p w14:paraId="4C621F41" w14:textId="7C36C566" w:rsidR="00580410" w:rsidRPr="006B2B93" w:rsidRDefault="008958F9" w:rsidP="00580410">
      <w:bookmarkStart w:id="9" w:name="_Toc86396374"/>
      <w:r w:rsidRPr="00C160CB">
        <w:rPr>
          <w:b/>
        </w:rPr>
        <w:t xml:space="preserve">Septembrová makroekonomická prognóza očakávala v tomto roku </w:t>
      </w:r>
      <w:r w:rsidR="00E47613" w:rsidRPr="00C160CB">
        <w:rPr>
          <w:b/>
        </w:rPr>
        <w:t>spolu so spomalením</w:t>
      </w:r>
      <w:r w:rsidR="00580410" w:rsidRPr="00C160CB">
        <w:rPr>
          <w:b/>
        </w:rPr>
        <w:t xml:space="preserve"> ekonomického rastu</w:t>
      </w:r>
      <w:r w:rsidRPr="00C160CB">
        <w:rPr>
          <w:b/>
        </w:rPr>
        <w:t xml:space="preserve"> </w:t>
      </w:r>
      <w:r w:rsidR="00D6190A">
        <w:rPr>
          <w:b/>
        </w:rPr>
        <w:t xml:space="preserve">aj </w:t>
      </w:r>
      <w:r w:rsidR="00580410" w:rsidRPr="00C160CB">
        <w:rPr>
          <w:b/>
        </w:rPr>
        <w:t>nižší výber daní</w:t>
      </w:r>
      <w:r w:rsidRPr="00C160CB">
        <w:rPr>
          <w:b/>
        </w:rPr>
        <w:t>.</w:t>
      </w:r>
      <w:r>
        <w:t xml:space="preserve"> </w:t>
      </w:r>
      <w:r w:rsidR="003415BC">
        <w:t>N</w:t>
      </w:r>
      <w:r>
        <w:t xml:space="preserve">eočakávane vysoká inflácia </w:t>
      </w:r>
      <w:r w:rsidR="003415BC">
        <w:t xml:space="preserve">však </w:t>
      </w:r>
      <w:r w:rsidR="00D51325">
        <w:t>prispela k tomu, že nominálny v</w:t>
      </w:r>
      <w:r w:rsidR="000813B4">
        <w:t xml:space="preserve">ýber daní bude </w:t>
      </w:r>
      <w:r w:rsidR="003D2273">
        <w:t xml:space="preserve">v tomto roku </w:t>
      </w:r>
      <w:r w:rsidR="000813B4">
        <w:t xml:space="preserve">vyšší. </w:t>
      </w:r>
      <w:r w:rsidR="003D2273">
        <w:t>Vyššie príjmy z daní a odvodov očakáva prognóza aj v horizonte rokov 2023 – 2025 (rast od 223 mil. eur v roku 2023 po 1 mld. eur v roku 2025)</w:t>
      </w:r>
      <w:r w:rsidR="00D6190A">
        <w:t>.</w:t>
      </w:r>
      <w:r w:rsidR="003D2273">
        <w:t xml:space="preserve"> </w:t>
      </w:r>
      <w:r w:rsidR="00D6190A">
        <w:t>Rásť</w:t>
      </w:r>
      <w:r w:rsidR="003D2273">
        <w:t xml:space="preserve"> by mali </w:t>
      </w:r>
      <w:r w:rsidR="000813B4">
        <w:t>aj vládne výdavky (najmä</w:t>
      </w:r>
      <w:r w:rsidR="0076443F">
        <w:t xml:space="preserve"> na</w:t>
      </w:r>
      <w:r w:rsidR="000813B4">
        <w:t xml:space="preserve"> dôchodky), ktoré sú valor</w:t>
      </w:r>
      <w:r w:rsidR="003D2273">
        <w:t>izované podľa tempa rastu cien.</w:t>
      </w:r>
    </w:p>
    <w:p w14:paraId="7B3F7E7D" w14:textId="39A4841F" w:rsidR="00580410" w:rsidRDefault="00E44343" w:rsidP="00580410">
      <w:r w:rsidRPr="00F0126B">
        <w:rPr>
          <w:b/>
        </w:rPr>
        <w:t>V budúcom roku vzrastú celkové príjmy</w:t>
      </w:r>
      <w:r w:rsidR="00A65BA4" w:rsidRPr="00F0126B">
        <w:rPr>
          <w:b/>
        </w:rPr>
        <w:t xml:space="preserve"> RVS</w:t>
      </w:r>
      <w:r w:rsidRPr="00F0126B">
        <w:rPr>
          <w:b/>
        </w:rPr>
        <w:t xml:space="preserve"> oproti očakávanej skutočnosti </w:t>
      </w:r>
      <w:r w:rsidR="00D6190A">
        <w:rPr>
          <w:b/>
        </w:rPr>
        <w:t xml:space="preserve">2022 </w:t>
      </w:r>
      <w:r w:rsidRPr="00F0126B">
        <w:rPr>
          <w:b/>
        </w:rPr>
        <w:t>medziročne o viac ako 12,6 % (5,6 mld. eur) na 50</w:t>
      </w:r>
      <w:r w:rsidR="001B71A9">
        <w:rPr>
          <w:b/>
        </w:rPr>
        <w:t>,6</w:t>
      </w:r>
      <w:r w:rsidRPr="00F0126B">
        <w:rPr>
          <w:b/>
        </w:rPr>
        <w:t xml:space="preserve"> ml</w:t>
      </w:r>
      <w:r w:rsidR="001B71A9">
        <w:rPr>
          <w:b/>
        </w:rPr>
        <w:t>d</w:t>
      </w:r>
      <w:r w:rsidRPr="00F0126B">
        <w:rPr>
          <w:b/>
        </w:rPr>
        <w:t>. eur.</w:t>
      </w:r>
      <w:r>
        <w:t xml:space="preserve"> </w:t>
      </w:r>
      <w:r w:rsidR="00164D3C">
        <w:t xml:space="preserve">Hlavným zdrojom príjmov </w:t>
      </w:r>
      <w:r w:rsidR="00D6190A">
        <w:t>z</w:t>
      </w:r>
      <w:r w:rsidR="00164D3C">
        <w:t>ostávajú daňové príjmy, ktoré vzrastú medziročne o 10,5 % (2,3 mld. eur) na 23</w:t>
      </w:r>
      <w:r w:rsidR="001B71A9">
        <w:t>,9</w:t>
      </w:r>
      <w:r w:rsidR="00164D3C">
        <w:t xml:space="preserve"> ml</w:t>
      </w:r>
      <w:r w:rsidR="001B71A9">
        <w:t>d</w:t>
      </w:r>
      <w:r w:rsidR="00164D3C">
        <w:t>. eur. Z toho takmer 42 % (9,</w:t>
      </w:r>
      <w:r w:rsidR="001B71A9">
        <w:t>9</w:t>
      </w:r>
      <w:r w:rsidR="00164D3C">
        <w:t xml:space="preserve"> mld. eur) bud</w:t>
      </w:r>
      <w:r w:rsidR="00D6190A">
        <w:t xml:space="preserve">ú </w:t>
      </w:r>
      <w:r w:rsidR="00164D3C">
        <w:t xml:space="preserve">tvoriť </w:t>
      </w:r>
      <w:r w:rsidR="00D6190A">
        <w:t>príjmy z DPH</w:t>
      </w:r>
      <w:r w:rsidR="00164D3C">
        <w:t xml:space="preserve"> a 12 % (2,8 mld. eur) spotrebné dane. </w:t>
      </w:r>
      <w:r w:rsidR="00E607A6">
        <w:t xml:space="preserve">K vyššiemu výnosu </w:t>
      </w:r>
      <w:r w:rsidR="00D6190A">
        <w:t xml:space="preserve">z </w:t>
      </w:r>
      <w:r w:rsidR="00E607A6">
        <w:t>DPH (12 % rast v roku 2023) prisp</w:t>
      </w:r>
      <w:r w:rsidR="001B71A9">
        <w:t>eje</w:t>
      </w:r>
      <w:r w:rsidR="00E607A6">
        <w:t xml:space="preserve"> okrem rastu cien potravín, pohonných látok a energií aj stabilná efektívna daňová sadzba (v budúcom roku na úrovni 16,3 %)</w:t>
      </w:r>
      <w:r w:rsidR="002C0824">
        <w:t>.</w:t>
      </w:r>
      <w:r w:rsidR="00A2786F">
        <w:t xml:space="preserve"> Druhú významnú položku príjmov RVS predstavujú príspevky na sociálne zabezpečenie, ktoré </w:t>
      </w:r>
      <w:r w:rsidR="001B71A9">
        <w:t>sú</w:t>
      </w:r>
      <w:r w:rsidR="00A2786F">
        <w:t xml:space="preserve"> rozpočtované vo výške 17</w:t>
      </w:r>
      <w:r w:rsidR="001B71A9">
        <w:t>,</w:t>
      </w:r>
      <w:r w:rsidR="00A2786F">
        <w:t>9 ml</w:t>
      </w:r>
      <w:r w:rsidR="001B71A9">
        <w:t>d</w:t>
      </w:r>
      <w:r w:rsidR="00A2786F">
        <w:t>. eur. Po</w:t>
      </w:r>
      <w:r w:rsidR="00EA2E34">
        <w:t>dstatnou</w:t>
      </w:r>
      <w:r w:rsidR="00A2786F">
        <w:t xml:space="preserve"> časťou rozpočtu budú v budúcom roku </w:t>
      </w:r>
      <w:r w:rsidR="00EA2E34">
        <w:t xml:space="preserve">aj </w:t>
      </w:r>
      <w:r w:rsidR="00A2786F">
        <w:t>príjmy z E</w:t>
      </w:r>
      <w:r w:rsidR="001B71A9">
        <w:t>Ú</w:t>
      </w:r>
      <w:r w:rsidR="00A2786F">
        <w:t xml:space="preserve">, vrátane </w:t>
      </w:r>
      <w:r w:rsidR="00EA2E34">
        <w:t xml:space="preserve">očakávaných </w:t>
      </w:r>
      <w:r w:rsidR="00A2786F">
        <w:t>prostriedkov z </w:t>
      </w:r>
      <w:r w:rsidR="00982972">
        <w:t>P</w:t>
      </w:r>
      <w:r w:rsidR="00DE614C">
        <w:t>OO</w:t>
      </w:r>
      <w:r w:rsidR="00D6190A">
        <w:t xml:space="preserve"> </w:t>
      </w:r>
      <w:r w:rsidR="00982972">
        <w:t>v objeme takmer 4 mld. eur</w:t>
      </w:r>
      <w:r w:rsidR="00EA2E34">
        <w:t>, ktoré sú však podmienené plnením stanovených míľnikov</w:t>
      </w:r>
      <w:r w:rsidR="00A2786F">
        <w:t>.</w:t>
      </w:r>
    </w:p>
    <w:p w14:paraId="23F1746D" w14:textId="70F7D33E" w:rsidR="00E44343" w:rsidRDefault="00A65BA4" w:rsidP="00580410">
      <w:r w:rsidRPr="00CF0CCD">
        <w:rPr>
          <w:b/>
        </w:rPr>
        <w:t>Celkové v</w:t>
      </w:r>
      <w:r w:rsidR="00E44343" w:rsidRPr="00CF0CCD">
        <w:rPr>
          <w:b/>
        </w:rPr>
        <w:t>ýdavky</w:t>
      </w:r>
      <w:r w:rsidRPr="00CF0CCD">
        <w:rPr>
          <w:b/>
        </w:rPr>
        <w:t xml:space="preserve"> RVS</w:t>
      </w:r>
      <w:r w:rsidR="002C0824" w:rsidRPr="00CF0CCD">
        <w:rPr>
          <w:b/>
        </w:rPr>
        <w:t xml:space="preserve"> </w:t>
      </w:r>
      <w:r w:rsidR="00CF0CCD" w:rsidRPr="00CF0CCD">
        <w:rPr>
          <w:b/>
        </w:rPr>
        <w:t xml:space="preserve">na rok 2023 sú rozpočtované </w:t>
      </w:r>
      <w:r w:rsidR="001B71A9">
        <w:rPr>
          <w:b/>
        </w:rPr>
        <w:t>vo výške</w:t>
      </w:r>
      <w:r w:rsidR="00CF0CCD" w:rsidRPr="00CF0CCD">
        <w:rPr>
          <w:b/>
        </w:rPr>
        <w:t xml:space="preserve"> 58</w:t>
      </w:r>
      <w:r w:rsidR="001B71A9">
        <w:rPr>
          <w:b/>
        </w:rPr>
        <w:t>,5</w:t>
      </w:r>
      <w:r w:rsidR="00CF0CCD" w:rsidRPr="00CF0CCD">
        <w:rPr>
          <w:b/>
        </w:rPr>
        <w:t xml:space="preserve"> ml</w:t>
      </w:r>
      <w:r w:rsidR="001B71A9">
        <w:rPr>
          <w:b/>
        </w:rPr>
        <w:t>d</w:t>
      </w:r>
      <w:r w:rsidR="00CF0CCD" w:rsidRPr="00CF0CCD">
        <w:rPr>
          <w:b/>
        </w:rPr>
        <w:t xml:space="preserve">. eur a medziročne </w:t>
      </w:r>
      <w:r w:rsidR="001B71A9">
        <w:rPr>
          <w:b/>
        </w:rPr>
        <w:t>vz</w:t>
      </w:r>
      <w:r w:rsidR="00CF0CCD">
        <w:rPr>
          <w:b/>
        </w:rPr>
        <w:t>rastú</w:t>
      </w:r>
      <w:r w:rsidR="00CF0CCD" w:rsidRPr="00CF0CCD">
        <w:rPr>
          <w:b/>
        </w:rPr>
        <w:t xml:space="preserve"> o viac ako 16,2 % (8,1 mld. eur).</w:t>
      </w:r>
      <w:r w:rsidR="00CF0CCD">
        <w:t xml:space="preserve"> Hlavným dôvodom </w:t>
      </w:r>
      <w:r w:rsidR="00141CC4">
        <w:t>ná</w:t>
      </w:r>
      <w:r w:rsidR="00CF0CCD">
        <w:t>rast</w:t>
      </w:r>
      <w:r w:rsidR="00141CC4">
        <w:t>u</w:t>
      </w:r>
      <w:r w:rsidR="00CF0CCD">
        <w:t xml:space="preserve"> v</w:t>
      </w:r>
      <w:r w:rsidR="00141CC4">
        <w:t>ýdavkov je energetická kríza, na ktorú je v rámci rezervy vyčlenených 3,4 mld. eur</w:t>
      </w:r>
      <w:r w:rsidR="00EA1DE5">
        <w:t xml:space="preserve"> (1,2 mld. eur pre domácnosti, 1,5 mld. eur pre podnikateľský sektor a 700 mil. eur pre organizácie </w:t>
      </w:r>
      <w:r w:rsidR="001B71A9">
        <w:t>VS</w:t>
      </w:r>
      <w:r w:rsidR="00EA1DE5">
        <w:t>)</w:t>
      </w:r>
      <w:r w:rsidR="00141CC4">
        <w:t xml:space="preserve">. </w:t>
      </w:r>
      <w:r w:rsidR="005A4438">
        <w:t xml:space="preserve">Okrem toho </w:t>
      </w:r>
      <w:r w:rsidR="001B71A9">
        <w:t>sa zvýšia</w:t>
      </w:r>
      <w:r w:rsidR="005A4438">
        <w:t xml:space="preserve"> celkové sociálne transfery medziročne o 8 % (1,5 mld. eur) z dôvodu valorizácie starobných dôchodkov. Taktiež z dôvodu valorizácie platov </w:t>
      </w:r>
      <w:r w:rsidR="00560160">
        <w:t xml:space="preserve">zamestnancov </w:t>
      </w:r>
      <w:r w:rsidR="001B71A9">
        <w:t>VS</w:t>
      </w:r>
      <w:r w:rsidR="00560160">
        <w:t xml:space="preserve"> </w:t>
      </w:r>
      <w:r w:rsidR="005A4438">
        <w:t xml:space="preserve">vzrastú v roku 2023 </w:t>
      </w:r>
      <w:r w:rsidR="00560160">
        <w:t>platy</w:t>
      </w:r>
      <w:r w:rsidR="005A4438">
        <w:t xml:space="preserve"> medziročne o</w:t>
      </w:r>
      <w:r w:rsidR="00560160">
        <w:t>proti očakávanej skutočnosti o</w:t>
      </w:r>
      <w:r w:rsidR="005A4438">
        <w:t> takmer 960 mil. eur.</w:t>
      </w:r>
      <w:r w:rsidR="00BD49F0">
        <w:t xml:space="preserve"> Na druh</w:t>
      </w:r>
      <w:r w:rsidR="001B71A9">
        <w:t>ej strane</w:t>
      </w:r>
      <w:r w:rsidR="00BD49F0">
        <w:t xml:space="preserve"> sú kapitálové výdavky rozpočtované na budúci rok</w:t>
      </w:r>
      <w:r w:rsidR="00136C45">
        <w:t xml:space="preserve">, aj napriek </w:t>
      </w:r>
      <w:r w:rsidR="00D6190A">
        <w:t xml:space="preserve">poslednej možnosti čerpať financie z </w:t>
      </w:r>
      <w:r w:rsidR="00136C45">
        <w:t>končiace</w:t>
      </w:r>
      <w:r w:rsidR="00D6190A">
        <w:t>ho</w:t>
      </w:r>
      <w:r w:rsidR="00136C45">
        <w:t xml:space="preserve"> </w:t>
      </w:r>
      <w:r w:rsidR="00D6190A">
        <w:t>PO 2014 – 2020</w:t>
      </w:r>
      <w:r w:rsidR="00136C45">
        <w:t>,</w:t>
      </w:r>
      <w:r w:rsidR="00BD49F0">
        <w:t xml:space="preserve"> medziročne </w:t>
      </w:r>
      <w:r w:rsidR="001B71A9">
        <w:t>nižšie</w:t>
      </w:r>
      <w:r w:rsidR="00BD49F0">
        <w:t xml:space="preserve"> o viac ako 534 mil. eur. </w:t>
      </w:r>
    </w:p>
    <w:p w14:paraId="0A359198" w14:textId="4BC4D2C1" w:rsidR="000F3491" w:rsidRPr="0099091E" w:rsidRDefault="00F5040B" w:rsidP="000F3491">
      <w:pPr>
        <w:tabs>
          <w:tab w:val="left" w:pos="2724"/>
        </w:tabs>
      </w:pPr>
      <w:r w:rsidRPr="00EC0A6F">
        <w:rPr>
          <w:b/>
        </w:rPr>
        <w:t xml:space="preserve">Vo svojom programovom vyhlásení mala </w:t>
      </w:r>
      <w:r w:rsidR="001B71A9">
        <w:rPr>
          <w:b/>
        </w:rPr>
        <w:t>v</w:t>
      </w:r>
      <w:r w:rsidRPr="00EC0A6F">
        <w:rPr>
          <w:b/>
        </w:rPr>
        <w:t>láda SR v pláne zvýšiť ekonomický rast pomocou daňovo-odvodovej reformy</w:t>
      </w:r>
      <w:r w:rsidR="00681C49">
        <w:rPr>
          <w:rStyle w:val="Odkaznapoznmkupodiarou"/>
        </w:rPr>
        <w:footnoteReference w:id="1"/>
      </w:r>
      <w:r w:rsidR="00681C49">
        <w:rPr>
          <w:b/>
        </w:rPr>
        <w:t xml:space="preserve">, návrh </w:t>
      </w:r>
      <w:r w:rsidR="00681C49" w:rsidRPr="00681C49">
        <w:rPr>
          <w:b/>
        </w:rPr>
        <w:t>RVS na rok 2023 však s touto reformou nepočíta.</w:t>
      </w:r>
      <w:r>
        <w:t xml:space="preserve"> Reforma mala zvýšiť podiel zdaňovania spotreby, majetku a negatívnych externalít a naopak znížiť zdaňovanie ekonomickej aktivity. </w:t>
      </w:r>
      <w:r w:rsidR="00EA1011">
        <w:t>P</w:t>
      </w:r>
      <w:r w:rsidR="00B8159B">
        <w:t xml:space="preserve">očíta </w:t>
      </w:r>
      <w:r w:rsidR="00EA1011">
        <w:t xml:space="preserve">však </w:t>
      </w:r>
      <w:r w:rsidR="00B8159B">
        <w:t xml:space="preserve">s tzv. rodinným balíčkom, ktorý </w:t>
      </w:r>
      <w:r w:rsidR="0013791A">
        <w:t xml:space="preserve">nemá </w:t>
      </w:r>
      <w:r w:rsidR="00EA1011">
        <w:t>reálne</w:t>
      </w:r>
      <w:r w:rsidR="0013791A">
        <w:t xml:space="preserve"> finančné krytie</w:t>
      </w:r>
      <w:r w:rsidR="00885B6E">
        <w:t>.</w:t>
      </w:r>
      <w:r w:rsidR="000F3491" w:rsidRPr="000F3491">
        <w:t xml:space="preserve"> </w:t>
      </w:r>
      <w:r w:rsidR="00D1325C">
        <w:t>Jeho zavedenie</w:t>
      </w:r>
      <w:r w:rsidR="000F3491">
        <w:t xml:space="preserve"> môže ohroziť bežný chod samospráv, keďže tie prídu v dôsledku zvýšenia daňového bonusu pre rodiny s deťmi o časť príjmov z dane z príjmu fyzických osôb (tabuľka 1).</w:t>
      </w:r>
    </w:p>
    <w:p w14:paraId="2FC817D6" w14:textId="7C28BA46" w:rsidR="003E125B" w:rsidRDefault="003E125B" w:rsidP="003E125B">
      <w:pPr>
        <w:pStyle w:val="Popis"/>
        <w:keepNext/>
      </w:pPr>
      <w:r>
        <w:t xml:space="preserve">Tabuľka </w:t>
      </w:r>
      <w:r w:rsidR="009D6953">
        <w:fldChar w:fldCharType="begin"/>
      </w:r>
      <w:r w:rsidR="009D6953">
        <w:instrText xml:space="preserve"> SEQ Tabuľka \* ARABIC </w:instrText>
      </w:r>
      <w:r w:rsidR="009D6953">
        <w:fldChar w:fldCharType="separate"/>
      </w:r>
      <w:r w:rsidR="002529B9">
        <w:rPr>
          <w:noProof/>
        </w:rPr>
        <w:t>1</w:t>
      </w:r>
      <w:r w:rsidR="009D6953">
        <w:rPr>
          <w:noProof/>
        </w:rPr>
        <w:fldChar w:fldCharType="end"/>
      </w:r>
      <w:r>
        <w:t xml:space="preserve">: </w:t>
      </w:r>
      <w:r w:rsidRPr="003E125B">
        <w:rPr>
          <w:color w:val="314364"/>
        </w:rPr>
        <w:t xml:space="preserve">Vplyv daňových </w:t>
      </w:r>
      <w:r w:rsidR="000A1761">
        <w:rPr>
          <w:color w:val="314364"/>
        </w:rPr>
        <w:t>bonusov</w:t>
      </w:r>
      <w:r w:rsidRPr="003E125B">
        <w:rPr>
          <w:color w:val="314364"/>
        </w:rPr>
        <w:t xml:space="preserve"> na rozpočet (ESA 2010, v tis. eur)</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3598"/>
        <w:gridCol w:w="1517"/>
        <w:gridCol w:w="1319"/>
        <w:gridCol w:w="1319"/>
        <w:gridCol w:w="1317"/>
      </w:tblGrid>
      <w:tr w:rsidR="000C42D7" w14:paraId="264E5455" w14:textId="77777777" w:rsidTr="000C42D7">
        <w:trPr>
          <w:trHeight w:val="20"/>
        </w:trPr>
        <w:tc>
          <w:tcPr>
            <w:tcW w:w="1983" w:type="pct"/>
            <w:tcBorders>
              <w:bottom w:val="single" w:sz="4" w:space="0" w:color="314364"/>
            </w:tcBorders>
            <w:shd w:val="clear" w:color="auto" w:fill="314364"/>
            <w:vAlign w:val="center"/>
          </w:tcPr>
          <w:p w14:paraId="2A4732F4" w14:textId="6314A84E" w:rsidR="000C42D7" w:rsidRPr="0032280E" w:rsidRDefault="000C42D7" w:rsidP="00A56D41">
            <w:pPr>
              <w:spacing w:after="0" w:line="259" w:lineRule="auto"/>
              <w:jc w:val="left"/>
              <w:rPr>
                <w:b/>
                <w:color w:val="FFFFFF" w:themeColor="background1"/>
                <w:sz w:val="18"/>
              </w:rPr>
            </w:pPr>
            <w:r>
              <w:rPr>
                <w:b/>
                <w:color w:val="FFFFFF" w:themeColor="background1"/>
                <w:sz w:val="18"/>
              </w:rPr>
              <w:t xml:space="preserve">Daňové </w:t>
            </w:r>
            <w:r w:rsidR="00A56D41">
              <w:rPr>
                <w:b/>
                <w:color w:val="FFFFFF" w:themeColor="background1"/>
                <w:sz w:val="18"/>
              </w:rPr>
              <w:t xml:space="preserve">bonusy </w:t>
            </w:r>
            <w:r w:rsidR="00DC087B">
              <w:rPr>
                <w:b/>
                <w:color w:val="FFFFFF" w:themeColor="background1"/>
                <w:sz w:val="18"/>
              </w:rPr>
              <w:t>spolu</w:t>
            </w:r>
          </w:p>
        </w:tc>
        <w:tc>
          <w:tcPr>
            <w:tcW w:w="836" w:type="pct"/>
            <w:tcBorders>
              <w:bottom w:val="single" w:sz="4" w:space="0" w:color="314364"/>
            </w:tcBorders>
            <w:shd w:val="clear" w:color="auto" w:fill="314364"/>
            <w:vAlign w:val="center"/>
          </w:tcPr>
          <w:p w14:paraId="5D019982" w14:textId="77777777" w:rsidR="000C42D7" w:rsidRPr="0032280E" w:rsidRDefault="000C42D7" w:rsidP="000C42D7">
            <w:pPr>
              <w:spacing w:after="0" w:line="259" w:lineRule="auto"/>
              <w:jc w:val="center"/>
              <w:rPr>
                <w:b/>
                <w:color w:val="FFFFFF" w:themeColor="background1"/>
                <w:sz w:val="18"/>
              </w:rPr>
            </w:pPr>
            <w:r>
              <w:rPr>
                <w:b/>
                <w:color w:val="FFFFFF" w:themeColor="background1"/>
                <w:sz w:val="18"/>
              </w:rPr>
              <w:t>2022 OS</w:t>
            </w:r>
          </w:p>
        </w:tc>
        <w:tc>
          <w:tcPr>
            <w:tcW w:w="727" w:type="pct"/>
            <w:tcBorders>
              <w:bottom w:val="single" w:sz="4" w:space="0" w:color="314364"/>
            </w:tcBorders>
            <w:shd w:val="clear" w:color="auto" w:fill="314364"/>
            <w:vAlign w:val="center"/>
          </w:tcPr>
          <w:p w14:paraId="216AEF63" w14:textId="77777777" w:rsidR="000C42D7" w:rsidRDefault="000C42D7" w:rsidP="000C42D7">
            <w:pPr>
              <w:spacing w:after="0" w:line="259" w:lineRule="auto"/>
              <w:jc w:val="center"/>
              <w:rPr>
                <w:b/>
                <w:color w:val="FFFFFF" w:themeColor="background1"/>
                <w:sz w:val="18"/>
              </w:rPr>
            </w:pPr>
            <w:r>
              <w:rPr>
                <w:b/>
                <w:color w:val="FFFFFF" w:themeColor="background1"/>
                <w:sz w:val="18"/>
              </w:rPr>
              <w:t>2023 R</w:t>
            </w:r>
          </w:p>
        </w:tc>
        <w:tc>
          <w:tcPr>
            <w:tcW w:w="727" w:type="pct"/>
            <w:tcBorders>
              <w:bottom w:val="single" w:sz="4" w:space="0" w:color="314364"/>
            </w:tcBorders>
            <w:shd w:val="clear" w:color="auto" w:fill="314364"/>
            <w:vAlign w:val="center"/>
          </w:tcPr>
          <w:p w14:paraId="1E6E76AB" w14:textId="77777777" w:rsidR="000C42D7" w:rsidRPr="0032280E" w:rsidRDefault="000C42D7" w:rsidP="000C42D7">
            <w:pPr>
              <w:spacing w:after="0" w:line="259" w:lineRule="auto"/>
              <w:jc w:val="center"/>
              <w:rPr>
                <w:b/>
                <w:color w:val="FFFFFF" w:themeColor="background1"/>
                <w:sz w:val="18"/>
              </w:rPr>
            </w:pPr>
            <w:r>
              <w:rPr>
                <w:b/>
                <w:color w:val="FFFFFF" w:themeColor="background1"/>
                <w:sz w:val="18"/>
              </w:rPr>
              <w:t>2024 R</w:t>
            </w:r>
          </w:p>
        </w:tc>
        <w:tc>
          <w:tcPr>
            <w:tcW w:w="726" w:type="pct"/>
            <w:tcBorders>
              <w:bottom w:val="single" w:sz="4" w:space="0" w:color="314364"/>
            </w:tcBorders>
            <w:shd w:val="clear" w:color="auto" w:fill="314364"/>
            <w:vAlign w:val="center"/>
          </w:tcPr>
          <w:p w14:paraId="0ECB3F76" w14:textId="595D9D98" w:rsidR="000C42D7" w:rsidRDefault="000C42D7" w:rsidP="000C42D7">
            <w:pPr>
              <w:spacing w:after="0" w:line="259" w:lineRule="auto"/>
              <w:jc w:val="center"/>
              <w:rPr>
                <w:b/>
                <w:color w:val="FFFFFF" w:themeColor="background1"/>
                <w:sz w:val="18"/>
              </w:rPr>
            </w:pPr>
            <w:r>
              <w:rPr>
                <w:b/>
                <w:color w:val="FFFFFF" w:themeColor="background1"/>
                <w:sz w:val="18"/>
              </w:rPr>
              <w:t>2025 R</w:t>
            </w:r>
          </w:p>
        </w:tc>
      </w:tr>
      <w:tr w:rsidR="000C42D7" w14:paraId="0E011E40" w14:textId="77777777" w:rsidTr="000C42D7">
        <w:trPr>
          <w:trHeight w:val="20"/>
        </w:trPr>
        <w:tc>
          <w:tcPr>
            <w:tcW w:w="1983" w:type="pct"/>
            <w:tcBorders>
              <w:top w:val="single" w:sz="4" w:space="0" w:color="314364"/>
            </w:tcBorders>
            <w:vAlign w:val="center"/>
          </w:tcPr>
          <w:p w14:paraId="2605F8C7" w14:textId="0E86F22C" w:rsidR="000C42D7" w:rsidRPr="003E125B" w:rsidRDefault="000C42D7" w:rsidP="000C42D7">
            <w:pPr>
              <w:spacing w:after="0" w:line="259" w:lineRule="auto"/>
              <w:jc w:val="left"/>
              <w:rPr>
                <w:b/>
                <w:sz w:val="18"/>
              </w:rPr>
            </w:pPr>
            <w:r w:rsidRPr="003E125B">
              <w:rPr>
                <w:b/>
                <w:sz w:val="18"/>
              </w:rPr>
              <w:t>Daňový bonus spolu</w:t>
            </w:r>
          </w:p>
        </w:tc>
        <w:tc>
          <w:tcPr>
            <w:tcW w:w="836" w:type="pct"/>
            <w:tcBorders>
              <w:top w:val="single" w:sz="4" w:space="0" w:color="314364"/>
            </w:tcBorders>
            <w:shd w:val="clear" w:color="auto" w:fill="auto"/>
            <w:vAlign w:val="center"/>
          </w:tcPr>
          <w:p w14:paraId="1707FEE0" w14:textId="1837ED38" w:rsidR="000C42D7" w:rsidRPr="003E125B" w:rsidRDefault="000C42D7" w:rsidP="000C42D7">
            <w:pPr>
              <w:spacing w:after="0" w:line="259" w:lineRule="auto"/>
              <w:jc w:val="center"/>
              <w:rPr>
                <w:b/>
                <w:sz w:val="18"/>
              </w:rPr>
            </w:pPr>
            <w:r>
              <w:rPr>
                <w:b/>
                <w:sz w:val="18"/>
              </w:rPr>
              <w:t>624 473</w:t>
            </w:r>
          </w:p>
        </w:tc>
        <w:tc>
          <w:tcPr>
            <w:tcW w:w="727" w:type="pct"/>
            <w:tcBorders>
              <w:top w:val="single" w:sz="4" w:space="0" w:color="314364"/>
            </w:tcBorders>
            <w:vAlign w:val="center"/>
          </w:tcPr>
          <w:p w14:paraId="28C99558" w14:textId="12B5672B" w:rsidR="000C42D7" w:rsidRPr="003E125B" w:rsidRDefault="000C42D7" w:rsidP="000C42D7">
            <w:pPr>
              <w:spacing w:after="0" w:line="259" w:lineRule="auto"/>
              <w:jc w:val="center"/>
              <w:rPr>
                <w:b/>
                <w:sz w:val="18"/>
              </w:rPr>
            </w:pPr>
            <w:r>
              <w:rPr>
                <w:b/>
                <w:sz w:val="18"/>
              </w:rPr>
              <w:t>1 095 068</w:t>
            </w:r>
          </w:p>
        </w:tc>
        <w:tc>
          <w:tcPr>
            <w:tcW w:w="727" w:type="pct"/>
            <w:tcBorders>
              <w:top w:val="single" w:sz="4" w:space="0" w:color="314364"/>
            </w:tcBorders>
            <w:vAlign w:val="center"/>
          </w:tcPr>
          <w:p w14:paraId="58730CC3" w14:textId="583A6953" w:rsidR="000C42D7" w:rsidRPr="003E125B" w:rsidRDefault="000C42D7" w:rsidP="000A1761">
            <w:pPr>
              <w:spacing w:after="0" w:line="259" w:lineRule="auto"/>
              <w:jc w:val="center"/>
              <w:rPr>
                <w:b/>
                <w:sz w:val="18"/>
              </w:rPr>
            </w:pPr>
            <w:r>
              <w:rPr>
                <w:b/>
                <w:sz w:val="18"/>
              </w:rPr>
              <w:t>1 0</w:t>
            </w:r>
            <w:r w:rsidR="000A1761">
              <w:rPr>
                <w:b/>
                <w:sz w:val="18"/>
              </w:rPr>
              <w:t>9</w:t>
            </w:r>
            <w:r>
              <w:rPr>
                <w:b/>
                <w:sz w:val="18"/>
              </w:rPr>
              <w:t>5 068</w:t>
            </w:r>
          </w:p>
        </w:tc>
        <w:tc>
          <w:tcPr>
            <w:tcW w:w="726" w:type="pct"/>
            <w:tcBorders>
              <w:top w:val="single" w:sz="4" w:space="0" w:color="314364"/>
            </w:tcBorders>
            <w:vAlign w:val="center"/>
          </w:tcPr>
          <w:p w14:paraId="50BD6CBB" w14:textId="5D2973DD" w:rsidR="000C42D7" w:rsidRPr="003E125B" w:rsidRDefault="000C42D7" w:rsidP="000C42D7">
            <w:pPr>
              <w:spacing w:after="0" w:line="259" w:lineRule="auto"/>
              <w:jc w:val="center"/>
              <w:rPr>
                <w:b/>
                <w:sz w:val="18"/>
              </w:rPr>
            </w:pPr>
            <w:r>
              <w:rPr>
                <w:b/>
                <w:sz w:val="18"/>
              </w:rPr>
              <w:t>1 095 068</w:t>
            </w:r>
          </w:p>
        </w:tc>
      </w:tr>
      <w:tr w:rsidR="000C42D7" w14:paraId="20EB2951" w14:textId="77777777" w:rsidTr="000C42D7">
        <w:trPr>
          <w:trHeight w:val="20"/>
        </w:trPr>
        <w:tc>
          <w:tcPr>
            <w:tcW w:w="1983" w:type="pct"/>
            <w:vAlign w:val="center"/>
          </w:tcPr>
          <w:p w14:paraId="5BF22855" w14:textId="7F769322" w:rsidR="000C42D7" w:rsidRPr="003E125B" w:rsidRDefault="000C42D7" w:rsidP="000C42D7">
            <w:pPr>
              <w:spacing w:after="0" w:line="259" w:lineRule="auto"/>
              <w:jc w:val="left"/>
              <w:rPr>
                <w:sz w:val="18"/>
              </w:rPr>
            </w:pPr>
            <w:r w:rsidRPr="003E125B">
              <w:rPr>
                <w:sz w:val="18"/>
              </w:rPr>
              <w:t>DPFO zo závislej činnosti</w:t>
            </w:r>
          </w:p>
        </w:tc>
        <w:tc>
          <w:tcPr>
            <w:tcW w:w="836" w:type="pct"/>
            <w:shd w:val="clear" w:color="auto" w:fill="auto"/>
            <w:vAlign w:val="center"/>
          </w:tcPr>
          <w:p w14:paraId="12EDCD29" w14:textId="34942BBA" w:rsidR="000C42D7" w:rsidRPr="003E125B" w:rsidRDefault="000C42D7" w:rsidP="000C42D7">
            <w:pPr>
              <w:spacing w:after="0" w:line="259" w:lineRule="auto"/>
              <w:jc w:val="center"/>
              <w:rPr>
                <w:sz w:val="18"/>
              </w:rPr>
            </w:pPr>
            <w:r>
              <w:rPr>
                <w:sz w:val="18"/>
              </w:rPr>
              <w:t>523 667</w:t>
            </w:r>
          </w:p>
        </w:tc>
        <w:tc>
          <w:tcPr>
            <w:tcW w:w="727" w:type="pct"/>
            <w:vAlign w:val="center"/>
          </w:tcPr>
          <w:p w14:paraId="47E46899" w14:textId="761E5B50" w:rsidR="000C42D7" w:rsidRPr="003E125B" w:rsidRDefault="000C42D7" w:rsidP="000C42D7">
            <w:pPr>
              <w:spacing w:after="0" w:line="259" w:lineRule="auto"/>
              <w:jc w:val="center"/>
              <w:rPr>
                <w:sz w:val="18"/>
              </w:rPr>
            </w:pPr>
            <w:r>
              <w:rPr>
                <w:sz w:val="18"/>
              </w:rPr>
              <w:t>918 296</w:t>
            </w:r>
          </w:p>
        </w:tc>
        <w:tc>
          <w:tcPr>
            <w:tcW w:w="727" w:type="pct"/>
            <w:vAlign w:val="center"/>
          </w:tcPr>
          <w:p w14:paraId="208D9318" w14:textId="5612355F" w:rsidR="000C42D7" w:rsidRPr="003E125B" w:rsidRDefault="000C42D7" w:rsidP="000C42D7">
            <w:pPr>
              <w:spacing w:after="0" w:line="259" w:lineRule="auto"/>
              <w:jc w:val="center"/>
              <w:rPr>
                <w:sz w:val="18"/>
              </w:rPr>
            </w:pPr>
            <w:r>
              <w:rPr>
                <w:sz w:val="18"/>
              </w:rPr>
              <w:t>918 296</w:t>
            </w:r>
          </w:p>
        </w:tc>
        <w:tc>
          <w:tcPr>
            <w:tcW w:w="726" w:type="pct"/>
            <w:vAlign w:val="center"/>
          </w:tcPr>
          <w:p w14:paraId="7250CD91" w14:textId="14B08AE9" w:rsidR="000C42D7" w:rsidRPr="003E125B" w:rsidRDefault="000C42D7" w:rsidP="000C42D7">
            <w:pPr>
              <w:spacing w:after="0" w:line="259" w:lineRule="auto"/>
              <w:jc w:val="center"/>
              <w:rPr>
                <w:sz w:val="18"/>
              </w:rPr>
            </w:pPr>
            <w:r>
              <w:rPr>
                <w:sz w:val="18"/>
              </w:rPr>
              <w:t>918 296</w:t>
            </w:r>
          </w:p>
        </w:tc>
      </w:tr>
      <w:tr w:rsidR="000C42D7" w:rsidRPr="00325BDA" w14:paraId="55E5A052" w14:textId="77777777" w:rsidTr="000C42D7">
        <w:trPr>
          <w:trHeight w:val="20"/>
        </w:trPr>
        <w:tc>
          <w:tcPr>
            <w:tcW w:w="1983" w:type="pct"/>
            <w:tcBorders>
              <w:bottom w:val="single" w:sz="4" w:space="0" w:color="314364" w:themeColor="text2"/>
            </w:tcBorders>
            <w:vAlign w:val="center"/>
          </w:tcPr>
          <w:p w14:paraId="19B68B19" w14:textId="63DC7793" w:rsidR="000C42D7" w:rsidRPr="003E125B" w:rsidRDefault="000C42D7" w:rsidP="000C42D7">
            <w:pPr>
              <w:spacing w:after="0" w:line="259" w:lineRule="auto"/>
              <w:jc w:val="left"/>
              <w:rPr>
                <w:sz w:val="18"/>
              </w:rPr>
            </w:pPr>
            <w:r w:rsidRPr="003E125B">
              <w:rPr>
                <w:sz w:val="18"/>
              </w:rPr>
              <w:t>DPFO z podnikania</w:t>
            </w:r>
          </w:p>
        </w:tc>
        <w:tc>
          <w:tcPr>
            <w:tcW w:w="836" w:type="pct"/>
            <w:tcBorders>
              <w:bottom w:val="single" w:sz="4" w:space="0" w:color="314364" w:themeColor="text2"/>
            </w:tcBorders>
            <w:shd w:val="clear" w:color="auto" w:fill="auto"/>
            <w:vAlign w:val="center"/>
          </w:tcPr>
          <w:p w14:paraId="0A81120E" w14:textId="335E42C2" w:rsidR="000C42D7" w:rsidRPr="003E125B" w:rsidRDefault="000C42D7" w:rsidP="000C42D7">
            <w:pPr>
              <w:spacing w:after="0" w:line="259" w:lineRule="auto"/>
              <w:jc w:val="center"/>
              <w:rPr>
                <w:sz w:val="18"/>
              </w:rPr>
            </w:pPr>
            <w:r>
              <w:rPr>
                <w:sz w:val="18"/>
              </w:rPr>
              <w:t>100 806</w:t>
            </w:r>
          </w:p>
        </w:tc>
        <w:tc>
          <w:tcPr>
            <w:tcW w:w="727" w:type="pct"/>
            <w:tcBorders>
              <w:bottom w:val="single" w:sz="4" w:space="0" w:color="314364" w:themeColor="text2"/>
            </w:tcBorders>
            <w:vAlign w:val="center"/>
          </w:tcPr>
          <w:p w14:paraId="149E69BF" w14:textId="2963A6CC" w:rsidR="000C42D7" w:rsidRPr="003E125B" w:rsidRDefault="000C42D7" w:rsidP="000C42D7">
            <w:pPr>
              <w:spacing w:after="0" w:line="259" w:lineRule="auto"/>
              <w:jc w:val="center"/>
              <w:rPr>
                <w:sz w:val="18"/>
              </w:rPr>
            </w:pPr>
            <w:r>
              <w:rPr>
                <w:sz w:val="18"/>
              </w:rPr>
              <w:t>176 772</w:t>
            </w:r>
          </w:p>
        </w:tc>
        <w:tc>
          <w:tcPr>
            <w:tcW w:w="727" w:type="pct"/>
            <w:tcBorders>
              <w:bottom w:val="single" w:sz="4" w:space="0" w:color="314364" w:themeColor="text2"/>
            </w:tcBorders>
            <w:vAlign w:val="center"/>
          </w:tcPr>
          <w:p w14:paraId="1C4B82E1" w14:textId="139666F0" w:rsidR="000C42D7" w:rsidRPr="003E125B" w:rsidRDefault="000C42D7" w:rsidP="000C42D7">
            <w:pPr>
              <w:spacing w:after="0" w:line="259" w:lineRule="auto"/>
              <w:jc w:val="center"/>
              <w:rPr>
                <w:sz w:val="18"/>
              </w:rPr>
            </w:pPr>
            <w:r>
              <w:rPr>
                <w:sz w:val="18"/>
              </w:rPr>
              <w:t>176 772</w:t>
            </w:r>
          </w:p>
        </w:tc>
        <w:tc>
          <w:tcPr>
            <w:tcW w:w="726" w:type="pct"/>
            <w:tcBorders>
              <w:bottom w:val="single" w:sz="4" w:space="0" w:color="314364" w:themeColor="text2"/>
            </w:tcBorders>
            <w:vAlign w:val="center"/>
          </w:tcPr>
          <w:p w14:paraId="17E8B7F3" w14:textId="53CDBC86" w:rsidR="000C42D7" w:rsidRPr="003E125B" w:rsidRDefault="000C42D7" w:rsidP="000C42D7">
            <w:pPr>
              <w:spacing w:after="0" w:line="259" w:lineRule="auto"/>
              <w:jc w:val="center"/>
              <w:rPr>
                <w:sz w:val="18"/>
              </w:rPr>
            </w:pPr>
            <w:r>
              <w:rPr>
                <w:sz w:val="18"/>
              </w:rPr>
              <w:t>176 772</w:t>
            </w:r>
          </w:p>
        </w:tc>
      </w:tr>
    </w:tbl>
    <w:p w14:paraId="654448B9" w14:textId="25A6D5B2" w:rsidR="003E125B" w:rsidRDefault="003E125B" w:rsidP="000A1761">
      <w:pPr>
        <w:pStyle w:val="Zdroj"/>
        <w:spacing w:after="0"/>
      </w:pPr>
      <w:r>
        <w:t>Zdroj: Návrh RVS na roky 2023 až 2025</w:t>
      </w:r>
    </w:p>
    <w:p w14:paraId="0C60E1F6" w14:textId="6E7F730A" w:rsidR="000A1761" w:rsidRDefault="000A1761" w:rsidP="003E125B">
      <w:pPr>
        <w:pStyle w:val="Zdroj"/>
      </w:pPr>
      <w:r w:rsidRPr="000A1761">
        <w:t>Poznámka: Kladná hodnota predstavuje negatívny dopad na rozpočet</w:t>
      </w:r>
      <w:r>
        <w:t>.</w:t>
      </w:r>
    </w:p>
    <w:p w14:paraId="511FAD08" w14:textId="4C49EE0A" w:rsidR="00580410" w:rsidRDefault="00B272E9" w:rsidP="00201215">
      <w:r w:rsidRPr="006144C6">
        <w:rPr>
          <w:b/>
        </w:rPr>
        <w:t>Najväčší objem z iných nedaňových príjmov predstavuje príjem podľa návrhu nariadenia Rady EÚ o núdzovom zásahu n</w:t>
      </w:r>
      <w:r w:rsidR="001E2C3B">
        <w:rPr>
          <w:b/>
        </w:rPr>
        <w:t>a riešenie vysokých cien energie</w:t>
      </w:r>
      <w:r w:rsidR="00400C36">
        <w:rPr>
          <w:b/>
        </w:rPr>
        <w:t>.</w:t>
      </w:r>
      <w:r w:rsidR="00FE66B2" w:rsidRPr="006144C6">
        <w:rPr>
          <w:b/>
        </w:rPr>
        <w:t xml:space="preserve"> </w:t>
      </w:r>
      <w:r w:rsidR="00400C36">
        <w:t>Ide</w:t>
      </w:r>
      <w:r w:rsidR="00400C36" w:rsidRPr="006144C6">
        <w:t xml:space="preserve"> o súbor jednorazových a dočasných opatrení súvisiacich s energetickou krízou </w:t>
      </w:r>
      <w:r w:rsidR="00FE66B2" w:rsidRPr="006144C6">
        <w:t>(solidárny príspevok a zastropovanie príjmov z výroby a predaja elektrickej energie).</w:t>
      </w:r>
      <w:r w:rsidR="00FE66B2" w:rsidRPr="006144C6">
        <w:rPr>
          <w:b/>
        </w:rPr>
        <w:t xml:space="preserve"> </w:t>
      </w:r>
      <w:r w:rsidR="00400C36">
        <w:t>V</w:t>
      </w:r>
      <w:r w:rsidR="00400C36" w:rsidRPr="006144C6">
        <w:t> porovnaní s Českou republikou, kde by tzv. „</w:t>
      </w:r>
      <w:proofErr w:type="spellStart"/>
      <w:r w:rsidR="00400C36" w:rsidRPr="006144C6">
        <w:t>Windfall</w:t>
      </w:r>
      <w:proofErr w:type="spellEnd"/>
      <w:r w:rsidR="00400C36" w:rsidRPr="006144C6">
        <w:t xml:space="preserve"> </w:t>
      </w:r>
      <w:proofErr w:type="spellStart"/>
      <w:r w:rsidR="00400C36" w:rsidRPr="006144C6">
        <w:t>tax</w:t>
      </w:r>
      <w:proofErr w:type="spellEnd"/>
      <w:r w:rsidR="00400C36" w:rsidRPr="006144C6">
        <w:t>“</w:t>
      </w:r>
      <w:r w:rsidR="00400C36" w:rsidRPr="006144C6">
        <w:rPr>
          <w:rStyle w:val="Odkaznapoznmkupodiarou"/>
        </w:rPr>
        <w:footnoteReference w:id="2"/>
      </w:r>
      <w:r w:rsidR="00400C36" w:rsidRPr="006144C6">
        <w:t xml:space="preserve"> mala dosiahnuť približne 4 mld. eur, počíta Slovensko s výrazne </w:t>
      </w:r>
      <w:r w:rsidR="00400C36">
        <w:t xml:space="preserve">nižšími príjmami. </w:t>
      </w:r>
      <w:r w:rsidR="00201215" w:rsidRPr="006144C6">
        <w:t xml:space="preserve">Solidárny príspevok </w:t>
      </w:r>
      <w:r w:rsidR="00201215" w:rsidRPr="006144C6">
        <w:lastRenderedPageBreak/>
        <w:t xml:space="preserve">z nadmerných ziskov je rozpočtovaný v tomto roku na úrovni 313 mil. eur a v budúcom roku na úrovni 462 mil. eur. </w:t>
      </w:r>
      <w:r w:rsidR="00ED63BB" w:rsidRPr="006144C6">
        <w:t>Podľa R</w:t>
      </w:r>
      <w:r w:rsidR="00DE614C">
        <w:t>epublikovej únie zamestnávateľov</w:t>
      </w:r>
      <w:r w:rsidR="00F93D0B" w:rsidRPr="006144C6">
        <w:rPr>
          <w:rStyle w:val="Odkaznapoznmkupodiarou"/>
        </w:rPr>
        <w:footnoteReference w:id="3"/>
      </w:r>
      <w:r w:rsidR="00ED63BB" w:rsidRPr="006144C6">
        <w:t xml:space="preserve"> </w:t>
      </w:r>
      <w:r w:rsidR="00FE66B2" w:rsidRPr="006144C6">
        <w:t>však</w:t>
      </w:r>
      <w:r w:rsidR="00ED63BB" w:rsidRPr="006144C6">
        <w:t xml:space="preserve"> rozpočet obsahuje už aj odhadované príjmy z daní, ktoré ešte neboli predložené vládou ani schválené parlamentom. EÚ však zaviedla n</w:t>
      </w:r>
      <w:r w:rsidR="00DF12C2" w:rsidRPr="006144C6">
        <w:t>ariadenie</w:t>
      </w:r>
      <w:r w:rsidR="00DF12C2" w:rsidRPr="006144C6">
        <w:rPr>
          <w:rStyle w:val="Odkaznapoznmkupodiarou"/>
        </w:rPr>
        <w:footnoteReference w:id="4"/>
      </w:r>
      <w:r w:rsidR="00ED63BB" w:rsidRPr="006144C6">
        <w:t>, ktorým</w:t>
      </w:r>
      <w:r w:rsidR="00986A6B" w:rsidRPr="006144C6">
        <w:t xml:space="preserve"> zavádza tzv. solidárny príspevok</w:t>
      </w:r>
      <w:r w:rsidR="00E44343" w:rsidRPr="006144C6">
        <w:t xml:space="preserve"> </w:t>
      </w:r>
      <w:r w:rsidR="00ED63BB" w:rsidRPr="006144C6">
        <w:t>pre vybrané sektory a strop na cenu elektrickej energie pre jej výrobcov, v</w:t>
      </w:r>
      <w:r w:rsidR="00DE614C">
        <w:t xml:space="preserve"> dôsledku </w:t>
      </w:r>
      <w:r w:rsidR="00ED63BB" w:rsidRPr="006144C6">
        <w:t xml:space="preserve">čoho budú plynúť dočasné príjmy. </w:t>
      </w:r>
      <w:r w:rsidR="006B2AE8" w:rsidRPr="006144C6">
        <w:t xml:space="preserve">Schválené nariadenie je platné a účinné pre všetky členské štáty a stanovuje legislatívny rámec, ktorý je podľa EÚ vhodné </w:t>
      </w:r>
      <w:r w:rsidR="001E2C3B">
        <w:t xml:space="preserve">ešte </w:t>
      </w:r>
      <w:r w:rsidR="006B2AE8" w:rsidRPr="006144C6">
        <w:t>špecifikovať národnou legislatívou.</w:t>
      </w:r>
      <w:bookmarkEnd w:id="9"/>
    </w:p>
    <w:p w14:paraId="7A41B2CB" w14:textId="77777777" w:rsidR="00400C36" w:rsidRPr="00953212" w:rsidRDefault="00400C36" w:rsidP="00400C36">
      <w:pPr>
        <w:pStyle w:val="Nadpis2"/>
      </w:pPr>
      <w:bookmarkStart w:id="10" w:name="_Toc119482906"/>
      <w:r w:rsidRPr="00432AD8">
        <w:t>Fiškálny rámec návrhu RVS</w:t>
      </w:r>
      <w:bookmarkEnd w:id="10"/>
    </w:p>
    <w:p w14:paraId="63799203" w14:textId="2B945B3C" w:rsidR="008B2472" w:rsidRPr="00EC6270" w:rsidRDefault="0016758F" w:rsidP="00580410">
      <w:r w:rsidRPr="00321D00">
        <w:rPr>
          <w:b/>
        </w:rPr>
        <w:t>Podľa jesennej notifikácie o deficite a</w:t>
      </w:r>
      <w:r w:rsidR="00864506">
        <w:rPr>
          <w:b/>
        </w:rPr>
        <w:t> </w:t>
      </w:r>
      <w:r w:rsidRPr="00321D00">
        <w:rPr>
          <w:b/>
        </w:rPr>
        <w:t>dlhu</w:t>
      </w:r>
      <w:r w:rsidR="00864506">
        <w:rPr>
          <w:b/>
        </w:rPr>
        <w:t>,</w:t>
      </w:r>
      <w:r w:rsidRPr="00321D00">
        <w:rPr>
          <w:b/>
        </w:rPr>
        <w:t xml:space="preserve"> vlaňajší deficit verejných financií SR </w:t>
      </w:r>
      <w:r w:rsidR="00864506">
        <w:rPr>
          <w:b/>
        </w:rPr>
        <w:t xml:space="preserve">sa </w:t>
      </w:r>
      <w:r w:rsidRPr="00321D00">
        <w:rPr>
          <w:b/>
        </w:rPr>
        <w:t>znížil na 5,46 % HDP (5,4 mld. eur), čo je o 592 mil. eur menej, ako uvádzala jarná notifikácia</w:t>
      </w:r>
      <w:r>
        <w:t xml:space="preserve"> (graf 3). </w:t>
      </w:r>
      <w:r w:rsidR="00434C03">
        <w:t>Najvýznamnejší vplyv na zmenu deficitu mal vyšší výber daní z príjmov</w:t>
      </w:r>
      <w:r w:rsidR="008B2472">
        <w:t xml:space="preserve"> </w:t>
      </w:r>
      <w:r w:rsidR="00434C03">
        <w:t xml:space="preserve">právnických osôb. </w:t>
      </w:r>
      <w:r w:rsidR="001E2C3B">
        <w:t xml:space="preserve">V tomto roku odhaduje </w:t>
      </w:r>
      <w:r w:rsidR="00DB7453">
        <w:t>ŠÚ SR deficit na úrovni 4,78 % HDP (5</w:t>
      </w:r>
      <w:r w:rsidR="001E2C3B">
        <w:t>,2</w:t>
      </w:r>
      <w:r w:rsidR="00DB7453">
        <w:t xml:space="preserve"> ml</w:t>
      </w:r>
      <w:r w:rsidR="001E2C3B">
        <w:t>d</w:t>
      </w:r>
      <w:r w:rsidR="00DB7453">
        <w:t>. eur) a rezort financií na úrovni 4,97 % (5</w:t>
      </w:r>
      <w:r w:rsidR="001E2C3B">
        <w:t>,4</w:t>
      </w:r>
      <w:r w:rsidR="00DB7453">
        <w:t xml:space="preserve"> ml</w:t>
      </w:r>
      <w:r w:rsidR="001E2C3B">
        <w:t>d</w:t>
      </w:r>
      <w:r w:rsidR="00DB7453">
        <w:t>. eur)</w:t>
      </w:r>
      <w:r w:rsidR="006C1ACC">
        <w:t xml:space="preserve">. Najoptimistickejšie </w:t>
      </w:r>
      <w:r w:rsidR="001E2C3B">
        <w:t>vidí</w:t>
      </w:r>
      <w:r w:rsidR="006C1ACC">
        <w:t xml:space="preserve"> deficit na tento rok RRZ, ktorá očakáva podľa septembrového rozpočtového semaforu pozitívnu odchýlku na úrovni 1,4 p. b. HDP, čo by stlačilo deficit na 3,5 % HDP (3</w:t>
      </w:r>
      <w:r w:rsidR="00321D00">
        <w:t>,8</w:t>
      </w:r>
      <w:r w:rsidR="006C1ACC">
        <w:t xml:space="preserve"> ml</w:t>
      </w:r>
      <w:r w:rsidR="00321D00">
        <w:t>d</w:t>
      </w:r>
      <w:r w:rsidR="006C1ACC">
        <w:t>. eur).</w:t>
      </w:r>
      <w:r w:rsidR="00854FFC">
        <w:t xml:space="preserve"> NBS predpokladá vo svojej správe</w:t>
      </w:r>
      <w:r w:rsidR="001E2C3B">
        <w:t xml:space="preserve"> o</w:t>
      </w:r>
      <w:r w:rsidR="00854FFC">
        <w:t xml:space="preserve"> ekonomicko</w:t>
      </w:r>
      <w:r w:rsidR="001E2C3B">
        <w:t>m</w:t>
      </w:r>
      <w:r w:rsidR="00854FFC">
        <w:t xml:space="preserve"> a menovo</w:t>
      </w:r>
      <w:r w:rsidR="001E2C3B">
        <w:t>m</w:t>
      </w:r>
      <w:r w:rsidR="00854FFC">
        <w:t xml:space="preserve"> vývoj</w:t>
      </w:r>
      <w:r w:rsidR="001E2C3B">
        <w:t>i</w:t>
      </w:r>
      <w:r w:rsidR="00854FFC">
        <w:t xml:space="preserve"> deficit verejných financií v roku 2022 na úrovni 3,6 % HDP.</w:t>
      </w:r>
    </w:p>
    <w:p w14:paraId="2EB1AA65" w14:textId="2BE10964" w:rsidR="00580410" w:rsidRPr="00BC3CA3" w:rsidRDefault="00580410" w:rsidP="00580410">
      <w:pPr>
        <w:pStyle w:val="Popis"/>
        <w:keepNext/>
        <w:rPr>
          <w:color w:val="314364"/>
        </w:rPr>
      </w:pPr>
      <w:r w:rsidRPr="00BC3CA3">
        <w:rPr>
          <w:color w:val="314364"/>
        </w:rPr>
        <w:t>Graf</w:t>
      </w:r>
      <w:r>
        <w:rPr>
          <w:color w:val="314364"/>
        </w:rPr>
        <w:t xml:space="preserve"> 3</w:t>
      </w:r>
      <w:r w:rsidRPr="00BC3CA3">
        <w:rPr>
          <w:color w:val="314364"/>
        </w:rPr>
        <w:t xml:space="preserve">: </w:t>
      </w:r>
      <w:r>
        <w:rPr>
          <w:color w:val="314364"/>
        </w:rPr>
        <w:t>Vývoj schodku VS v rokoch 2008 až 202</w:t>
      </w:r>
      <w:r w:rsidR="00DE614C">
        <w:rPr>
          <w:color w:val="314364"/>
        </w:rPr>
        <w:t>5</w:t>
      </w:r>
      <w:r>
        <w:rPr>
          <w:color w:val="314364"/>
        </w:rPr>
        <w:t xml:space="preserve"> (v % HDP)</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580410" w:rsidRPr="00C75134" w14:paraId="41DA4570" w14:textId="77777777" w:rsidTr="007F7533">
        <w:trPr>
          <w:trHeight w:val="3118"/>
        </w:trPr>
        <w:tc>
          <w:tcPr>
            <w:tcW w:w="9070" w:type="dxa"/>
            <w:tcBorders>
              <w:top w:val="single" w:sz="4" w:space="0" w:color="314364"/>
              <w:bottom w:val="single" w:sz="4" w:space="0" w:color="314364" w:themeColor="text2"/>
            </w:tcBorders>
            <w:vAlign w:val="center"/>
          </w:tcPr>
          <w:p w14:paraId="70E2A4D4" w14:textId="77777777" w:rsidR="00580410" w:rsidRPr="00C75134" w:rsidRDefault="00580410" w:rsidP="00580410">
            <w:pPr>
              <w:spacing w:after="0"/>
              <w:rPr>
                <w:b/>
                <w:color w:val="576431"/>
              </w:rPr>
            </w:pPr>
            <w:r>
              <w:rPr>
                <w:noProof/>
                <w:lang w:eastAsia="sk-SK"/>
              </w:rPr>
              <w:drawing>
                <wp:inline distT="0" distB="0" distL="0" distR="0" wp14:anchorId="3DB0B0EE" wp14:editId="2828A8B4">
                  <wp:extent cx="5759450" cy="19431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6DA6AD3B" w14:textId="77777777" w:rsidR="00580410" w:rsidRPr="00AE01AE" w:rsidRDefault="00580410" w:rsidP="00580410">
      <w:pPr>
        <w:pStyle w:val="Zdroj"/>
      </w:pPr>
      <w:r>
        <w:t>Zdroj: Návrh RVS na roky 2022 až 2024</w:t>
      </w:r>
      <w:r>
        <w:rPr>
          <w:lang w:val="en-US"/>
        </w:rPr>
        <w:t>;</w:t>
      </w:r>
      <w:r>
        <w:t xml:space="preserve"> ŠÚ SR</w:t>
      </w:r>
      <w:r>
        <w:rPr>
          <w:lang w:val="en-US"/>
        </w:rPr>
        <w:t xml:space="preserve">; </w:t>
      </w:r>
      <w:r>
        <w:t>*očakávaná skutočnosť; **prognóza</w:t>
      </w:r>
    </w:p>
    <w:p w14:paraId="6D1B4EAF" w14:textId="1058C88D" w:rsidR="00A37128" w:rsidRPr="00E22A2F" w:rsidRDefault="000A2FC4" w:rsidP="00580410">
      <w:r>
        <w:rPr>
          <w:b/>
        </w:rPr>
        <w:t>Aj v</w:t>
      </w:r>
      <w:r w:rsidR="00E22A2F" w:rsidRPr="00E22A2F">
        <w:rPr>
          <w:b/>
        </w:rPr>
        <w:t xml:space="preserve"> dôsledku oslabenia ekonomiky vysokými cenami energií </w:t>
      </w:r>
      <w:r w:rsidR="00B56A6B" w:rsidRPr="00E22A2F">
        <w:rPr>
          <w:b/>
        </w:rPr>
        <w:t xml:space="preserve">predpokladá </w:t>
      </w:r>
      <w:r w:rsidR="00E22A2F" w:rsidRPr="00E22A2F">
        <w:rPr>
          <w:b/>
        </w:rPr>
        <w:t xml:space="preserve">RVS </w:t>
      </w:r>
      <w:r w:rsidR="00C66472" w:rsidRPr="00E22A2F">
        <w:rPr>
          <w:b/>
        </w:rPr>
        <w:t>na rok 2023 deficit</w:t>
      </w:r>
      <w:r w:rsidR="00E22A2F" w:rsidRPr="00E22A2F">
        <w:rPr>
          <w:b/>
        </w:rPr>
        <w:t xml:space="preserve"> na úrovni 6,44 % HDP (</w:t>
      </w:r>
      <w:r w:rsidR="00E22A2F">
        <w:rPr>
          <w:b/>
        </w:rPr>
        <w:t>7</w:t>
      </w:r>
      <w:r w:rsidR="00CD51AC">
        <w:rPr>
          <w:b/>
        </w:rPr>
        <w:t>,9</w:t>
      </w:r>
      <w:r w:rsidR="00E22A2F">
        <w:rPr>
          <w:b/>
        </w:rPr>
        <w:t xml:space="preserve"> ml</w:t>
      </w:r>
      <w:r w:rsidR="00CD51AC">
        <w:rPr>
          <w:b/>
        </w:rPr>
        <w:t>d</w:t>
      </w:r>
      <w:r w:rsidR="00E22A2F" w:rsidRPr="00E22A2F">
        <w:rPr>
          <w:b/>
        </w:rPr>
        <w:t>. eur)</w:t>
      </w:r>
      <w:r w:rsidR="006C1ACC" w:rsidRPr="006C1ACC">
        <w:t xml:space="preserve"> </w:t>
      </w:r>
      <w:r w:rsidR="006C1ACC">
        <w:t>(tabuľka 2).</w:t>
      </w:r>
      <w:r w:rsidR="00E22A2F">
        <w:t xml:space="preserve"> </w:t>
      </w:r>
      <w:r w:rsidR="00177BA1">
        <w:t>Rozpočet však nepočíta s možnosťou využiť prostriedky nevyužitých fondov</w:t>
      </w:r>
      <w:r>
        <w:t xml:space="preserve"> EÚ</w:t>
      </w:r>
      <w:r w:rsidR="00177BA1">
        <w:t xml:space="preserve">, ktorými by pokryl časť nákladov na boj s energetickou krízou, vďaka čomu by </w:t>
      </w:r>
      <w:r w:rsidR="009E303A">
        <w:t>mohol byť</w:t>
      </w:r>
      <w:r w:rsidR="00177BA1">
        <w:t xml:space="preserve"> budúcoročný deficit nižší. </w:t>
      </w:r>
      <w:r w:rsidR="00320044">
        <w:t>Okrem toho uplynie v</w:t>
      </w:r>
      <w:r w:rsidR="00F3726F">
        <w:t> </w:t>
      </w:r>
      <w:r w:rsidR="00320044">
        <w:t>máji</w:t>
      </w:r>
      <w:r w:rsidR="00F3726F">
        <w:t xml:space="preserve"> 2023</w:t>
      </w:r>
      <w:r w:rsidR="00320044">
        <w:t xml:space="preserve"> výnimka z uplatňo</w:t>
      </w:r>
      <w:r w:rsidR="00F3726F">
        <w:t xml:space="preserve">vania opatrení na zníženie dlhu a v prípade absencie novely zákona o rozpočtovej zodpovednosti (prechod na čistý dlh), </w:t>
      </w:r>
      <w:r w:rsidR="00320044">
        <w:t xml:space="preserve">by </w:t>
      </w:r>
      <w:r w:rsidR="00F3726F">
        <w:t xml:space="preserve">musela </w:t>
      </w:r>
      <w:r w:rsidR="00CD51AC">
        <w:t>v</w:t>
      </w:r>
      <w:r w:rsidR="00F3726F">
        <w:t>láda SR prísť v</w:t>
      </w:r>
      <w:r w:rsidR="009E303A">
        <w:t xml:space="preserve"> návrhu </w:t>
      </w:r>
      <w:r w:rsidR="00F3726F">
        <w:t>RVS na r</w:t>
      </w:r>
      <w:r w:rsidR="00D1325C">
        <w:t>ok 2024 s vyrovnaným rozpočtom.</w:t>
      </w:r>
    </w:p>
    <w:p w14:paraId="65E06E34" w14:textId="6113E1D6" w:rsidR="00580410" w:rsidRDefault="00580410" w:rsidP="004105B3">
      <w:pPr>
        <w:pStyle w:val="Popis"/>
        <w:keepNext/>
      </w:pPr>
      <w:r>
        <w:t xml:space="preserve">Tabuľka </w:t>
      </w:r>
      <w:r w:rsidR="009D6953">
        <w:fldChar w:fldCharType="begin"/>
      </w:r>
      <w:r w:rsidR="009D6953">
        <w:instrText xml:space="preserve"> SEQ Tabuľka \* ARABIC </w:instrText>
      </w:r>
      <w:r w:rsidR="009D6953">
        <w:fldChar w:fldCharType="separate"/>
      </w:r>
      <w:r w:rsidR="002529B9">
        <w:rPr>
          <w:noProof/>
        </w:rPr>
        <w:t>2</w:t>
      </w:r>
      <w:r w:rsidR="009D6953">
        <w:rPr>
          <w:noProof/>
        </w:rPr>
        <w:fldChar w:fldCharType="end"/>
      </w:r>
      <w:r>
        <w:t xml:space="preserve">: </w:t>
      </w:r>
      <w:r>
        <w:rPr>
          <w:color w:val="314364"/>
        </w:rPr>
        <w:t>Porovnanie rozpočtovaného schodku VS s očakávanou skutočnosťou</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3010"/>
        <w:gridCol w:w="1110"/>
        <w:gridCol w:w="1108"/>
        <w:gridCol w:w="1110"/>
        <w:gridCol w:w="1114"/>
        <w:gridCol w:w="1618"/>
      </w:tblGrid>
      <w:tr w:rsidR="00580410" w14:paraId="76CA3EDF" w14:textId="77777777" w:rsidTr="00580410">
        <w:trPr>
          <w:trHeight w:val="20"/>
        </w:trPr>
        <w:tc>
          <w:tcPr>
            <w:tcW w:w="1659" w:type="pct"/>
            <w:tcBorders>
              <w:bottom w:val="single" w:sz="4" w:space="0" w:color="314364"/>
            </w:tcBorders>
            <w:shd w:val="clear" w:color="auto" w:fill="314364"/>
            <w:vAlign w:val="center"/>
          </w:tcPr>
          <w:p w14:paraId="6DF0A3F1" w14:textId="77777777" w:rsidR="00580410" w:rsidRPr="0032280E" w:rsidRDefault="00580410" w:rsidP="00580410">
            <w:pPr>
              <w:spacing w:after="0" w:line="259" w:lineRule="auto"/>
              <w:jc w:val="left"/>
              <w:rPr>
                <w:b/>
                <w:color w:val="FFFFFF" w:themeColor="background1"/>
                <w:sz w:val="18"/>
              </w:rPr>
            </w:pPr>
            <w:r>
              <w:rPr>
                <w:b/>
                <w:color w:val="FFFFFF" w:themeColor="background1"/>
                <w:sz w:val="18"/>
              </w:rPr>
              <w:t>Schodok VS (ESA 2010, mil. eur)</w:t>
            </w:r>
          </w:p>
        </w:tc>
        <w:tc>
          <w:tcPr>
            <w:tcW w:w="612" w:type="pct"/>
            <w:tcBorders>
              <w:bottom w:val="single" w:sz="4" w:space="0" w:color="314364"/>
            </w:tcBorders>
            <w:shd w:val="clear" w:color="auto" w:fill="314364"/>
          </w:tcPr>
          <w:p w14:paraId="43CE59B3" w14:textId="77777777" w:rsidR="00580410" w:rsidRDefault="00580410" w:rsidP="00580410">
            <w:pPr>
              <w:spacing w:after="0" w:line="259" w:lineRule="auto"/>
              <w:jc w:val="center"/>
              <w:rPr>
                <w:b/>
                <w:color w:val="FFFFFF" w:themeColor="background1"/>
                <w:sz w:val="18"/>
              </w:rPr>
            </w:pPr>
            <w:r>
              <w:rPr>
                <w:b/>
                <w:color w:val="FFFFFF" w:themeColor="background1"/>
                <w:sz w:val="18"/>
              </w:rPr>
              <w:t>2022 R</w:t>
            </w:r>
          </w:p>
        </w:tc>
        <w:tc>
          <w:tcPr>
            <w:tcW w:w="611" w:type="pct"/>
            <w:tcBorders>
              <w:bottom w:val="single" w:sz="4" w:space="0" w:color="314364"/>
            </w:tcBorders>
            <w:shd w:val="clear" w:color="auto" w:fill="314364"/>
          </w:tcPr>
          <w:p w14:paraId="5E53F953" w14:textId="77777777" w:rsidR="00580410" w:rsidRPr="0032280E" w:rsidRDefault="00580410" w:rsidP="00580410">
            <w:pPr>
              <w:spacing w:after="0" w:line="259" w:lineRule="auto"/>
              <w:jc w:val="center"/>
              <w:rPr>
                <w:b/>
                <w:color w:val="FFFFFF" w:themeColor="background1"/>
                <w:sz w:val="18"/>
              </w:rPr>
            </w:pPr>
            <w:r>
              <w:rPr>
                <w:b/>
                <w:color w:val="FFFFFF" w:themeColor="background1"/>
                <w:sz w:val="18"/>
              </w:rPr>
              <w:t>2022 OS</w:t>
            </w:r>
          </w:p>
        </w:tc>
        <w:tc>
          <w:tcPr>
            <w:tcW w:w="612" w:type="pct"/>
            <w:tcBorders>
              <w:bottom w:val="single" w:sz="4" w:space="0" w:color="314364"/>
            </w:tcBorders>
            <w:shd w:val="clear" w:color="auto" w:fill="314364"/>
          </w:tcPr>
          <w:p w14:paraId="5690C210" w14:textId="77777777" w:rsidR="00580410" w:rsidRDefault="00580410" w:rsidP="00580410">
            <w:pPr>
              <w:spacing w:after="0" w:line="259" w:lineRule="auto"/>
              <w:jc w:val="center"/>
              <w:rPr>
                <w:b/>
                <w:color w:val="FFFFFF" w:themeColor="background1"/>
                <w:sz w:val="18"/>
              </w:rPr>
            </w:pPr>
            <w:r>
              <w:rPr>
                <w:b/>
                <w:color w:val="FFFFFF" w:themeColor="background1"/>
                <w:sz w:val="18"/>
              </w:rPr>
              <w:t>2023 R</w:t>
            </w:r>
          </w:p>
        </w:tc>
        <w:tc>
          <w:tcPr>
            <w:tcW w:w="614" w:type="pct"/>
            <w:tcBorders>
              <w:bottom w:val="single" w:sz="4" w:space="0" w:color="314364"/>
            </w:tcBorders>
            <w:shd w:val="clear" w:color="auto" w:fill="314364"/>
          </w:tcPr>
          <w:p w14:paraId="0A71C2A6" w14:textId="77777777" w:rsidR="00580410" w:rsidRPr="0032280E" w:rsidRDefault="00580410" w:rsidP="00580410">
            <w:pPr>
              <w:spacing w:after="0" w:line="259" w:lineRule="auto"/>
              <w:jc w:val="center"/>
              <w:rPr>
                <w:b/>
                <w:color w:val="FFFFFF" w:themeColor="background1"/>
                <w:sz w:val="18"/>
              </w:rPr>
            </w:pPr>
            <w:r>
              <w:rPr>
                <w:b/>
                <w:color w:val="FFFFFF" w:themeColor="background1"/>
                <w:sz w:val="18"/>
              </w:rPr>
              <w:t>2024 R</w:t>
            </w:r>
          </w:p>
        </w:tc>
        <w:tc>
          <w:tcPr>
            <w:tcW w:w="892" w:type="pct"/>
            <w:tcBorders>
              <w:bottom w:val="single" w:sz="4" w:space="0" w:color="314364"/>
            </w:tcBorders>
            <w:shd w:val="clear" w:color="auto" w:fill="314364"/>
          </w:tcPr>
          <w:p w14:paraId="4944FDD2" w14:textId="77777777" w:rsidR="00580410" w:rsidRDefault="00580410" w:rsidP="00580410">
            <w:pPr>
              <w:spacing w:after="0" w:line="259" w:lineRule="auto"/>
              <w:jc w:val="center"/>
              <w:rPr>
                <w:b/>
                <w:color w:val="FFFFFF" w:themeColor="background1"/>
                <w:sz w:val="18"/>
              </w:rPr>
            </w:pPr>
            <w:r>
              <w:rPr>
                <w:b/>
                <w:color w:val="FFFFFF" w:themeColor="background1"/>
                <w:sz w:val="18"/>
              </w:rPr>
              <w:t>2022</w:t>
            </w:r>
            <w:r>
              <w:rPr>
                <w:b/>
                <w:color w:val="FFFFFF" w:themeColor="background1"/>
                <w:sz w:val="18"/>
                <w:vertAlign w:val="subscript"/>
              </w:rPr>
              <w:t>OS</w:t>
            </w:r>
            <w:r>
              <w:rPr>
                <w:b/>
                <w:color w:val="FFFFFF" w:themeColor="background1"/>
                <w:sz w:val="18"/>
              </w:rPr>
              <w:t xml:space="preserve"> - 2022</w:t>
            </w:r>
            <w:r>
              <w:rPr>
                <w:b/>
                <w:color w:val="FFFFFF" w:themeColor="background1"/>
                <w:sz w:val="18"/>
                <w:vertAlign w:val="subscript"/>
              </w:rPr>
              <w:t>R</w:t>
            </w:r>
          </w:p>
        </w:tc>
      </w:tr>
      <w:tr w:rsidR="00580410" w14:paraId="0355FC46" w14:textId="77777777" w:rsidTr="00580410">
        <w:trPr>
          <w:trHeight w:val="20"/>
        </w:trPr>
        <w:tc>
          <w:tcPr>
            <w:tcW w:w="1659" w:type="pct"/>
            <w:tcBorders>
              <w:top w:val="single" w:sz="4" w:space="0" w:color="314364"/>
            </w:tcBorders>
            <w:vAlign w:val="center"/>
          </w:tcPr>
          <w:p w14:paraId="47DAEC32" w14:textId="77777777" w:rsidR="00580410" w:rsidRPr="00325BDA" w:rsidRDefault="00580410" w:rsidP="00580410">
            <w:pPr>
              <w:spacing w:after="0" w:line="259" w:lineRule="auto"/>
              <w:rPr>
                <w:sz w:val="18"/>
              </w:rPr>
            </w:pPr>
            <w:r>
              <w:rPr>
                <w:sz w:val="18"/>
              </w:rPr>
              <w:t>Celkové príjmy VS</w:t>
            </w:r>
          </w:p>
        </w:tc>
        <w:tc>
          <w:tcPr>
            <w:tcW w:w="612" w:type="pct"/>
            <w:tcBorders>
              <w:top w:val="single" w:sz="4" w:space="0" w:color="314364"/>
            </w:tcBorders>
          </w:tcPr>
          <w:p w14:paraId="34A40551" w14:textId="4A40DF67" w:rsidR="00580410" w:rsidRPr="0032280E" w:rsidRDefault="005346E7" w:rsidP="005346E7">
            <w:pPr>
              <w:spacing w:after="0" w:line="259" w:lineRule="auto"/>
              <w:jc w:val="center"/>
              <w:rPr>
                <w:sz w:val="18"/>
              </w:rPr>
            </w:pPr>
            <w:r>
              <w:rPr>
                <w:sz w:val="18"/>
              </w:rPr>
              <w:t>44 173,9</w:t>
            </w:r>
          </w:p>
        </w:tc>
        <w:tc>
          <w:tcPr>
            <w:tcW w:w="611" w:type="pct"/>
            <w:tcBorders>
              <w:top w:val="single" w:sz="4" w:space="0" w:color="314364"/>
            </w:tcBorders>
            <w:shd w:val="clear" w:color="auto" w:fill="auto"/>
            <w:vAlign w:val="center"/>
          </w:tcPr>
          <w:p w14:paraId="136CD563" w14:textId="7F332166" w:rsidR="00580410" w:rsidRPr="0032280E" w:rsidRDefault="005346E7" w:rsidP="00580410">
            <w:pPr>
              <w:spacing w:after="0" w:line="259" w:lineRule="auto"/>
              <w:jc w:val="center"/>
              <w:rPr>
                <w:sz w:val="18"/>
              </w:rPr>
            </w:pPr>
            <w:r>
              <w:rPr>
                <w:sz w:val="18"/>
              </w:rPr>
              <w:t>44 927,3</w:t>
            </w:r>
          </w:p>
        </w:tc>
        <w:tc>
          <w:tcPr>
            <w:tcW w:w="612" w:type="pct"/>
            <w:tcBorders>
              <w:top w:val="single" w:sz="4" w:space="0" w:color="314364"/>
            </w:tcBorders>
          </w:tcPr>
          <w:p w14:paraId="5142EC17" w14:textId="11DAA949" w:rsidR="00580410" w:rsidRPr="0032280E" w:rsidRDefault="005346E7" w:rsidP="00580410">
            <w:pPr>
              <w:spacing w:after="0" w:line="259" w:lineRule="auto"/>
              <w:jc w:val="center"/>
              <w:rPr>
                <w:sz w:val="18"/>
              </w:rPr>
            </w:pPr>
            <w:r>
              <w:rPr>
                <w:sz w:val="18"/>
              </w:rPr>
              <w:t>50 579,4</w:t>
            </w:r>
          </w:p>
        </w:tc>
        <w:tc>
          <w:tcPr>
            <w:tcW w:w="614" w:type="pct"/>
            <w:tcBorders>
              <w:top w:val="single" w:sz="4" w:space="0" w:color="314364"/>
            </w:tcBorders>
            <w:vAlign w:val="center"/>
          </w:tcPr>
          <w:p w14:paraId="0F67FFE1" w14:textId="02DB72BB" w:rsidR="00580410" w:rsidRPr="0032280E" w:rsidRDefault="005346E7" w:rsidP="00580410">
            <w:pPr>
              <w:spacing w:after="0" w:line="259" w:lineRule="auto"/>
              <w:jc w:val="center"/>
              <w:rPr>
                <w:sz w:val="18"/>
              </w:rPr>
            </w:pPr>
            <w:r>
              <w:rPr>
                <w:sz w:val="18"/>
              </w:rPr>
              <w:t>50 260,2</w:t>
            </w:r>
          </w:p>
        </w:tc>
        <w:tc>
          <w:tcPr>
            <w:tcW w:w="892" w:type="pct"/>
            <w:tcBorders>
              <w:top w:val="single" w:sz="4" w:space="0" w:color="314364"/>
            </w:tcBorders>
          </w:tcPr>
          <w:p w14:paraId="23D02631" w14:textId="2B2A539B" w:rsidR="00580410" w:rsidRPr="00135DD9" w:rsidRDefault="005346E7" w:rsidP="00580410">
            <w:pPr>
              <w:spacing w:after="0" w:line="259" w:lineRule="auto"/>
              <w:jc w:val="center"/>
              <w:rPr>
                <w:b/>
                <w:sz w:val="18"/>
              </w:rPr>
            </w:pPr>
            <w:r>
              <w:rPr>
                <w:b/>
                <w:sz w:val="18"/>
              </w:rPr>
              <w:t>753,4</w:t>
            </w:r>
          </w:p>
        </w:tc>
      </w:tr>
      <w:tr w:rsidR="00580410" w14:paraId="11726C44" w14:textId="77777777" w:rsidTr="00580410">
        <w:trPr>
          <w:trHeight w:val="20"/>
        </w:trPr>
        <w:tc>
          <w:tcPr>
            <w:tcW w:w="1659" w:type="pct"/>
            <w:vAlign w:val="center"/>
          </w:tcPr>
          <w:p w14:paraId="14BBAE13" w14:textId="77777777" w:rsidR="00580410" w:rsidRPr="0032280E" w:rsidRDefault="00580410" w:rsidP="00580410">
            <w:pPr>
              <w:spacing w:after="0" w:line="259" w:lineRule="auto"/>
              <w:rPr>
                <w:sz w:val="18"/>
              </w:rPr>
            </w:pPr>
            <w:r>
              <w:rPr>
                <w:sz w:val="18"/>
              </w:rPr>
              <w:t>Celkové výdavky VS</w:t>
            </w:r>
          </w:p>
        </w:tc>
        <w:tc>
          <w:tcPr>
            <w:tcW w:w="612" w:type="pct"/>
          </w:tcPr>
          <w:p w14:paraId="7F11BB8E" w14:textId="5F85F225" w:rsidR="00580410" w:rsidRPr="0032280E" w:rsidRDefault="005346E7" w:rsidP="00580410">
            <w:pPr>
              <w:spacing w:after="0" w:line="259" w:lineRule="auto"/>
              <w:jc w:val="center"/>
              <w:rPr>
                <w:sz w:val="18"/>
              </w:rPr>
            </w:pPr>
            <w:r>
              <w:rPr>
                <w:sz w:val="18"/>
              </w:rPr>
              <w:t>49 387,4</w:t>
            </w:r>
          </w:p>
        </w:tc>
        <w:tc>
          <w:tcPr>
            <w:tcW w:w="611" w:type="pct"/>
            <w:shd w:val="clear" w:color="auto" w:fill="auto"/>
            <w:vAlign w:val="center"/>
          </w:tcPr>
          <w:p w14:paraId="665540AD" w14:textId="3A6EB9C3" w:rsidR="00580410" w:rsidRPr="0032280E" w:rsidRDefault="005346E7" w:rsidP="00580410">
            <w:pPr>
              <w:spacing w:after="0" w:line="259" w:lineRule="auto"/>
              <w:jc w:val="center"/>
              <w:rPr>
                <w:sz w:val="18"/>
              </w:rPr>
            </w:pPr>
            <w:r>
              <w:rPr>
                <w:sz w:val="18"/>
              </w:rPr>
              <w:t>50 325,5</w:t>
            </w:r>
          </w:p>
        </w:tc>
        <w:tc>
          <w:tcPr>
            <w:tcW w:w="612" w:type="pct"/>
          </w:tcPr>
          <w:p w14:paraId="6F9F240E" w14:textId="1F90E3BA" w:rsidR="00580410" w:rsidRPr="0032280E" w:rsidRDefault="005346E7" w:rsidP="00580410">
            <w:pPr>
              <w:spacing w:after="0" w:line="259" w:lineRule="auto"/>
              <w:jc w:val="center"/>
              <w:rPr>
                <w:sz w:val="18"/>
              </w:rPr>
            </w:pPr>
            <w:r>
              <w:rPr>
                <w:sz w:val="18"/>
              </w:rPr>
              <w:t>58 450,6</w:t>
            </w:r>
          </w:p>
        </w:tc>
        <w:tc>
          <w:tcPr>
            <w:tcW w:w="614" w:type="pct"/>
            <w:vAlign w:val="center"/>
          </w:tcPr>
          <w:p w14:paraId="47372CEA" w14:textId="5297B972" w:rsidR="00580410" w:rsidRPr="0032280E" w:rsidRDefault="005346E7" w:rsidP="00580410">
            <w:pPr>
              <w:spacing w:after="0" w:line="259" w:lineRule="auto"/>
              <w:jc w:val="center"/>
              <w:rPr>
                <w:sz w:val="18"/>
              </w:rPr>
            </w:pPr>
            <w:r>
              <w:rPr>
                <w:sz w:val="18"/>
              </w:rPr>
              <w:t>55 882,1</w:t>
            </w:r>
          </w:p>
        </w:tc>
        <w:tc>
          <w:tcPr>
            <w:tcW w:w="892" w:type="pct"/>
          </w:tcPr>
          <w:p w14:paraId="2AC2E25A" w14:textId="52BAF427" w:rsidR="00580410" w:rsidRPr="00135DD9" w:rsidRDefault="005346E7" w:rsidP="00580410">
            <w:pPr>
              <w:spacing w:after="0" w:line="259" w:lineRule="auto"/>
              <w:jc w:val="center"/>
              <w:rPr>
                <w:b/>
                <w:sz w:val="18"/>
              </w:rPr>
            </w:pPr>
            <w:r>
              <w:rPr>
                <w:b/>
                <w:sz w:val="18"/>
              </w:rPr>
              <w:t>938,1</w:t>
            </w:r>
          </w:p>
        </w:tc>
      </w:tr>
      <w:tr w:rsidR="00580410" w:rsidRPr="00325BDA" w14:paraId="18102F08" w14:textId="77777777" w:rsidTr="00580410">
        <w:trPr>
          <w:trHeight w:val="20"/>
        </w:trPr>
        <w:tc>
          <w:tcPr>
            <w:tcW w:w="1659" w:type="pct"/>
            <w:vAlign w:val="center"/>
          </w:tcPr>
          <w:p w14:paraId="6DB030CF" w14:textId="77777777" w:rsidR="00580410" w:rsidRPr="00064A98" w:rsidRDefault="00580410" w:rsidP="00580410">
            <w:pPr>
              <w:spacing w:after="0" w:line="259" w:lineRule="auto"/>
              <w:rPr>
                <w:b/>
                <w:sz w:val="18"/>
              </w:rPr>
            </w:pPr>
            <w:r w:rsidRPr="00064A98">
              <w:rPr>
                <w:b/>
                <w:sz w:val="18"/>
              </w:rPr>
              <w:t>Schodok (mil. eur)</w:t>
            </w:r>
          </w:p>
        </w:tc>
        <w:tc>
          <w:tcPr>
            <w:tcW w:w="612" w:type="pct"/>
          </w:tcPr>
          <w:p w14:paraId="1B4D79AD" w14:textId="1A8817FC" w:rsidR="00580410" w:rsidRPr="00064A98" w:rsidRDefault="005346E7" w:rsidP="00580410">
            <w:pPr>
              <w:spacing w:after="0" w:line="259" w:lineRule="auto"/>
              <w:jc w:val="center"/>
              <w:rPr>
                <w:b/>
                <w:sz w:val="18"/>
              </w:rPr>
            </w:pPr>
            <w:r>
              <w:rPr>
                <w:b/>
                <w:sz w:val="18"/>
              </w:rPr>
              <w:t>-5 213,5</w:t>
            </w:r>
          </w:p>
        </w:tc>
        <w:tc>
          <w:tcPr>
            <w:tcW w:w="611" w:type="pct"/>
            <w:shd w:val="clear" w:color="auto" w:fill="auto"/>
            <w:vAlign w:val="center"/>
          </w:tcPr>
          <w:p w14:paraId="06419AB9" w14:textId="79A430CF" w:rsidR="00580410" w:rsidRPr="00064A98" w:rsidRDefault="005346E7" w:rsidP="00580410">
            <w:pPr>
              <w:spacing w:after="0" w:line="259" w:lineRule="auto"/>
              <w:jc w:val="center"/>
              <w:rPr>
                <w:b/>
                <w:sz w:val="18"/>
              </w:rPr>
            </w:pPr>
            <w:r>
              <w:rPr>
                <w:b/>
                <w:sz w:val="18"/>
              </w:rPr>
              <w:t>-5 398,2</w:t>
            </w:r>
          </w:p>
        </w:tc>
        <w:tc>
          <w:tcPr>
            <w:tcW w:w="612" w:type="pct"/>
          </w:tcPr>
          <w:p w14:paraId="1DD95984" w14:textId="19455933" w:rsidR="00580410" w:rsidRPr="00064A98" w:rsidRDefault="005346E7" w:rsidP="00580410">
            <w:pPr>
              <w:spacing w:after="0" w:line="259" w:lineRule="auto"/>
              <w:jc w:val="center"/>
              <w:rPr>
                <w:b/>
                <w:sz w:val="18"/>
              </w:rPr>
            </w:pPr>
            <w:r>
              <w:rPr>
                <w:b/>
                <w:sz w:val="18"/>
              </w:rPr>
              <w:t>-7 871,2</w:t>
            </w:r>
          </w:p>
        </w:tc>
        <w:tc>
          <w:tcPr>
            <w:tcW w:w="614" w:type="pct"/>
            <w:vAlign w:val="center"/>
          </w:tcPr>
          <w:p w14:paraId="364BDA2C" w14:textId="462C1AAD" w:rsidR="00580410" w:rsidRPr="00064A98" w:rsidRDefault="005346E7" w:rsidP="00580410">
            <w:pPr>
              <w:spacing w:after="0" w:line="259" w:lineRule="auto"/>
              <w:jc w:val="center"/>
              <w:rPr>
                <w:b/>
                <w:sz w:val="18"/>
              </w:rPr>
            </w:pPr>
            <w:r>
              <w:rPr>
                <w:b/>
                <w:sz w:val="18"/>
              </w:rPr>
              <w:t>-5 621,9</w:t>
            </w:r>
          </w:p>
        </w:tc>
        <w:tc>
          <w:tcPr>
            <w:tcW w:w="892" w:type="pct"/>
          </w:tcPr>
          <w:p w14:paraId="16FD8CD3" w14:textId="6A2603A8" w:rsidR="00580410" w:rsidRPr="00064A98" w:rsidRDefault="005346E7" w:rsidP="00580410">
            <w:pPr>
              <w:spacing w:after="0" w:line="259" w:lineRule="auto"/>
              <w:jc w:val="center"/>
              <w:rPr>
                <w:b/>
                <w:sz w:val="18"/>
              </w:rPr>
            </w:pPr>
            <w:r>
              <w:rPr>
                <w:b/>
                <w:sz w:val="18"/>
              </w:rPr>
              <w:t>-184,7</w:t>
            </w:r>
          </w:p>
        </w:tc>
      </w:tr>
      <w:tr w:rsidR="00580410" w:rsidRPr="00325BDA" w14:paraId="2FBC4031" w14:textId="77777777" w:rsidTr="00580410">
        <w:trPr>
          <w:trHeight w:val="20"/>
        </w:trPr>
        <w:tc>
          <w:tcPr>
            <w:tcW w:w="1659" w:type="pct"/>
            <w:tcBorders>
              <w:bottom w:val="single" w:sz="4" w:space="0" w:color="314364" w:themeColor="text2"/>
            </w:tcBorders>
            <w:vAlign w:val="center"/>
          </w:tcPr>
          <w:p w14:paraId="3FE8F81C" w14:textId="77777777" w:rsidR="00580410" w:rsidRPr="00064A98" w:rsidRDefault="00580410" w:rsidP="00580410">
            <w:pPr>
              <w:spacing w:after="0" w:line="259" w:lineRule="auto"/>
              <w:rPr>
                <w:b/>
                <w:sz w:val="18"/>
              </w:rPr>
            </w:pPr>
            <w:r w:rsidRPr="00064A98">
              <w:rPr>
                <w:b/>
                <w:sz w:val="18"/>
              </w:rPr>
              <w:t>Schodok (% HDP)</w:t>
            </w:r>
          </w:p>
        </w:tc>
        <w:tc>
          <w:tcPr>
            <w:tcW w:w="612" w:type="pct"/>
            <w:tcBorders>
              <w:bottom w:val="single" w:sz="4" w:space="0" w:color="314364" w:themeColor="text2"/>
            </w:tcBorders>
          </w:tcPr>
          <w:p w14:paraId="67831878" w14:textId="31E4776A" w:rsidR="00580410" w:rsidRPr="00064A98" w:rsidRDefault="005346E7" w:rsidP="00580410">
            <w:pPr>
              <w:spacing w:after="0" w:line="259" w:lineRule="auto"/>
              <w:jc w:val="center"/>
              <w:rPr>
                <w:b/>
                <w:sz w:val="18"/>
              </w:rPr>
            </w:pPr>
            <w:r>
              <w:rPr>
                <w:b/>
                <w:sz w:val="18"/>
              </w:rPr>
              <w:t>-4,94 %</w:t>
            </w:r>
          </w:p>
        </w:tc>
        <w:tc>
          <w:tcPr>
            <w:tcW w:w="611" w:type="pct"/>
            <w:tcBorders>
              <w:bottom w:val="single" w:sz="4" w:space="0" w:color="314364" w:themeColor="text2"/>
            </w:tcBorders>
            <w:shd w:val="clear" w:color="auto" w:fill="auto"/>
            <w:vAlign w:val="center"/>
          </w:tcPr>
          <w:p w14:paraId="2B4EACAE" w14:textId="5103AD11" w:rsidR="00580410" w:rsidRPr="00064A98" w:rsidRDefault="005346E7" w:rsidP="00580410">
            <w:pPr>
              <w:spacing w:after="0" w:line="259" w:lineRule="auto"/>
              <w:jc w:val="center"/>
              <w:rPr>
                <w:b/>
                <w:sz w:val="18"/>
              </w:rPr>
            </w:pPr>
            <w:r>
              <w:rPr>
                <w:b/>
                <w:sz w:val="18"/>
              </w:rPr>
              <w:t>-4,97 %</w:t>
            </w:r>
          </w:p>
        </w:tc>
        <w:tc>
          <w:tcPr>
            <w:tcW w:w="612" w:type="pct"/>
            <w:tcBorders>
              <w:bottom w:val="single" w:sz="4" w:space="0" w:color="314364" w:themeColor="text2"/>
            </w:tcBorders>
          </w:tcPr>
          <w:p w14:paraId="04435712" w14:textId="69D62B51" w:rsidR="00580410" w:rsidRPr="00064A98" w:rsidRDefault="005346E7" w:rsidP="00580410">
            <w:pPr>
              <w:spacing w:after="0" w:line="259" w:lineRule="auto"/>
              <w:jc w:val="center"/>
              <w:rPr>
                <w:b/>
                <w:sz w:val="18"/>
              </w:rPr>
            </w:pPr>
            <w:r>
              <w:rPr>
                <w:b/>
                <w:sz w:val="18"/>
              </w:rPr>
              <w:t>-6,44 %</w:t>
            </w:r>
          </w:p>
        </w:tc>
        <w:tc>
          <w:tcPr>
            <w:tcW w:w="614" w:type="pct"/>
            <w:tcBorders>
              <w:bottom w:val="single" w:sz="4" w:space="0" w:color="314364" w:themeColor="text2"/>
            </w:tcBorders>
            <w:vAlign w:val="center"/>
          </w:tcPr>
          <w:p w14:paraId="2670086F" w14:textId="2B2AE1E4" w:rsidR="00580410" w:rsidRPr="00064A98" w:rsidRDefault="005346E7" w:rsidP="00580410">
            <w:pPr>
              <w:spacing w:after="0" w:line="259" w:lineRule="auto"/>
              <w:jc w:val="center"/>
              <w:rPr>
                <w:b/>
                <w:sz w:val="18"/>
              </w:rPr>
            </w:pPr>
            <w:r>
              <w:rPr>
                <w:b/>
                <w:sz w:val="18"/>
              </w:rPr>
              <w:t>-4,32 %</w:t>
            </w:r>
          </w:p>
        </w:tc>
        <w:tc>
          <w:tcPr>
            <w:tcW w:w="892" w:type="pct"/>
            <w:tcBorders>
              <w:bottom w:val="single" w:sz="4" w:space="0" w:color="314364" w:themeColor="text2"/>
            </w:tcBorders>
          </w:tcPr>
          <w:p w14:paraId="33005B53" w14:textId="291F6BF9" w:rsidR="00580410" w:rsidRPr="00064A98" w:rsidRDefault="005346E7" w:rsidP="00580410">
            <w:pPr>
              <w:spacing w:after="0" w:line="259" w:lineRule="auto"/>
              <w:jc w:val="center"/>
              <w:rPr>
                <w:b/>
                <w:sz w:val="18"/>
              </w:rPr>
            </w:pPr>
            <w:r>
              <w:rPr>
                <w:b/>
                <w:sz w:val="18"/>
              </w:rPr>
              <w:t>-0,03</w:t>
            </w:r>
          </w:p>
        </w:tc>
      </w:tr>
    </w:tbl>
    <w:p w14:paraId="63F764C0" w14:textId="77777777" w:rsidR="00580410" w:rsidRDefault="00580410" w:rsidP="007F7533">
      <w:pPr>
        <w:pStyle w:val="Zdroj"/>
        <w:spacing w:after="0"/>
      </w:pPr>
      <w:r>
        <w:t>Zdroj: Návrh RVS na roky 2022 až 2024</w:t>
      </w:r>
      <w:r>
        <w:rPr>
          <w:lang w:val="en-US"/>
        </w:rPr>
        <w:t xml:space="preserve">; </w:t>
      </w:r>
      <w:r>
        <w:t>OS – očakávaná skutočnosť, R – rozpočet</w:t>
      </w:r>
    </w:p>
    <w:p w14:paraId="24E1087F" w14:textId="5BC8FD99" w:rsidR="00580410" w:rsidRDefault="00B56A6B" w:rsidP="00580410">
      <w:r w:rsidRPr="000B5622">
        <w:rPr>
          <w:b/>
        </w:rPr>
        <w:lastRenderedPageBreak/>
        <w:t xml:space="preserve">Z hľadiska dosiahnutia strednodobého rozpočtového cieľa </w:t>
      </w:r>
      <w:r w:rsidR="00802EBB">
        <w:rPr>
          <w:b/>
        </w:rPr>
        <w:t>mal</w:t>
      </w:r>
      <w:r w:rsidR="002957AD">
        <w:rPr>
          <w:b/>
        </w:rPr>
        <w:t>o zaviesť MF SR výdavkové limity prvýkrát v históri</w:t>
      </w:r>
      <w:r w:rsidR="00802EBB">
        <w:rPr>
          <w:b/>
        </w:rPr>
        <w:t xml:space="preserve">i </w:t>
      </w:r>
      <w:r w:rsidR="002957AD">
        <w:rPr>
          <w:b/>
        </w:rPr>
        <w:t>v návrhu rozpočtu na obdobie rokov 2023 – 2025</w:t>
      </w:r>
      <w:r w:rsidR="00802EBB">
        <w:rPr>
          <w:b/>
        </w:rPr>
        <w:t xml:space="preserve">. </w:t>
      </w:r>
      <w:r w:rsidR="002957AD">
        <w:rPr>
          <w:b/>
        </w:rPr>
        <w:t xml:space="preserve">Návrh rozpočtu však tieto limity neobsahuje. </w:t>
      </w:r>
      <w:r w:rsidR="00585F3E">
        <w:t xml:space="preserve">Ak by boli limity vypočítané ešte pred schválením návrhu rozpočtu v parlamente, </w:t>
      </w:r>
      <w:r w:rsidR="00585F3E" w:rsidRPr="00585F3E">
        <w:t>návrh rozpočtu by</w:t>
      </w:r>
      <w:r w:rsidR="00585F3E">
        <w:t xml:space="preserve"> musel byť </w:t>
      </w:r>
      <w:r w:rsidR="00DE614C">
        <w:t xml:space="preserve">s nimi </w:t>
      </w:r>
      <w:r w:rsidR="00585F3E">
        <w:t>zosúladený</w:t>
      </w:r>
      <w:r w:rsidR="00DC1F91">
        <w:t>. Zásadný posun pri výdavkových limito</w:t>
      </w:r>
      <w:r w:rsidR="00C95AC6">
        <w:t>ch</w:t>
      </w:r>
      <w:r w:rsidR="00DC1F91">
        <w:t xml:space="preserve"> oproti súčasnému stavu (</w:t>
      </w:r>
      <w:r w:rsidR="00992839">
        <w:t>schválený rozpočet</w:t>
      </w:r>
      <w:r w:rsidR="00DC1F91">
        <w:t xml:space="preserve"> </w:t>
      </w:r>
      <w:r w:rsidR="00992839">
        <w:t xml:space="preserve">je </w:t>
      </w:r>
      <w:r w:rsidR="00DC1F91">
        <w:t xml:space="preserve">záväzný len </w:t>
      </w:r>
      <w:r w:rsidR="00992839">
        <w:t xml:space="preserve">na </w:t>
      </w:r>
      <w:r w:rsidR="00DC1F91">
        <w:t>jeden rok</w:t>
      </w:r>
      <w:r w:rsidR="00992839">
        <w:t>,</w:t>
      </w:r>
      <w:r w:rsidR="00DC1F91">
        <w:t xml:space="preserve"> zvyšné dva sú indikatívne) je ten, že po ich výpočte by ich mala NR SR schváliť na celé štvorročné volebné obdobie</w:t>
      </w:r>
      <w:r w:rsidR="00585F3E">
        <w:t xml:space="preserve"> (box</w:t>
      </w:r>
      <w:r w:rsidR="00774249">
        <w:t xml:space="preserve"> 1).</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580410" w:rsidRPr="00D442FD" w14:paraId="414987E2" w14:textId="77777777" w:rsidTr="00580410">
        <w:tc>
          <w:tcPr>
            <w:tcW w:w="9060" w:type="dxa"/>
            <w:shd w:val="clear" w:color="auto" w:fill="EBF0FB" w:themeFill="background2" w:themeFillTint="33"/>
          </w:tcPr>
          <w:p w14:paraId="0356386A" w14:textId="77777777" w:rsidR="00580410" w:rsidRPr="00DA6672" w:rsidRDefault="00580410" w:rsidP="00580410">
            <w:pPr>
              <w:spacing w:before="120"/>
              <w:ind w:left="176" w:right="163"/>
              <w:rPr>
                <w:b/>
              </w:rPr>
            </w:pPr>
            <w:r w:rsidRPr="00DA6672">
              <w:rPr>
                <w:b/>
              </w:rPr>
              <w:t>BOX 1: Výdavkové limity</w:t>
            </w:r>
          </w:p>
          <w:p w14:paraId="5047529F" w14:textId="06D3A7F4" w:rsidR="009B072B" w:rsidRDefault="00802EBB" w:rsidP="00802EBB">
            <w:pPr>
              <w:spacing w:before="120"/>
              <w:ind w:left="176" w:right="163"/>
              <w:rPr>
                <w:sz w:val="18"/>
              </w:rPr>
            </w:pPr>
            <w:r>
              <w:rPr>
                <w:sz w:val="18"/>
              </w:rPr>
              <w:t>Výdavkové limity s</w:t>
            </w:r>
            <w:r w:rsidRPr="00802EBB">
              <w:rPr>
                <w:sz w:val="18"/>
              </w:rPr>
              <w:t>ú dôležitým nástrojom, ktor</w:t>
            </w:r>
            <w:r>
              <w:rPr>
                <w:sz w:val="18"/>
              </w:rPr>
              <w:t>ý</w:t>
            </w:r>
            <w:r w:rsidRPr="00802EBB">
              <w:rPr>
                <w:sz w:val="18"/>
              </w:rPr>
              <w:t xml:space="preserve"> slúži </w:t>
            </w:r>
            <w:r w:rsidR="00864506">
              <w:rPr>
                <w:sz w:val="18"/>
              </w:rPr>
              <w:t>na</w:t>
            </w:r>
            <w:r w:rsidRPr="00802EBB">
              <w:rPr>
                <w:sz w:val="18"/>
              </w:rPr>
              <w:t xml:space="preserve"> udržani</w:t>
            </w:r>
            <w:r w:rsidR="00864506">
              <w:rPr>
                <w:sz w:val="18"/>
              </w:rPr>
              <w:t>e</w:t>
            </w:r>
            <w:r w:rsidRPr="00802EBB">
              <w:rPr>
                <w:sz w:val="18"/>
              </w:rPr>
              <w:t xml:space="preserve"> proticyklickej politiky. </w:t>
            </w:r>
            <w:r w:rsidR="009B072B" w:rsidRPr="009B072B">
              <w:rPr>
                <w:sz w:val="18"/>
              </w:rPr>
              <w:t xml:space="preserve">Výdavkový </w:t>
            </w:r>
            <w:r w:rsidR="009B072B">
              <w:rPr>
                <w:sz w:val="18"/>
              </w:rPr>
              <w:t>limit</w:t>
            </w:r>
            <w:r w:rsidR="009B072B" w:rsidRPr="009B072B">
              <w:rPr>
                <w:sz w:val="18"/>
              </w:rPr>
              <w:t xml:space="preserve"> predstavuje najvyššiu hranicu alokácie finančných prostriedkov pre celý verejný sektor. Hranica môže byť stanovená na nominálnej úrovni alebo vo vzťahu k HDP. </w:t>
            </w:r>
            <w:r w:rsidR="009B072B">
              <w:rPr>
                <w:sz w:val="18"/>
              </w:rPr>
              <w:t>Na druhej strane</w:t>
            </w:r>
            <w:r w:rsidR="00864506">
              <w:rPr>
                <w:sz w:val="18"/>
              </w:rPr>
              <w:t>,</w:t>
            </w:r>
            <w:r w:rsidR="009B072B">
              <w:rPr>
                <w:sz w:val="18"/>
              </w:rPr>
              <w:t xml:space="preserve"> v</w:t>
            </w:r>
            <w:r w:rsidR="009B072B" w:rsidRPr="009B072B">
              <w:rPr>
                <w:sz w:val="18"/>
              </w:rPr>
              <w:t xml:space="preserve">ýdavkové limity </w:t>
            </w:r>
            <w:r w:rsidR="00864506">
              <w:rPr>
                <w:sz w:val="18"/>
              </w:rPr>
              <w:t xml:space="preserve">sú </w:t>
            </w:r>
            <w:r w:rsidR="009B072B" w:rsidRPr="009B072B">
              <w:rPr>
                <w:sz w:val="18"/>
              </w:rPr>
              <w:t xml:space="preserve">operatívnym nástrojom rozpočtového hospodárenia, keď sú súčasťou </w:t>
            </w:r>
            <w:r w:rsidR="009B072B">
              <w:rPr>
                <w:sz w:val="18"/>
              </w:rPr>
              <w:t>ŠR</w:t>
            </w:r>
            <w:r w:rsidR="009B072B" w:rsidRPr="009B072B">
              <w:rPr>
                <w:sz w:val="18"/>
              </w:rPr>
              <w:t xml:space="preserve"> a</w:t>
            </w:r>
            <w:r w:rsidR="00864506">
              <w:rPr>
                <w:sz w:val="18"/>
              </w:rPr>
              <w:t> </w:t>
            </w:r>
            <w:r w:rsidR="009B072B">
              <w:rPr>
                <w:sz w:val="18"/>
              </w:rPr>
              <w:t>RVS</w:t>
            </w:r>
            <w:r w:rsidR="00864506">
              <w:rPr>
                <w:sz w:val="18"/>
                <w:lang w:val="en-US"/>
              </w:rPr>
              <w:t>;</w:t>
            </w:r>
            <w:r w:rsidR="009B072B" w:rsidRPr="009B072B">
              <w:rPr>
                <w:sz w:val="18"/>
              </w:rPr>
              <w:t xml:space="preserve"> sú podrobnejšie popísané v rámci programového rozpočtovania.</w:t>
            </w:r>
          </w:p>
          <w:p w14:paraId="38B2AD34" w14:textId="603F0754" w:rsidR="00930256" w:rsidRDefault="009B072B" w:rsidP="00930256">
            <w:pPr>
              <w:spacing w:before="120"/>
              <w:ind w:left="176" w:right="163"/>
              <w:rPr>
                <w:sz w:val="18"/>
              </w:rPr>
            </w:pPr>
            <w:r>
              <w:rPr>
                <w:sz w:val="18"/>
              </w:rPr>
              <w:t>Z</w:t>
            </w:r>
            <w:r w:rsidR="00580410" w:rsidRPr="00D442FD">
              <w:rPr>
                <w:sz w:val="18"/>
              </w:rPr>
              <w:t xml:space="preserve">ásadnú zmenu </w:t>
            </w:r>
            <w:r w:rsidR="00580410">
              <w:rPr>
                <w:sz w:val="18"/>
              </w:rPr>
              <w:t xml:space="preserve">pri zostavovaní RVS </w:t>
            </w:r>
            <w:r>
              <w:rPr>
                <w:sz w:val="18"/>
              </w:rPr>
              <w:t xml:space="preserve">na rok 2023 </w:t>
            </w:r>
            <w:r w:rsidR="00580410">
              <w:rPr>
                <w:sz w:val="18"/>
              </w:rPr>
              <w:t>malo</w:t>
            </w:r>
            <w:r w:rsidR="00580410" w:rsidRPr="00D442FD">
              <w:rPr>
                <w:sz w:val="18"/>
              </w:rPr>
              <w:t xml:space="preserve"> priniesť pravidlo výdavkových limitov prostredníctvom novely zákona o rozpočtových pravidlách</w:t>
            </w:r>
            <w:r w:rsidR="00774249">
              <w:rPr>
                <w:sz w:val="18"/>
              </w:rPr>
              <w:t xml:space="preserve"> VS</w:t>
            </w:r>
            <w:r w:rsidR="00580410" w:rsidRPr="00D442FD">
              <w:rPr>
                <w:sz w:val="18"/>
              </w:rPr>
              <w:t>. V apríli 2022 zverejnilo MF SR Program stability na roky 2022 až 2025, kde boli prvýkrát prezentované indikatívne výdavkové limity</w:t>
            </w:r>
            <w:r w:rsidR="00580410">
              <w:rPr>
                <w:sz w:val="18"/>
              </w:rPr>
              <w:t xml:space="preserve"> </w:t>
            </w:r>
            <w:r w:rsidR="00580410" w:rsidRPr="00D442FD">
              <w:rPr>
                <w:sz w:val="18"/>
              </w:rPr>
              <w:t>(</w:t>
            </w:r>
            <w:r w:rsidR="00580410">
              <w:rPr>
                <w:sz w:val="18"/>
              </w:rPr>
              <w:t xml:space="preserve">ešte </w:t>
            </w:r>
            <w:r w:rsidR="00580410" w:rsidRPr="00D442FD">
              <w:rPr>
                <w:sz w:val="18"/>
              </w:rPr>
              <w:t>bez určenia opatrení na ich splnenie).</w:t>
            </w:r>
            <w:r w:rsidR="00580410" w:rsidRPr="00D442FD">
              <w:rPr>
                <w:rStyle w:val="Odkaznapoznmkupodiarou"/>
                <w:sz w:val="18"/>
              </w:rPr>
              <w:footnoteReference w:id="5"/>
            </w:r>
            <w:r w:rsidR="00580410" w:rsidRPr="00D442FD">
              <w:rPr>
                <w:sz w:val="18"/>
              </w:rPr>
              <w:t xml:space="preserve"> Koncom mája zverejnila RRZ metodiku výpočtu, aktualizácie a hodnotenia plnenia limitov verejných výdavkov</w:t>
            </w:r>
            <w:r w:rsidR="00580410" w:rsidRPr="00D442FD">
              <w:rPr>
                <w:rStyle w:val="Odkaznapoznmkupodiarou"/>
                <w:sz w:val="18"/>
              </w:rPr>
              <w:footnoteReference w:id="6"/>
            </w:r>
            <w:r w:rsidR="00580410" w:rsidRPr="00D442FD">
              <w:rPr>
                <w:sz w:val="18"/>
              </w:rPr>
              <w:t xml:space="preserve">, pričom ešte v júni malo dôjsť k dohode o technickej metodike výdavkových limitov medzi MF SR a RRZ, ku ktorej </w:t>
            </w:r>
            <w:r w:rsidR="00981325">
              <w:rPr>
                <w:sz w:val="18"/>
              </w:rPr>
              <w:t>doteraz</w:t>
            </w:r>
            <w:r w:rsidR="00580410" w:rsidRPr="00D442FD">
              <w:rPr>
                <w:sz w:val="18"/>
              </w:rPr>
              <w:t xml:space="preserve"> neprišlo.</w:t>
            </w:r>
            <w:r w:rsidR="00580410" w:rsidRPr="00D442FD">
              <w:rPr>
                <w:rStyle w:val="Odkaznapoznmkupodiarou"/>
                <w:sz w:val="18"/>
              </w:rPr>
              <w:footnoteReference w:id="7"/>
            </w:r>
            <w:r w:rsidR="00580410" w:rsidRPr="00D442FD">
              <w:rPr>
                <w:sz w:val="18"/>
              </w:rPr>
              <w:t xml:space="preserve"> Na základe júnovej prognózy VpDP tak mal</w:t>
            </w:r>
            <w:r w:rsidR="00580410">
              <w:rPr>
                <w:sz w:val="18"/>
              </w:rPr>
              <w:t>a</w:t>
            </w:r>
            <w:r w:rsidR="00580410" w:rsidRPr="00D442FD">
              <w:rPr>
                <w:sz w:val="18"/>
              </w:rPr>
              <w:t xml:space="preserve"> RRZ v júli prísť so záväzným výpočtom výdavkových limitov na roky 2023 a 2024. Z</w:t>
            </w:r>
            <w:r w:rsidR="00580410">
              <w:rPr>
                <w:sz w:val="18"/>
              </w:rPr>
              <w:t> </w:t>
            </w:r>
            <w:r w:rsidR="00580410" w:rsidRPr="00D442FD">
              <w:rPr>
                <w:sz w:val="18"/>
              </w:rPr>
              <w:t>neho</w:t>
            </w:r>
            <w:r w:rsidR="00580410">
              <w:rPr>
                <w:sz w:val="18"/>
              </w:rPr>
              <w:t xml:space="preserve"> </w:t>
            </w:r>
            <w:r w:rsidR="00580410" w:rsidRPr="00D442FD">
              <w:rPr>
                <w:sz w:val="18"/>
              </w:rPr>
              <w:t>mal vzísť v októbri vládny návrh rozpočtu plne rešpektujúci záväzné výdavkové limity (vrátane opatrení)</w:t>
            </w:r>
            <w:r w:rsidR="00580410">
              <w:rPr>
                <w:sz w:val="18"/>
              </w:rPr>
              <w:t xml:space="preserve">, čo sa však </w:t>
            </w:r>
            <w:r w:rsidR="00930256">
              <w:rPr>
                <w:sz w:val="18"/>
              </w:rPr>
              <w:t>nestalo</w:t>
            </w:r>
            <w:r w:rsidR="00930256" w:rsidRPr="00D442FD">
              <w:rPr>
                <w:sz w:val="18"/>
              </w:rPr>
              <w:t>.</w:t>
            </w:r>
          </w:p>
          <w:p w14:paraId="1DBEF1A8" w14:textId="71C9B80C" w:rsidR="00802EBB" w:rsidRPr="00D442FD" w:rsidRDefault="00802EBB" w:rsidP="00802EBB">
            <w:pPr>
              <w:spacing w:before="120"/>
              <w:ind w:left="176" w:right="163"/>
              <w:rPr>
                <w:sz w:val="18"/>
              </w:rPr>
            </w:pPr>
            <w:r w:rsidRPr="00802EBB">
              <w:rPr>
                <w:sz w:val="18"/>
              </w:rPr>
              <w:t xml:space="preserve">Ako dobrú prax možno uviesť príklady krajín, ktoré sa zúčastnili </w:t>
            </w:r>
            <w:r w:rsidRPr="00802EBB">
              <w:rPr>
                <w:b/>
                <w:sz w:val="18"/>
              </w:rPr>
              <w:t>medzinárodnej kontroly zameranej na strednodobé rozpočtové rámce</w:t>
            </w:r>
            <w:r w:rsidRPr="00802EBB">
              <w:rPr>
                <w:sz w:val="18"/>
              </w:rPr>
              <w:t>. Fínske výdavkové limity fungujú už od roku 2003 a stanovujú sa na začiatku každého štvorročného volebného obdobia. Vo Francúzsku majú nastavené výdavkové limity samostatne pre štátnu správu (tri roky) a systém sociálneho zabezpečenia (určený výdavkový cieľ). V Holandsku fungujú výdavkové limity už od roku 1994 a sú stanovené</w:t>
            </w:r>
            <w:r w:rsidR="00864506">
              <w:rPr>
                <w:sz w:val="18"/>
              </w:rPr>
              <w:t>,</w:t>
            </w:r>
            <w:r w:rsidRPr="00802EBB">
              <w:rPr>
                <w:sz w:val="18"/>
              </w:rPr>
              <w:t xml:space="preserve"> rovnako ako vo Fínsku, na štvorročné volebné obdobie. Rovnako to má zavedené (štvorročné volebné obdobie) aj Portugalsko a vo Švédsku fungujú výdavkové limity od roku 1997 na trojročnom období.</w:t>
            </w:r>
          </w:p>
        </w:tc>
      </w:tr>
    </w:tbl>
    <w:p w14:paraId="3396127D" w14:textId="3C3CB472" w:rsidR="00656FA3" w:rsidRDefault="00656FA3" w:rsidP="00656FA3">
      <w:pPr>
        <w:spacing w:before="120"/>
      </w:pPr>
      <w:r w:rsidRPr="001410A7">
        <w:rPr>
          <w:b/>
        </w:rPr>
        <w:t xml:space="preserve">Z pohľadu dlhodobej udržateľnosti verejných financií </w:t>
      </w:r>
      <w:r w:rsidRPr="006C218D">
        <w:rPr>
          <w:b/>
        </w:rPr>
        <w:t>je zrušen</w:t>
      </w:r>
      <w:r>
        <w:rPr>
          <w:b/>
        </w:rPr>
        <w:t>ie</w:t>
      </w:r>
      <w:r w:rsidRPr="006C218D">
        <w:rPr>
          <w:b/>
        </w:rPr>
        <w:t xml:space="preserve"> strop</w:t>
      </w:r>
      <w:r>
        <w:rPr>
          <w:b/>
        </w:rPr>
        <w:t>u</w:t>
      </w:r>
      <w:r w:rsidRPr="006C218D">
        <w:rPr>
          <w:b/>
        </w:rPr>
        <w:t xml:space="preserve"> dôchodkového veku pozitívna zmena</w:t>
      </w:r>
      <w:r>
        <w:rPr>
          <w:b/>
        </w:rPr>
        <w:t>.</w:t>
      </w:r>
      <w:r w:rsidRPr="006C218D">
        <w:rPr>
          <w:b/>
        </w:rPr>
        <w:t xml:space="preserve"> </w:t>
      </w:r>
      <w:r>
        <w:t>Vďaka t</w:t>
      </w:r>
      <w:r w:rsidRPr="00652AB5">
        <w:t>omu sa môže postupne zvýšiť efektívny vek odchodu do dôchodku do roku 2050 na 66,5 roka</w:t>
      </w:r>
      <w:r>
        <w:t>, čo by malo opäť naštartovať dobiehanie životnej úrovne vyspelejších krajín.</w:t>
      </w:r>
      <w:r w:rsidRPr="006C218D">
        <w:rPr>
          <w:rStyle w:val="Odkaznapoznmkupodiarou"/>
        </w:rPr>
        <w:footnoteReference w:id="8"/>
      </w:r>
      <w:r>
        <w:t xml:space="preserve"> Okrem iného bol v rámci dôchodkovej reformy zavedený aj rodičovský bonus, ktorý vstúpi do platnosti od </w:t>
      </w:r>
      <w:r>
        <w:br/>
        <w:t>1. januára 2023. Rodičovský bonus je naopak negatívnou zmenou dôchodkového systému</w:t>
      </w:r>
      <w:r w:rsidR="00981325">
        <w:t>, a to</w:t>
      </w:r>
      <w:r>
        <w:t xml:space="preserve"> z viacerých dôvodov. Podľa stanoviska RRZ ešte z minulého roka</w:t>
      </w:r>
      <w:r>
        <w:rPr>
          <w:rStyle w:val="Odkaznapoznmkupodiarou"/>
        </w:rPr>
        <w:footnoteReference w:id="9"/>
      </w:r>
      <w:r>
        <w:t xml:space="preserve">, rodičovský bonus nemá finančné krytie, ktoré by kompenzovalo negatívny vplyv na hospodárenie verejných financií. Podľa analýzy vplyvov na rozpočet VS sa očakáva výpadok príjmov Sociálnej poisťovne v roku 2023 na úrovni 570,6 </w:t>
      </w:r>
      <w:r w:rsidRPr="00000222">
        <w:t>mil. eur a v roku 2024 na úrovni 608 mil. eur.</w:t>
      </w:r>
      <w:r w:rsidRPr="00000222">
        <w:rPr>
          <w:rStyle w:val="Odkaznapoznmkupodiarou"/>
        </w:rPr>
        <w:footnoteReference w:id="10"/>
      </w:r>
      <w:r w:rsidRPr="00000222">
        <w:t xml:space="preserve"> Vyššie výdavky SP v rokoch 2023 a 2024 však podľa rozpočtu nebude potrebné riešiť navýšením transferu zo ŠR, keďže SP by mala dosiahnuť prebytkové hospodárenie vďaka vyššiemu výberu poistného.</w:t>
      </w:r>
      <w:r>
        <w:t xml:space="preserve"> V dlhodobom horizonte však prinesie rodičovský bonus každoročné výdavky rozpočtu na úrovni 0,6 % HDP, ktoré bude potrebné kompenzovať.</w:t>
      </w:r>
    </w:p>
    <w:p w14:paraId="20B364DD" w14:textId="3AD766A1" w:rsidR="000D05F7" w:rsidRDefault="000D05F7" w:rsidP="00432AD8">
      <w:pPr>
        <w:pStyle w:val="Nadpis2"/>
      </w:pPr>
      <w:bookmarkStart w:id="11" w:name="_Toc86919170"/>
      <w:bookmarkStart w:id="12" w:name="_Toc86396375"/>
      <w:bookmarkStart w:id="13" w:name="_Toc119482907"/>
      <w:bookmarkEnd w:id="11"/>
      <w:r>
        <w:lastRenderedPageBreak/>
        <w:t>Prognóza hrubého dlhu VS</w:t>
      </w:r>
      <w:bookmarkEnd w:id="12"/>
      <w:bookmarkEnd w:id="13"/>
    </w:p>
    <w:p w14:paraId="627019FC" w14:textId="16FD3BDF" w:rsidR="005759C4" w:rsidRPr="00E66FB6" w:rsidRDefault="005759C4" w:rsidP="002C5FFA">
      <w:pPr>
        <w:rPr>
          <w:szCs w:val="20"/>
        </w:rPr>
      </w:pPr>
      <w:r w:rsidRPr="00AE7D69">
        <w:rPr>
          <w:b/>
          <w:szCs w:val="20"/>
        </w:rPr>
        <w:t xml:space="preserve">Podľa </w:t>
      </w:r>
      <w:r w:rsidR="00981325">
        <w:rPr>
          <w:b/>
          <w:szCs w:val="20"/>
        </w:rPr>
        <w:t>jesennej</w:t>
      </w:r>
      <w:r w:rsidRPr="00AE7D69">
        <w:rPr>
          <w:b/>
          <w:szCs w:val="20"/>
        </w:rPr>
        <w:t xml:space="preserve"> notifikácie Eurostatu dosiahol dlh VS v roku 2021 výšku 62,2 %, čo je o 0,9 % menej oproti </w:t>
      </w:r>
      <w:r w:rsidR="00981325">
        <w:rPr>
          <w:b/>
          <w:szCs w:val="20"/>
        </w:rPr>
        <w:t>jarnej</w:t>
      </w:r>
      <w:r w:rsidRPr="00AE7D69">
        <w:rPr>
          <w:b/>
          <w:szCs w:val="20"/>
        </w:rPr>
        <w:t xml:space="preserve"> notifikácii </w:t>
      </w:r>
      <w:r w:rsidRPr="00E66FB6">
        <w:rPr>
          <w:szCs w:val="20"/>
        </w:rPr>
        <w:t>(</w:t>
      </w:r>
      <w:r w:rsidRPr="005759C4">
        <w:rPr>
          <w:szCs w:val="20"/>
        </w:rPr>
        <w:t>graf 4).</w:t>
      </w:r>
      <w:r w:rsidRPr="00E66FB6">
        <w:rPr>
          <w:szCs w:val="20"/>
        </w:rPr>
        <w:t xml:space="preserve"> Dlh VS </w:t>
      </w:r>
      <w:r w:rsidR="002C5FFA">
        <w:rPr>
          <w:szCs w:val="20"/>
        </w:rPr>
        <w:t xml:space="preserve">tak </w:t>
      </w:r>
      <w:r w:rsidRPr="00E66FB6">
        <w:rPr>
          <w:szCs w:val="20"/>
        </w:rPr>
        <w:t xml:space="preserve">prekročil maastrichtskú hranicu 60 % HDP s historicky najvyššou úrovňou. Dôvody nárastu dlhu boli najmä vysoké výdavky súvisiace s pandémiou a aj rastúce vklady subjektov mimo sektora </w:t>
      </w:r>
      <w:r w:rsidR="002C5FFA">
        <w:rPr>
          <w:szCs w:val="20"/>
        </w:rPr>
        <w:t>VS</w:t>
      </w:r>
      <w:r w:rsidRPr="00E66FB6">
        <w:rPr>
          <w:szCs w:val="20"/>
        </w:rPr>
        <w:t xml:space="preserve"> v Štátnej pokladnici.</w:t>
      </w:r>
    </w:p>
    <w:p w14:paraId="6D563020" w14:textId="24A4C1FD" w:rsidR="002C5FFA" w:rsidRDefault="002C5FFA" w:rsidP="002C5FFA">
      <w:pPr>
        <w:rPr>
          <w:szCs w:val="20"/>
        </w:rPr>
      </w:pPr>
      <w:r w:rsidRPr="00530B10">
        <w:rPr>
          <w:b/>
          <w:szCs w:val="20"/>
        </w:rPr>
        <w:t>Na základe odhadu MF SR od roku 2022 by mal mať dlh VS klesajúci trend.</w:t>
      </w:r>
      <w:r>
        <w:t xml:space="preserve"> </w:t>
      </w:r>
      <w:r>
        <w:rPr>
          <w:szCs w:val="20"/>
        </w:rPr>
        <w:t>O</w:t>
      </w:r>
      <w:r w:rsidRPr="00F5327D">
        <w:rPr>
          <w:szCs w:val="20"/>
        </w:rPr>
        <w:t xml:space="preserve">čakávaná </w:t>
      </w:r>
      <w:r>
        <w:rPr>
          <w:szCs w:val="20"/>
        </w:rPr>
        <w:t>výška dlhu v tomto roku</w:t>
      </w:r>
      <w:r w:rsidRPr="00F5327D">
        <w:rPr>
          <w:szCs w:val="20"/>
        </w:rPr>
        <w:t xml:space="preserve"> dosiahne úroveň 59,4 % HDP, čo je o 2,8 % HDP menej oproti skutočnému dlhu VS v roku 2021. </w:t>
      </w:r>
      <w:r w:rsidR="001238DA">
        <w:rPr>
          <w:szCs w:val="20"/>
        </w:rPr>
        <w:t xml:space="preserve">V roku 2023 sa očakáva dlh na úrovni 57,8 % HDP. </w:t>
      </w:r>
      <w:r w:rsidRPr="00F5327D">
        <w:rPr>
          <w:szCs w:val="20"/>
        </w:rPr>
        <w:t xml:space="preserve">K poklesu zadlženia prispeje vysoká očakávaná inflácia a výbery vkladov subjektov mimo sektora </w:t>
      </w:r>
      <w:r w:rsidR="00D53139">
        <w:rPr>
          <w:szCs w:val="20"/>
        </w:rPr>
        <w:t>VS</w:t>
      </w:r>
      <w:r w:rsidRPr="00F5327D">
        <w:rPr>
          <w:szCs w:val="20"/>
        </w:rPr>
        <w:t xml:space="preserve"> zo Štátnej pokladnice.</w:t>
      </w:r>
    </w:p>
    <w:p w14:paraId="32DB0545" w14:textId="77777777" w:rsidR="00ED2EF3" w:rsidRPr="005759C4" w:rsidRDefault="00ED2EF3" w:rsidP="00ED2EF3">
      <w:pPr>
        <w:pStyle w:val="Popis"/>
        <w:keepNext/>
        <w:rPr>
          <w:color w:val="314364"/>
        </w:rPr>
      </w:pPr>
      <w:r w:rsidRPr="005759C4">
        <w:rPr>
          <w:color w:val="314364"/>
        </w:rPr>
        <w:t>Graf 4: Vývoj hrubého a čistého dlhu VS v rokoch 2008 až 2024 (v % HDP)</w:t>
      </w:r>
    </w:p>
    <w:tbl>
      <w:tblPr>
        <w:tblStyle w:val="Mriekatabuky"/>
        <w:tblW w:w="0" w:type="auto"/>
        <w:tblCellMar>
          <w:left w:w="70" w:type="dxa"/>
          <w:right w:w="70" w:type="dxa"/>
        </w:tblCellMar>
        <w:tblLook w:val="04A0" w:firstRow="1" w:lastRow="0" w:firstColumn="1" w:lastColumn="0" w:noHBand="0" w:noVBand="1"/>
      </w:tblPr>
      <w:tblGrid>
        <w:gridCol w:w="9070"/>
      </w:tblGrid>
      <w:tr w:rsidR="00ED2EF3" w14:paraId="3D1C6D35" w14:textId="77777777" w:rsidTr="007170AE">
        <w:trPr>
          <w:trHeight w:val="3685"/>
        </w:trPr>
        <w:tc>
          <w:tcPr>
            <w:tcW w:w="9070" w:type="dxa"/>
            <w:tcBorders>
              <w:top w:val="single" w:sz="4" w:space="0" w:color="314364" w:themeColor="text2"/>
              <w:left w:val="nil"/>
              <w:bottom w:val="single" w:sz="4" w:space="0" w:color="314364" w:themeColor="text2"/>
              <w:right w:val="nil"/>
            </w:tcBorders>
          </w:tcPr>
          <w:p w14:paraId="1765F2B3" w14:textId="77777777" w:rsidR="00ED2EF3" w:rsidRDefault="00ED2EF3" w:rsidP="007170AE">
            <w:pPr>
              <w:pStyle w:val="Popis"/>
              <w:keepNext/>
              <w:rPr>
                <w:color w:val="314364"/>
              </w:rPr>
            </w:pPr>
            <w:r>
              <w:rPr>
                <w:noProof/>
                <w:lang w:eastAsia="sk-SK"/>
              </w:rPr>
              <w:drawing>
                <wp:inline distT="0" distB="0" distL="0" distR="0" wp14:anchorId="515CEBF8" wp14:editId="74D56D32">
                  <wp:extent cx="5759450" cy="233172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06965C3B" w14:textId="77777777" w:rsidR="00ED2EF3" w:rsidRDefault="00ED2EF3" w:rsidP="00ED2EF3">
      <w:pPr>
        <w:pStyle w:val="Zdroj"/>
      </w:pPr>
      <w:r>
        <w:t>Zdroj</w:t>
      </w:r>
      <w:r w:rsidRPr="007005C8">
        <w:t xml:space="preserve">: MF SR, Návrh RVS na roky </w:t>
      </w:r>
      <w:r>
        <w:t>2023 až 2025</w:t>
      </w:r>
      <w:r>
        <w:br/>
        <w:t xml:space="preserve"> </w:t>
      </w:r>
      <w:r w:rsidRPr="007005C8">
        <w:t>*</w:t>
      </w:r>
      <w:r>
        <w:t xml:space="preserve"> </w:t>
      </w:r>
      <w:r w:rsidRPr="007005C8">
        <w:t>očakávaná skutočnosť</w:t>
      </w:r>
      <w:r>
        <w:br/>
      </w:r>
      <w:r w:rsidRPr="007005C8">
        <w:t>**</w:t>
      </w:r>
      <w:r>
        <w:t xml:space="preserve"> </w:t>
      </w:r>
      <w:r w:rsidRPr="007005C8">
        <w:t>prognóza</w:t>
      </w:r>
    </w:p>
    <w:p w14:paraId="25A00A52" w14:textId="377DB59A" w:rsidR="005759C4" w:rsidRPr="00D53139" w:rsidRDefault="00530B10" w:rsidP="00D53139">
      <w:pPr>
        <w:rPr>
          <w:szCs w:val="20"/>
        </w:rPr>
      </w:pPr>
      <w:r w:rsidRPr="00530B10">
        <w:rPr>
          <w:b/>
          <w:szCs w:val="20"/>
        </w:rPr>
        <w:t>Hrubý dlh VS je od roku 2020 nad najvyšším sankčným pásmom ústavného zákona o rozpočtovej zodpovednosti (57 % HDP) a bez najprísnejších sankcií.</w:t>
      </w:r>
      <w:r>
        <w:rPr>
          <w:szCs w:val="20"/>
        </w:rPr>
        <w:t xml:space="preserve"> </w:t>
      </w:r>
      <w:r w:rsidR="00EF21D2">
        <w:rPr>
          <w:szCs w:val="20"/>
        </w:rPr>
        <w:t xml:space="preserve">Hneď po </w:t>
      </w:r>
      <w:r w:rsidR="00981325">
        <w:rPr>
          <w:szCs w:val="20"/>
        </w:rPr>
        <w:t xml:space="preserve">svojom nástupe na jar v roku 2021 uplatnila </w:t>
      </w:r>
      <w:r w:rsidR="005759C4" w:rsidRPr="00E66FB6">
        <w:rPr>
          <w:szCs w:val="20"/>
        </w:rPr>
        <w:t>nov</w:t>
      </w:r>
      <w:r w:rsidR="00EF21D2">
        <w:rPr>
          <w:szCs w:val="20"/>
        </w:rPr>
        <w:t>á</w:t>
      </w:r>
      <w:r w:rsidR="005759C4" w:rsidRPr="00E66FB6">
        <w:rPr>
          <w:szCs w:val="20"/>
        </w:rPr>
        <w:t xml:space="preserve"> vlád</w:t>
      </w:r>
      <w:r w:rsidR="00EF21D2">
        <w:rPr>
          <w:szCs w:val="20"/>
        </w:rPr>
        <w:t>a</w:t>
      </w:r>
      <w:r w:rsidR="005759C4" w:rsidRPr="00E66FB6">
        <w:rPr>
          <w:szCs w:val="20"/>
        </w:rPr>
        <w:t xml:space="preserve"> únikovú klauzulu z troch horných sankcií na </w:t>
      </w:r>
      <w:r w:rsidR="006A708E">
        <w:rPr>
          <w:szCs w:val="20"/>
        </w:rPr>
        <w:t>dva</w:t>
      </w:r>
      <w:r w:rsidR="005759C4" w:rsidRPr="00E66FB6">
        <w:rPr>
          <w:szCs w:val="20"/>
        </w:rPr>
        <w:t xml:space="preserve"> roky zo strany </w:t>
      </w:r>
      <w:r w:rsidR="00D53139">
        <w:rPr>
          <w:szCs w:val="20"/>
        </w:rPr>
        <w:t>EK</w:t>
      </w:r>
      <w:r w:rsidR="005759C4" w:rsidRPr="00E66FB6">
        <w:rPr>
          <w:szCs w:val="20"/>
        </w:rPr>
        <w:t xml:space="preserve"> a Rady E</w:t>
      </w:r>
      <w:r w:rsidR="00D53139">
        <w:rPr>
          <w:szCs w:val="20"/>
        </w:rPr>
        <w:t>Ú</w:t>
      </w:r>
      <w:r w:rsidR="005759C4" w:rsidRPr="00E66FB6">
        <w:rPr>
          <w:szCs w:val="20"/>
        </w:rPr>
        <w:t xml:space="preserve">. Po ukončení platných výnimiek by mala vláda požiadať národnú radu o vyslovenie dôvery, viazať 3 % výdavkov </w:t>
      </w:r>
      <w:r w:rsidR="00D53139">
        <w:rPr>
          <w:szCs w:val="20"/>
        </w:rPr>
        <w:t>ŠR</w:t>
      </w:r>
      <w:r w:rsidR="005759C4" w:rsidRPr="00E66FB6">
        <w:rPr>
          <w:szCs w:val="20"/>
        </w:rPr>
        <w:t xml:space="preserve"> na rok 2023 a pripraviť návrh rozpočtu na roky 2024 až 2026 s nerastúcimi výdavkami a vyrovnaným hospodárením.</w:t>
      </w:r>
      <w:r w:rsidR="005759C4">
        <w:rPr>
          <w:szCs w:val="20"/>
        </w:rPr>
        <w:t xml:space="preserve"> </w:t>
      </w:r>
      <w:r w:rsidR="005759C4" w:rsidRPr="00047425">
        <w:rPr>
          <w:szCs w:val="20"/>
        </w:rPr>
        <w:t xml:space="preserve">V súčasnosti </w:t>
      </w:r>
      <w:r w:rsidR="00D53139">
        <w:rPr>
          <w:szCs w:val="20"/>
        </w:rPr>
        <w:t xml:space="preserve">je </w:t>
      </w:r>
      <w:r w:rsidR="005759C4" w:rsidRPr="00047425">
        <w:rPr>
          <w:szCs w:val="20"/>
        </w:rPr>
        <w:t>úroveň dlhu nad horným limitom dlhovej brzdy a prísnejšie sankcie sa začnú uplatňovať od mája 2023.</w:t>
      </w:r>
    </w:p>
    <w:p w14:paraId="754B57D8" w14:textId="6A65FEF9" w:rsidR="00C30CC5" w:rsidRDefault="00C30CC5" w:rsidP="00C30CC5">
      <w:pPr>
        <w:pStyle w:val="Nadpis1"/>
      </w:pPr>
      <w:bookmarkStart w:id="14" w:name="_Toc86396376"/>
      <w:bookmarkStart w:id="15" w:name="_Toc119482908"/>
      <w:r>
        <w:lastRenderedPageBreak/>
        <w:t>Rozpočtové vzťahy SR a</w:t>
      </w:r>
      <w:r w:rsidR="000218FC">
        <w:t> </w:t>
      </w:r>
      <w:r>
        <w:t>EÚ</w:t>
      </w:r>
      <w:bookmarkEnd w:id="14"/>
      <w:bookmarkEnd w:id="15"/>
    </w:p>
    <w:p w14:paraId="34785E1C" w14:textId="0EE695EC" w:rsidR="00022837" w:rsidRDefault="00530B10" w:rsidP="00022837">
      <w:r w:rsidRPr="00CA6AE8">
        <w:rPr>
          <w:b/>
        </w:rPr>
        <w:t>Čistá finančná pozícia SR by v roku 2023 mala dosiahnuť 4,3 mld. eur, čo je o 2,1 mld. eur viac oproti rozpočtu na rok 2022</w:t>
      </w:r>
      <w:r>
        <w:t xml:space="preserve"> (o  97,1 %) (tabuľka 3). </w:t>
      </w:r>
      <w:r w:rsidR="00AA7DF5">
        <w:t xml:space="preserve">Odvody a príspevky SR do všeobecného rozpočtu EÚ sú </w:t>
      </w:r>
      <w:r w:rsidR="00C3197B">
        <w:t xml:space="preserve">v návrhu </w:t>
      </w:r>
      <w:r w:rsidR="00CA6AE8">
        <w:t xml:space="preserve">RVS </w:t>
      </w:r>
      <w:r w:rsidR="00C3197B">
        <w:t xml:space="preserve">na rok 2023 </w:t>
      </w:r>
      <w:r w:rsidR="00AA7DF5">
        <w:t>o 4,2 % (46,5 mil. eur) vyššie oproti</w:t>
      </w:r>
      <w:r w:rsidR="00C3197B">
        <w:t xml:space="preserve"> </w:t>
      </w:r>
      <w:r w:rsidR="00022837">
        <w:t>tohto</w:t>
      </w:r>
      <w:r w:rsidR="00C3197B">
        <w:t>ročnému</w:t>
      </w:r>
      <w:r w:rsidR="00022837">
        <w:t xml:space="preserve"> rozpočtu.</w:t>
      </w:r>
      <w:r w:rsidR="00022837" w:rsidRPr="00022837">
        <w:t xml:space="preserve"> </w:t>
      </w:r>
      <w:r w:rsidR="00022837">
        <w:t>Na druhej strane príjmy z rozpočtu EÚ sú vzhľadom na posledný rok ich čerpania až vo výške 5,4 mld. eur.</w:t>
      </w:r>
    </w:p>
    <w:p w14:paraId="58820D50" w14:textId="140BFAE4" w:rsidR="0012662E" w:rsidRDefault="0012662E" w:rsidP="004105B3">
      <w:pPr>
        <w:pStyle w:val="Popis"/>
        <w:keepNext/>
      </w:pPr>
      <w:r>
        <w:t>Tabuľka 3</w:t>
      </w:r>
      <w:r w:rsidR="00AE15D5">
        <w:t xml:space="preserve">: </w:t>
      </w:r>
      <w:r>
        <w:t xml:space="preserve">Čistá finančná pozícia </w:t>
      </w:r>
      <w:r w:rsidR="00167F21">
        <w:t xml:space="preserve">SR </w:t>
      </w:r>
      <w:r>
        <w:t>(v tis. eur)</w:t>
      </w:r>
    </w:p>
    <w:tbl>
      <w:tblPr>
        <w:tblW w:w="5000" w:type="pct"/>
        <w:tblCellMar>
          <w:left w:w="70" w:type="dxa"/>
          <w:right w:w="70" w:type="dxa"/>
        </w:tblCellMar>
        <w:tblLook w:val="04A0" w:firstRow="1" w:lastRow="0" w:firstColumn="1" w:lastColumn="0" w:noHBand="0" w:noVBand="1"/>
      </w:tblPr>
      <w:tblGrid>
        <w:gridCol w:w="3829"/>
        <w:gridCol w:w="992"/>
        <w:gridCol w:w="990"/>
        <w:gridCol w:w="1009"/>
        <w:gridCol w:w="1201"/>
        <w:gridCol w:w="1049"/>
      </w:tblGrid>
      <w:tr w:rsidR="0012662E" w:rsidRPr="00DF3C8E" w14:paraId="6802F770" w14:textId="77777777" w:rsidTr="00D34201">
        <w:trPr>
          <w:trHeight w:val="283"/>
        </w:trPr>
        <w:tc>
          <w:tcPr>
            <w:tcW w:w="2110" w:type="pct"/>
            <w:shd w:val="clear" w:color="auto" w:fill="314364"/>
            <w:vAlign w:val="center"/>
          </w:tcPr>
          <w:p w14:paraId="104588F0" w14:textId="77777777" w:rsidR="0012662E" w:rsidRPr="00DF3C8E" w:rsidRDefault="0012662E" w:rsidP="00D34201">
            <w:pPr>
              <w:spacing w:after="0" w:line="240" w:lineRule="auto"/>
              <w:jc w:val="left"/>
              <w:rPr>
                <w:rFonts w:eastAsia="Times New Roman" w:cs="Segoe UI"/>
                <w:b/>
                <w:color w:val="FFFFFF" w:themeColor="background1"/>
                <w:sz w:val="18"/>
                <w:szCs w:val="18"/>
                <w:lang w:eastAsia="sk-SK"/>
              </w:rPr>
            </w:pPr>
            <w:r w:rsidRPr="00DF3C8E">
              <w:rPr>
                <w:rFonts w:eastAsia="Times New Roman" w:cs="Segoe UI"/>
                <w:b/>
                <w:bCs/>
                <w:color w:val="FFFFFF" w:themeColor="background1"/>
                <w:sz w:val="18"/>
                <w:szCs w:val="18"/>
                <w:lang w:eastAsia="sk-SK"/>
              </w:rPr>
              <w:t>Ukazovateľ </w:t>
            </w:r>
          </w:p>
        </w:tc>
        <w:tc>
          <w:tcPr>
            <w:tcW w:w="547" w:type="pct"/>
            <w:shd w:val="clear" w:color="auto" w:fill="314364"/>
            <w:vAlign w:val="center"/>
          </w:tcPr>
          <w:p w14:paraId="56A30E9E" w14:textId="77777777" w:rsidR="0012662E" w:rsidRPr="00DF3C8E" w:rsidRDefault="0012662E" w:rsidP="00D34201">
            <w:pPr>
              <w:spacing w:after="0" w:line="240" w:lineRule="auto"/>
              <w:jc w:val="right"/>
              <w:rPr>
                <w:rFonts w:eastAsia="Times New Roman" w:cs="Segoe UI"/>
                <w:b/>
                <w:bCs/>
                <w:color w:val="FFFFFF" w:themeColor="background1"/>
                <w:sz w:val="18"/>
                <w:szCs w:val="18"/>
                <w:lang w:eastAsia="sk-SK"/>
              </w:rPr>
            </w:pPr>
            <w:r w:rsidRPr="00DF3C8E">
              <w:rPr>
                <w:rFonts w:eastAsia="Times New Roman" w:cs="Segoe UI"/>
                <w:b/>
                <w:bCs/>
                <w:color w:val="FFFFFF" w:themeColor="background1"/>
                <w:sz w:val="18"/>
                <w:szCs w:val="18"/>
                <w:lang w:eastAsia="sk-SK"/>
              </w:rPr>
              <w:t>2021 S</w:t>
            </w:r>
          </w:p>
        </w:tc>
        <w:tc>
          <w:tcPr>
            <w:tcW w:w="546" w:type="pct"/>
            <w:shd w:val="clear" w:color="auto" w:fill="314364"/>
            <w:vAlign w:val="center"/>
          </w:tcPr>
          <w:p w14:paraId="48749C6A" w14:textId="77777777" w:rsidR="0012662E" w:rsidRPr="00DF3C8E" w:rsidRDefault="0012662E" w:rsidP="00D34201">
            <w:pPr>
              <w:spacing w:after="0" w:line="240" w:lineRule="auto"/>
              <w:jc w:val="right"/>
              <w:rPr>
                <w:rFonts w:eastAsia="Times New Roman" w:cs="Segoe UI"/>
                <w:b/>
                <w:color w:val="FFFFFF" w:themeColor="background1"/>
                <w:sz w:val="18"/>
                <w:szCs w:val="18"/>
                <w:lang w:eastAsia="sk-SK"/>
              </w:rPr>
            </w:pPr>
            <w:r w:rsidRPr="00DF3C8E">
              <w:rPr>
                <w:rFonts w:eastAsia="Times New Roman" w:cs="Segoe UI"/>
                <w:b/>
                <w:bCs/>
                <w:color w:val="FFFFFF" w:themeColor="background1"/>
                <w:sz w:val="18"/>
                <w:szCs w:val="18"/>
                <w:lang w:eastAsia="sk-SK"/>
              </w:rPr>
              <w:t>2022 R</w:t>
            </w:r>
          </w:p>
        </w:tc>
        <w:tc>
          <w:tcPr>
            <w:tcW w:w="556" w:type="pct"/>
            <w:shd w:val="clear" w:color="auto" w:fill="314364"/>
            <w:vAlign w:val="center"/>
          </w:tcPr>
          <w:p w14:paraId="3CA16041" w14:textId="77777777" w:rsidR="0012662E" w:rsidRPr="00DF3C8E" w:rsidRDefault="0012662E" w:rsidP="00D34201">
            <w:pPr>
              <w:spacing w:after="0" w:line="240" w:lineRule="auto"/>
              <w:jc w:val="right"/>
              <w:rPr>
                <w:rFonts w:eastAsia="Times New Roman" w:cs="Segoe UI"/>
                <w:b/>
                <w:color w:val="FFFFFF" w:themeColor="background1"/>
                <w:sz w:val="18"/>
                <w:szCs w:val="18"/>
                <w:lang w:eastAsia="sk-SK"/>
              </w:rPr>
            </w:pPr>
            <w:r w:rsidRPr="00DF3C8E">
              <w:rPr>
                <w:rFonts w:eastAsia="Times New Roman" w:cs="Segoe UI"/>
                <w:b/>
                <w:bCs/>
                <w:color w:val="FFFFFF" w:themeColor="background1"/>
                <w:sz w:val="18"/>
                <w:szCs w:val="18"/>
                <w:lang w:eastAsia="sk-SK"/>
              </w:rPr>
              <w:t xml:space="preserve">2023 </w:t>
            </w:r>
            <w:r>
              <w:rPr>
                <w:rFonts w:eastAsia="Times New Roman" w:cs="Segoe UI"/>
                <w:b/>
                <w:bCs/>
                <w:color w:val="FFFFFF" w:themeColor="background1"/>
                <w:sz w:val="18"/>
                <w:szCs w:val="18"/>
                <w:lang w:eastAsia="sk-SK"/>
              </w:rPr>
              <w:t>R</w:t>
            </w:r>
          </w:p>
        </w:tc>
        <w:tc>
          <w:tcPr>
            <w:tcW w:w="662" w:type="pct"/>
            <w:shd w:val="clear" w:color="auto" w:fill="314364"/>
            <w:vAlign w:val="center"/>
          </w:tcPr>
          <w:p w14:paraId="15F67DF9" w14:textId="77777777" w:rsidR="0012662E" w:rsidRPr="00DF3C8E" w:rsidRDefault="0012662E" w:rsidP="00D34201">
            <w:pPr>
              <w:spacing w:after="0" w:line="240" w:lineRule="auto"/>
              <w:jc w:val="right"/>
              <w:rPr>
                <w:rFonts w:eastAsia="Times New Roman" w:cs="Segoe UI"/>
                <w:b/>
                <w:color w:val="FFFFFF" w:themeColor="background1"/>
                <w:sz w:val="18"/>
                <w:szCs w:val="18"/>
                <w:lang w:eastAsia="sk-SK"/>
              </w:rPr>
            </w:pPr>
            <w:r w:rsidRPr="00DF3C8E">
              <w:rPr>
                <w:rFonts w:eastAsia="Times New Roman" w:cs="Segoe UI"/>
                <w:b/>
                <w:color w:val="FFFFFF" w:themeColor="background1"/>
                <w:sz w:val="18"/>
                <w:szCs w:val="18"/>
                <w:lang w:eastAsia="sk-SK"/>
              </w:rPr>
              <w:t>2023-2022</w:t>
            </w:r>
          </w:p>
        </w:tc>
        <w:tc>
          <w:tcPr>
            <w:tcW w:w="578" w:type="pct"/>
            <w:shd w:val="clear" w:color="auto" w:fill="314364"/>
            <w:vAlign w:val="center"/>
          </w:tcPr>
          <w:p w14:paraId="2C4B8390" w14:textId="77777777" w:rsidR="0012662E" w:rsidRPr="00DF3C8E" w:rsidRDefault="0012662E" w:rsidP="00D34201">
            <w:pPr>
              <w:spacing w:after="0" w:line="240" w:lineRule="auto"/>
              <w:jc w:val="right"/>
              <w:rPr>
                <w:rFonts w:eastAsia="Times New Roman" w:cs="Segoe UI"/>
                <w:b/>
                <w:color w:val="FFFFFF" w:themeColor="background1"/>
                <w:sz w:val="18"/>
                <w:szCs w:val="18"/>
                <w:lang w:eastAsia="sk-SK"/>
              </w:rPr>
            </w:pPr>
            <w:r w:rsidRPr="00DF3C8E">
              <w:rPr>
                <w:rFonts w:eastAsia="Times New Roman" w:cs="Segoe UI"/>
                <w:b/>
                <w:color w:val="FFFFFF" w:themeColor="background1"/>
                <w:sz w:val="18"/>
                <w:szCs w:val="18"/>
                <w:lang w:eastAsia="sk-SK"/>
              </w:rPr>
              <w:t>2023/2022</w:t>
            </w:r>
          </w:p>
        </w:tc>
      </w:tr>
      <w:tr w:rsidR="0012662E" w:rsidRPr="00DF3C8E" w14:paraId="27C96C01" w14:textId="77777777" w:rsidTr="00D34201">
        <w:trPr>
          <w:trHeight w:val="283"/>
        </w:trPr>
        <w:tc>
          <w:tcPr>
            <w:tcW w:w="2110" w:type="pct"/>
            <w:shd w:val="clear" w:color="auto" w:fill="auto"/>
            <w:vAlign w:val="center"/>
            <w:hideMark/>
          </w:tcPr>
          <w:p w14:paraId="54DB7281" w14:textId="77777777" w:rsidR="0012662E" w:rsidRPr="00DF3C8E" w:rsidRDefault="0012662E" w:rsidP="00D34201">
            <w:pPr>
              <w:spacing w:after="0" w:line="240" w:lineRule="auto"/>
              <w:jc w:val="left"/>
              <w:rPr>
                <w:rFonts w:eastAsia="Times New Roman" w:cs="Segoe UI"/>
                <w:color w:val="000000"/>
                <w:sz w:val="18"/>
                <w:szCs w:val="18"/>
                <w:lang w:eastAsia="sk-SK"/>
              </w:rPr>
            </w:pPr>
            <w:r w:rsidRPr="00DF3C8E">
              <w:rPr>
                <w:rFonts w:eastAsia="Times New Roman" w:cs="Segoe UI"/>
                <w:color w:val="000000"/>
                <w:sz w:val="18"/>
                <w:szCs w:val="18"/>
                <w:lang w:eastAsia="sk-SK"/>
              </w:rPr>
              <w:t xml:space="preserve">Odvody a príspevky SR do všeobecného rozpočtu EÚ </w:t>
            </w:r>
          </w:p>
        </w:tc>
        <w:tc>
          <w:tcPr>
            <w:tcW w:w="547" w:type="pct"/>
            <w:shd w:val="clear" w:color="auto" w:fill="auto"/>
            <w:vAlign w:val="center"/>
            <w:hideMark/>
          </w:tcPr>
          <w:p w14:paraId="01C4B182"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bCs/>
                <w:sz w:val="18"/>
                <w:szCs w:val="18"/>
                <w:lang w:eastAsia="sk-SK"/>
              </w:rPr>
              <w:t>1 354 648</w:t>
            </w:r>
          </w:p>
        </w:tc>
        <w:tc>
          <w:tcPr>
            <w:tcW w:w="546" w:type="pct"/>
            <w:shd w:val="clear" w:color="auto" w:fill="auto"/>
            <w:vAlign w:val="center"/>
            <w:hideMark/>
          </w:tcPr>
          <w:p w14:paraId="71DA7841"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sz w:val="18"/>
                <w:szCs w:val="18"/>
                <w:lang w:eastAsia="sk-SK"/>
              </w:rPr>
              <w:t>1 117 930</w:t>
            </w:r>
          </w:p>
        </w:tc>
        <w:tc>
          <w:tcPr>
            <w:tcW w:w="556" w:type="pct"/>
            <w:shd w:val="clear" w:color="auto" w:fill="auto"/>
            <w:vAlign w:val="center"/>
            <w:hideMark/>
          </w:tcPr>
          <w:p w14:paraId="65444003"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sz w:val="18"/>
                <w:szCs w:val="18"/>
                <w:lang w:eastAsia="sk-SK"/>
              </w:rPr>
              <w:t>1 164</w:t>
            </w:r>
            <w:r>
              <w:rPr>
                <w:rFonts w:eastAsia="Times New Roman" w:cs="Segoe UI"/>
                <w:sz w:val="18"/>
                <w:szCs w:val="18"/>
                <w:lang w:eastAsia="sk-SK"/>
              </w:rPr>
              <w:t> </w:t>
            </w:r>
            <w:r w:rsidRPr="00DF3C8E">
              <w:rPr>
                <w:rFonts w:eastAsia="Times New Roman" w:cs="Segoe UI"/>
                <w:sz w:val="18"/>
                <w:szCs w:val="18"/>
                <w:lang w:eastAsia="sk-SK"/>
              </w:rPr>
              <w:t>381</w:t>
            </w:r>
          </w:p>
        </w:tc>
        <w:tc>
          <w:tcPr>
            <w:tcW w:w="662" w:type="pct"/>
            <w:shd w:val="clear" w:color="auto" w:fill="auto"/>
            <w:vAlign w:val="center"/>
          </w:tcPr>
          <w:p w14:paraId="0658A150"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color w:val="000000"/>
                <w:sz w:val="18"/>
                <w:szCs w:val="18"/>
                <w:lang w:eastAsia="sk-SK"/>
              </w:rPr>
              <w:t>46 451</w:t>
            </w:r>
          </w:p>
        </w:tc>
        <w:tc>
          <w:tcPr>
            <w:tcW w:w="578" w:type="pct"/>
            <w:shd w:val="clear" w:color="auto" w:fill="auto"/>
            <w:vAlign w:val="center"/>
          </w:tcPr>
          <w:p w14:paraId="113134F6"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color w:val="000000"/>
                <w:sz w:val="18"/>
                <w:szCs w:val="18"/>
                <w:lang w:eastAsia="sk-SK"/>
              </w:rPr>
              <w:t>104,2</w:t>
            </w:r>
          </w:p>
        </w:tc>
      </w:tr>
      <w:tr w:rsidR="0012662E" w:rsidRPr="00DF3C8E" w14:paraId="39EC8D91" w14:textId="77777777" w:rsidTr="00D34201">
        <w:trPr>
          <w:trHeight w:val="283"/>
        </w:trPr>
        <w:tc>
          <w:tcPr>
            <w:tcW w:w="2110" w:type="pct"/>
            <w:shd w:val="clear" w:color="auto" w:fill="auto"/>
            <w:vAlign w:val="center"/>
            <w:hideMark/>
          </w:tcPr>
          <w:p w14:paraId="75412366" w14:textId="77777777" w:rsidR="0012662E" w:rsidRPr="00DF3C8E" w:rsidRDefault="0012662E" w:rsidP="00D34201">
            <w:pPr>
              <w:spacing w:after="0" w:line="240" w:lineRule="auto"/>
              <w:jc w:val="left"/>
              <w:rPr>
                <w:rFonts w:eastAsia="Times New Roman" w:cs="Segoe UI"/>
                <w:color w:val="000000"/>
                <w:sz w:val="18"/>
                <w:szCs w:val="18"/>
                <w:lang w:eastAsia="sk-SK"/>
              </w:rPr>
            </w:pPr>
            <w:r w:rsidRPr="00DF3C8E">
              <w:rPr>
                <w:rFonts w:eastAsia="Times New Roman" w:cs="Segoe UI"/>
                <w:color w:val="000000"/>
                <w:sz w:val="18"/>
                <w:szCs w:val="18"/>
                <w:lang w:eastAsia="sk-SK"/>
              </w:rPr>
              <w:t xml:space="preserve">Príjmy z rozpočtu EÚ </w:t>
            </w:r>
          </w:p>
        </w:tc>
        <w:tc>
          <w:tcPr>
            <w:tcW w:w="547" w:type="pct"/>
            <w:shd w:val="clear" w:color="auto" w:fill="auto"/>
            <w:vAlign w:val="center"/>
            <w:hideMark/>
          </w:tcPr>
          <w:p w14:paraId="5EF7F35E"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bCs/>
                <w:color w:val="000000"/>
                <w:sz w:val="18"/>
                <w:szCs w:val="18"/>
                <w:lang w:eastAsia="sk-SK"/>
              </w:rPr>
              <w:t>2 269 707</w:t>
            </w:r>
          </w:p>
        </w:tc>
        <w:tc>
          <w:tcPr>
            <w:tcW w:w="546" w:type="pct"/>
            <w:shd w:val="clear" w:color="auto" w:fill="auto"/>
            <w:vAlign w:val="center"/>
            <w:hideMark/>
          </w:tcPr>
          <w:p w14:paraId="69404BF7"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sz w:val="18"/>
                <w:szCs w:val="18"/>
                <w:lang w:eastAsia="sk-SK"/>
              </w:rPr>
              <w:t>3 281 043</w:t>
            </w:r>
          </w:p>
        </w:tc>
        <w:tc>
          <w:tcPr>
            <w:tcW w:w="556" w:type="pct"/>
            <w:shd w:val="clear" w:color="auto" w:fill="auto"/>
            <w:vAlign w:val="center"/>
            <w:hideMark/>
          </w:tcPr>
          <w:p w14:paraId="62AF355E"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sz w:val="18"/>
                <w:szCs w:val="18"/>
                <w:lang w:eastAsia="sk-SK"/>
              </w:rPr>
              <w:t>5 428 365</w:t>
            </w:r>
          </w:p>
        </w:tc>
        <w:tc>
          <w:tcPr>
            <w:tcW w:w="662" w:type="pct"/>
            <w:shd w:val="clear" w:color="auto" w:fill="auto"/>
            <w:vAlign w:val="center"/>
          </w:tcPr>
          <w:p w14:paraId="769F53E7"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color w:val="000000"/>
                <w:sz w:val="18"/>
                <w:szCs w:val="18"/>
                <w:lang w:eastAsia="sk-SK"/>
              </w:rPr>
              <w:t>2 147 322</w:t>
            </w:r>
          </w:p>
        </w:tc>
        <w:tc>
          <w:tcPr>
            <w:tcW w:w="578" w:type="pct"/>
            <w:shd w:val="clear" w:color="auto" w:fill="auto"/>
            <w:vAlign w:val="center"/>
          </w:tcPr>
          <w:p w14:paraId="5962AF51" w14:textId="77777777" w:rsidR="0012662E" w:rsidRPr="00DF3C8E" w:rsidRDefault="0012662E" w:rsidP="00D34201">
            <w:pPr>
              <w:spacing w:after="0" w:line="240" w:lineRule="auto"/>
              <w:jc w:val="right"/>
              <w:rPr>
                <w:rFonts w:eastAsia="Times New Roman" w:cs="Segoe UI"/>
                <w:color w:val="000000"/>
                <w:sz w:val="18"/>
                <w:szCs w:val="18"/>
                <w:lang w:eastAsia="sk-SK"/>
              </w:rPr>
            </w:pPr>
            <w:r w:rsidRPr="00DF3C8E">
              <w:rPr>
                <w:rFonts w:eastAsia="Times New Roman" w:cs="Segoe UI"/>
                <w:color w:val="000000"/>
                <w:sz w:val="18"/>
                <w:szCs w:val="18"/>
                <w:lang w:eastAsia="sk-SK"/>
              </w:rPr>
              <w:t>165,4</w:t>
            </w:r>
          </w:p>
        </w:tc>
      </w:tr>
      <w:tr w:rsidR="0012662E" w:rsidRPr="00DF3C8E" w14:paraId="12A8ADC1" w14:textId="77777777" w:rsidTr="00D34201">
        <w:trPr>
          <w:trHeight w:val="283"/>
        </w:trPr>
        <w:tc>
          <w:tcPr>
            <w:tcW w:w="2110" w:type="pct"/>
            <w:tcBorders>
              <w:bottom w:val="single" w:sz="4" w:space="0" w:color="314364" w:themeColor="text2"/>
            </w:tcBorders>
            <w:shd w:val="clear" w:color="auto" w:fill="auto"/>
            <w:vAlign w:val="center"/>
            <w:hideMark/>
          </w:tcPr>
          <w:p w14:paraId="42FFD708" w14:textId="77777777" w:rsidR="0012662E" w:rsidRPr="00DF3C8E" w:rsidRDefault="0012662E" w:rsidP="00D34201">
            <w:pPr>
              <w:spacing w:after="0" w:line="240" w:lineRule="auto"/>
              <w:jc w:val="left"/>
              <w:rPr>
                <w:rFonts w:eastAsia="Times New Roman" w:cs="Segoe UI"/>
                <w:b/>
                <w:color w:val="000000"/>
                <w:sz w:val="18"/>
                <w:szCs w:val="18"/>
                <w:lang w:eastAsia="sk-SK"/>
              </w:rPr>
            </w:pPr>
            <w:r w:rsidRPr="00DF3C8E">
              <w:rPr>
                <w:rFonts w:eastAsia="Times New Roman" w:cs="Segoe UI"/>
                <w:b/>
                <w:color w:val="000000"/>
                <w:sz w:val="18"/>
                <w:szCs w:val="18"/>
                <w:lang w:eastAsia="sk-SK"/>
              </w:rPr>
              <w:t>Čistá finančná pozícia SR</w:t>
            </w:r>
          </w:p>
        </w:tc>
        <w:tc>
          <w:tcPr>
            <w:tcW w:w="547" w:type="pct"/>
            <w:tcBorders>
              <w:bottom w:val="single" w:sz="4" w:space="0" w:color="314364" w:themeColor="text2"/>
            </w:tcBorders>
            <w:shd w:val="clear" w:color="auto" w:fill="auto"/>
            <w:vAlign w:val="center"/>
            <w:hideMark/>
          </w:tcPr>
          <w:p w14:paraId="6BE92233" w14:textId="77777777" w:rsidR="0012662E" w:rsidRPr="00DF3C8E" w:rsidRDefault="0012662E" w:rsidP="00D34201">
            <w:pPr>
              <w:spacing w:after="0" w:line="240" w:lineRule="auto"/>
              <w:jc w:val="right"/>
              <w:rPr>
                <w:rFonts w:eastAsia="Times New Roman" w:cs="Segoe UI"/>
                <w:b/>
                <w:color w:val="000000"/>
                <w:sz w:val="18"/>
                <w:szCs w:val="18"/>
                <w:lang w:eastAsia="sk-SK"/>
              </w:rPr>
            </w:pPr>
            <w:r w:rsidRPr="00DF3C8E">
              <w:rPr>
                <w:rFonts w:eastAsia="Times New Roman" w:cs="Segoe UI"/>
                <w:b/>
                <w:bCs/>
                <w:color w:val="000000"/>
                <w:sz w:val="18"/>
                <w:szCs w:val="18"/>
                <w:lang w:eastAsia="sk-SK"/>
              </w:rPr>
              <w:t>915 059</w:t>
            </w:r>
          </w:p>
        </w:tc>
        <w:tc>
          <w:tcPr>
            <w:tcW w:w="546" w:type="pct"/>
            <w:tcBorders>
              <w:bottom w:val="single" w:sz="4" w:space="0" w:color="314364" w:themeColor="text2"/>
            </w:tcBorders>
            <w:shd w:val="clear" w:color="auto" w:fill="auto"/>
            <w:vAlign w:val="center"/>
            <w:hideMark/>
          </w:tcPr>
          <w:p w14:paraId="69D1E5A0" w14:textId="77777777" w:rsidR="0012662E" w:rsidRPr="00DF3C8E" w:rsidRDefault="0012662E" w:rsidP="00D34201">
            <w:pPr>
              <w:spacing w:after="0" w:line="240" w:lineRule="auto"/>
              <w:jc w:val="right"/>
              <w:rPr>
                <w:rFonts w:eastAsia="Times New Roman" w:cs="Segoe UI"/>
                <w:b/>
                <w:color w:val="000000"/>
                <w:sz w:val="18"/>
                <w:szCs w:val="18"/>
                <w:lang w:eastAsia="sk-SK"/>
              </w:rPr>
            </w:pPr>
            <w:r w:rsidRPr="00DF3C8E">
              <w:rPr>
                <w:rFonts w:eastAsia="Times New Roman" w:cs="Segoe UI"/>
                <w:b/>
                <w:sz w:val="18"/>
                <w:szCs w:val="18"/>
                <w:lang w:eastAsia="sk-SK"/>
              </w:rPr>
              <w:t>2 163 113</w:t>
            </w:r>
          </w:p>
        </w:tc>
        <w:tc>
          <w:tcPr>
            <w:tcW w:w="556" w:type="pct"/>
            <w:tcBorders>
              <w:bottom w:val="single" w:sz="4" w:space="0" w:color="314364" w:themeColor="text2"/>
            </w:tcBorders>
            <w:shd w:val="clear" w:color="auto" w:fill="auto"/>
            <w:vAlign w:val="center"/>
            <w:hideMark/>
          </w:tcPr>
          <w:p w14:paraId="346328EE" w14:textId="77777777" w:rsidR="0012662E" w:rsidRPr="00DF3C8E" w:rsidRDefault="0012662E" w:rsidP="00D34201">
            <w:pPr>
              <w:spacing w:after="0" w:line="240" w:lineRule="auto"/>
              <w:jc w:val="right"/>
              <w:rPr>
                <w:rFonts w:eastAsia="Times New Roman" w:cs="Segoe UI"/>
                <w:b/>
                <w:color w:val="000000"/>
                <w:sz w:val="18"/>
                <w:szCs w:val="18"/>
                <w:lang w:eastAsia="sk-SK"/>
              </w:rPr>
            </w:pPr>
            <w:r w:rsidRPr="00DF3C8E">
              <w:rPr>
                <w:rFonts w:eastAsia="Times New Roman" w:cs="Segoe UI"/>
                <w:b/>
                <w:sz w:val="18"/>
                <w:szCs w:val="18"/>
                <w:lang w:eastAsia="sk-SK"/>
              </w:rPr>
              <w:t>4 263 984</w:t>
            </w:r>
          </w:p>
        </w:tc>
        <w:tc>
          <w:tcPr>
            <w:tcW w:w="662" w:type="pct"/>
            <w:tcBorders>
              <w:bottom w:val="single" w:sz="4" w:space="0" w:color="314364" w:themeColor="text2"/>
            </w:tcBorders>
            <w:shd w:val="clear" w:color="auto" w:fill="auto"/>
            <w:vAlign w:val="center"/>
          </w:tcPr>
          <w:p w14:paraId="5B260B53" w14:textId="77777777" w:rsidR="0012662E" w:rsidRPr="00DF3C8E" w:rsidRDefault="0012662E" w:rsidP="00D34201">
            <w:pPr>
              <w:spacing w:after="0" w:line="240" w:lineRule="auto"/>
              <w:jc w:val="right"/>
              <w:rPr>
                <w:rFonts w:eastAsia="Times New Roman" w:cs="Segoe UI"/>
                <w:b/>
                <w:color w:val="000000"/>
                <w:sz w:val="18"/>
                <w:szCs w:val="18"/>
                <w:lang w:eastAsia="sk-SK"/>
              </w:rPr>
            </w:pPr>
            <w:r w:rsidRPr="00DF3C8E">
              <w:rPr>
                <w:rFonts w:eastAsia="Times New Roman" w:cs="Segoe UI"/>
                <w:b/>
                <w:bCs/>
                <w:color w:val="000000"/>
                <w:sz w:val="18"/>
                <w:szCs w:val="18"/>
                <w:lang w:eastAsia="sk-SK"/>
              </w:rPr>
              <w:t>2 100 871</w:t>
            </w:r>
          </w:p>
        </w:tc>
        <w:tc>
          <w:tcPr>
            <w:tcW w:w="578" w:type="pct"/>
            <w:tcBorders>
              <w:bottom w:val="single" w:sz="4" w:space="0" w:color="314364" w:themeColor="text2"/>
            </w:tcBorders>
            <w:shd w:val="clear" w:color="auto" w:fill="auto"/>
            <w:vAlign w:val="center"/>
          </w:tcPr>
          <w:p w14:paraId="5D8D5953" w14:textId="77777777" w:rsidR="0012662E" w:rsidRPr="00DF3C8E" w:rsidRDefault="0012662E" w:rsidP="00D34201">
            <w:pPr>
              <w:spacing w:after="0" w:line="240" w:lineRule="auto"/>
              <w:jc w:val="right"/>
              <w:rPr>
                <w:rFonts w:eastAsia="Times New Roman" w:cs="Segoe UI"/>
                <w:b/>
                <w:color w:val="000000"/>
                <w:sz w:val="18"/>
                <w:szCs w:val="18"/>
                <w:lang w:eastAsia="sk-SK"/>
              </w:rPr>
            </w:pPr>
            <w:r w:rsidRPr="00DF3C8E">
              <w:rPr>
                <w:rFonts w:eastAsia="Times New Roman" w:cs="Segoe UI"/>
                <w:b/>
                <w:bCs/>
                <w:color w:val="000000"/>
                <w:sz w:val="18"/>
                <w:szCs w:val="18"/>
                <w:lang w:eastAsia="sk-SK"/>
              </w:rPr>
              <w:t>197,1</w:t>
            </w:r>
          </w:p>
        </w:tc>
      </w:tr>
    </w:tbl>
    <w:p w14:paraId="6C1E8E77" w14:textId="77777777" w:rsidR="0012662E" w:rsidRPr="006E099B" w:rsidRDefault="0012662E" w:rsidP="0012662E">
      <w:pPr>
        <w:pStyle w:val="Zdroj"/>
        <w:rPr>
          <w:lang w:eastAsia="en-GB"/>
        </w:rPr>
      </w:pPr>
      <w:r w:rsidRPr="006E099B">
        <w:rPr>
          <w:lang w:eastAsia="en-GB"/>
        </w:rPr>
        <w:t>Zdroj: Návrh RVS na roky 2023 až 2025</w:t>
      </w:r>
    </w:p>
    <w:p w14:paraId="3D338C78" w14:textId="770B1C96" w:rsidR="000218FC" w:rsidRDefault="00530B10" w:rsidP="000218FC">
      <w:pPr>
        <w:rPr>
          <w:b/>
        </w:rPr>
      </w:pPr>
      <w:r w:rsidRPr="00335A7C">
        <w:rPr>
          <w:b/>
        </w:rPr>
        <w:t xml:space="preserve">Prostriedky z PO </w:t>
      </w:r>
      <w:r>
        <w:rPr>
          <w:b/>
        </w:rPr>
        <w:t xml:space="preserve">2014 – 2020 </w:t>
      </w:r>
      <w:r w:rsidRPr="00335A7C">
        <w:rPr>
          <w:b/>
        </w:rPr>
        <w:t>je možné čerpať iba do 31.</w:t>
      </w:r>
      <w:r>
        <w:rPr>
          <w:b/>
        </w:rPr>
        <w:t xml:space="preserve"> </w:t>
      </w:r>
      <w:r w:rsidRPr="00335A7C">
        <w:rPr>
          <w:b/>
        </w:rPr>
        <w:t>12.</w:t>
      </w:r>
      <w:r>
        <w:rPr>
          <w:b/>
        </w:rPr>
        <w:t xml:space="preserve"> </w:t>
      </w:r>
      <w:r w:rsidRPr="00335A7C">
        <w:rPr>
          <w:b/>
        </w:rPr>
        <w:t>2023, pričom ešte zostáva dočerpať 5,53 mld. eur (bez PRV). Vzhľadom k tak</w:t>
      </w:r>
      <w:r>
        <w:rPr>
          <w:b/>
        </w:rPr>
        <w:t>ej</w:t>
      </w:r>
      <w:r w:rsidRPr="00335A7C">
        <w:rPr>
          <w:b/>
        </w:rPr>
        <w:t xml:space="preserve"> nízkej miere čerpania na konci PO existuje riziko nedočerpania alokovaných prostriedkov, resp. vytvárani</w:t>
      </w:r>
      <w:r w:rsidR="00D31C24">
        <w:rPr>
          <w:b/>
        </w:rPr>
        <w:t>a</w:t>
      </w:r>
      <w:r w:rsidRPr="00335A7C">
        <w:rPr>
          <w:b/>
        </w:rPr>
        <w:t xml:space="preserve"> náporu na rezorty, čo môže spôsobiť chybovosť</w:t>
      </w:r>
      <w:r>
        <w:rPr>
          <w:b/>
        </w:rPr>
        <w:t xml:space="preserve"> pri implementácii</w:t>
      </w:r>
      <w:r w:rsidRPr="00335A7C">
        <w:rPr>
          <w:b/>
        </w:rPr>
        <w:t xml:space="preserve"> projektov a vyššiu mieru následných nezrovnalostí.</w:t>
      </w:r>
      <w:r>
        <w:rPr>
          <w:b/>
        </w:rPr>
        <w:t xml:space="preserve"> </w:t>
      </w:r>
      <w:r w:rsidR="000218FC">
        <w:t>K 30.</w:t>
      </w:r>
      <w:r w:rsidR="002F5727">
        <w:t xml:space="preserve"> </w:t>
      </w:r>
      <w:r w:rsidR="000218FC">
        <w:t>9.</w:t>
      </w:r>
      <w:r w:rsidR="002F5727">
        <w:t xml:space="preserve"> </w:t>
      </w:r>
      <w:r w:rsidR="000218FC">
        <w:t>2022 sa čerpanie EŠIF</w:t>
      </w:r>
      <w:r w:rsidR="00C95AC6">
        <w:t xml:space="preserve"> v PO 2014 – 2020 </w:t>
      </w:r>
      <w:r w:rsidR="000218FC">
        <w:t xml:space="preserve">(bez </w:t>
      </w:r>
      <w:r w:rsidR="00FC2F23">
        <w:t>PRV</w:t>
      </w:r>
      <w:r w:rsidR="000218FC">
        <w:rPr>
          <w:rStyle w:val="Odkaznapoznmkupodiarou"/>
        </w:rPr>
        <w:footnoteReference w:id="11"/>
      </w:r>
      <w:r w:rsidR="000218FC">
        <w:t xml:space="preserve">) dostalo na úroveň 61,9 %, pričom kontrahovanie dosiahlo 98,1 % </w:t>
      </w:r>
      <w:r w:rsidR="000218FC" w:rsidRPr="00A2051B">
        <w:t>pri 797 platných</w:t>
      </w:r>
      <w:r w:rsidR="000218FC">
        <w:t xml:space="preserve"> výzvach a vyzvaniach. Údaj o kontrahovaní však nemusí reflektovať skutočný stav, pretože existuje riziko, že počet úspešne ukončených verejných obstarávaní a uzavretých zmlúv prijímateľov s dodávateľmi je v skutočnosti nižší. </w:t>
      </w:r>
      <w:r w:rsidR="00A51B02">
        <w:t>Existuje aj riziko</w:t>
      </w:r>
      <w:r w:rsidR="00A51B02" w:rsidRPr="00A51B02">
        <w:t xml:space="preserve"> odstupovania od zmlúv z dôvodu zdražovania hlavne stavebných materiálov. </w:t>
      </w:r>
    </w:p>
    <w:p w14:paraId="08EE67A1" w14:textId="4B73C12A" w:rsidR="004D22B8" w:rsidRDefault="006B7790" w:rsidP="004D22B8">
      <w:r w:rsidRPr="00530B10">
        <w:rPr>
          <w:b/>
        </w:rPr>
        <w:t xml:space="preserve">Čerpanie v rámci PO 2014 – 2020 </w:t>
      </w:r>
      <w:r w:rsidR="00C95AC6" w:rsidRPr="00530B10">
        <w:rPr>
          <w:b/>
        </w:rPr>
        <w:t>sa k septembru 2022 medziročne zvýšilo</w:t>
      </w:r>
      <w:r w:rsidR="004D22B8" w:rsidRPr="00530B10">
        <w:rPr>
          <w:b/>
        </w:rPr>
        <w:t xml:space="preserve"> o 2,5 mld. eur</w:t>
      </w:r>
      <w:r w:rsidRPr="00530B10">
        <w:rPr>
          <w:b/>
        </w:rPr>
        <w:t>.</w:t>
      </w:r>
      <w:r w:rsidR="004D22B8">
        <w:t xml:space="preserve"> </w:t>
      </w:r>
      <w:r w:rsidR="00167F21">
        <w:t>N</w:t>
      </w:r>
      <w:r w:rsidR="006F57AB">
        <w:t xml:space="preserve">ajviac prostriedkov za uplynulý rok </w:t>
      </w:r>
      <w:r w:rsidR="00167F21">
        <w:t xml:space="preserve">sa </w:t>
      </w:r>
      <w:r w:rsidR="006F57AB">
        <w:t>vyčerpalo v OP Integrovaná infraštruktúra, OP Ľudské zdroje a OP Kvalita životného prostredia, spolu viac ako 2 mld. eur</w:t>
      </w:r>
      <w:r w:rsidR="004D22B8">
        <w:t xml:space="preserve"> (tabuľka 4</w:t>
      </w:r>
      <w:r>
        <w:t>).</w:t>
      </w:r>
    </w:p>
    <w:p w14:paraId="75B2D3D2" w14:textId="77777777" w:rsidR="0012662E" w:rsidRDefault="0012662E" w:rsidP="0012662E">
      <w:pPr>
        <w:pStyle w:val="Popis"/>
        <w:keepNext/>
      </w:pPr>
      <w:r>
        <w:t>Tabuľka 4: Porovnanie čerpania OP v rokoch 2021 a 2022 (v tis. eur)</w:t>
      </w:r>
    </w:p>
    <w:tbl>
      <w:tblPr>
        <w:tblW w:w="5000" w:type="pct"/>
        <w:tblLook w:val="04A0" w:firstRow="1" w:lastRow="0" w:firstColumn="1" w:lastColumn="0" w:noHBand="0" w:noVBand="1"/>
      </w:tblPr>
      <w:tblGrid>
        <w:gridCol w:w="2805"/>
        <w:gridCol w:w="1836"/>
        <w:gridCol w:w="1836"/>
        <w:gridCol w:w="2593"/>
      </w:tblGrid>
      <w:tr w:rsidR="00916CDE" w:rsidRPr="00141409" w14:paraId="512050BC" w14:textId="77777777" w:rsidTr="005B6D7F">
        <w:trPr>
          <w:trHeight w:val="288"/>
        </w:trPr>
        <w:tc>
          <w:tcPr>
            <w:tcW w:w="1546" w:type="pct"/>
            <w:tcBorders>
              <w:top w:val="nil"/>
              <w:left w:val="nil"/>
              <w:bottom w:val="nil"/>
              <w:right w:val="nil"/>
            </w:tcBorders>
            <w:shd w:val="clear" w:color="000000" w:fill="314364"/>
            <w:noWrap/>
            <w:vAlign w:val="center"/>
            <w:hideMark/>
          </w:tcPr>
          <w:p w14:paraId="6875051D" w14:textId="77777777" w:rsidR="00916CDE" w:rsidRPr="00141409" w:rsidRDefault="00916CDE" w:rsidP="00D34201">
            <w:pPr>
              <w:spacing w:after="0" w:line="240" w:lineRule="auto"/>
              <w:jc w:val="left"/>
              <w:rPr>
                <w:rFonts w:eastAsia="Times New Roman" w:cs="Segoe UI"/>
                <w:b/>
                <w:bCs/>
                <w:color w:val="FFFFFF"/>
                <w:sz w:val="18"/>
                <w:szCs w:val="18"/>
                <w:lang w:eastAsia="en-GB"/>
              </w:rPr>
            </w:pPr>
            <w:r w:rsidRPr="00141409">
              <w:rPr>
                <w:rFonts w:eastAsia="Times New Roman" w:cs="Segoe UI"/>
                <w:b/>
                <w:bCs/>
                <w:color w:val="FFFFFF"/>
                <w:sz w:val="18"/>
                <w:szCs w:val="18"/>
                <w:lang w:eastAsia="en-GB"/>
              </w:rPr>
              <w:t>Program</w:t>
            </w:r>
          </w:p>
        </w:tc>
        <w:tc>
          <w:tcPr>
            <w:tcW w:w="1012" w:type="pct"/>
            <w:tcBorders>
              <w:top w:val="nil"/>
              <w:left w:val="nil"/>
              <w:bottom w:val="nil"/>
              <w:right w:val="nil"/>
            </w:tcBorders>
            <w:shd w:val="clear" w:color="000000" w:fill="314364"/>
            <w:noWrap/>
            <w:vAlign w:val="center"/>
            <w:hideMark/>
          </w:tcPr>
          <w:p w14:paraId="6C52240A" w14:textId="77777777" w:rsidR="00916CDE" w:rsidRPr="00141409" w:rsidRDefault="00916CDE" w:rsidP="00D34201">
            <w:pPr>
              <w:spacing w:after="0" w:line="240" w:lineRule="auto"/>
              <w:jc w:val="right"/>
              <w:rPr>
                <w:rFonts w:eastAsia="Times New Roman" w:cs="Segoe UI"/>
                <w:b/>
                <w:bCs/>
                <w:color w:val="FFFFFF"/>
                <w:sz w:val="18"/>
                <w:szCs w:val="18"/>
                <w:lang w:eastAsia="en-GB"/>
              </w:rPr>
            </w:pPr>
            <w:r w:rsidRPr="00141409">
              <w:rPr>
                <w:rFonts w:eastAsia="Times New Roman" w:cs="Segoe UI"/>
                <w:b/>
                <w:bCs/>
                <w:color w:val="FFFFFF"/>
                <w:sz w:val="18"/>
                <w:szCs w:val="18"/>
                <w:lang w:eastAsia="en-GB"/>
              </w:rPr>
              <w:t>Čerpanie 30.9.2021</w:t>
            </w:r>
          </w:p>
        </w:tc>
        <w:tc>
          <w:tcPr>
            <w:tcW w:w="1012" w:type="pct"/>
            <w:tcBorders>
              <w:top w:val="nil"/>
              <w:left w:val="nil"/>
              <w:bottom w:val="nil"/>
              <w:right w:val="nil"/>
            </w:tcBorders>
            <w:shd w:val="clear" w:color="000000" w:fill="314364"/>
            <w:noWrap/>
            <w:vAlign w:val="center"/>
            <w:hideMark/>
          </w:tcPr>
          <w:p w14:paraId="263D932A" w14:textId="77777777" w:rsidR="00916CDE" w:rsidRPr="00141409" w:rsidRDefault="00916CDE" w:rsidP="00D34201">
            <w:pPr>
              <w:spacing w:after="0" w:line="240" w:lineRule="auto"/>
              <w:jc w:val="right"/>
              <w:rPr>
                <w:rFonts w:eastAsia="Times New Roman" w:cs="Segoe UI"/>
                <w:b/>
                <w:bCs/>
                <w:color w:val="FFFFFF"/>
                <w:sz w:val="18"/>
                <w:szCs w:val="18"/>
                <w:lang w:eastAsia="en-GB"/>
              </w:rPr>
            </w:pPr>
            <w:r w:rsidRPr="00141409">
              <w:rPr>
                <w:rFonts w:eastAsia="Times New Roman" w:cs="Segoe UI"/>
                <w:b/>
                <w:bCs/>
                <w:color w:val="FFFFFF"/>
                <w:sz w:val="18"/>
                <w:szCs w:val="18"/>
                <w:lang w:eastAsia="en-GB"/>
              </w:rPr>
              <w:t>Čerpanie 30.9.2022</w:t>
            </w:r>
          </w:p>
        </w:tc>
        <w:tc>
          <w:tcPr>
            <w:tcW w:w="1429" w:type="pct"/>
            <w:tcBorders>
              <w:top w:val="nil"/>
              <w:left w:val="nil"/>
              <w:bottom w:val="nil"/>
              <w:right w:val="nil"/>
            </w:tcBorders>
            <w:shd w:val="clear" w:color="000000" w:fill="314364"/>
            <w:noWrap/>
            <w:vAlign w:val="center"/>
            <w:hideMark/>
          </w:tcPr>
          <w:p w14:paraId="6C88A49F" w14:textId="77777777" w:rsidR="00916CDE" w:rsidRPr="00141409" w:rsidRDefault="00916CDE" w:rsidP="00D34201">
            <w:pPr>
              <w:spacing w:after="0" w:line="240" w:lineRule="auto"/>
              <w:jc w:val="right"/>
              <w:rPr>
                <w:rFonts w:eastAsia="Times New Roman" w:cs="Segoe UI"/>
                <w:b/>
                <w:bCs/>
                <w:color w:val="FFFFFF"/>
                <w:sz w:val="18"/>
                <w:szCs w:val="18"/>
                <w:lang w:eastAsia="en-GB"/>
              </w:rPr>
            </w:pPr>
            <w:r w:rsidRPr="00141409">
              <w:rPr>
                <w:rFonts w:eastAsia="Times New Roman" w:cs="Segoe UI"/>
                <w:b/>
                <w:bCs/>
                <w:color w:val="FFFFFF"/>
                <w:sz w:val="18"/>
                <w:szCs w:val="18"/>
                <w:lang w:eastAsia="en-GB"/>
              </w:rPr>
              <w:t>Zmena v % oproti 30.9.2021</w:t>
            </w:r>
          </w:p>
        </w:tc>
      </w:tr>
      <w:tr w:rsidR="00916CDE" w:rsidRPr="00141409" w14:paraId="1C43BD79" w14:textId="77777777" w:rsidTr="005B6D7F">
        <w:trPr>
          <w:trHeight w:val="288"/>
        </w:trPr>
        <w:tc>
          <w:tcPr>
            <w:tcW w:w="1546" w:type="pct"/>
            <w:tcBorders>
              <w:top w:val="nil"/>
              <w:left w:val="nil"/>
              <w:bottom w:val="nil"/>
              <w:right w:val="nil"/>
            </w:tcBorders>
            <w:shd w:val="clear" w:color="000000" w:fill="FFFFFF"/>
            <w:noWrap/>
            <w:vAlign w:val="center"/>
          </w:tcPr>
          <w:p w14:paraId="753C33C5" w14:textId="03259BF2" w:rsidR="00916CDE" w:rsidRPr="00141409" w:rsidRDefault="00916CDE" w:rsidP="006F57AB">
            <w:pPr>
              <w:spacing w:after="0" w:line="240" w:lineRule="auto"/>
              <w:jc w:val="left"/>
              <w:rPr>
                <w:rFonts w:eastAsia="Times New Roman" w:cs="Segoe UI"/>
                <w:sz w:val="18"/>
                <w:szCs w:val="18"/>
                <w:lang w:eastAsia="en-GB"/>
              </w:rPr>
            </w:pPr>
            <w:r w:rsidRPr="00141409">
              <w:rPr>
                <w:rFonts w:eastAsia="Times New Roman" w:cs="Segoe UI"/>
                <w:sz w:val="18"/>
                <w:szCs w:val="18"/>
                <w:lang w:eastAsia="en-GB"/>
              </w:rPr>
              <w:t>OP Integrovaná infraštruktúra</w:t>
            </w:r>
          </w:p>
        </w:tc>
        <w:tc>
          <w:tcPr>
            <w:tcW w:w="1012" w:type="pct"/>
            <w:tcBorders>
              <w:top w:val="nil"/>
              <w:left w:val="nil"/>
              <w:bottom w:val="nil"/>
              <w:right w:val="nil"/>
            </w:tcBorders>
            <w:shd w:val="clear" w:color="000000" w:fill="FFFFFF"/>
            <w:noWrap/>
            <w:vAlign w:val="center"/>
          </w:tcPr>
          <w:p w14:paraId="219B0BF2" w14:textId="54DC359B" w:rsidR="00916CDE" w:rsidRPr="00141409" w:rsidRDefault="00916CDE" w:rsidP="006F57AB">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2</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489</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182</w:t>
            </w:r>
          </w:p>
        </w:tc>
        <w:tc>
          <w:tcPr>
            <w:tcW w:w="1012" w:type="pct"/>
            <w:tcBorders>
              <w:top w:val="nil"/>
              <w:left w:val="nil"/>
              <w:bottom w:val="nil"/>
              <w:right w:val="nil"/>
            </w:tcBorders>
            <w:shd w:val="clear" w:color="000000" w:fill="FFFFFF"/>
            <w:noWrap/>
            <w:vAlign w:val="center"/>
          </w:tcPr>
          <w:p w14:paraId="542614A9" w14:textId="1F0158F9" w:rsidR="00916CDE" w:rsidRPr="00141409" w:rsidRDefault="00916CDE" w:rsidP="006F57AB">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3</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597</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524</w:t>
            </w:r>
          </w:p>
        </w:tc>
        <w:tc>
          <w:tcPr>
            <w:tcW w:w="1429" w:type="pct"/>
            <w:tcBorders>
              <w:top w:val="nil"/>
              <w:left w:val="nil"/>
              <w:bottom w:val="nil"/>
              <w:right w:val="nil"/>
            </w:tcBorders>
            <w:shd w:val="clear" w:color="000000" w:fill="FFFFFF"/>
            <w:noWrap/>
            <w:vAlign w:val="center"/>
          </w:tcPr>
          <w:p w14:paraId="3E45F138" w14:textId="6A91066E" w:rsidR="00916CDE" w:rsidRPr="00141409" w:rsidRDefault="00916CDE" w:rsidP="006F57AB">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144,53</w:t>
            </w:r>
          </w:p>
        </w:tc>
      </w:tr>
      <w:tr w:rsidR="00916CDE" w:rsidRPr="00141409" w14:paraId="01143223" w14:textId="77777777" w:rsidTr="005B6D7F">
        <w:trPr>
          <w:trHeight w:val="288"/>
        </w:trPr>
        <w:tc>
          <w:tcPr>
            <w:tcW w:w="1546" w:type="pct"/>
            <w:tcBorders>
              <w:top w:val="nil"/>
              <w:left w:val="nil"/>
              <w:bottom w:val="nil"/>
              <w:right w:val="nil"/>
            </w:tcBorders>
            <w:shd w:val="clear" w:color="000000" w:fill="FFFFFF"/>
            <w:noWrap/>
            <w:vAlign w:val="center"/>
            <w:hideMark/>
          </w:tcPr>
          <w:p w14:paraId="5FC62891" w14:textId="77777777" w:rsidR="00916CDE" w:rsidRPr="00141409" w:rsidRDefault="00916CDE" w:rsidP="00D34201">
            <w:pPr>
              <w:spacing w:after="0" w:line="240" w:lineRule="auto"/>
              <w:jc w:val="left"/>
              <w:rPr>
                <w:rFonts w:eastAsia="Times New Roman" w:cs="Segoe UI"/>
                <w:sz w:val="18"/>
                <w:szCs w:val="18"/>
                <w:lang w:eastAsia="en-GB"/>
              </w:rPr>
            </w:pPr>
            <w:r w:rsidRPr="00141409">
              <w:rPr>
                <w:rFonts w:eastAsia="Times New Roman" w:cs="Segoe UI"/>
                <w:sz w:val="18"/>
                <w:szCs w:val="18"/>
                <w:lang w:eastAsia="en-GB"/>
              </w:rPr>
              <w:t>OP Ľudské zdroje</w:t>
            </w:r>
          </w:p>
        </w:tc>
        <w:tc>
          <w:tcPr>
            <w:tcW w:w="1012" w:type="pct"/>
            <w:tcBorders>
              <w:top w:val="nil"/>
              <w:left w:val="nil"/>
              <w:bottom w:val="nil"/>
              <w:right w:val="nil"/>
            </w:tcBorders>
            <w:shd w:val="clear" w:color="000000" w:fill="FFFFFF"/>
            <w:noWrap/>
            <w:vAlign w:val="center"/>
            <w:hideMark/>
          </w:tcPr>
          <w:p w14:paraId="500F2E92"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725</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374</w:t>
            </w:r>
          </w:p>
        </w:tc>
        <w:tc>
          <w:tcPr>
            <w:tcW w:w="1012" w:type="pct"/>
            <w:tcBorders>
              <w:top w:val="nil"/>
              <w:left w:val="nil"/>
              <w:bottom w:val="nil"/>
              <w:right w:val="nil"/>
            </w:tcBorders>
            <w:shd w:val="clear" w:color="000000" w:fill="FFFFFF"/>
            <w:noWrap/>
            <w:vAlign w:val="center"/>
            <w:hideMark/>
          </w:tcPr>
          <w:p w14:paraId="717A8674"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2</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286</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364</w:t>
            </w:r>
          </w:p>
        </w:tc>
        <w:tc>
          <w:tcPr>
            <w:tcW w:w="1429" w:type="pct"/>
            <w:tcBorders>
              <w:top w:val="nil"/>
              <w:left w:val="nil"/>
              <w:bottom w:val="nil"/>
              <w:right w:val="nil"/>
            </w:tcBorders>
            <w:shd w:val="clear" w:color="000000" w:fill="FFFFFF"/>
            <w:noWrap/>
            <w:vAlign w:val="center"/>
            <w:hideMark/>
          </w:tcPr>
          <w:p w14:paraId="00636B33"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132,51</w:t>
            </w:r>
          </w:p>
        </w:tc>
      </w:tr>
      <w:tr w:rsidR="00916CDE" w:rsidRPr="00141409" w14:paraId="0CCFE3E7" w14:textId="77777777" w:rsidTr="005B6D7F">
        <w:trPr>
          <w:trHeight w:val="288"/>
        </w:trPr>
        <w:tc>
          <w:tcPr>
            <w:tcW w:w="1546" w:type="pct"/>
            <w:tcBorders>
              <w:top w:val="nil"/>
              <w:left w:val="nil"/>
              <w:bottom w:val="nil"/>
              <w:right w:val="nil"/>
            </w:tcBorders>
            <w:shd w:val="clear" w:color="000000" w:fill="FFFFFF"/>
            <w:noWrap/>
            <w:vAlign w:val="center"/>
            <w:hideMark/>
          </w:tcPr>
          <w:p w14:paraId="6D7EDD65" w14:textId="77777777" w:rsidR="00916CDE" w:rsidRPr="00141409" w:rsidRDefault="00916CDE" w:rsidP="00D34201">
            <w:pPr>
              <w:spacing w:after="0" w:line="240" w:lineRule="auto"/>
              <w:jc w:val="left"/>
              <w:rPr>
                <w:rFonts w:eastAsia="Times New Roman" w:cs="Segoe UI"/>
                <w:sz w:val="18"/>
                <w:szCs w:val="18"/>
                <w:lang w:eastAsia="en-GB"/>
              </w:rPr>
            </w:pPr>
            <w:r w:rsidRPr="00141409">
              <w:rPr>
                <w:rFonts w:eastAsia="Times New Roman" w:cs="Segoe UI"/>
                <w:sz w:val="18"/>
                <w:szCs w:val="18"/>
                <w:lang w:eastAsia="en-GB"/>
              </w:rPr>
              <w:t>OP Kvalita životného prostredia</w:t>
            </w:r>
          </w:p>
        </w:tc>
        <w:tc>
          <w:tcPr>
            <w:tcW w:w="1012" w:type="pct"/>
            <w:tcBorders>
              <w:top w:val="nil"/>
              <w:left w:val="nil"/>
              <w:bottom w:val="nil"/>
              <w:right w:val="nil"/>
            </w:tcBorders>
            <w:shd w:val="clear" w:color="000000" w:fill="FFFFFF"/>
            <w:noWrap/>
            <w:vAlign w:val="center"/>
            <w:hideMark/>
          </w:tcPr>
          <w:p w14:paraId="37005498"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286</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184</w:t>
            </w:r>
          </w:p>
        </w:tc>
        <w:tc>
          <w:tcPr>
            <w:tcW w:w="1012" w:type="pct"/>
            <w:tcBorders>
              <w:top w:val="nil"/>
              <w:left w:val="nil"/>
              <w:bottom w:val="nil"/>
              <w:right w:val="nil"/>
            </w:tcBorders>
            <w:shd w:val="clear" w:color="000000" w:fill="FFFFFF"/>
            <w:noWrap/>
            <w:vAlign w:val="center"/>
            <w:hideMark/>
          </w:tcPr>
          <w:p w14:paraId="22BA0A16"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629</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453</w:t>
            </w:r>
          </w:p>
        </w:tc>
        <w:tc>
          <w:tcPr>
            <w:tcW w:w="1429" w:type="pct"/>
            <w:tcBorders>
              <w:top w:val="nil"/>
              <w:left w:val="nil"/>
              <w:bottom w:val="nil"/>
              <w:right w:val="nil"/>
            </w:tcBorders>
            <w:shd w:val="clear" w:color="000000" w:fill="FFFFFF"/>
            <w:noWrap/>
            <w:vAlign w:val="center"/>
            <w:hideMark/>
          </w:tcPr>
          <w:p w14:paraId="6583D003"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126,69</w:t>
            </w:r>
          </w:p>
        </w:tc>
      </w:tr>
      <w:tr w:rsidR="00916CDE" w:rsidRPr="00141409" w14:paraId="75D0C9D9" w14:textId="77777777" w:rsidTr="005B6D7F">
        <w:trPr>
          <w:trHeight w:val="288"/>
        </w:trPr>
        <w:tc>
          <w:tcPr>
            <w:tcW w:w="1546" w:type="pct"/>
            <w:tcBorders>
              <w:top w:val="nil"/>
              <w:left w:val="nil"/>
              <w:bottom w:val="nil"/>
              <w:right w:val="nil"/>
            </w:tcBorders>
            <w:shd w:val="clear" w:color="000000" w:fill="FFFFFF"/>
            <w:noWrap/>
            <w:vAlign w:val="center"/>
            <w:hideMark/>
          </w:tcPr>
          <w:p w14:paraId="1E66BC1C" w14:textId="77777777" w:rsidR="00916CDE" w:rsidRPr="00141409" w:rsidRDefault="00916CDE" w:rsidP="00D34201">
            <w:pPr>
              <w:spacing w:after="0" w:line="240" w:lineRule="auto"/>
              <w:jc w:val="left"/>
              <w:rPr>
                <w:rFonts w:eastAsia="Times New Roman" w:cs="Segoe UI"/>
                <w:sz w:val="18"/>
                <w:szCs w:val="18"/>
                <w:lang w:eastAsia="en-GB"/>
              </w:rPr>
            </w:pPr>
            <w:r w:rsidRPr="00141409">
              <w:rPr>
                <w:rFonts w:eastAsia="Times New Roman" w:cs="Segoe UI"/>
                <w:sz w:val="18"/>
                <w:szCs w:val="18"/>
                <w:lang w:eastAsia="en-GB"/>
              </w:rPr>
              <w:t>Integrovaný regionálny OP</w:t>
            </w:r>
          </w:p>
        </w:tc>
        <w:tc>
          <w:tcPr>
            <w:tcW w:w="1012" w:type="pct"/>
            <w:tcBorders>
              <w:top w:val="nil"/>
              <w:left w:val="nil"/>
              <w:bottom w:val="nil"/>
              <w:right w:val="nil"/>
            </w:tcBorders>
            <w:shd w:val="clear" w:color="000000" w:fill="FFFFFF"/>
            <w:noWrap/>
            <w:vAlign w:val="center"/>
            <w:hideMark/>
          </w:tcPr>
          <w:p w14:paraId="664B3192"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634</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850</w:t>
            </w:r>
          </w:p>
        </w:tc>
        <w:tc>
          <w:tcPr>
            <w:tcW w:w="1012" w:type="pct"/>
            <w:tcBorders>
              <w:top w:val="nil"/>
              <w:left w:val="nil"/>
              <w:bottom w:val="nil"/>
              <w:right w:val="nil"/>
            </w:tcBorders>
            <w:shd w:val="clear" w:color="000000" w:fill="FFFFFF"/>
            <w:noWrap/>
            <w:vAlign w:val="center"/>
            <w:hideMark/>
          </w:tcPr>
          <w:p w14:paraId="6DB99F1A"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926</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708</w:t>
            </w:r>
          </w:p>
        </w:tc>
        <w:tc>
          <w:tcPr>
            <w:tcW w:w="1429" w:type="pct"/>
            <w:tcBorders>
              <w:top w:val="nil"/>
              <w:left w:val="nil"/>
              <w:bottom w:val="nil"/>
              <w:right w:val="nil"/>
            </w:tcBorders>
            <w:shd w:val="clear" w:color="000000" w:fill="FFFFFF"/>
            <w:noWrap/>
            <w:vAlign w:val="center"/>
            <w:hideMark/>
          </w:tcPr>
          <w:p w14:paraId="44F493A4"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145,97</w:t>
            </w:r>
          </w:p>
        </w:tc>
      </w:tr>
      <w:tr w:rsidR="00916CDE" w:rsidRPr="00141409" w14:paraId="3598B849" w14:textId="77777777" w:rsidTr="005B6D7F">
        <w:trPr>
          <w:trHeight w:val="288"/>
        </w:trPr>
        <w:tc>
          <w:tcPr>
            <w:tcW w:w="1546" w:type="pct"/>
            <w:tcBorders>
              <w:top w:val="nil"/>
              <w:left w:val="nil"/>
              <w:bottom w:val="nil"/>
              <w:right w:val="nil"/>
            </w:tcBorders>
            <w:shd w:val="clear" w:color="000000" w:fill="FFFFFF"/>
            <w:noWrap/>
            <w:vAlign w:val="center"/>
            <w:hideMark/>
          </w:tcPr>
          <w:p w14:paraId="65DC90C7" w14:textId="77777777" w:rsidR="00916CDE" w:rsidRPr="00141409" w:rsidRDefault="00916CDE" w:rsidP="00D34201">
            <w:pPr>
              <w:spacing w:after="0" w:line="240" w:lineRule="auto"/>
              <w:jc w:val="left"/>
              <w:rPr>
                <w:rFonts w:eastAsia="Times New Roman" w:cs="Segoe UI"/>
                <w:sz w:val="18"/>
                <w:szCs w:val="18"/>
                <w:lang w:eastAsia="en-GB"/>
              </w:rPr>
            </w:pPr>
            <w:r w:rsidRPr="00141409">
              <w:rPr>
                <w:rFonts w:eastAsia="Times New Roman" w:cs="Segoe UI"/>
                <w:sz w:val="18"/>
                <w:szCs w:val="18"/>
                <w:lang w:eastAsia="en-GB"/>
              </w:rPr>
              <w:t>OP Efektívna verejná správa</w:t>
            </w:r>
          </w:p>
        </w:tc>
        <w:tc>
          <w:tcPr>
            <w:tcW w:w="1012" w:type="pct"/>
            <w:tcBorders>
              <w:top w:val="nil"/>
              <w:left w:val="nil"/>
              <w:bottom w:val="nil"/>
              <w:right w:val="nil"/>
            </w:tcBorders>
            <w:shd w:val="clear" w:color="000000" w:fill="FFFFFF"/>
            <w:noWrap/>
            <w:vAlign w:val="center"/>
            <w:hideMark/>
          </w:tcPr>
          <w:p w14:paraId="59AB0160"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124</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402</w:t>
            </w:r>
          </w:p>
        </w:tc>
        <w:tc>
          <w:tcPr>
            <w:tcW w:w="1012" w:type="pct"/>
            <w:tcBorders>
              <w:top w:val="nil"/>
              <w:left w:val="nil"/>
              <w:bottom w:val="nil"/>
              <w:right w:val="nil"/>
            </w:tcBorders>
            <w:shd w:val="clear" w:color="000000" w:fill="FFFFFF"/>
            <w:noWrap/>
            <w:vAlign w:val="center"/>
            <w:hideMark/>
          </w:tcPr>
          <w:p w14:paraId="1060ACF9"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250</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929</w:t>
            </w:r>
          </w:p>
        </w:tc>
        <w:tc>
          <w:tcPr>
            <w:tcW w:w="1429" w:type="pct"/>
            <w:tcBorders>
              <w:top w:val="nil"/>
              <w:left w:val="nil"/>
              <w:bottom w:val="nil"/>
              <w:right w:val="nil"/>
            </w:tcBorders>
            <w:shd w:val="clear" w:color="000000" w:fill="FFFFFF"/>
            <w:noWrap/>
            <w:vAlign w:val="center"/>
            <w:hideMark/>
          </w:tcPr>
          <w:p w14:paraId="7A62A674"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201,71</w:t>
            </w:r>
          </w:p>
        </w:tc>
      </w:tr>
      <w:tr w:rsidR="00916CDE" w:rsidRPr="00141409" w14:paraId="73BF53DB" w14:textId="77777777" w:rsidTr="005B6D7F">
        <w:trPr>
          <w:trHeight w:val="288"/>
        </w:trPr>
        <w:tc>
          <w:tcPr>
            <w:tcW w:w="1546" w:type="pct"/>
            <w:tcBorders>
              <w:top w:val="nil"/>
              <w:left w:val="nil"/>
              <w:bottom w:val="nil"/>
              <w:right w:val="nil"/>
            </w:tcBorders>
            <w:shd w:val="clear" w:color="000000" w:fill="FFFFFF"/>
            <w:noWrap/>
            <w:vAlign w:val="center"/>
            <w:hideMark/>
          </w:tcPr>
          <w:p w14:paraId="3EE2A402" w14:textId="77777777" w:rsidR="00916CDE" w:rsidRPr="00141409" w:rsidRDefault="00916CDE" w:rsidP="00D34201">
            <w:pPr>
              <w:spacing w:after="0" w:line="240" w:lineRule="auto"/>
              <w:jc w:val="left"/>
              <w:rPr>
                <w:rFonts w:eastAsia="Times New Roman" w:cs="Segoe UI"/>
                <w:sz w:val="18"/>
                <w:szCs w:val="18"/>
                <w:lang w:eastAsia="en-GB"/>
              </w:rPr>
            </w:pPr>
            <w:r w:rsidRPr="00141409">
              <w:rPr>
                <w:rFonts w:eastAsia="Times New Roman" w:cs="Segoe UI"/>
                <w:sz w:val="18"/>
                <w:szCs w:val="18"/>
                <w:lang w:eastAsia="en-GB"/>
              </w:rPr>
              <w:t>OP Technická pomoc</w:t>
            </w:r>
          </w:p>
        </w:tc>
        <w:tc>
          <w:tcPr>
            <w:tcW w:w="1012" w:type="pct"/>
            <w:tcBorders>
              <w:top w:val="nil"/>
              <w:left w:val="nil"/>
              <w:bottom w:val="nil"/>
              <w:right w:val="nil"/>
            </w:tcBorders>
            <w:shd w:val="clear" w:color="000000" w:fill="FFFFFF"/>
            <w:noWrap/>
            <w:vAlign w:val="center"/>
            <w:hideMark/>
          </w:tcPr>
          <w:p w14:paraId="17BAB240"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119</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197</w:t>
            </w:r>
          </w:p>
        </w:tc>
        <w:tc>
          <w:tcPr>
            <w:tcW w:w="1012" w:type="pct"/>
            <w:tcBorders>
              <w:top w:val="nil"/>
              <w:left w:val="nil"/>
              <w:bottom w:val="nil"/>
              <w:right w:val="nil"/>
            </w:tcBorders>
            <w:shd w:val="clear" w:color="000000" w:fill="FFFFFF"/>
            <w:noWrap/>
            <w:vAlign w:val="center"/>
            <w:hideMark/>
          </w:tcPr>
          <w:p w14:paraId="70550CB3"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145</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132</w:t>
            </w:r>
          </w:p>
        </w:tc>
        <w:tc>
          <w:tcPr>
            <w:tcW w:w="1429" w:type="pct"/>
            <w:tcBorders>
              <w:top w:val="nil"/>
              <w:left w:val="nil"/>
              <w:bottom w:val="nil"/>
              <w:right w:val="nil"/>
            </w:tcBorders>
            <w:shd w:val="clear" w:color="000000" w:fill="FFFFFF"/>
            <w:noWrap/>
            <w:vAlign w:val="center"/>
            <w:hideMark/>
          </w:tcPr>
          <w:p w14:paraId="52006213"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121,76</w:t>
            </w:r>
          </w:p>
        </w:tc>
      </w:tr>
      <w:tr w:rsidR="00916CDE" w:rsidRPr="00141409" w14:paraId="61E8ECB6" w14:textId="77777777" w:rsidTr="005B6D7F">
        <w:trPr>
          <w:trHeight w:val="288"/>
        </w:trPr>
        <w:tc>
          <w:tcPr>
            <w:tcW w:w="1546" w:type="pct"/>
            <w:tcBorders>
              <w:top w:val="nil"/>
              <w:left w:val="nil"/>
              <w:bottom w:val="nil"/>
              <w:right w:val="nil"/>
            </w:tcBorders>
            <w:shd w:val="clear" w:color="000000" w:fill="FFFFFF"/>
            <w:noWrap/>
            <w:vAlign w:val="center"/>
            <w:hideMark/>
          </w:tcPr>
          <w:p w14:paraId="0E00FA6A" w14:textId="77777777" w:rsidR="00916CDE" w:rsidRPr="00141409" w:rsidRDefault="00916CDE" w:rsidP="00D34201">
            <w:pPr>
              <w:spacing w:after="0" w:line="240" w:lineRule="auto"/>
              <w:jc w:val="left"/>
              <w:rPr>
                <w:rFonts w:eastAsia="Times New Roman" w:cs="Segoe UI"/>
                <w:sz w:val="18"/>
                <w:szCs w:val="18"/>
                <w:lang w:eastAsia="en-GB"/>
              </w:rPr>
            </w:pPr>
            <w:r w:rsidRPr="00141409">
              <w:rPr>
                <w:rFonts w:eastAsia="Times New Roman" w:cs="Segoe UI"/>
                <w:sz w:val="18"/>
                <w:szCs w:val="18"/>
                <w:lang w:eastAsia="en-GB"/>
              </w:rPr>
              <w:t>OP Rybné hospodárstvo</w:t>
            </w:r>
          </w:p>
        </w:tc>
        <w:tc>
          <w:tcPr>
            <w:tcW w:w="1012" w:type="pct"/>
            <w:tcBorders>
              <w:top w:val="nil"/>
              <w:left w:val="nil"/>
              <w:bottom w:val="nil"/>
              <w:right w:val="nil"/>
            </w:tcBorders>
            <w:shd w:val="clear" w:color="000000" w:fill="FFFFFF"/>
            <w:noWrap/>
            <w:vAlign w:val="center"/>
            <w:hideMark/>
          </w:tcPr>
          <w:p w14:paraId="56935FBE"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932</w:t>
            </w:r>
          </w:p>
        </w:tc>
        <w:tc>
          <w:tcPr>
            <w:tcW w:w="1012" w:type="pct"/>
            <w:tcBorders>
              <w:top w:val="nil"/>
              <w:left w:val="nil"/>
              <w:bottom w:val="nil"/>
              <w:right w:val="nil"/>
            </w:tcBorders>
            <w:shd w:val="clear" w:color="000000" w:fill="FFFFFF"/>
            <w:noWrap/>
            <w:vAlign w:val="center"/>
            <w:hideMark/>
          </w:tcPr>
          <w:p w14:paraId="6ECCCE71"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2</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213</w:t>
            </w:r>
          </w:p>
        </w:tc>
        <w:tc>
          <w:tcPr>
            <w:tcW w:w="1429" w:type="pct"/>
            <w:tcBorders>
              <w:top w:val="nil"/>
              <w:left w:val="nil"/>
              <w:bottom w:val="nil"/>
              <w:right w:val="nil"/>
            </w:tcBorders>
            <w:shd w:val="clear" w:color="000000" w:fill="FFFFFF"/>
            <w:noWrap/>
            <w:vAlign w:val="center"/>
            <w:hideMark/>
          </w:tcPr>
          <w:p w14:paraId="4A34AD4B"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237,45</w:t>
            </w:r>
          </w:p>
        </w:tc>
      </w:tr>
      <w:tr w:rsidR="00916CDE" w:rsidRPr="00141409" w14:paraId="1F6C9372" w14:textId="77777777" w:rsidTr="005B6D7F">
        <w:trPr>
          <w:trHeight w:val="288"/>
        </w:trPr>
        <w:tc>
          <w:tcPr>
            <w:tcW w:w="1546" w:type="pct"/>
            <w:tcBorders>
              <w:top w:val="nil"/>
              <w:left w:val="nil"/>
              <w:bottom w:val="nil"/>
              <w:right w:val="nil"/>
            </w:tcBorders>
            <w:shd w:val="clear" w:color="000000" w:fill="FFFFFF"/>
            <w:noWrap/>
            <w:vAlign w:val="center"/>
            <w:hideMark/>
          </w:tcPr>
          <w:p w14:paraId="3FCDF37C" w14:textId="77777777" w:rsidR="00916CDE" w:rsidRPr="00141409" w:rsidRDefault="00916CDE" w:rsidP="00D34201">
            <w:pPr>
              <w:spacing w:after="0" w:line="240" w:lineRule="auto"/>
              <w:jc w:val="left"/>
              <w:rPr>
                <w:rFonts w:eastAsia="Times New Roman" w:cs="Segoe UI"/>
                <w:sz w:val="18"/>
                <w:szCs w:val="18"/>
                <w:lang w:eastAsia="en-GB"/>
              </w:rPr>
            </w:pPr>
            <w:proofErr w:type="spellStart"/>
            <w:r w:rsidRPr="00141409">
              <w:rPr>
                <w:rFonts w:eastAsia="Times New Roman" w:cs="Segoe UI"/>
                <w:sz w:val="18"/>
                <w:szCs w:val="18"/>
                <w:lang w:eastAsia="en-GB"/>
              </w:rPr>
              <w:t>Interreg</w:t>
            </w:r>
            <w:proofErr w:type="spellEnd"/>
            <w:r w:rsidRPr="00141409">
              <w:rPr>
                <w:rFonts w:eastAsia="Times New Roman" w:cs="Segoe UI"/>
                <w:sz w:val="18"/>
                <w:szCs w:val="18"/>
                <w:lang w:eastAsia="en-GB"/>
              </w:rPr>
              <w:t xml:space="preserve"> V-A SK-CZ</w:t>
            </w:r>
          </w:p>
        </w:tc>
        <w:tc>
          <w:tcPr>
            <w:tcW w:w="1012" w:type="pct"/>
            <w:tcBorders>
              <w:top w:val="nil"/>
              <w:left w:val="nil"/>
              <w:bottom w:val="nil"/>
              <w:right w:val="nil"/>
            </w:tcBorders>
            <w:shd w:val="clear" w:color="000000" w:fill="FFFFFF"/>
            <w:noWrap/>
            <w:vAlign w:val="center"/>
            <w:hideMark/>
          </w:tcPr>
          <w:p w14:paraId="5B02AF11"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39</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327</w:t>
            </w:r>
          </w:p>
        </w:tc>
        <w:tc>
          <w:tcPr>
            <w:tcW w:w="1012" w:type="pct"/>
            <w:tcBorders>
              <w:top w:val="nil"/>
              <w:left w:val="nil"/>
              <w:bottom w:val="nil"/>
              <w:right w:val="nil"/>
            </w:tcBorders>
            <w:shd w:val="clear" w:color="000000" w:fill="FFFFFF"/>
            <w:noWrap/>
            <w:vAlign w:val="center"/>
            <w:hideMark/>
          </w:tcPr>
          <w:p w14:paraId="110302E9"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59</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752</w:t>
            </w:r>
          </w:p>
        </w:tc>
        <w:tc>
          <w:tcPr>
            <w:tcW w:w="1429" w:type="pct"/>
            <w:tcBorders>
              <w:top w:val="nil"/>
              <w:left w:val="nil"/>
              <w:bottom w:val="nil"/>
              <w:right w:val="nil"/>
            </w:tcBorders>
            <w:shd w:val="clear" w:color="000000" w:fill="FFFFFF"/>
            <w:noWrap/>
            <w:vAlign w:val="center"/>
            <w:hideMark/>
          </w:tcPr>
          <w:p w14:paraId="1D4C9E96"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151,94</w:t>
            </w:r>
          </w:p>
        </w:tc>
      </w:tr>
      <w:tr w:rsidR="00916CDE" w:rsidRPr="00141409" w14:paraId="17EDBA63" w14:textId="77777777" w:rsidTr="005B6D7F">
        <w:trPr>
          <w:trHeight w:val="288"/>
        </w:trPr>
        <w:tc>
          <w:tcPr>
            <w:tcW w:w="1546" w:type="pct"/>
            <w:tcBorders>
              <w:top w:val="nil"/>
              <w:left w:val="nil"/>
              <w:bottom w:val="nil"/>
              <w:right w:val="nil"/>
            </w:tcBorders>
            <w:shd w:val="clear" w:color="000000" w:fill="FFFFFF"/>
            <w:noWrap/>
            <w:vAlign w:val="center"/>
            <w:hideMark/>
          </w:tcPr>
          <w:p w14:paraId="236143AC" w14:textId="77777777" w:rsidR="00916CDE" w:rsidRPr="00141409" w:rsidRDefault="00916CDE" w:rsidP="00D34201">
            <w:pPr>
              <w:spacing w:after="0" w:line="240" w:lineRule="auto"/>
              <w:jc w:val="left"/>
              <w:rPr>
                <w:rFonts w:eastAsia="Times New Roman" w:cs="Segoe UI"/>
                <w:sz w:val="18"/>
                <w:szCs w:val="18"/>
                <w:lang w:eastAsia="en-GB"/>
              </w:rPr>
            </w:pPr>
            <w:proofErr w:type="spellStart"/>
            <w:r w:rsidRPr="00141409">
              <w:rPr>
                <w:rFonts w:eastAsia="Times New Roman" w:cs="Segoe UI"/>
                <w:sz w:val="18"/>
                <w:szCs w:val="18"/>
                <w:lang w:eastAsia="en-GB"/>
              </w:rPr>
              <w:t>Interreg</w:t>
            </w:r>
            <w:proofErr w:type="spellEnd"/>
            <w:r w:rsidRPr="00141409">
              <w:rPr>
                <w:rFonts w:eastAsia="Times New Roman" w:cs="Segoe UI"/>
                <w:sz w:val="18"/>
                <w:szCs w:val="18"/>
                <w:lang w:eastAsia="en-GB"/>
              </w:rPr>
              <w:t xml:space="preserve"> V-A SK-AT</w:t>
            </w:r>
          </w:p>
        </w:tc>
        <w:tc>
          <w:tcPr>
            <w:tcW w:w="1012" w:type="pct"/>
            <w:tcBorders>
              <w:top w:val="nil"/>
              <w:left w:val="nil"/>
              <w:bottom w:val="nil"/>
              <w:right w:val="nil"/>
            </w:tcBorders>
            <w:shd w:val="clear" w:color="000000" w:fill="FFFFFF"/>
            <w:noWrap/>
            <w:vAlign w:val="center"/>
            <w:hideMark/>
          </w:tcPr>
          <w:p w14:paraId="656DED5B"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22</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720</w:t>
            </w:r>
          </w:p>
        </w:tc>
        <w:tc>
          <w:tcPr>
            <w:tcW w:w="1012" w:type="pct"/>
            <w:tcBorders>
              <w:top w:val="nil"/>
              <w:left w:val="nil"/>
              <w:bottom w:val="nil"/>
              <w:right w:val="nil"/>
            </w:tcBorders>
            <w:shd w:val="clear" w:color="000000" w:fill="FFFFFF"/>
            <w:noWrap/>
            <w:vAlign w:val="center"/>
            <w:hideMark/>
          </w:tcPr>
          <w:p w14:paraId="4537AE06"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45</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281</w:t>
            </w:r>
          </w:p>
        </w:tc>
        <w:tc>
          <w:tcPr>
            <w:tcW w:w="1429" w:type="pct"/>
            <w:tcBorders>
              <w:top w:val="nil"/>
              <w:left w:val="nil"/>
              <w:bottom w:val="nil"/>
              <w:right w:val="nil"/>
            </w:tcBorders>
            <w:shd w:val="clear" w:color="000000" w:fill="FFFFFF"/>
            <w:noWrap/>
            <w:vAlign w:val="center"/>
            <w:hideMark/>
          </w:tcPr>
          <w:p w14:paraId="414F3D41"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199,30</w:t>
            </w:r>
          </w:p>
        </w:tc>
      </w:tr>
      <w:tr w:rsidR="00916CDE" w:rsidRPr="00141409" w14:paraId="291C4710" w14:textId="77777777" w:rsidTr="005B6D7F">
        <w:trPr>
          <w:trHeight w:val="288"/>
        </w:trPr>
        <w:tc>
          <w:tcPr>
            <w:tcW w:w="1546" w:type="pct"/>
            <w:tcBorders>
              <w:top w:val="nil"/>
              <w:left w:val="nil"/>
              <w:bottom w:val="nil"/>
              <w:right w:val="nil"/>
            </w:tcBorders>
            <w:shd w:val="clear" w:color="000000" w:fill="FFFFFF"/>
            <w:noWrap/>
            <w:vAlign w:val="center"/>
            <w:hideMark/>
          </w:tcPr>
          <w:p w14:paraId="16141E4A" w14:textId="77777777" w:rsidR="00916CDE" w:rsidRPr="00141409" w:rsidRDefault="00916CDE" w:rsidP="00D34201">
            <w:pPr>
              <w:spacing w:after="0" w:line="240" w:lineRule="auto"/>
              <w:jc w:val="left"/>
              <w:rPr>
                <w:rFonts w:eastAsia="Times New Roman" w:cs="Segoe UI"/>
                <w:sz w:val="18"/>
                <w:szCs w:val="18"/>
                <w:lang w:eastAsia="en-GB"/>
              </w:rPr>
            </w:pPr>
            <w:r w:rsidRPr="00141409">
              <w:rPr>
                <w:rFonts w:eastAsia="Times New Roman" w:cs="Segoe UI"/>
                <w:sz w:val="18"/>
                <w:szCs w:val="18"/>
                <w:lang w:eastAsia="en-GB"/>
              </w:rPr>
              <w:t>PS INTERACT III</w:t>
            </w:r>
          </w:p>
        </w:tc>
        <w:tc>
          <w:tcPr>
            <w:tcW w:w="1012" w:type="pct"/>
            <w:tcBorders>
              <w:top w:val="nil"/>
              <w:left w:val="nil"/>
              <w:bottom w:val="nil"/>
              <w:right w:val="nil"/>
            </w:tcBorders>
            <w:shd w:val="clear" w:color="000000" w:fill="FFFFFF"/>
            <w:noWrap/>
            <w:vAlign w:val="center"/>
            <w:hideMark/>
          </w:tcPr>
          <w:p w14:paraId="1CDACAD0"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26</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124</w:t>
            </w:r>
          </w:p>
        </w:tc>
        <w:tc>
          <w:tcPr>
            <w:tcW w:w="1012" w:type="pct"/>
            <w:tcBorders>
              <w:top w:val="nil"/>
              <w:left w:val="nil"/>
              <w:bottom w:val="nil"/>
              <w:right w:val="nil"/>
            </w:tcBorders>
            <w:shd w:val="clear" w:color="000000" w:fill="FFFFFF"/>
            <w:noWrap/>
            <w:vAlign w:val="center"/>
            <w:hideMark/>
          </w:tcPr>
          <w:p w14:paraId="10A33D72"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32</w:t>
            </w:r>
            <w:r>
              <w:rPr>
                <w:rFonts w:eastAsia="Times New Roman" w:cs="Segoe UI"/>
                <w:color w:val="000000"/>
                <w:sz w:val="18"/>
                <w:szCs w:val="18"/>
                <w:lang w:eastAsia="en-GB"/>
              </w:rPr>
              <w:t xml:space="preserve"> </w:t>
            </w:r>
            <w:r w:rsidRPr="00141409">
              <w:rPr>
                <w:rFonts w:eastAsia="Times New Roman" w:cs="Segoe UI"/>
                <w:color w:val="000000"/>
                <w:sz w:val="18"/>
                <w:szCs w:val="18"/>
                <w:lang w:eastAsia="en-GB"/>
              </w:rPr>
              <w:t>853</w:t>
            </w:r>
          </w:p>
        </w:tc>
        <w:tc>
          <w:tcPr>
            <w:tcW w:w="1429" w:type="pct"/>
            <w:tcBorders>
              <w:top w:val="nil"/>
              <w:left w:val="nil"/>
              <w:bottom w:val="nil"/>
              <w:right w:val="nil"/>
            </w:tcBorders>
            <w:shd w:val="clear" w:color="000000" w:fill="FFFFFF"/>
            <w:noWrap/>
            <w:vAlign w:val="center"/>
            <w:hideMark/>
          </w:tcPr>
          <w:p w14:paraId="784924F8" w14:textId="77777777" w:rsidR="00916CDE" w:rsidRPr="00141409" w:rsidRDefault="00916CDE" w:rsidP="00D34201">
            <w:pPr>
              <w:spacing w:after="0" w:line="240" w:lineRule="auto"/>
              <w:jc w:val="right"/>
              <w:rPr>
                <w:rFonts w:eastAsia="Times New Roman" w:cs="Segoe UI"/>
                <w:color w:val="000000"/>
                <w:sz w:val="18"/>
                <w:szCs w:val="18"/>
                <w:lang w:eastAsia="en-GB"/>
              </w:rPr>
            </w:pPr>
            <w:r w:rsidRPr="00141409">
              <w:rPr>
                <w:rFonts w:eastAsia="Times New Roman" w:cs="Segoe UI"/>
                <w:color w:val="000000"/>
                <w:sz w:val="18"/>
                <w:szCs w:val="18"/>
                <w:lang w:eastAsia="en-GB"/>
              </w:rPr>
              <w:t>125,76</w:t>
            </w:r>
          </w:p>
        </w:tc>
      </w:tr>
      <w:tr w:rsidR="00916CDE" w:rsidRPr="00141409" w14:paraId="502AAFBD" w14:textId="77777777" w:rsidTr="005B6D7F">
        <w:trPr>
          <w:trHeight w:val="288"/>
        </w:trPr>
        <w:tc>
          <w:tcPr>
            <w:tcW w:w="1546" w:type="pct"/>
            <w:tcBorders>
              <w:top w:val="nil"/>
              <w:left w:val="nil"/>
              <w:bottom w:val="single" w:sz="4" w:space="0" w:color="auto"/>
              <w:right w:val="nil"/>
            </w:tcBorders>
            <w:shd w:val="clear" w:color="000000" w:fill="FFFFFF"/>
            <w:noWrap/>
            <w:vAlign w:val="center"/>
            <w:hideMark/>
          </w:tcPr>
          <w:p w14:paraId="3CDF0C27" w14:textId="77777777" w:rsidR="00916CDE" w:rsidRPr="00141409" w:rsidRDefault="00916CDE" w:rsidP="00D34201">
            <w:pPr>
              <w:spacing w:after="0" w:line="240" w:lineRule="auto"/>
              <w:jc w:val="left"/>
              <w:rPr>
                <w:rFonts w:eastAsia="Times New Roman" w:cs="Segoe UI"/>
                <w:b/>
                <w:bCs/>
                <w:sz w:val="18"/>
                <w:szCs w:val="18"/>
                <w:lang w:eastAsia="en-GB"/>
              </w:rPr>
            </w:pPr>
            <w:r w:rsidRPr="00141409">
              <w:rPr>
                <w:rFonts w:eastAsia="Times New Roman" w:cs="Segoe UI"/>
                <w:b/>
                <w:bCs/>
                <w:sz w:val="18"/>
                <w:szCs w:val="18"/>
                <w:lang w:eastAsia="en-GB"/>
              </w:rPr>
              <w:t>SPOLU EŠIF (bez PRV)</w:t>
            </w:r>
          </w:p>
        </w:tc>
        <w:tc>
          <w:tcPr>
            <w:tcW w:w="1012" w:type="pct"/>
            <w:tcBorders>
              <w:top w:val="nil"/>
              <w:left w:val="nil"/>
              <w:bottom w:val="single" w:sz="4" w:space="0" w:color="auto"/>
              <w:right w:val="nil"/>
            </w:tcBorders>
            <w:shd w:val="clear" w:color="000000" w:fill="FFFFFF"/>
            <w:noWrap/>
            <w:vAlign w:val="center"/>
            <w:hideMark/>
          </w:tcPr>
          <w:p w14:paraId="53E1F7C1" w14:textId="77777777" w:rsidR="00916CDE" w:rsidRPr="00141409" w:rsidRDefault="00916CDE" w:rsidP="00D34201">
            <w:pPr>
              <w:spacing w:after="0" w:line="240" w:lineRule="auto"/>
              <w:jc w:val="right"/>
              <w:rPr>
                <w:rFonts w:eastAsia="Times New Roman" w:cs="Segoe UI"/>
                <w:b/>
                <w:bCs/>
                <w:color w:val="000000"/>
                <w:sz w:val="18"/>
                <w:szCs w:val="18"/>
                <w:lang w:eastAsia="en-GB"/>
              </w:rPr>
            </w:pPr>
            <w:r w:rsidRPr="00141409">
              <w:rPr>
                <w:rFonts w:eastAsia="Times New Roman" w:cs="Segoe UI"/>
                <w:b/>
                <w:bCs/>
                <w:color w:val="000000"/>
                <w:sz w:val="18"/>
                <w:szCs w:val="18"/>
                <w:lang w:eastAsia="en-GB"/>
              </w:rPr>
              <w:t>6</w:t>
            </w:r>
            <w:r>
              <w:rPr>
                <w:rFonts w:eastAsia="Times New Roman" w:cs="Segoe UI"/>
                <w:b/>
                <w:bCs/>
                <w:color w:val="000000"/>
                <w:sz w:val="18"/>
                <w:szCs w:val="18"/>
                <w:lang w:eastAsia="en-GB"/>
              </w:rPr>
              <w:t xml:space="preserve"> </w:t>
            </w:r>
            <w:r w:rsidRPr="00141409">
              <w:rPr>
                <w:rFonts w:eastAsia="Times New Roman" w:cs="Segoe UI"/>
                <w:b/>
                <w:bCs/>
                <w:color w:val="000000"/>
                <w:sz w:val="18"/>
                <w:szCs w:val="18"/>
                <w:lang w:eastAsia="en-GB"/>
              </w:rPr>
              <w:t>468</w:t>
            </w:r>
            <w:r>
              <w:rPr>
                <w:rFonts w:eastAsia="Times New Roman" w:cs="Segoe UI"/>
                <w:b/>
                <w:bCs/>
                <w:color w:val="000000"/>
                <w:sz w:val="18"/>
                <w:szCs w:val="18"/>
                <w:lang w:eastAsia="en-GB"/>
              </w:rPr>
              <w:t xml:space="preserve"> </w:t>
            </w:r>
            <w:r w:rsidRPr="00141409">
              <w:rPr>
                <w:rFonts w:eastAsia="Times New Roman" w:cs="Segoe UI"/>
                <w:b/>
                <w:bCs/>
                <w:color w:val="000000"/>
                <w:sz w:val="18"/>
                <w:szCs w:val="18"/>
                <w:lang w:eastAsia="en-GB"/>
              </w:rPr>
              <w:t>293</w:t>
            </w:r>
          </w:p>
        </w:tc>
        <w:tc>
          <w:tcPr>
            <w:tcW w:w="1012" w:type="pct"/>
            <w:tcBorders>
              <w:top w:val="nil"/>
              <w:left w:val="nil"/>
              <w:bottom w:val="single" w:sz="4" w:space="0" w:color="auto"/>
              <w:right w:val="nil"/>
            </w:tcBorders>
            <w:shd w:val="clear" w:color="000000" w:fill="FFFFFF"/>
            <w:noWrap/>
            <w:vAlign w:val="center"/>
            <w:hideMark/>
          </w:tcPr>
          <w:p w14:paraId="1EEA7ACF" w14:textId="77777777" w:rsidR="00916CDE" w:rsidRPr="00141409" w:rsidRDefault="00916CDE" w:rsidP="00D34201">
            <w:pPr>
              <w:spacing w:after="0" w:line="240" w:lineRule="auto"/>
              <w:jc w:val="right"/>
              <w:rPr>
                <w:rFonts w:eastAsia="Times New Roman" w:cs="Segoe UI"/>
                <w:b/>
                <w:bCs/>
                <w:color w:val="000000"/>
                <w:sz w:val="18"/>
                <w:szCs w:val="18"/>
                <w:lang w:eastAsia="en-GB"/>
              </w:rPr>
            </w:pPr>
            <w:r w:rsidRPr="00141409">
              <w:rPr>
                <w:rFonts w:eastAsia="Times New Roman" w:cs="Segoe UI"/>
                <w:b/>
                <w:bCs/>
                <w:color w:val="000000"/>
                <w:sz w:val="18"/>
                <w:szCs w:val="18"/>
                <w:lang w:eastAsia="en-GB"/>
              </w:rPr>
              <w:t>8</w:t>
            </w:r>
            <w:r>
              <w:rPr>
                <w:rFonts w:eastAsia="Times New Roman" w:cs="Segoe UI"/>
                <w:b/>
                <w:bCs/>
                <w:color w:val="000000"/>
                <w:sz w:val="18"/>
                <w:szCs w:val="18"/>
                <w:lang w:eastAsia="en-GB"/>
              </w:rPr>
              <w:t xml:space="preserve"> </w:t>
            </w:r>
            <w:r w:rsidRPr="00141409">
              <w:rPr>
                <w:rFonts w:eastAsia="Times New Roman" w:cs="Segoe UI"/>
                <w:b/>
                <w:bCs/>
                <w:color w:val="000000"/>
                <w:sz w:val="18"/>
                <w:szCs w:val="18"/>
                <w:lang w:eastAsia="en-GB"/>
              </w:rPr>
              <w:t>976</w:t>
            </w:r>
            <w:r>
              <w:rPr>
                <w:rFonts w:eastAsia="Times New Roman" w:cs="Segoe UI"/>
                <w:b/>
                <w:bCs/>
                <w:color w:val="000000"/>
                <w:sz w:val="18"/>
                <w:szCs w:val="18"/>
                <w:lang w:eastAsia="en-GB"/>
              </w:rPr>
              <w:t xml:space="preserve"> </w:t>
            </w:r>
            <w:r w:rsidRPr="00141409">
              <w:rPr>
                <w:rFonts w:eastAsia="Times New Roman" w:cs="Segoe UI"/>
                <w:b/>
                <w:bCs/>
                <w:color w:val="000000"/>
                <w:sz w:val="18"/>
                <w:szCs w:val="18"/>
                <w:lang w:eastAsia="en-GB"/>
              </w:rPr>
              <w:t>209</w:t>
            </w:r>
          </w:p>
        </w:tc>
        <w:tc>
          <w:tcPr>
            <w:tcW w:w="1429" w:type="pct"/>
            <w:tcBorders>
              <w:top w:val="nil"/>
              <w:left w:val="nil"/>
              <w:bottom w:val="single" w:sz="4" w:space="0" w:color="auto"/>
              <w:right w:val="nil"/>
            </w:tcBorders>
            <w:shd w:val="clear" w:color="000000" w:fill="FFFFFF"/>
            <w:noWrap/>
            <w:vAlign w:val="center"/>
            <w:hideMark/>
          </w:tcPr>
          <w:p w14:paraId="64A6056A" w14:textId="77777777" w:rsidR="00916CDE" w:rsidRPr="00141409" w:rsidRDefault="00916CDE" w:rsidP="00D34201">
            <w:pPr>
              <w:spacing w:after="0" w:line="240" w:lineRule="auto"/>
              <w:jc w:val="right"/>
              <w:rPr>
                <w:rFonts w:eastAsia="Times New Roman" w:cs="Segoe UI"/>
                <w:b/>
                <w:bCs/>
                <w:color w:val="000000"/>
                <w:sz w:val="18"/>
                <w:szCs w:val="18"/>
                <w:lang w:eastAsia="en-GB"/>
              </w:rPr>
            </w:pPr>
            <w:r w:rsidRPr="00141409">
              <w:rPr>
                <w:rFonts w:eastAsia="Times New Roman" w:cs="Segoe UI"/>
                <w:b/>
                <w:bCs/>
                <w:color w:val="000000"/>
                <w:sz w:val="18"/>
                <w:szCs w:val="18"/>
                <w:lang w:eastAsia="en-GB"/>
              </w:rPr>
              <w:t>138,77</w:t>
            </w:r>
          </w:p>
        </w:tc>
      </w:tr>
      <w:tr w:rsidR="00916CDE" w:rsidRPr="00141409" w14:paraId="4F662274" w14:textId="77777777" w:rsidTr="005B6D7F">
        <w:trPr>
          <w:trHeight w:val="288"/>
        </w:trPr>
        <w:tc>
          <w:tcPr>
            <w:tcW w:w="2558" w:type="pct"/>
            <w:gridSpan w:val="2"/>
            <w:tcBorders>
              <w:top w:val="nil"/>
              <w:left w:val="nil"/>
              <w:bottom w:val="nil"/>
              <w:right w:val="nil"/>
            </w:tcBorders>
            <w:shd w:val="clear" w:color="auto" w:fill="auto"/>
            <w:noWrap/>
            <w:vAlign w:val="bottom"/>
            <w:hideMark/>
          </w:tcPr>
          <w:p w14:paraId="10A4C5A6" w14:textId="77777777" w:rsidR="00916CDE" w:rsidRPr="00D53139" w:rsidRDefault="00916CDE" w:rsidP="00D34201">
            <w:pPr>
              <w:pStyle w:val="Zdroj"/>
              <w:rPr>
                <w:lang w:eastAsia="en-GB"/>
              </w:rPr>
            </w:pPr>
            <w:r w:rsidRPr="00141409">
              <w:rPr>
                <w:lang w:eastAsia="en-GB"/>
              </w:rPr>
              <w:t>Zdroj: MIRRI SR, čerpanie z celkovej alokácie</w:t>
            </w:r>
          </w:p>
        </w:tc>
        <w:tc>
          <w:tcPr>
            <w:tcW w:w="1012" w:type="pct"/>
            <w:tcBorders>
              <w:top w:val="nil"/>
              <w:left w:val="nil"/>
              <w:bottom w:val="nil"/>
              <w:right w:val="nil"/>
            </w:tcBorders>
            <w:shd w:val="clear" w:color="auto" w:fill="auto"/>
            <w:noWrap/>
            <w:vAlign w:val="bottom"/>
            <w:hideMark/>
          </w:tcPr>
          <w:p w14:paraId="1C3F1892" w14:textId="77777777" w:rsidR="00916CDE" w:rsidRPr="00141409" w:rsidRDefault="00916CDE" w:rsidP="00D34201">
            <w:pPr>
              <w:spacing w:after="0" w:line="240" w:lineRule="auto"/>
              <w:jc w:val="left"/>
              <w:rPr>
                <w:rFonts w:eastAsia="Times New Roman" w:cs="Segoe UI"/>
                <w:i/>
                <w:iCs/>
                <w:color w:val="000000"/>
                <w:sz w:val="16"/>
                <w:szCs w:val="16"/>
                <w:lang w:eastAsia="en-GB"/>
              </w:rPr>
            </w:pPr>
          </w:p>
        </w:tc>
        <w:tc>
          <w:tcPr>
            <w:tcW w:w="1429" w:type="pct"/>
            <w:tcBorders>
              <w:top w:val="nil"/>
              <w:left w:val="nil"/>
              <w:bottom w:val="nil"/>
              <w:right w:val="nil"/>
            </w:tcBorders>
            <w:shd w:val="clear" w:color="auto" w:fill="auto"/>
            <w:noWrap/>
            <w:vAlign w:val="bottom"/>
            <w:hideMark/>
          </w:tcPr>
          <w:p w14:paraId="43F2A9BA" w14:textId="77777777" w:rsidR="00916CDE" w:rsidRPr="00141409" w:rsidRDefault="00916CDE" w:rsidP="00D34201">
            <w:pPr>
              <w:spacing w:after="0" w:line="240" w:lineRule="auto"/>
              <w:jc w:val="left"/>
              <w:rPr>
                <w:rFonts w:ascii="Times New Roman" w:eastAsia="Times New Roman" w:hAnsi="Times New Roman" w:cs="Times New Roman"/>
                <w:szCs w:val="20"/>
                <w:lang w:eastAsia="en-GB"/>
              </w:rPr>
            </w:pPr>
          </w:p>
        </w:tc>
      </w:tr>
    </w:tbl>
    <w:p w14:paraId="2D29DEF8" w14:textId="77777777" w:rsidR="005B6D7F" w:rsidRPr="005A61C5" w:rsidRDefault="005B6D7F" w:rsidP="005B6D7F">
      <w:pPr>
        <w:pStyle w:val="Popis"/>
        <w:keepNext/>
        <w:spacing w:after="120" w:line="276" w:lineRule="auto"/>
        <w:rPr>
          <w:b w:val="0"/>
          <w:color w:val="auto"/>
        </w:rPr>
      </w:pPr>
      <w:r>
        <w:rPr>
          <w:b w:val="0"/>
          <w:color w:val="auto"/>
        </w:rPr>
        <w:lastRenderedPageBreak/>
        <w:t>Pri porovnaní stavu čerpania z celkovej alokácie (graf 5) n</w:t>
      </w:r>
      <w:r w:rsidRPr="005A61C5">
        <w:rPr>
          <w:b w:val="0"/>
          <w:color w:val="auto"/>
        </w:rPr>
        <w:t>ajvyššia celková miera čerpania k</w:t>
      </w:r>
      <w:r>
        <w:rPr>
          <w:b w:val="0"/>
          <w:color w:val="auto"/>
        </w:rPr>
        <w:t xml:space="preserve"> 30. 9. </w:t>
      </w:r>
      <w:r w:rsidRPr="005A61C5">
        <w:rPr>
          <w:b w:val="0"/>
          <w:color w:val="auto"/>
        </w:rPr>
        <w:t xml:space="preserve">2022 bola v OP Technická pomoc (91,2 %), PS INTERACT III (83,4 %) a OP Ľudské zdroje (76,3 %). </w:t>
      </w:r>
      <w:r>
        <w:rPr>
          <w:b w:val="0"/>
          <w:color w:val="auto"/>
        </w:rPr>
        <w:t>N</w:t>
      </w:r>
      <w:r w:rsidRPr="005A61C5">
        <w:rPr>
          <w:b w:val="0"/>
          <w:color w:val="auto"/>
        </w:rPr>
        <w:t xml:space="preserve">ajnižšie čerpanie dlhodobo vykazuje OP Rybné hospodárstvo (23,56 %). </w:t>
      </w:r>
    </w:p>
    <w:p w14:paraId="1BD5C871" w14:textId="1372DA65" w:rsidR="00A42B5E" w:rsidRDefault="00A42B5E" w:rsidP="00A42B5E">
      <w:pPr>
        <w:pStyle w:val="Popis"/>
        <w:keepNext/>
      </w:pPr>
      <w:r>
        <w:t>Graf 5</w:t>
      </w:r>
      <w:r w:rsidR="00CB5937">
        <w:t>:</w:t>
      </w:r>
      <w:r>
        <w:t xml:space="preserve"> Čerpanie EŠIF podľa jednotlivých OP k 30. 9. 2022 (%</w:t>
      </w:r>
      <w:r w:rsidR="00A97910">
        <w:t xml:space="preserve"> z celkovej alokácie</w:t>
      </w:r>
      <w:r>
        <w:t>)</w:t>
      </w:r>
    </w:p>
    <w:tbl>
      <w:tblPr>
        <w:tblStyle w:val="Mriekatabuky"/>
        <w:tblW w:w="0" w:type="auto"/>
        <w:tblLook w:val="04A0" w:firstRow="1" w:lastRow="0" w:firstColumn="1" w:lastColumn="0" w:noHBand="0" w:noVBand="1"/>
      </w:tblPr>
      <w:tblGrid>
        <w:gridCol w:w="9070"/>
      </w:tblGrid>
      <w:tr w:rsidR="00A42B5E" w14:paraId="465861D7" w14:textId="77777777" w:rsidTr="00D34201">
        <w:trPr>
          <w:trHeight w:val="3969"/>
        </w:trPr>
        <w:tc>
          <w:tcPr>
            <w:tcW w:w="9060" w:type="dxa"/>
            <w:tcBorders>
              <w:top w:val="single" w:sz="4" w:space="0" w:color="314364" w:themeColor="text2"/>
              <w:left w:val="nil"/>
              <w:bottom w:val="single" w:sz="4" w:space="0" w:color="314364" w:themeColor="text2"/>
              <w:right w:val="nil"/>
            </w:tcBorders>
            <w:vAlign w:val="center"/>
          </w:tcPr>
          <w:p w14:paraId="73776486" w14:textId="77777777" w:rsidR="00A42B5E" w:rsidRDefault="00A42B5E" w:rsidP="00D34201">
            <w:pPr>
              <w:spacing w:after="0"/>
              <w:jc w:val="center"/>
            </w:pPr>
            <w:r>
              <w:rPr>
                <w:noProof/>
                <w:lang w:eastAsia="sk-SK"/>
              </w:rPr>
              <w:drawing>
                <wp:inline distT="0" distB="0" distL="0" distR="0" wp14:anchorId="0373BE79" wp14:editId="3E026C09">
                  <wp:extent cx="5759450" cy="2499360"/>
                  <wp:effectExtent l="0" t="0" r="0" b="0"/>
                  <wp:docPr id="14" name="Graf 14">
                    <a:extLst xmlns:a="http://schemas.openxmlformats.org/drawingml/2006/main">
                      <a:ext uri="{FF2B5EF4-FFF2-40B4-BE49-F238E27FC236}">
                        <a16:creationId xmlns:a16="http://schemas.microsoft.com/office/drawing/2014/main" id="{46C102ED-2FE5-0CCC-46DB-227BD4CBD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58E74A90" w14:textId="77777777" w:rsidR="00516B80" w:rsidRDefault="00516B80" w:rsidP="009169FD">
      <w:pPr>
        <w:pStyle w:val="Zdroj"/>
        <w:rPr>
          <w:lang w:eastAsia="en-GB"/>
        </w:rPr>
      </w:pPr>
      <w:r w:rsidRPr="00141409">
        <w:rPr>
          <w:lang w:eastAsia="en-GB"/>
        </w:rPr>
        <w:t>Zdroj: MIRRI SR, čerpanie z celkovej alokácie</w:t>
      </w:r>
    </w:p>
    <w:p w14:paraId="58DE916F" w14:textId="1126A2FA" w:rsidR="00516B80" w:rsidRDefault="00516B80" w:rsidP="00516B80">
      <w:r w:rsidRPr="00530B10">
        <w:rPr>
          <w:b/>
        </w:rPr>
        <w:t>Podpriemerné čerpanie EŠIF potvrdzuje aj medzinárodné porovnanie krajín EÚ</w:t>
      </w:r>
      <w:r>
        <w:t xml:space="preserve"> (graf 6), kde sa Slovensko pravidelne umie</w:t>
      </w:r>
      <w:r w:rsidR="00530B10">
        <w:t>stňuje na posledných priečkach.</w:t>
      </w:r>
    </w:p>
    <w:p w14:paraId="45D7AC90" w14:textId="77777777" w:rsidR="00B76344" w:rsidRDefault="00B76344" w:rsidP="00B76344">
      <w:pPr>
        <w:pStyle w:val="Popis"/>
        <w:keepNext/>
      </w:pPr>
      <w:r>
        <w:t>Graf 6: Medzinárodné porovnanie čerpania EŠIF k 30. 6. 2022 (v %)</w:t>
      </w:r>
    </w:p>
    <w:tbl>
      <w:tblPr>
        <w:tblStyle w:val="Mriekatabuky"/>
        <w:tblW w:w="0" w:type="auto"/>
        <w:tblLook w:val="04A0" w:firstRow="1" w:lastRow="0" w:firstColumn="1" w:lastColumn="0" w:noHBand="0" w:noVBand="1"/>
      </w:tblPr>
      <w:tblGrid>
        <w:gridCol w:w="9070"/>
      </w:tblGrid>
      <w:tr w:rsidR="00B76344" w14:paraId="7829411A" w14:textId="77777777" w:rsidTr="00D34201">
        <w:trPr>
          <w:trHeight w:val="3685"/>
        </w:trPr>
        <w:tc>
          <w:tcPr>
            <w:tcW w:w="9060" w:type="dxa"/>
            <w:tcBorders>
              <w:top w:val="single" w:sz="4" w:space="0" w:color="314364" w:themeColor="text2"/>
              <w:left w:val="nil"/>
              <w:bottom w:val="single" w:sz="4" w:space="0" w:color="314364" w:themeColor="text2"/>
              <w:right w:val="nil"/>
            </w:tcBorders>
          </w:tcPr>
          <w:p w14:paraId="7E03F05E" w14:textId="77777777" w:rsidR="00B76344" w:rsidRDefault="00B76344" w:rsidP="00D34201">
            <w:pPr>
              <w:spacing w:after="0"/>
            </w:pPr>
            <w:r w:rsidRPr="007C2DE6">
              <w:rPr>
                <w:rFonts w:eastAsia="Times New Roman" w:cs="Segoe UI"/>
                <w:i/>
                <w:iCs/>
                <w:noProof/>
                <w:color w:val="000000"/>
                <w:sz w:val="16"/>
                <w:szCs w:val="16"/>
                <w:lang w:eastAsia="sk-SK"/>
              </w:rPr>
              <w:drawing>
                <wp:inline distT="0" distB="0" distL="0" distR="0" wp14:anchorId="3F152723" wp14:editId="3DC16EEA">
                  <wp:extent cx="5759450" cy="2324100"/>
                  <wp:effectExtent l="0" t="0" r="0" b="0"/>
                  <wp:docPr id="9" name="Graf 9">
                    <a:extLst xmlns:a="http://schemas.openxmlformats.org/drawingml/2006/main">
                      <a:ext uri="{FF2B5EF4-FFF2-40B4-BE49-F238E27FC236}">
                        <a16:creationId xmlns:a16="http://schemas.microsoft.com/office/drawing/2014/main" id="{D7217BBD-6702-EDAD-3952-A6784130C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61B3857E" w14:textId="77777777" w:rsidR="00B76344" w:rsidRDefault="00B76344" w:rsidP="00B76344">
      <w:pPr>
        <w:pStyle w:val="Zdroj"/>
        <w:rPr>
          <w:lang w:eastAsia="en-GB"/>
        </w:rPr>
      </w:pPr>
      <w:r w:rsidRPr="007C2DE6">
        <w:rPr>
          <w:lang w:eastAsia="en-GB"/>
        </w:rPr>
        <w:t>Zdroj: Európska komisia; dáta aktualizované k 30.</w:t>
      </w:r>
      <w:r>
        <w:rPr>
          <w:lang w:eastAsia="en-GB"/>
        </w:rPr>
        <w:t xml:space="preserve"> </w:t>
      </w:r>
      <w:r w:rsidRPr="007C2DE6">
        <w:rPr>
          <w:lang w:eastAsia="en-GB"/>
        </w:rPr>
        <w:t>9.</w:t>
      </w:r>
      <w:r>
        <w:rPr>
          <w:lang w:eastAsia="en-GB"/>
        </w:rPr>
        <w:t xml:space="preserve"> </w:t>
      </w:r>
      <w:r w:rsidRPr="007C2DE6">
        <w:rPr>
          <w:lang w:eastAsia="en-GB"/>
        </w:rPr>
        <w:t>2022</w:t>
      </w:r>
      <w:r>
        <w:rPr>
          <w:lang w:eastAsia="en-GB"/>
        </w:rPr>
        <w:t>. Priemer EÚ 69 %.</w:t>
      </w:r>
    </w:p>
    <w:p w14:paraId="676F14A4" w14:textId="77777777" w:rsidR="00530B10" w:rsidRDefault="00530B10" w:rsidP="00530B10">
      <w:r w:rsidRPr="00167F21">
        <w:rPr>
          <w:b/>
        </w:rPr>
        <w:t xml:space="preserve">SR je dlhodobo na poslednom mieste aj v rámci krajín V4 </w:t>
      </w:r>
      <w:r>
        <w:t>(graf 7).</w:t>
      </w:r>
    </w:p>
    <w:p w14:paraId="2F4F6137" w14:textId="77777777" w:rsidR="00B76344" w:rsidRDefault="00B76344" w:rsidP="00516B80"/>
    <w:p w14:paraId="46B836FD" w14:textId="77777777" w:rsidR="00B76344" w:rsidRDefault="00B76344" w:rsidP="00B76344">
      <w:pPr>
        <w:pStyle w:val="Popis"/>
        <w:keepNext/>
      </w:pPr>
      <w:r>
        <w:lastRenderedPageBreak/>
        <w:t>Graf 7: Čerpanie EŠIF v PO 2014 – 2020 v krajinách V4 a priemer EÚ k 30. 6. 2022 (v %)</w:t>
      </w:r>
    </w:p>
    <w:tbl>
      <w:tblPr>
        <w:tblStyle w:val="Mriekatabuky"/>
        <w:tblW w:w="0" w:type="auto"/>
        <w:tblCellMar>
          <w:left w:w="70" w:type="dxa"/>
          <w:right w:w="70" w:type="dxa"/>
        </w:tblCellMar>
        <w:tblLook w:val="04A0" w:firstRow="1" w:lastRow="0" w:firstColumn="1" w:lastColumn="0" w:noHBand="0" w:noVBand="1"/>
      </w:tblPr>
      <w:tblGrid>
        <w:gridCol w:w="9070"/>
      </w:tblGrid>
      <w:tr w:rsidR="00B76344" w14:paraId="535DD354" w14:textId="77777777" w:rsidTr="006A6B9D">
        <w:trPr>
          <w:trHeight w:val="3685"/>
        </w:trPr>
        <w:tc>
          <w:tcPr>
            <w:tcW w:w="9060" w:type="dxa"/>
            <w:tcBorders>
              <w:top w:val="single" w:sz="4" w:space="0" w:color="314364" w:themeColor="text2"/>
              <w:left w:val="nil"/>
              <w:bottom w:val="single" w:sz="4" w:space="0" w:color="314364" w:themeColor="text2"/>
              <w:right w:val="nil"/>
            </w:tcBorders>
          </w:tcPr>
          <w:p w14:paraId="24224FD8" w14:textId="392B1DFC" w:rsidR="00B76344" w:rsidRDefault="006A6B9D" w:rsidP="00D34201">
            <w:pPr>
              <w:spacing w:after="0"/>
            </w:pPr>
            <w:r>
              <w:rPr>
                <w:noProof/>
                <w:lang w:eastAsia="sk-SK"/>
              </w:rPr>
              <w:drawing>
                <wp:inline distT="0" distB="0" distL="0" distR="0" wp14:anchorId="462A306D" wp14:editId="6BE1E081">
                  <wp:extent cx="5759450" cy="2316480"/>
                  <wp:effectExtent l="0" t="0" r="0" b="762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518130C1" w14:textId="5735BC41" w:rsidR="00B76344" w:rsidRDefault="00B76344" w:rsidP="00B76344">
      <w:pPr>
        <w:pStyle w:val="Zdroj"/>
        <w:rPr>
          <w:lang w:eastAsia="en-GB"/>
        </w:rPr>
      </w:pPr>
      <w:r w:rsidRPr="007C2DE6">
        <w:rPr>
          <w:lang w:eastAsia="en-GB"/>
        </w:rPr>
        <w:t>Zdroj: Európska komisia; dáta aktualizované k 30.</w:t>
      </w:r>
      <w:r>
        <w:rPr>
          <w:lang w:eastAsia="en-GB"/>
        </w:rPr>
        <w:t xml:space="preserve"> </w:t>
      </w:r>
      <w:r w:rsidRPr="007C2DE6">
        <w:rPr>
          <w:lang w:eastAsia="en-GB"/>
        </w:rPr>
        <w:t>9.</w:t>
      </w:r>
      <w:r>
        <w:rPr>
          <w:lang w:eastAsia="en-GB"/>
        </w:rPr>
        <w:t xml:space="preserve"> </w:t>
      </w:r>
      <w:r w:rsidRPr="007C2DE6">
        <w:rPr>
          <w:lang w:eastAsia="en-GB"/>
        </w:rPr>
        <w:t>2022</w:t>
      </w:r>
    </w:p>
    <w:p w14:paraId="38DABE73" w14:textId="2784F3F2" w:rsidR="000218FC" w:rsidRDefault="000218FC" w:rsidP="000218FC">
      <w:r w:rsidRPr="00A42B5E">
        <w:rPr>
          <w:b/>
        </w:rPr>
        <w:t>Problémy s nezrovnalosťami</w:t>
      </w:r>
      <w:r w:rsidRPr="00A42B5E">
        <w:rPr>
          <w:rStyle w:val="Odkaznapoznmkupodiarou"/>
        </w:rPr>
        <w:footnoteReference w:id="12"/>
      </w:r>
      <w:r w:rsidRPr="00A42B5E">
        <w:rPr>
          <w:b/>
        </w:rPr>
        <w:t xml:space="preserve"> a </w:t>
      </w:r>
      <w:proofErr w:type="spellStart"/>
      <w:r w:rsidRPr="00A42B5E">
        <w:rPr>
          <w:b/>
        </w:rPr>
        <w:t>vratkami</w:t>
      </w:r>
      <w:proofErr w:type="spellEnd"/>
      <w:r w:rsidRPr="00A42B5E">
        <w:rPr>
          <w:b/>
        </w:rPr>
        <w:t xml:space="preserve"> pri čerpaní fondov EÚ pretrvávali, keď sa k 30. 9. 2022 zvýšili medziročne o 95,78 mil. </w:t>
      </w:r>
      <w:r w:rsidR="00D1721D" w:rsidRPr="00A42B5E">
        <w:rPr>
          <w:b/>
        </w:rPr>
        <w:t>e</w:t>
      </w:r>
      <w:r w:rsidRPr="00A42B5E">
        <w:rPr>
          <w:b/>
        </w:rPr>
        <w:t>ur.</w:t>
      </w:r>
      <w:r>
        <w:t xml:space="preserve"> Najvyšší prírastok bol v OP Integrovaná infraštruktúra (80,1 mil. </w:t>
      </w:r>
      <w:r w:rsidR="00D53139">
        <w:t>e</w:t>
      </w:r>
      <w:r>
        <w:t xml:space="preserve">ur). OP II vykazuje </w:t>
      </w:r>
      <w:r w:rsidR="006B7790">
        <w:t xml:space="preserve">aj </w:t>
      </w:r>
      <w:r>
        <w:t>najvyššiu kumulatívnu výšku nezrovnalostí za celé PO 2014</w:t>
      </w:r>
      <w:r w:rsidR="00FC2F23">
        <w:t xml:space="preserve"> – </w:t>
      </w:r>
      <w:r>
        <w:t>2020 (</w:t>
      </w:r>
      <w:r w:rsidR="00D53139">
        <w:t>t</w:t>
      </w:r>
      <w:r>
        <w:t xml:space="preserve">abuľka </w:t>
      </w:r>
      <w:r w:rsidR="006B7790">
        <w:t>5</w:t>
      </w:r>
      <w:r>
        <w:t>).</w:t>
      </w:r>
      <w:r w:rsidR="00EE271A">
        <w:rPr>
          <w:rStyle w:val="Odkaznapoznmkupodiarou"/>
        </w:rPr>
        <w:footnoteReference w:id="13"/>
      </w:r>
    </w:p>
    <w:p w14:paraId="4F83AC25" w14:textId="7D0326BE" w:rsidR="00B76344" w:rsidRDefault="00B76344" w:rsidP="00B76344">
      <w:pPr>
        <w:pStyle w:val="Popis"/>
        <w:keepNext/>
      </w:pPr>
      <w:r>
        <w:t>Tabuľka 5: Nezrovnalosti v rámci PO 2014</w:t>
      </w:r>
      <w:r w:rsidR="00D31C24">
        <w:t xml:space="preserve"> – </w:t>
      </w:r>
      <w:r>
        <w:t>2020 k 30. 9. 2022 (v tis. eur)</w:t>
      </w:r>
    </w:p>
    <w:tbl>
      <w:tblPr>
        <w:tblW w:w="9104" w:type="dxa"/>
        <w:tblLook w:val="04A0" w:firstRow="1" w:lastRow="0" w:firstColumn="1" w:lastColumn="0" w:noHBand="0" w:noVBand="1"/>
      </w:tblPr>
      <w:tblGrid>
        <w:gridCol w:w="5954"/>
        <w:gridCol w:w="1361"/>
        <w:gridCol w:w="1789"/>
      </w:tblGrid>
      <w:tr w:rsidR="00B76344" w:rsidRPr="007D42F4" w14:paraId="7FC552E0" w14:textId="77777777" w:rsidTr="00D34201">
        <w:trPr>
          <w:trHeight w:val="256"/>
        </w:trPr>
        <w:tc>
          <w:tcPr>
            <w:tcW w:w="5954" w:type="dxa"/>
            <w:vMerge w:val="restart"/>
            <w:tcBorders>
              <w:top w:val="nil"/>
              <w:left w:val="nil"/>
              <w:bottom w:val="nil"/>
              <w:right w:val="nil"/>
            </w:tcBorders>
            <w:shd w:val="clear" w:color="000000" w:fill="314364"/>
            <w:noWrap/>
            <w:vAlign w:val="center"/>
            <w:hideMark/>
          </w:tcPr>
          <w:p w14:paraId="096FEBED" w14:textId="77777777" w:rsidR="00B76344" w:rsidRPr="007D42F4" w:rsidRDefault="00B76344" w:rsidP="00D34201">
            <w:pPr>
              <w:spacing w:after="0" w:line="240" w:lineRule="auto"/>
              <w:jc w:val="left"/>
              <w:rPr>
                <w:rFonts w:eastAsia="Times New Roman" w:cs="Segoe UI"/>
                <w:b/>
                <w:bCs/>
                <w:color w:val="FFFFFF"/>
                <w:sz w:val="18"/>
                <w:szCs w:val="18"/>
                <w:lang w:eastAsia="en-GB"/>
              </w:rPr>
            </w:pPr>
            <w:r w:rsidRPr="007D42F4">
              <w:rPr>
                <w:rFonts w:eastAsia="Times New Roman" w:cs="Segoe UI"/>
                <w:b/>
                <w:bCs/>
                <w:color w:val="FFFFFF"/>
                <w:sz w:val="18"/>
                <w:szCs w:val="18"/>
                <w:lang w:eastAsia="en-GB"/>
              </w:rPr>
              <w:t>Operačný program</w:t>
            </w:r>
          </w:p>
        </w:tc>
        <w:tc>
          <w:tcPr>
            <w:tcW w:w="3150" w:type="dxa"/>
            <w:gridSpan w:val="2"/>
            <w:tcBorders>
              <w:top w:val="nil"/>
              <w:left w:val="nil"/>
              <w:bottom w:val="nil"/>
              <w:right w:val="nil"/>
            </w:tcBorders>
            <w:shd w:val="clear" w:color="000000" w:fill="314364"/>
            <w:noWrap/>
            <w:vAlign w:val="center"/>
            <w:hideMark/>
          </w:tcPr>
          <w:p w14:paraId="25BA8677" w14:textId="77777777" w:rsidR="00B76344" w:rsidRPr="007D42F4" w:rsidRDefault="00B76344" w:rsidP="00D34201">
            <w:pPr>
              <w:spacing w:after="0" w:line="240" w:lineRule="auto"/>
              <w:jc w:val="center"/>
              <w:rPr>
                <w:rFonts w:eastAsia="Times New Roman" w:cs="Segoe UI"/>
                <w:b/>
                <w:bCs/>
                <w:color w:val="FFFFFF"/>
                <w:sz w:val="18"/>
                <w:szCs w:val="18"/>
                <w:lang w:eastAsia="en-GB"/>
              </w:rPr>
            </w:pPr>
            <w:r w:rsidRPr="007D42F4">
              <w:rPr>
                <w:rFonts w:eastAsia="Times New Roman" w:cs="Segoe UI"/>
                <w:b/>
                <w:bCs/>
                <w:color w:val="FFFFFF"/>
                <w:sz w:val="18"/>
                <w:szCs w:val="18"/>
                <w:lang w:eastAsia="en-GB"/>
              </w:rPr>
              <w:t>Nezrovnalosti</w:t>
            </w:r>
          </w:p>
        </w:tc>
      </w:tr>
      <w:tr w:rsidR="00B76344" w:rsidRPr="007D42F4" w14:paraId="0B41F1FF" w14:textId="77777777" w:rsidTr="00D34201">
        <w:trPr>
          <w:trHeight w:val="256"/>
        </w:trPr>
        <w:tc>
          <w:tcPr>
            <w:tcW w:w="5954" w:type="dxa"/>
            <w:vMerge/>
            <w:tcBorders>
              <w:top w:val="nil"/>
              <w:left w:val="nil"/>
              <w:bottom w:val="nil"/>
              <w:right w:val="nil"/>
            </w:tcBorders>
            <w:vAlign w:val="center"/>
            <w:hideMark/>
          </w:tcPr>
          <w:p w14:paraId="50095ECC" w14:textId="77777777" w:rsidR="00B76344" w:rsidRPr="007D42F4" w:rsidRDefault="00B76344" w:rsidP="00D34201">
            <w:pPr>
              <w:spacing w:after="0" w:line="240" w:lineRule="auto"/>
              <w:jc w:val="left"/>
              <w:rPr>
                <w:rFonts w:eastAsia="Times New Roman" w:cs="Segoe UI"/>
                <w:b/>
                <w:bCs/>
                <w:color w:val="FFFFFF"/>
                <w:sz w:val="18"/>
                <w:szCs w:val="18"/>
                <w:lang w:eastAsia="en-GB"/>
              </w:rPr>
            </w:pPr>
          </w:p>
        </w:tc>
        <w:tc>
          <w:tcPr>
            <w:tcW w:w="1361" w:type="dxa"/>
            <w:tcBorders>
              <w:top w:val="nil"/>
              <w:left w:val="nil"/>
              <w:bottom w:val="nil"/>
              <w:right w:val="nil"/>
            </w:tcBorders>
            <w:shd w:val="clear" w:color="000000" w:fill="314364"/>
            <w:noWrap/>
            <w:vAlign w:val="center"/>
            <w:hideMark/>
          </w:tcPr>
          <w:p w14:paraId="1286A908" w14:textId="77777777" w:rsidR="00B76344" w:rsidRPr="007D42F4" w:rsidRDefault="00B76344" w:rsidP="00D34201">
            <w:pPr>
              <w:spacing w:after="0" w:line="240" w:lineRule="auto"/>
              <w:jc w:val="right"/>
              <w:rPr>
                <w:rFonts w:eastAsia="Times New Roman" w:cs="Segoe UI"/>
                <w:b/>
                <w:bCs/>
                <w:color w:val="FFFFFF"/>
                <w:sz w:val="18"/>
                <w:szCs w:val="18"/>
                <w:lang w:eastAsia="en-GB"/>
              </w:rPr>
            </w:pPr>
            <w:r w:rsidRPr="007D42F4">
              <w:rPr>
                <w:rFonts w:eastAsia="Times New Roman" w:cs="Segoe UI"/>
                <w:b/>
                <w:bCs/>
                <w:color w:val="FFFFFF"/>
                <w:sz w:val="18"/>
                <w:szCs w:val="18"/>
                <w:lang w:eastAsia="en-GB"/>
              </w:rPr>
              <w:t>EÚ zdroj</w:t>
            </w:r>
          </w:p>
        </w:tc>
        <w:tc>
          <w:tcPr>
            <w:tcW w:w="1789" w:type="dxa"/>
            <w:tcBorders>
              <w:top w:val="nil"/>
              <w:left w:val="nil"/>
              <w:bottom w:val="nil"/>
              <w:right w:val="nil"/>
            </w:tcBorders>
            <w:shd w:val="clear" w:color="000000" w:fill="314364"/>
            <w:noWrap/>
            <w:vAlign w:val="center"/>
            <w:hideMark/>
          </w:tcPr>
          <w:p w14:paraId="530F411E" w14:textId="77777777" w:rsidR="00B76344" w:rsidRPr="007D42F4" w:rsidRDefault="00B76344" w:rsidP="00D34201">
            <w:pPr>
              <w:spacing w:after="0" w:line="240" w:lineRule="auto"/>
              <w:jc w:val="right"/>
              <w:rPr>
                <w:rFonts w:eastAsia="Times New Roman" w:cs="Segoe UI"/>
                <w:b/>
                <w:bCs/>
                <w:color w:val="FFFFFF"/>
                <w:sz w:val="18"/>
                <w:szCs w:val="18"/>
                <w:lang w:eastAsia="en-GB"/>
              </w:rPr>
            </w:pPr>
            <w:r w:rsidRPr="007D42F4">
              <w:rPr>
                <w:rFonts w:eastAsia="Times New Roman" w:cs="Segoe UI"/>
                <w:b/>
                <w:bCs/>
                <w:color w:val="FFFFFF"/>
                <w:sz w:val="18"/>
                <w:szCs w:val="18"/>
                <w:lang w:eastAsia="en-GB"/>
              </w:rPr>
              <w:t>ŠR zdroj</w:t>
            </w:r>
          </w:p>
        </w:tc>
      </w:tr>
      <w:tr w:rsidR="00B76344" w:rsidRPr="007D42F4" w14:paraId="71F9EF67" w14:textId="77777777" w:rsidTr="00D34201">
        <w:trPr>
          <w:trHeight w:val="256"/>
        </w:trPr>
        <w:tc>
          <w:tcPr>
            <w:tcW w:w="5954" w:type="dxa"/>
            <w:tcBorders>
              <w:top w:val="nil"/>
              <w:left w:val="nil"/>
              <w:bottom w:val="nil"/>
              <w:right w:val="nil"/>
            </w:tcBorders>
            <w:shd w:val="clear" w:color="000000" w:fill="FFFFFF"/>
            <w:noWrap/>
            <w:vAlign w:val="center"/>
            <w:hideMark/>
          </w:tcPr>
          <w:p w14:paraId="43415A58" w14:textId="0CC79BFC" w:rsidR="00B76344" w:rsidRPr="007D42F4" w:rsidRDefault="00A0186A" w:rsidP="00D34201">
            <w:pPr>
              <w:spacing w:after="0" w:line="240" w:lineRule="auto"/>
              <w:jc w:val="left"/>
              <w:rPr>
                <w:rFonts w:eastAsia="Times New Roman" w:cs="Segoe UI"/>
                <w:sz w:val="18"/>
                <w:szCs w:val="18"/>
                <w:lang w:eastAsia="en-GB"/>
              </w:rPr>
            </w:pPr>
            <w:r w:rsidRPr="007D42F4">
              <w:rPr>
                <w:rFonts w:eastAsia="Times New Roman" w:cs="Segoe UI"/>
                <w:sz w:val="18"/>
                <w:szCs w:val="18"/>
                <w:lang w:eastAsia="en-GB"/>
              </w:rPr>
              <w:t>OP Integrovaná infraštruktúra</w:t>
            </w:r>
            <w:r w:rsidR="00022837">
              <w:rPr>
                <w:rFonts w:eastAsia="Times New Roman" w:cs="Segoe UI"/>
                <w:sz w:val="18"/>
                <w:szCs w:val="18"/>
                <w:lang w:eastAsia="en-GB"/>
              </w:rPr>
              <w:t xml:space="preserve"> (OP II + OP </w:t>
            </w:r>
            <w:proofErr w:type="spellStart"/>
            <w:r w:rsidR="00022837">
              <w:rPr>
                <w:rFonts w:eastAsia="Times New Roman" w:cs="Segoe UI"/>
                <w:sz w:val="18"/>
                <w:szCs w:val="18"/>
                <w:lang w:eastAsia="en-GB"/>
              </w:rPr>
              <w:t>VaI</w:t>
            </w:r>
            <w:proofErr w:type="spellEnd"/>
            <w:r w:rsidR="00022837">
              <w:rPr>
                <w:rFonts w:eastAsia="Times New Roman" w:cs="Segoe UI"/>
                <w:sz w:val="18"/>
                <w:szCs w:val="18"/>
                <w:lang w:eastAsia="en-GB"/>
              </w:rPr>
              <w:t>)</w:t>
            </w:r>
          </w:p>
        </w:tc>
        <w:tc>
          <w:tcPr>
            <w:tcW w:w="1361" w:type="dxa"/>
            <w:tcBorders>
              <w:top w:val="nil"/>
              <w:left w:val="nil"/>
              <w:bottom w:val="nil"/>
              <w:right w:val="nil"/>
            </w:tcBorders>
            <w:shd w:val="clear" w:color="000000" w:fill="FFFFFF"/>
            <w:noWrap/>
            <w:vAlign w:val="center"/>
            <w:hideMark/>
          </w:tcPr>
          <w:p w14:paraId="3D33C6FA" w14:textId="77777777" w:rsidR="00B76344" w:rsidRPr="007D42F4" w:rsidRDefault="00B76344" w:rsidP="00D34201">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268 947,9</w:t>
            </w:r>
          </w:p>
        </w:tc>
        <w:tc>
          <w:tcPr>
            <w:tcW w:w="1789" w:type="dxa"/>
            <w:tcBorders>
              <w:top w:val="nil"/>
              <w:left w:val="nil"/>
              <w:bottom w:val="nil"/>
              <w:right w:val="nil"/>
            </w:tcBorders>
            <w:shd w:val="clear" w:color="000000" w:fill="FFFFFF"/>
            <w:noWrap/>
            <w:vAlign w:val="center"/>
            <w:hideMark/>
          </w:tcPr>
          <w:p w14:paraId="0665299C" w14:textId="77777777" w:rsidR="00B76344" w:rsidRPr="007D42F4" w:rsidRDefault="00B76344" w:rsidP="00D34201">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45 081,8</w:t>
            </w:r>
          </w:p>
        </w:tc>
      </w:tr>
      <w:tr w:rsidR="00A0186A" w:rsidRPr="007D42F4" w14:paraId="2AB9A2C1" w14:textId="77777777" w:rsidTr="00D34201">
        <w:trPr>
          <w:trHeight w:val="256"/>
        </w:trPr>
        <w:tc>
          <w:tcPr>
            <w:tcW w:w="5954" w:type="dxa"/>
            <w:tcBorders>
              <w:top w:val="nil"/>
              <w:left w:val="nil"/>
              <w:bottom w:val="nil"/>
              <w:right w:val="nil"/>
            </w:tcBorders>
            <w:shd w:val="clear" w:color="000000" w:fill="FFFFFF"/>
            <w:noWrap/>
            <w:vAlign w:val="center"/>
            <w:hideMark/>
          </w:tcPr>
          <w:p w14:paraId="1C62494B" w14:textId="1F8DF08D" w:rsidR="00A0186A" w:rsidRPr="007D42F4" w:rsidRDefault="00A0186A" w:rsidP="00A0186A">
            <w:pPr>
              <w:spacing w:after="0" w:line="240" w:lineRule="auto"/>
              <w:jc w:val="left"/>
              <w:rPr>
                <w:rFonts w:eastAsia="Times New Roman" w:cs="Segoe UI"/>
                <w:sz w:val="18"/>
                <w:szCs w:val="18"/>
                <w:lang w:eastAsia="en-GB"/>
              </w:rPr>
            </w:pPr>
            <w:r w:rsidRPr="007D42F4">
              <w:rPr>
                <w:rFonts w:eastAsia="Times New Roman" w:cs="Segoe UI"/>
                <w:sz w:val="18"/>
                <w:szCs w:val="18"/>
                <w:lang w:eastAsia="en-GB"/>
              </w:rPr>
              <w:t>OP Kvalita životného prostredia</w:t>
            </w:r>
          </w:p>
        </w:tc>
        <w:tc>
          <w:tcPr>
            <w:tcW w:w="1361" w:type="dxa"/>
            <w:tcBorders>
              <w:top w:val="nil"/>
              <w:left w:val="nil"/>
              <w:bottom w:val="nil"/>
              <w:right w:val="nil"/>
            </w:tcBorders>
            <w:shd w:val="clear" w:color="000000" w:fill="FFFFFF"/>
            <w:noWrap/>
            <w:vAlign w:val="center"/>
            <w:hideMark/>
          </w:tcPr>
          <w:p w14:paraId="01A273ED"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16 396,7</w:t>
            </w:r>
          </w:p>
        </w:tc>
        <w:tc>
          <w:tcPr>
            <w:tcW w:w="1789" w:type="dxa"/>
            <w:tcBorders>
              <w:top w:val="nil"/>
              <w:left w:val="nil"/>
              <w:bottom w:val="nil"/>
              <w:right w:val="nil"/>
            </w:tcBorders>
            <w:shd w:val="clear" w:color="000000" w:fill="FFFFFF"/>
            <w:noWrap/>
            <w:vAlign w:val="center"/>
            <w:hideMark/>
          </w:tcPr>
          <w:p w14:paraId="50460EFB"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1 530,2</w:t>
            </w:r>
          </w:p>
        </w:tc>
      </w:tr>
      <w:tr w:rsidR="00A0186A" w:rsidRPr="007D42F4" w14:paraId="581DC2A1" w14:textId="77777777" w:rsidTr="00D34201">
        <w:trPr>
          <w:trHeight w:val="256"/>
        </w:trPr>
        <w:tc>
          <w:tcPr>
            <w:tcW w:w="5954" w:type="dxa"/>
            <w:tcBorders>
              <w:top w:val="nil"/>
              <w:left w:val="nil"/>
              <w:bottom w:val="nil"/>
              <w:right w:val="nil"/>
            </w:tcBorders>
            <w:shd w:val="clear" w:color="000000" w:fill="FFFFFF"/>
            <w:noWrap/>
            <w:vAlign w:val="center"/>
            <w:hideMark/>
          </w:tcPr>
          <w:p w14:paraId="2EA596D0" w14:textId="18158590" w:rsidR="00A0186A" w:rsidRPr="007D42F4" w:rsidRDefault="00A0186A" w:rsidP="00A0186A">
            <w:pPr>
              <w:spacing w:after="0" w:line="240" w:lineRule="auto"/>
              <w:jc w:val="left"/>
              <w:rPr>
                <w:rFonts w:eastAsia="Times New Roman" w:cs="Segoe UI"/>
                <w:sz w:val="18"/>
                <w:szCs w:val="18"/>
                <w:lang w:eastAsia="en-GB"/>
              </w:rPr>
            </w:pPr>
            <w:r w:rsidRPr="007D42F4">
              <w:rPr>
                <w:rFonts w:eastAsia="Times New Roman" w:cs="Segoe UI"/>
                <w:sz w:val="18"/>
                <w:szCs w:val="18"/>
                <w:lang w:eastAsia="en-GB"/>
              </w:rPr>
              <w:t xml:space="preserve">OP </w:t>
            </w:r>
            <w:r>
              <w:rPr>
                <w:rFonts w:eastAsia="Times New Roman" w:cs="Segoe UI"/>
                <w:sz w:val="18"/>
                <w:szCs w:val="18"/>
                <w:lang w:eastAsia="en-GB"/>
              </w:rPr>
              <w:t>Ľudské zdroje</w:t>
            </w:r>
          </w:p>
        </w:tc>
        <w:tc>
          <w:tcPr>
            <w:tcW w:w="1361" w:type="dxa"/>
            <w:tcBorders>
              <w:top w:val="nil"/>
              <w:left w:val="nil"/>
              <w:bottom w:val="nil"/>
              <w:right w:val="nil"/>
            </w:tcBorders>
            <w:shd w:val="clear" w:color="000000" w:fill="FFFFFF"/>
            <w:noWrap/>
            <w:vAlign w:val="center"/>
            <w:hideMark/>
          </w:tcPr>
          <w:p w14:paraId="21977518"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35 799,9</w:t>
            </w:r>
          </w:p>
        </w:tc>
        <w:tc>
          <w:tcPr>
            <w:tcW w:w="1789" w:type="dxa"/>
            <w:tcBorders>
              <w:top w:val="nil"/>
              <w:left w:val="nil"/>
              <w:bottom w:val="nil"/>
              <w:right w:val="nil"/>
            </w:tcBorders>
            <w:shd w:val="clear" w:color="000000" w:fill="FFFFFF"/>
            <w:noWrap/>
            <w:vAlign w:val="center"/>
            <w:hideMark/>
          </w:tcPr>
          <w:p w14:paraId="4A73D0CA"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6 037,2</w:t>
            </w:r>
          </w:p>
        </w:tc>
      </w:tr>
      <w:tr w:rsidR="00A0186A" w:rsidRPr="007D42F4" w14:paraId="126A2FCE" w14:textId="77777777" w:rsidTr="00D34201">
        <w:trPr>
          <w:trHeight w:val="256"/>
        </w:trPr>
        <w:tc>
          <w:tcPr>
            <w:tcW w:w="5954" w:type="dxa"/>
            <w:tcBorders>
              <w:top w:val="nil"/>
              <w:left w:val="nil"/>
              <w:bottom w:val="nil"/>
              <w:right w:val="nil"/>
            </w:tcBorders>
            <w:shd w:val="clear" w:color="000000" w:fill="FFFFFF"/>
            <w:noWrap/>
            <w:vAlign w:val="center"/>
            <w:hideMark/>
          </w:tcPr>
          <w:p w14:paraId="08C06DE3" w14:textId="77777777" w:rsidR="00A0186A" w:rsidRPr="007D42F4" w:rsidRDefault="00A0186A" w:rsidP="00A0186A">
            <w:pPr>
              <w:spacing w:after="0" w:line="240" w:lineRule="auto"/>
              <w:jc w:val="left"/>
              <w:rPr>
                <w:rFonts w:eastAsia="Times New Roman" w:cs="Segoe UI"/>
                <w:sz w:val="18"/>
                <w:szCs w:val="18"/>
                <w:lang w:eastAsia="en-GB"/>
              </w:rPr>
            </w:pPr>
            <w:r w:rsidRPr="007D42F4">
              <w:rPr>
                <w:rFonts w:eastAsia="Times New Roman" w:cs="Segoe UI"/>
                <w:sz w:val="18"/>
                <w:szCs w:val="18"/>
                <w:lang w:eastAsia="en-GB"/>
              </w:rPr>
              <w:t>Integrovaný regionálny OP</w:t>
            </w:r>
          </w:p>
        </w:tc>
        <w:tc>
          <w:tcPr>
            <w:tcW w:w="1361" w:type="dxa"/>
            <w:tcBorders>
              <w:top w:val="nil"/>
              <w:left w:val="nil"/>
              <w:bottom w:val="nil"/>
              <w:right w:val="nil"/>
            </w:tcBorders>
            <w:shd w:val="clear" w:color="000000" w:fill="FFFFFF"/>
            <w:noWrap/>
            <w:vAlign w:val="center"/>
            <w:hideMark/>
          </w:tcPr>
          <w:p w14:paraId="5944574F"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41 701,4</w:t>
            </w:r>
          </w:p>
        </w:tc>
        <w:tc>
          <w:tcPr>
            <w:tcW w:w="1789" w:type="dxa"/>
            <w:tcBorders>
              <w:top w:val="nil"/>
              <w:left w:val="nil"/>
              <w:bottom w:val="nil"/>
              <w:right w:val="nil"/>
            </w:tcBorders>
            <w:shd w:val="clear" w:color="000000" w:fill="FFFFFF"/>
            <w:noWrap/>
            <w:vAlign w:val="center"/>
            <w:hideMark/>
          </w:tcPr>
          <w:p w14:paraId="2DD6543B"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7 117,6</w:t>
            </w:r>
          </w:p>
        </w:tc>
      </w:tr>
      <w:tr w:rsidR="00A0186A" w:rsidRPr="007D42F4" w14:paraId="5C5B8CE8" w14:textId="77777777" w:rsidTr="00D34201">
        <w:trPr>
          <w:trHeight w:val="256"/>
        </w:trPr>
        <w:tc>
          <w:tcPr>
            <w:tcW w:w="5954" w:type="dxa"/>
            <w:tcBorders>
              <w:top w:val="nil"/>
              <w:left w:val="nil"/>
              <w:bottom w:val="nil"/>
              <w:right w:val="nil"/>
            </w:tcBorders>
            <w:shd w:val="clear" w:color="000000" w:fill="FFFFFF"/>
            <w:noWrap/>
            <w:vAlign w:val="center"/>
            <w:hideMark/>
          </w:tcPr>
          <w:p w14:paraId="0EB8B98C" w14:textId="77777777" w:rsidR="00A0186A" w:rsidRPr="007D42F4" w:rsidRDefault="00A0186A" w:rsidP="00A0186A">
            <w:pPr>
              <w:spacing w:after="0" w:line="240" w:lineRule="auto"/>
              <w:jc w:val="left"/>
              <w:rPr>
                <w:rFonts w:eastAsia="Times New Roman" w:cs="Segoe UI"/>
                <w:sz w:val="18"/>
                <w:szCs w:val="18"/>
                <w:lang w:eastAsia="en-GB"/>
              </w:rPr>
            </w:pPr>
            <w:r w:rsidRPr="007D42F4">
              <w:rPr>
                <w:rFonts w:eastAsia="Times New Roman" w:cs="Segoe UI"/>
                <w:sz w:val="18"/>
                <w:szCs w:val="18"/>
                <w:lang w:eastAsia="en-GB"/>
              </w:rPr>
              <w:t>OP Efektívna verejná správa</w:t>
            </w:r>
          </w:p>
        </w:tc>
        <w:tc>
          <w:tcPr>
            <w:tcW w:w="1361" w:type="dxa"/>
            <w:tcBorders>
              <w:top w:val="nil"/>
              <w:left w:val="nil"/>
              <w:bottom w:val="nil"/>
              <w:right w:val="nil"/>
            </w:tcBorders>
            <w:shd w:val="clear" w:color="000000" w:fill="FFFFFF"/>
            <w:noWrap/>
            <w:vAlign w:val="center"/>
            <w:hideMark/>
          </w:tcPr>
          <w:p w14:paraId="5FB2DCD1"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500,9</w:t>
            </w:r>
          </w:p>
        </w:tc>
        <w:tc>
          <w:tcPr>
            <w:tcW w:w="1789" w:type="dxa"/>
            <w:tcBorders>
              <w:top w:val="nil"/>
              <w:left w:val="nil"/>
              <w:bottom w:val="nil"/>
              <w:right w:val="nil"/>
            </w:tcBorders>
            <w:shd w:val="clear" w:color="000000" w:fill="FFFFFF"/>
            <w:noWrap/>
            <w:vAlign w:val="center"/>
            <w:hideMark/>
          </w:tcPr>
          <w:p w14:paraId="6BCE172A"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131,7</w:t>
            </w:r>
          </w:p>
        </w:tc>
      </w:tr>
      <w:tr w:rsidR="00A0186A" w:rsidRPr="007D42F4" w14:paraId="333A6E9D" w14:textId="77777777" w:rsidTr="00D34201">
        <w:trPr>
          <w:trHeight w:val="256"/>
        </w:trPr>
        <w:tc>
          <w:tcPr>
            <w:tcW w:w="5954" w:type="dxa"/>
            <w:tcBorders>
              <w:top w:val="nil"/>
              <w:left w:val="nil"/>
              <w:bottom w:val="nil"/>
              <w:right w:val="nil"/>
            </w:tcBorders>
            <w:shd w:val="clear" w:color="000000" w:fill="FFFFFF"/>
            <w:noWrap/>
            <w:vAlign w:val="center"/>
            <w:hideMark/>
          </w:tcPr>
          <w:p w14:paraId="3F399ACA" w14:textId="77777777" w:rsidR="00A0186A" w:rsidRPr="007D42F4" w:rsidRDefault="00A0186A" w:rsidP="00A0186A">
            <w:pPr>
              <w:spacing w:after="0" w:line="240" w:lineRule="auto"/>
              <w:jc w:val="left"/>
              <w:rPr>
                <w:rFonts w:eastAsia="Times New Roman" w:cs="Segoe UI"/>
                <w:sz w:val="18"/>
                <w:szCs w:val="18"/>
                <w:lang w:eastAsia="en-GB"/>
              </w:rPr>
            </w:pPr>
            <w:r w:rsidRPr="007D42F4">
              <w:rPr>
                <w:rFonts w:eastAsia="Times New Roman" w:cs="Segoe UI"/>
                <w:sz w:val="18"/>
                <w:szCs w:val="18"/>
                <w:lang w:eastAsia="en-GB"/>
              </w:rPr>
              <w:t>OP Technická pomoc</w:t>
            </w:r>
          </w:p>
        </w:tc>
        <w:tc>
          <w:tcPr>
            <w:tcW w:w="1361" w:type="dxa"/>
            <w:tcBorders>
              <w:top w:val="nil"/>
              <w:left w:val="nil"/>
              <w:bottom w:val="nil"/>
              <w:right w:val="nil"/>
            </w:tcBorders>
            <w:shd w:val="clear" w:color="000000" w:fill="FFFFFF"/>
            <w:noWrap/>
            <w:vAlign w:val="center"/>
            <w:hideMark/>
          </w:tcPr>
          <w:p w14:paraId="1FF4108D"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2 210,6</w:t>
            </w:r>
          </w:p>
        </w:tc>
        <w:tc>
          <w:tcPr>
            <w:tcW w:w="1789" w:type="dxa"/>
            <w:tcBorders>
              <w:top w:val="nil"/>
              <w:left w:val="nil"/>
              <w:bottom w:val="nil"/>
              <w:right w:val="nil"/>
            </w:tcBorders>
            <w:shd w:val="clear" w:color="000000" w:fill="FFFFFF"/>
            <w:noWrap/>
            <w:vAlign w:val="center"/>
            <w:hideMark/>
          </w:tcPr>
          <w:p w14:paraId="712BAA8A"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389,8</w:t>
            </w:r>
          </w:p>
        </w:tc>
      </w:tr>
      <w:tr w:rsidR="00A0186A" w:rsidRPr="007D42F4" w14:paraId="2389456D" w14:textId="77777777" w:rsidTr="00D34201">
        <w:trPr>
          <w:trHeight w:val="256"/>
        </w:trPr>
        <w:tc>
          <w:tcPr>
            <w:tcW w:w="5954" w:type="dxa"/>
            <w:tcBorders>
              <w:top w:val="nil"/>
              <w:left w:val="nil"/>
              <w:bottom w:val="nil"/>
              <w:right w:val="nil"/>
            </w:tcBorders>
            <w:shd w:val="clear" w:color="000000" w:fill="FFFFFF"/>
            <w:noWrap/>
            <w:vAlign w:val="center"/>
            <w:hideMark/>
          </w:tcPr>
          <w:p w14:paraId="63B247E3" w14:textId="486328B3" w:rsidR="00A0186A" w:rsidRPr="007D42F4" w:rsidRDefault="00C43119" w:rsidP="00A0186A">
            <w:pPr>
              <w:spacing w:after="0" w:line="240" w:lineRule="auto"/>
              <w:jc w:val="left"/>
              <w:rPr>
                <w:rFonts w:eastAsia="Times New Roman" w:cs="Segoe UI"/>
                <w:sz w:val="18"/>
                <w:szCs w:val="18"/>
                <w:lang w:eastAsia="en-GB"/>
              </w:rPr>
            </w:pPr>
            <w:proofErr w:type="spellStart"/>
            <w:r w:rsidRPr="007D42F4">
              <w:rPr>
                <w:rFonts w:eastAsia="Times New Roman" w:cs="Segoe UI"/>
                <w:sz w:val="18"/>
                <w:szCs w:val="18"/>
                <w:lang w:eastAsia="en-GB"/>
              </w:rPr>
              <w:t>Interreg</w:t>
            </w:r>
            <w:proofErr w:type="spellEnd"/>
            <w:r w:rsidRPr="007D42F4">
              <w:rPr>
                <w:rFonts w:eastAsia="Times New Roman" w:cs="Segoe UI"/>
                <w:sz w:val="18"/>
                <w:szCs w:val="18"/>
                <w:lang w:eastAsia="en-GB"/>
              </w:rPr>
              <w:t xml:space="preserve"> V-A SK-CZ</w:t>
            </w:r>
          </w:p>
        </w:tc>
        <w:tc>
          <w:tcPr>
            <w:tcW w:w="1361" w:type="dxa"/>
            <w:tcBorders>
              <w:top w:val="nil"/>
              <w:left w:val="nil"/>
              <w:bottom w:val="nil"/>
              <w:right w:val="nil"/>
            </w:tcBorders>
            <w:shd w:val="clear" w:color="000000" w:fill="FFFFFF"/>
            <w:noWrap/>
            <w:vAlign w:val="center"/>
            <w:hideMark/>
          </w:tcPr>
          <w:p w14:paraId="497CBAE9"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2 222,2</w:t>
            </w:r>
          </w:p>
        </w:tc>
        <w:tc>
          <w:tcPr>
            <w:tcW w:w="1789" w:type="dxa"/>
            <w:tcBorders>
              <w:top w:val="nil"/>
              <w:left w:val="nil"/>
              <w:bottom w:val="nil"/>
              <w:right w:val="nil"/>
            </w:tcBorders>
            <w:shd w:val="clear" w:color="000000" w:fill="FFFFFF"/>
            <w:noWrap/>
            <w:vAlign w:val="center"/>
            <w:hideMark/>
          </w:tcPr>
          <w:p w14:paraId="511B689E"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92,9</w:t>
            </w:r>
          </w:p>
        </w:tc>
      </w:tr>
      <w:tr w:rsidR="00A0186A" w:rsidRPr="007D42F4" w14:paraId="3C21553C" w14:textId="77777777" w:rsidTr="00D34201">
        <w:trPr>
          <w:trHeight w:val="256"/>
        </w:trPr>
        <w:tc>
          <w:tcPr>
            <w:tcW w:w="5954" w:type="dxa"/>
            <w:tcBorders>
              <w:top w:val="nil"/>
              <w:left w:val="nil"/>
              <w:bottom w:val="nil"/>
              <w:right w:val="nil"/>
            </w:tcBorders>
            <w:shd w:val="clear" w:color="000000" w:fill="FFFFFF"/>
            <w:noWrap/>
            <w:vAlign w:val="center"/>
            <w:hideMark/>
          </w:tcPr>
          <w:p w14:paraId="643919C6" w14:textId="4565FD18" w:rsidR="00A0186A" w:rsidRPr="007D42F4" w:rsidRDefault="00C43119" w:rsidP="00A0186A">
            <w:pPr>
              <w:spacing w:after="0" w:line="240" w:lineRule="auto"/>
              <w:jc w:val="left"/>
              <w:rPr>
                <w:rFonts w:eastAsia="Times New Roman" w:cs="Segoe UI"/>
                <w:sz w:val="18"/>
                <w:szCs w:val="18"/>
                <w:lang w:eastAsia="en-GB"/>
              </w:rPr>
            </w:pPr>
            <w:proofErr w:type="spellStart"/>
            <w:r w:rsidRPr="007D42F4">
              <w:rPr>
                <w:rFonts w:eastAsia="Times New Roman" w:cs="Segoe UI"/>
                <w:sz w:val="18"/>
                <w:szCs w:val="18"/>
                <w:lang w:eastAsia="en-GB"/>
              </w:rPr>
              <w:t>Interreg</w:t>
            </w:r>
            <w:proofErr w:type="spellEnd"/>
            <w:r w:rsidRPr="007D42F4">
              <w:rPr>
                <w:rFonts w:eastAsia="Times New Roman" w:cs="Segoe UI"/>
                <w:sz w:val="18"/>
                <w:szCs w:val="18"/>
                <w:lang w:eastAsia="en-GB"/>
              </w:rPr>
              <w:t xml:space="preserve"> V-A SK-AT</w:t>
            </w:r>
          </w:p>
        </w:tc>
        <w:tc>
          <w:tcPr>
            <w:tcW w:w="1361" w:type="dxa"/>
            <w:tcBorders>
              <w:top w:val="nil"/>
              <w:left w:val="nil"/>
              <w:bottom w:val="nil"/>
              <w:right w:val="nil"/>
            </w:tcBorders>
            <w:shd w:val="clear" w:color="000000" w:fill="FFFFFF"/>
            <w:noWrap/>
            <w:vAlign w:val="center"/>
            <w:hideMark/>
          </w:tcPr>
          <w:p w14:paraId="7D9E9D17"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257,2</w:t>
            </w:r>
          </w:p>
        </w:tc>
        <w:tc>
          <w:tcPr>
            <w:tcW w:w="1789" w:type="dxa"/>
            <w:tcBorders>
              <w:top w:val="nil"/>
              <w:left w:val="nil"/>
              <w:bottom w:val="nil"/>
              <w:right w:val="nil"/>
            </w:tcBorders>
            <w:shd w:val="clear" w:color="000000" w:fill="FFFFFF"/>
            <w:noWrap/>
            <w:vAlign w:val="center"/>
            <w:hideMark/>
          </w:tcPr>
          <w:p w14:paraId="48FD653B" w14:textId="77777777" w:rsidR="00A0186A" w:rsidRPr="007D42F4" w:rsidRDefault="00A0186A" w:rsidP="00A0186A">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9,6</w:t>
            </w:r>
          </w:p>
        </w:tc>
      </w:tr>
      <w:tr w:rsidR="00A0186A" w:rsidRPr="007D42F4" w14:paraId="0C68205E" w14:textId="77777777" w:rsidTr="00C43119">
        <w:trPr>
          <w:trHeight w:val="256"/>
        </w:trPr>
        <w:tc>
          <w:tcPr>
            <w:tcW w:w="5954" w:type="dxa"/>
            <w:tcBorders>
              <w:top w:val="nil"/>
              <w:left w:val="nil"/>
              <w:bottom w:val="nil"/>
              <w:right w:val="nil"/>
            </w:tcBorders>
            <w:shd w:val="clear" w:color="000000" w:fill="FFFFFF"/>
            <w:noWrap/>
            <w:vAlign w:val="center"/>
            <w:hideMark/>
          </w:tcPr>
          <w:p w14:paraId="68879DD4" w14:textId="7EECD2A6" w:rsidR="00A0186A" w:rsidRPr="007D42F4" w:rsidRDefault="00A0186A" w:rsidP="00A0186A">
            <w:pPr>
              <w:spacing w:after="0" w:line="240" w:lineRule="auto"/>
              <w:jc w:val="left"/>
              <w:rPr>
                <w:rFonts w:eastAsia="Times New Roman" w:cs="Segoe UI"/>
                <w:sz w:val="18"/>
                <w:szCs w:val="18"/>
                <w:lang w:eastAsia="en-GB"/>
              </w:rPr>
            </w:pPr>
            <w:r w:rsidRPr="007D42F4">
              <w:rPr>
                <w:rFonts w:eastAsia="Times New Roman" w:cs="Segoe UI"/>
                <w:sz w:val="18"/>
                <w:szCs w:val="18"/>
                <w:lang w:eastAsia="en-GB"/>
              </w:rPr>
              <w:t>PS INTERACT III</w:t>
            </w:r>
            <w:r w:rsidR="00B60BD9">
              <w:rPr>
                <w:rFonts w:eastAsia="Times New Roman" w:cs="Segoe UI"/>
                <w:sz w:val="18"/>
                <w:szCs w:val="18"/>
                <w:lang w:eastAsia="en-GB"/>
              </w:rPr>
              <w:t>*</w:t>
            </w:r>
          </w:p>
        </w:tc>
        <w:tc>
          <w:tcPr>
            <w:tcW w:w="1361" w:type="dxa"/>
            <w:tcBorders>
              <w:top w:val="nil"/>
              <w:left w:val="nil"/>
              <w:bottom w:val="nil"/>
              <w:right w:val="nil"/>
            </w:tcBorders>
            <w:shd w:val="clear" w:color="000000" w:fill="FFFFFF"/>
            <w:noWrap/>
            <w:vAlign w:val="center"/>
          </w:tcPr>
          <w:p w14:paraId="35BEB9FD" w14:textId="7A8CCD08" w:rsidR="00A0186A" w:rsidRPr="007D42F4" w:rsidRDefault="00C43119" w:rsidP="00A0186A">
            <w:pPr>
              <w:spacing w:after="0" w:line="240" w:lineRule="auto"/>
              <w:jc w:val="right"/>
              <w:rPr>
                <w:rFonts w:eastAsia="Times New Roman" w:cs="Segoe UI"/>
                <w:color w:val="000000"/>
                <w:sz w:val="18"/>
                <w:szCs w:val="18"/>
                <w:lang w:eastAsia="en-GB"/>
              </w:rPr>
            </w:pPr>
            <w:r>
              <w:rPr>
                <w:rFonts w:eastAsia="Times New Roman" w:cs="Segoe UI"/>
                <w:color w:val="000000"/>
                <w:sz w:val="18"/>
                <w:szCs w:val="18"/>
                <w:lang w:eastAsia="en-GB"/>
              </w:rPr>
              <w:t>36,2</w:t>
            </w:r>
          </w:p>
        </w:tc>
        <w:tc>
          <w:tcPr>
            <w:tcW w:w="1789" w:type="dxa"/>
            <w:tcBorders>
              <w:top w:val="nil"/>
              <w:left w:val="nil"/>
              <w:bottom w:val="nil"/>
              <w:right w:val="nil"/>
            </w:tcBorders>
            <w:shd w:val="clear" w:color="000000" w:fill="FFFFFF"/>
            <w:noWrap/>
            <w:vAlign w:val="center"/>
          </w:tcPr>
          <w:p w14:paraId="70F1EEEE" w14:textId="0D9B765C" w:rsidR="00A0186A" w:rsidRPr="007D42F4" w:rsidRDefault="00C43119" w:rsidP="00A0186A">
            <w:pPr>
              <w:spacing w:after="0" w:line="240" w:lineRule="auto"/>
              <w:jc w:val="right"/>
              <w:rPr>
                <w:rFonts w:eastAsia="Times New Roman" w:cs="Segoe UI"/>
                <w:color w:val="000000"/>
                <w:sz w:val="18"/>
                <w:szCs w:val="18"/>
                <w:lang w:eastAsia="en-GB"/>
              </w:rPr>
            </w:pPr>
            <w:r>
              <w:rPr>
                <w:rFonts w:eastAsia="Times New Roman" w:cs="Segoe UI"/>
                <w:color w:val="000000"/>
                <w:sz w:val="18"/>
                <w:szCs w:val="18"/>
                <w:lang w:eastAsia="en-GB"/>
              </w:rPr>
              <w:t>6,4</w:t>
            </w:r>
          </w:p>
        </w:tc>
      </w:tr>
      <w:tr w:rsidR="00C43119" w:rsidRPr="007D42F4" w14:paraId="21841F87" w14:textId="77777777" w:rsidTr="00D34201">
        <w:trPr>
          <w:trHeight w:val="256"/>
        </w:trPr>
        <w:tc>
          <w:tcPr>
            <w:tcW w:w="5954" w:type="dxa"/>
            <w:tcBorders>
              <w:top w:val="nil"/>
              <w:left w:val="nil"/>
              <w:bottom w:val="nil"/>
              <w:right w:val="nil"/>
            </w:tcBorders>
            <w:shd w:val="clear" w:color="000000" w:fill="FFFFFF"/>
            <w:noWrap/>
            <w:vAlign w:val="center"/>
          </w:tcPr>
          <w:p w14:paraId="544A3315" w14:textId="449946D7" w:rsidR="00C43119" w:rsidRPr="007D42F4" w:rsidRDefault="00C43119" w:rsidP="00C43119">
            <w:pPr>
              <w:spacing w:after="0" w:line="240" w:lineRule="auto"/>
              <w:jc w:val="left"/>
              <w:rPr>
                <w:rFonts w:eastAsia="Times New Roman" w:cs="Segoe UI"/>
                <w:sz w:val="18"/>
                <w:szCs w:val="18"/>
                <w:lang w:eastAsia="en-GB"/>
              </w:rPr>
            </w:pPr>
            <w:r>
              <w:rPr>
                <w:rFonts w:eastAsia="Times New Roman" w:cs="Segoe UI"/>
                <w:sz w:val="18"/>
                <w:szCs w:val="18"/>
                <w:lang w:eastAsia="en-GB"/>
              </w:rPr>
              <w:t>OP Rybné hospodárstvo</w:t>
            </w:r>
          </w:p>
        </w:tc>
        <w:tc>
          <w:tcPr>
            <w:tcW w:w="1361" w:type="dxa"/>
            <w:tcBorders>
              <w:top w:val="nil"/>
              <w:left w:val="nil"/>
              <w:bottom w:val="nil"/>
              <w:right w:val="nil"/>
            </w:tcBorders>
            <w:shd w:val="clear" w:color="000000" w:fill="FFFFFF"/>
            <w:noWrap/>
            <w:vAlign w:val="center"/>
          </w:tcPr>
          <w:p w14:paraId="3D967C94" w14:textId="2CAB6F1A" w:rsidR="00C43119" w:rsidRPr="007D42F4" w:rsidRDefault="00C43119" w:rsidP="00C43119">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518,2</w:t>
            </w:r>
          </w:p>
        </w:tc>
        <w:tc>
          <w:tcPr>
            <w:tcW w:w="1789" w:type="dxa"/>
            <w:tcBorders>
              <w:top w:val="nil"/>
              <w:left w:val="nil"/>
              <w:bottom w:val="nil"/>
              <w:right w:val="nil"/>
            </w:tcBorders>
            <w:shd w:val="clear" w:color="000000" w:fill="FFFFFF"/>
            <w:noWrap/>
            <w:vAlign w:val="center"/>
          </w:tcPr>
          <w:p w14:paraId="51360C56" w14:textId="47D20984" w:rsidR="00C43119" w:rsidRPr="007D42F4" w:rsidRDefault="00C43119" w:rsidP="00C43119">
            <w:pPr>
              <w:spacing w:after="0" w:line="240" w:lineRule="auto"/>
              <w:jc w:val="right"/>
              <w:rPr>
                <w:rFonts w:eastAsia="Times New Roman" w:cs="Segoe UI"/>
                <w:color w:val="000000"/>
                <w:sz w:val="18"/>
                <w:szCs w:val="18"/>
                <w:lang w:eastAsia="en-GB"/>
              </w:rPr>
            </w:pPr>
            <w:r w:rsidRPr="007D42F4">
              <w:rPr>
                <w:rFonts w:eastAsia="Times New Roman" w:cs="Segoe UI"/>
                <w:color w:val="000000"/>
                <w:sz w:val="18"/>
                <w:szCs w:val="18"/>
                <w:lang w:eastAsia="en-GB"/>
              </w:rPr>
              <w:t>143,9</w:t>
            </w:r>
          </w:p>
        </w:tc>
      </w:tr>
      <w:tr w:rsidR="00C43119" w:rsidRPr="007D42F4" w14:paraId="69845249" w14:textId="77777777" w:rsidTr="00D34201">
        <w:trPr>
          <w:trHeight w:val="256"/>
        </w:trPr>
        <w:tc>
          <w:tcPr>
            <w:tcW w:w="5954" w:type="dxa"/>
            <w:tcBorders>
              <w:top w:val="nil"/>
              <w:left w:val="nil"/>
              <w:bottom w:val="single" w:sz="4" w:space="0" w:color="auto"/>
              <w:right w:val="nil"/>
            </w:tcBorders>
            <w:shd w:val="clear" w:color="000000" w:fill="FFFFFF"/>
            <w:noWrap/>
            <w:vAlign w:val="center"/>
            <w:hideMark/>
          </w:tcPr>
          <w:p w14:paraId="11AE6C06" w14:textId="77777777" w:rsidR="00C43119" w:rsidRPr="007D42F4" w:rsidRDefault="00C43119" w:rsidP="00C43119">
            <w:pPr>
              <w:spacing w:after="0" w:line="240" w:lineRule="auto"/>
              <w:jc w:val="left"/>
              <w:rPr>
                <w:rFonts w:eastAsia="Times New Roman" w:cs="Segoe UI"/>
                <w:b/>
                <w:bCs/>
                <w:sz w:val="18"/>
                <w:szCs w:val="18"/>
                <w:lang w:eastAsia="en-GB"/>
              </w:rPr>
            </w:pPr>
            <w:r w:rsidRPr="007D42F4">
              <w:rPr>
                <w:rFonts w:eastAsia="Times New Roman" w:cs="Segoe UI"/>
                <w:b/>
                <w:bCs/>
                <w:sz w:val="18"/>
                <w:szCs w:val="18"/>
                <w:lang w:eastAsia="en-GB"/>
              </w:rPr>
              <w:t>SPOLU EŠIF (bez PRV)</w:t>
            </w:r>
          </w:p>
        </w:tc>
        <w:tc>
          <w:tcPr>
            <w:tcW w:w="1361" w:type="dxa"/>
            <w:tcBorders>
              <w:top w:val="nil"/>
              <w:left w:val="nil"/>
              <w:bottom w:val="single" w:sz="4" w:space="0" w:color="auto"/>
              <w:right w:val="nil"/>
            </w:tcBorders>
            <w:shd w:val="clear" w:color="000000" w:fill="FFFFFF"/>
            <w:noWrap/>
            <w:vAlign w:val="center"/>
            <w:hideMark/>
          </w:tcPr>
          <w:p w14:paraId="6B72ECA8" w14:textId="7E48A3A3" w:rsidR="00C43119" w:rsidRPr="007D42F4" w:rsidRDefault="00C43119" w:rsidP="00C43119">
            <w:pPr>
              <w:spacing w:after="0" w:line="240" w:lineRule="auto"/>
              <w:jc w:val="right"/>
              <w:rPr>
                <w:rFonts w:eastAsia="Times New Roman" w:cs="Segoe UI"/>
                <w:b/>
                <w:bCs/>
                <w:sz w:val="18"/>
                <w:szCs w:val="18"/>
                <w:lang w:eastAsia="en-GB"/>
              </w:rPr>
            </w:pPr>
            <w:r w:rsidRPr="007D42F4">
              <w:rPr>
                <w:rFonts w:eastAsia="Times New Roman" w:cs="Segoe UI"/>
                <w:b/>
                <w:bCs/>
                <w:sz w:val="18"/>
                <w:szCs w:val="18"/>
                <w:lang w:eastAsia="en-GB"/>
              </w:rPr>
              <w:t>368 591,0</w:t>
            </w:r>
            <w:r w:rsidR="005C64AC">
              <w:rPr>
                <w:rFonts w:eastAsia="Times New Roman" w:cs="Segoe UI"/>
                <w:b/>
                <w:bCs/>
                <w:sz w:val="18"/>
                <w:szCs w:val="18"/>
                <w:lang w:eastAsia="en-GB"/>
              </w:rPr>
              <w:t>**</w:t>
            </w:r>
          </w:p>
        </w:tc>
        <w:tc>
          <w:tcPr>
            <w:tcW w:w="1789" w:type="dxa"/>
            <w:tcBorders>
              <w:top w:val="nil"/>
              <w:left w:val="nil"/>
              <w:bottom w:val="single" w:sz="4" w:space="0" w:color="auto"/>
              <w:right w:val="nil"/>
            </w:tcBorders>
            <w:shd w:val="clear" w:color="000000" w:fill="FFFFFF"/>
            <w:noWrap/>
            <w:vAlign w:val="center"/>
            <w:hideMark/>
          </w:tcPr>
          <w:p w14:paraId="32EDD800" w14:textId="77777777" w:rsidR="00C43119" w:rsidRPr="007D42F4" w:rsidRDefault="00C43119" w:rsidP="00C43119">
            <w:pPr>
              <w:spacing w:after="0" w:line="240" w:lineRule="auto"/>
              <w:jc w:val="right"/>
              <w:rPr>
                <w:rFonts w:eastAsia="Times New Roman" w:cs="Segoe UI"/>
                <w:b/>
                <w:bCs/>
                <w:sz w:val="18"/>
                <w:szCs w:val="18"/>
                <w:lang w:eastAsia="en-GB"/>
              </w:rPr>
            </w:pPr>
            <w:r w:rsidRPr="007D42F4">
              <w:rPr>
                <w:rFonts w:eastAsia="Times New Roman" w:cs="Segoe UI"/>
                <w:b/>
                <w:bCs/>
                <w:sz w:val="18"/>
                <w:szCs w:val="18"/>
                <w:lang w:eastAsia="en-GB"/>
              </w:rPr>
              <w:t>60 541,1</w:t>
            </w:r>
          </w:p>
        </w:tc>
      </w:tr>
    </w:tbl>
    <w:p w14:paraId="1455B601" w14:textId="0239FDEE" w:rsidR="00B76344" w:rsidRDefault="00B76344" w:rsidP="00B76344">
      <w:pPr>
        <w:pStyle w:val="Zdroj"/>
      </w:pPr>
      <w:r w:rsidRPr="007D42F4">
        <w:rPr>
          <w:lang w:eastAsia="en-GB"/>
        </w:rPr>
        <w:t xml:space="preserve">Zdroj: MF SR, </w:t>
      </w:r>
      <w:r w:rsidR="00B60BD9">
        <w:rPr>
          <w:lang w:eastAsia="en-GB"/>
        </w:rPr>
        <w:t>*</w:t>
      </w:r>
      <w:r w:rsidRPr="007D42F4">
        <w:rPr>
          <w:lang w:eastAsia="en-GB"/>
        </w:rPr>
        <w:t>v</w:t>
      </w:r>
      <w:r>
        <w:rPr>
          <w:lang w:eastAsia="en-GB"/>
        </w:rPr>
        <w:t> prípade</w:t>
      </w:r>
      <w:r w:rsidRPr="007D42F4">
        <w:rPr>
          <w:lang w:eastAsia="en-GB"/>
        </w:rPr>
        <w:t xml:space="preserve"> PS INTERACT III ide o nár</w:t>
      </w:r>
      <w:r>
        <w:rPr>
          <w:lang w:eastAsia="en-GB"/>
        </w:rPr>
        <w:t>odné príspevky členských štátov</w:t>
      </w:r>
      <w:r w:rsidR="005C64AC">
        <w:rPr>
          <w:lang w:eastAsia="en-GB"/>
        </w:rPr>
        <w:t>, **suma potvrdená EK, ktorá môže rásť</w:t>
      </w:r>
    </w:p>
    <w:p w14:paraId="6E4836BA" w14:textId="23675E0D" w:rsidR="00A42B5E" w:rsidRDefault="00571526" w:rsidP="006B7790">
      <w:pPr>
        <w:spacing w:before="120"/>
      </w:pPr>
      <w:r w:rsidRPr="00A42B5E">
        <w:rPr>
          <w:b/>
        </w:rPr>
        <w:t>Pri rýchlom dočerpávaní prostriedkov hrozia najmä chyby vo verejnom obstarávaní alebo v žiadostiach o</w:t>
      </w:r>
      <w:r w:rsidR="00930256">
        <w:rPr>
          <w:b/>
        </w:rPr>
        <w:t> nenávratný finančný príspevok</w:t>
      </w:r>
      <w:r w:rsidRPr="00A42B5E">
        <w:rPr>
          <w:b/>
        </w:rPr>
        <w:t>.</w:t>
      </w:r>
      <w:r w:rsidRPr="006B7790">
        <w:t xml:space="preserve"> </w:t>
      </w:r>
      <w:r>
        <w:t>Navyše</w:t>
      </w:r>
      <w:r w:rsidR="00C95AC6">
        <w:t xml:space="preserve"> v súčasnej</w:t>
      </w:r>
      <w:r>
        <w:t xml:space="preserve"> energetickej kríze a</w:t>
      </w:r>
      <w:r w:rsidR="00C95AC6">
        <w:t xml:space="preserve"> pri vysokej </w:t>
      </w:r>
      <w:r>
        <w:t>inflácii dochádza k zdražovaniu stavebných materiálov, spomaľovaniu výstavby projektov a odstupovani</w:t>
      </w:r>
      <w:r w:rsidR="00C95AC6">
        <w:t>u</w:t>
      </w:r>
      <w:r>
        <w:t xml:space="preserve"> zhotoviteľov od zmlúv kvôli neschopnosti dokončiť realizáciu projektov za pôvodne </w:t>
      </w:r>
      <w:proofErr w:type="spellStart"/>
      <w:r>
        <w:t>zazmluvnené</w:t>
      </w:r>
      <w:proofErr w:type="spellEnd"/>
      <w:r>
        <w:t xml:space="preserve"> ceny, čoho dôsledkom môže byť tiež nižšia miera čerpania EŠIF.</w:t>
      </w:r>
    </w:p>
    <w:p w14:paraId="491188FC" w14:textId="6D6F2C73" w:rsidR="000218FC" w:rsidRDefault="00571526" w:rsidP="006B7790">
      <w:pPr>
        <w:spacing w:before="120"/>
      </w:pPr>
      <w:r w:rsidRPr="00A42B5E">
        <w:rPr>
          <w:b/>
        </w:rPr>
        <w:t>Pri problémoch s dočerpaním sa preto uvažuje aj o možnosti využiť nedočerpané zdroje na riešenie dôsledkov energetickej krízy.</w:t>
      </w:r>
      <w:r>
        <w:t xml:space="preserve"> </w:t>
      </w:r>
      <w:r w:rsidR="003F4239">
        <w:t>M</w:t>
      </w:r>
      <w:r w:rsidR="000218FC">
        <w:t>omentálne prebiehajú rokovania</w:t>
      </w:r>
      <w:r w:rsidR="00D53139">
        <w:t>,</w:t>
      </w:r>
      <w:r w:rsidR="000218FC">
        <w:t xml:space="preserve"> aby bolo možno využiť zostávajúce </w:t>
      </w:r>
      <w:r w:rsidR="00167F21">
        <w:t>prostriedky</w:t>
      </w:r>
      <w:r w:rsidR="000218FC">
        <w:t xml:space="preserve"> z PO 2014</w:t>
      </w:r>
      <w:r w:rsidR="00FC2F23">
        <w:t xml:space="preserve"> – </w:t>
      </w:r>
      <w:r w:rsidR="000218FC">
        <w:t xml:space="preserve">2020 </w:t>
      </w:r>
      <w:r>
        <w:t xml:space="preserve">práve </w:t>
      </w:r>
      <w:r w:rsidR="000218FC">
        <w:t xml:space="preserve">na riešenie dôsledkov energetickej krízy. Podľa MIRRI SR tieto nevyčerpané financie budú môcť pokryť prevádzkové náklady malých a stredných podnikov a pomôcť zraniteľným domácnostiam. Táto pomoc by sa mala týkať aj vyspelejších regiónov, teda mala </w:t>
      </w:r>
      <w:r w:rsidR="000218FC">
        <w:lastRenderedPageBreak/>
        <w:t xml:space="preserve">by byť nasmerovaná aj k subjektom v Bratislavskom kraji. </w:t>
      </w:r>
      <w:r w:rsidR="00530B10">
        <w:t>N</w:t>
      </w:r>
      <w:r w:rsidR="000218FC">
        <w:t xml:space="preserve">ávrh EK </w:t>
      </w:r>
      <w:r w:rsidR="00530B10">
        <w:t xml:space="preserve">však </w:t>
      </w:r>
      <w:r w:rsidR="000218FC">
        <w:t xml:space="preserve">musí ešte schváliť Rada </w:t>
      </w:r>
      <w:r w:rsidR="00530B10">
        <w:t xml:space="preserve">EÚ </w:t>
      </w:r>
      <w:r w:rsidR="000218FC">
        <w:t>a aj Európsky parlament</w:t>
      </w:r>
      <w:r w:rsidR="00D31C24">
        <w:t>,</w:t>
      </w:r>
      <w:r w:rsidR="000218FC">
        <w:t xml:space="preserve"> a až následne bude možn</w:t>
      </w:r>
      <w:r w:rsidR="00D31C24">
        <w:t>é</w:t>
      </w:r>
      <w:r w:rsidR="000218FC">
        <w:t xml:space="preserve"> vypracovať národné sché</w:t>
      </w:r>
      <w:r w:rsidR="00A6568C">
        <w:t>my pomoci.</w:t>
      </w:r>
    </w:p>
    <w:p w14:paraId="133E09B3" w14:textId="62C9B043" w:rsidR="002173A5" w:rsidRPr="006801AC" w:rsidRDefault="000218FC" w:rsidP="002173A5">
      <w:pPr>
        <w:rPr>
          <w:b/>
        </w:rPr>
      </w:pPr>
      <w:r w:rsidRPr="00A42B5E">
        <w:rPr>
          <w:b/>
        </w:rPr>
        <w:t>Partnersk</w:t>
      </w:r>
      <w:r w:rsidR="002173A5">
        <w:rPr>
          <w:b/>
        </w:rPr>
        <w:t>ú</w:t>
      </w:r>
      <w:r w:rsidRPr="00A42B5E">
        <w:rPr>
          <w:b/>
        </w:rPr>
        <w:t xml:space="preserve"> dohoda k </w:t>
      </w:r>
      <w:r w:rsidRPr="00A42B5E">
        <w:rPr>
          <w:b/>
          <w:bCs/>
        </w:rPr>
        <w:t>PO 2021</w:t>
      </w:r>
      <w:r w:rsidR="00571526" w:rsidRPr="00A42B5E">
        <w:rPr>
          <w:b/>
          <w:bCs/>
        </w:rPr>
        <w:t xml:space="preserve"> – </w:t>
      </w:r>
      <w:r w:rsidRPr="00A42B5E">
        <w:rPr>
          <w:b/>
          <w:bCs/>
        </w:rPr>
        <w:t>2027</w:t>
      </w:r>
      <w:r w:rsidRPr="00A42B5E">
        <w:rPr>
          <w:b/>
        </w:rPr>
        <w:t>, dokument ktorým sa určuje</w:t>
      </w:r>
      <w:r w:rsidR="002173A5">
        <w:rPr>
          <w:b/>
        </w:rPr>
        <w:t>,</w:t>
      </w:r>
      <w:r w:rsidRPr="00A42B5E">
        <w:rPr>
          <w:b/>
        </w:rPr>
        <w:t xml:space="preserve"> ako sa budú čerpať eurofondy</w:t>
      </w:r>
      <w:r w:rsidR="0062544B">
        <w:rPr>
          <w:b/>
        </w:rPr>
        <w:t xml:space="preserve"> v objeme 12,6 mld.</w:t>
      </w:r>
      <w:r w:rsidRPr="00A42B5E">
        <w:rPr>
          <w:b/>
        </w:rPr>
        <w:t>, schvál</w:t>
      </w:r>
      <w:r w:rsidR="002173A5">
        <w:rPr>
          <w:b/>
        </w:rPr>
        <w:t>ila</w:t>
      </w:r>
      <w:r w:rsidRPr="00A42B5E">
        <w:rPr>
          <w:b/>
        </w:rPr>
        <w:t xml:space="preserve"> a podpísa</w:t>
      </w:r>
      <w:r w:rsidR="002173A5">
        <w:rPr>
          <w:b/>
        </w:rPr>
        <w:t>la</w:t>
      </w:r>
      <w:r w:rsidRPr="00A42B5E">
        <w:rPr>
          <w:b/>
        </w:rPr>
        <w:t xml:space="preserve"> E</w:t>
      </w:r>
      <w:r w:rsidR="002173A5">
        <w:rPr>
          <w:b/>
        </w:rPr>
        <w:t>K</w:t>
      </w:r>
      <w:r w:rsidRPr="00A42B5E">
        <w:rPr>
          <w:b/>
        </w:rPr>
        <w:t xml:space="preserve"> v júli 2022</w:t>
      </w:r>
      <w:r w:rsidRPr="0062544B">
        <w:rPr>
          <w:b/>
        </w:rPr>
        <w:t>.</w:t>
      </w:r>
      <w:r>
        <w:t xml:space="preserve"> </w:t>
      </w:r>
      <w:r w:rsidR="00CE504F">
        <w:t>Existuje t</w:t>
      </w:r>
      <w:r w:rsidR="00492B4C">
        <w:t>ak</w:t>
      </w:r>
      <w:r>
        <w:t xml:space="preserve"> riziko v súvislosti s </w:t>
      </w:r>
      <w:r w:rsidR="00CB5937">
        <w:t>neskoršou</w:t>
      </w:r>
      <w:r>
        <w:t xml:space="preserve"> prípravou a</w:t>
      </w:r>
      <w:r w:rsidR="00492B4C">
        <w:t> </w:t>
      </w:r>
      <w:r>
        <w:t>implementáciou</w:t>
      </w:r>
      <w:r w:rsidR="00492B4C">
        <w:t xml:space="preserve"> tohto PO</w:t>
      </w:r>
      <w:r w:rsidR="00167F21">
        <w:t>,</w:t>
      </w:r>
      <w:r w:rsidR="00CE504F">
        <w:t xml:space="preserve"> </w:t>
      </w:r>
      <w:r w:rsidR="00A82AD4">
        <w:t xml:space="preserve">pretože </w:t>
      </w:r>
      <w:r w:rsidR="00167F21">
        <w:t>o</w:t>
      </w:r>
      <w:r w:rsidR="00CE504F">
        <w:t>neskorená implementácia zapríčiňuje neskorší nábeh čerpania finančných prostriedkov. Keďže v PO 2021 – 2027 môže</w:t>
      </w:r>
      <w:r w:rsidR="00A82AD4">
        <w:t xml:space="preserve"> SR</w:t>
      </w:r>
      <w:r w:rsidR="00CE504F">
        <w:t xml:space="preserve"> uplatniť len kratšie obdobie čerpania</w:t>
      </w:r>
      <w:r w:rsidR="00D31C24">
        <w:t xml:space="preserve"> – d</w:t>
      </w:r>
      <w:r w:rsidR="00CE504F">
        <w:t>o decembra 2029</w:t>
      </w:r>
      <w:r w:rsidR="00073B47">
        <w:rPr>
          <w:rStyle w:val="Odkaznapoznmkupodiarou"/>
        </w:rPr>
        <w:footnoteReference w:id="14"/>
      </w:r>
      <w:r w:rsidR="00CE504F">
        <w:t xml:space="preserve">, </w:t>
      </w:r>
      <w:r w:rsidR="00CE504F" w:rsidRPr="00A51B02">
        <w:t>o to</w:t>
      </w:r>
      <w:r w:rsidR="00CE504F">
        <w:t xml:space="preserve"> väčší dôraz by mal byť</w:t>
      </w:r>
      <w:r w:rsidR="00167F21">
        <w:t xml:space="preserve"> práve v tomto OP</w:t>
      </w:r>
      <w:r w:rsidR="00CE504F">
        <w:t xml:space="preserve"> kladený na včasné spustenie implementácie.</w:t>
      </w:r>
      <w:r w:rsidR="001E116F" w:rsidRPr="001E116F">
        <w:t xml:space="preserve"> </w:t>
      </w:r>
      <w:r w:rsidR="002173A5" w:rsidRPr="006801AC">
        <w:rPr>
          <w:b/>
        </w:rPr>
        <w:t xml:space="preserve">O oneskorenom čerpaní svedčí </w:t>
      </w:r>
      <w:r w:rsidR="0062544B">
        <w:rPr>
          <w:b/>
        </w:rPr>
        <w:t xml:space="preserve">aj </w:t>
      </w:r>
      <w:r w:rsidR="00D45587">
        <w:rPr>
          <w:b/>
        </w:rPr>
        <w:t>návrh RVS</w:t>
      </w:r>
      <w:r w:rsidR="002173A5" w:rsidRPr="006801AC">
        <w:rPr>
          <w:b/>
        </w:rPr>
        <w:t xml:space="preserve"> </w:t>
      </w:r>
      <w:r w:rsidR="00D45587" w:rsidRPr="00D45587">
        <w:t>(</w:t>
      </w:r>
      <w:r w:rsidR="002173A5" w:rsidRPr="00D45587">
        <w:t>tabuľka 6</w:t>
      </w:r>
      <w:r w:rsidR="00D45587" w:rsidRPr="00D45587">
        <w:t>)</w:t>
      </w:r>
      <w:r w:rsidR="002173A5" w:rsidRPr="00D45587">
        <w:t>.</w:t>
      </w:r>
      <w:r w:rsidR="002173A5" w:rsidRPr="006801AC">
        <w:rPr>
          <w:b/>
        </w:rPr>
        <w:t xml:space="preserve"> SR sa </w:t>
      </w:r>
      <w:r w:rsidR="001E116F">
        <w:rPr>
          <w:b/>
        </w:rPr>
        <w:t xml:space="preserve">tak </w:t>
      </w:r>
      <w:r w:rsidR="002173A5" w:rsidRPr="006801AC">
        <w:rPr>
          <w:b/>
        </w:rPr>
        <w:t>ani v</w:t>
      </w:r>
      <w:r w:rsidR="00D31C24">
        <w:rPr>
          <w:b/>
        </w:rPr>
        <w:t>o</w:t>
      </w:r>
      <w:r w:rsidR="002173A5" w:rsidRPr="006801AC">
        <w:rPr>
          <w:b/>
        </w:rPr>
        <w:t> </w:t>
      </w:r>
      <w:r w:rsidR="002173A5">
        <w:rPr>
          <w:b/>
        </w:rPr>
        <w:t>štvrtom</w:t>
      </w:r>
      <w:r w:rsidR="002173A5" w:rsidRPr="006801AC">
        <w:rPr>
          <w:b/>
        </w:rPr>
        <w:t xml:space="preserve"> PO nevie poučiť z predchádzajúcich chýb.</w:t>
      </w:r>
    </w:p>
    <w:p w14:paraId="6B7C20B5" w14:textId="02A57465" w:rsidR="00DC4D9A" w:rsidRDefault="00DC4D9A" w:rsidP="00DC4D9A">
      <w:pPr>
        <w:pStyle w:val="Popis"/>
        <w:keepNext/>
      </w:pPr>
      <w:r>
        <w:t>Tabuľka 6</w:t>
      </w:r>
      <w:r w:rsidR="00AE15D5">
        <w:t>:</w:t>
      </w:r>
      <w:r>
        <w:t xml:space="preserve"> Čerpanie partnerskej dohody</w:t>
      </w:r>
      <w:r w:rsidR="00DE61E3">
        <w:t xml:space="preserve"> (v tis. eur)</w:t>
      </w:r>
    </w:p>
    <w:tbl>
      <w:tblPr>
        <w:tblW w:w="5000" w:type="pct"/>
        <w:tblCellMar>
          <w:left w:w="70" w:type="dxa"/>
          <w:right w:w="70" w:type="dxa"/>
        </w:tblCellMar>
        <w:tblLook w:val="04A0" w:firstRow="1" w:lastRow="0" w:firstColumn="1" w:lastColumn="0" w:noHBand="0" w:noVBand="1"/>
      </w:tblPr>
      <w:tblGrid>
        <w:gridCol w:w="3535"/>
        <w:gridCol w:w="958"/>
        <w:gridCol w:w="880"/>
        <w:gridCol w:w="1168"/>
        <w:gridCol w:w="1259"/>
        <w:gridCol w:w="1270"/>
      </w:tblGrid>
      <w:tr w:rsidR="00DC4D9A" w:rsidRPr="0051160B" w14:paraId="2065925B" w14:textId="77777777" w:rsidTr="005A6C82">
        <w:trPr>
          <w:trHeight w:val="540"/>
        </w:trPr>
        <w:tc>
          <w:tcPr>
            <w:tcW w:w="1949" w:type="pct"/>
            <w:shd w:val="clear" w:color="auto" w:fill="314364"/>
            <w:vAlign w:val="center"/>
            <w:hideMark/>
          </w:tcPr>
          <w:p w14:paraId="13FFBC36" w14:textId="77777777" w:rsidR="00DC4D9A" w:rsidRPr="0051160B" w:rsidRDefault="00DC4D9A" w:rsidP="0051160B">
            <w:pPr>
              <w:spacing w:after="0" w:line="240" w:lineRule="auto"/>
              <w:jc w:val="left"/>
              <w:rPr>
                <w:rFonts w:eastAsia="Times New Roman" w:cs="Segoe UI"/>
                <w:b/>
                <w:bCs/>
                <w:color w:val="FFFFFF"/>
                <w:sz w:val="18"/>
                <w:szCs w:val="18"/>
                <w:lang w:eastAsia="en-GB"/>
              </w:rPr>
            </w:pPr>
            <w:r w:rsidRPr="0051160B">
              <w:rPr>
                <w:rFonts w:eastAsia="Times New Roman" w:cs="Segoe UI"/>
                <w:b/>
                <w:bCs/>
                <w:color w:val="FFFFFF"/>
                <w:sz w:val="18"/>
                <w:szCs w:val="18"/>
                <w:lang w:eastAsia="en-GB"/>
              </w:rPr>
              <w:t>Operačné programy</w:t>
            </w:r>
          </w:p>
        </w:tc>
        <w:tc>
          <w:tcPr>
            <w:tcW w:w="528" w:type="pct"/>
            <w:shd w:val="clear" w:color="auto" w:fill="314364"/>
            <w:vAlign w:val="center"/>
            <w:hideMark/>
          </w:tcPr>
          <w:p w14:paraId="54E43237" w14:textId="77777777" w:rsidR="00DC4D9A" w:rsidRPr="0051160B" w:rsidRDefault="00DC4D9A" w:rsidP="005A519C">
            <w:pPr>
              <w:spacing w:after="0" w:line="240" w:lineRule="auto"/>
              <w:jc w:val="right"/>
              <w:rPr>
                <w:rFonts w:eastAsia="Times New Roman" w:cs="Segoe UI"/>
                <w:b/>
                <w:bCs/>
                <w:color w:val="FFFFFF"/>
                <w:sz w:val="18"/>
                <w:szCs w:val="18"/>
                <w:lang w:eastAsia="en-GB"/>
              </w:rPr>
            </w:pPr>
            <w:r w:rsidRPr="0051160B">
              <w:rPr>
                <w:rFonts w:eastAsia="Times New Roman" w:cs="Segoe UI"/>
                <w:b/>
                <w:bCs/>
                <w:color w:val="FFFFFF"/>
                <w:sz w:val="18"/>
                <w:szCs w:val="18"/>
                <w:lang w:eastAsia="en-GB"/>
              </w:rPr>
              <w:t>2021 S*</w:t>
            </w:r>
          </w:p>
        </w:tc>
        <w:tc>
          <w:tcPr>
            <w:tcW w:w="485" w:type="pct"/>
            <w:shd w:val="clear" w:color="auto" w:fill="314364"/>
            <w:vAlign w:val="center"/>
            <w:hideMark/>
          </w:tcPr>
          <w:p w14:paraId="51675693" w14:textId="77777777" w:rsidR="00DC4D9A" w:rsidRPr="0051160B" w:rsidRDefault="00DC4D9A" w:rsidP="005A519C">
            <w:pPr>
              <w:spacing w:after="0" w:line="240" w:lineRule="auto"/>
              <w:jc w:val="right"/>
              <w:rPr>
                <w:rFonts w:eastAsia="Times New Roman" w:cs="Segoe UI"/>
                <w:b/>
                <w:bCs/>
                <w:color w:val="FFFFFF"/>
                <w:sz w:val="18"/>
                <w:szCs w:val="18"/>
                <w:lang w:eastAsia="en-GB"/>
              </w:rPr>
            </w:pPr>
            <w:r w:rsidRPr="0051160B">
              <w:rPr>
                <w:rFonts w:eastAsia="Times New Roman" w:cs="Segoe UI"/>
                <w:b/>
                <w:bCs/>
                <w:color w:val="FFFFFF"/>
                <w:sz w:val="18"/>
                <w:szCs w:val="18"/>
                <w:lang w:eastAsia="en-GB"/>
              </w:rPr>
              <w:t>2022 R</w:t>
            </w:r>
          </w:p>
        </w:tc>
        <w:tc>
          <w:tcPr>
            <w:tcW w:w="644" w:type="pct"/>
            <w:shd w:val="clear" w:color="auto" w:fill="314364"/>
            <w:vAlign w:val="center"/>
            <w:hideMark/>
          </w:tcPr>
          <w:p w14:paraId="04712324" w14:textId="77777777" w:rsidR="00DC4D9A" w:rsidRPr="0051160B" w:rsidRDefault="00DC4D9A" w:rsidP="005A519C">
            <w:pPr>
              <w:spacing w:after="0" w:line="240" w:lineRule="auto"/>
              <w:jc w:val="right"/>
              <w:rPr>
                <w:rFonts w:eastAsia="Times New Roman" w:cs="Segoe UI"/>
                <w:b/>
                <w:bCs/>
                <w:color w:val="FFFFFF"/>
                <w:sz w:val="18"/>
                <w:szCs w:val="18"/>
                <w:lang w:eastAsia="en-GB"/>
              </w:rPr>
            </w:pPr>
            <w:r w:rsidRPr="0051160B">
              <w:rPr>
                <w:rFonts w:eastAsia="Times New Roman" w:cs="Segoe UI"/>
                <w:b/>
                <w:bCs/>
                <w:color w:val="FFFFFF"/>
                <w:sz w:val="18"/>
                <w:szCs w:val="18"/>
                <w:lang w:eastAsia="en-GB"/>
              </w:rPr>
              <w:t>2023 N</w:t>
            </w:r>
          </w:p>
        </w:tc>
        <w:tc>
          <w:tcPr>
            <w:tcW w:w="694" w:type="pct"/>
            <w:shd w:val="clear" w:color="auto" w:fill="314364"/>
            <w:vAlign w:val="center"/>
            <w:hideMark/>
          </w:tcPr>
          <w:p w14:paraId="035DD879" w14:textId="77777777" w:rsidR="00DC4D9A" w:rsidRPr="0051160B" w:rsidRDefault="00DC4D9A" w:rsidP="005A519C">
            <w:pPr>
              <w:spacing w:after="0" w:line="240" w:lineRule="auto"/>
              <w:jc w:val="right"/>
              <w:rPr>
                <w:rFonts w:eastAsia="Times New Roman" w:cs="Segoe UI"/>
                <w:b/>
                <w:bCs/>
                <w:color w:val="FFFFFF"/>
                <w:sz w:val="18"/>
                <w:szCs w:val="18"/>
                <w:lang w:eastAsia="en-GB"/>
              </w:rPr>
            </w:pPr>
            <w:r w:rsidRPr="0051160B">
              <w:rPr>
                <w:rFonts w:eastAsia="Times New Roman" w:cs="Segoe UI"/>
                <w:b/>
                <w:bCs/>
                <w:color w:val="FFFFFF"/>
                <w:sz w:val="18"/>
                <w:szCs w:val="18"/>
                <w:lang w:eastAsia="en-GB"/>
              </w:rPr>
              <w:t>2023-2022</w:t>
            </w:r>
          </w:p>
        </w:tc>
        <w:tc>
          <w:tcPr>
            <w:tcW w:w="700" w:type="pct"/>
            <w:shd w:val="clear" w:color="auto" w:fill="314364"/>
            <w:vAlign w:val="center"/>
            <w:hideMark/>
          </w:tcPr>
          <w:p w14:paraId="42465CDE" w14:textId="77777777" w:rsidR="00DC4D9A" w:rsidRPr="0051160B" w:rsidRDefault="00DC4D9A" w:rsidP="005A519C">
            <w:pPr>
              <w:spacing w:after="0" w:line="240" w:lineRule="auto"/>
              <w:jc w:val="right"/>
              <w:rPr>
                <w:rFonts w:eastAsia="Times New Roman" w:cs="Segoe UI"/>
                <w:b/>
                <w:bCs/>
                <w:color w:val="FFFFFF"/>
                <w:sz w:val="18"/>
                <w:szCs w:val="18"/>
                <w:lang w:eastAsia="en-GB"/>
              </w:rPr>
            </w:pPr>
            <w:r w:rsidRPr="0051160B">
              <w:rPr>
                <w:rFonts w:eastAsia="Times New Roman" w:cs="Segoe UI"/>
                <w:b/>
                <w:bCs/>
                <w:color w:val="FFFFFF"/>
                <w:sz w:val="18"/>
                <w:szCs w:val="18"/>
                <w:lang w:eastAsia="en-GB"/>
              </w:rPr>
              <w:t>2023/2022</w:t>
            </w:r>
          </w:p>
        </w:tc>
      </w:tr>
      <w:tr w:rsidR="00DC4D9A" w:rsidRPr="0051160B" w14:paraId="72339831" w14:textId="77777777" w:rsidTr="005A6C82">
        <w:trPr>
          <w:trHeight w:val="288"/>
        </w:trPr>
        <w:tc>
          <w:tcPr>
            <w:tcW w:w="1949" w:type="pct"/>
            <w:shd w:val="clear" w:color="auto" w:fill="auto"/>
            <w:vAlign w:val="center"/>
            <w:hideMark/>
          </w:tcPr>
          <w:p w14:paraId="73AC8180" w14:textId="77777777" w:rsidR="00DC4D9A" w:rsidRPr="0051160B" w:rsidRDefault="00DC4D9A" w:rsidP="005A6C82">
            <w:pPr>
              <w:spacing w:after="0" w:line="240" w:lineRule="auto"/>
              <w:jc w:val="left"/>
              <w:rPr>
                <w:rFonts w:eastAsia="Times New Roman" w:cs="Segoe UI"/>
                <w:color w:val="000000"/>
                <w:sz w:val="18"/>
                <w:szCs w:val="18"/>
                <w:lang w:eastAsia="sk-SK"/>
              </w:rPr>
            </w:pPr>
            <w:r w:rsidRPr="0051160B">
              <w:rPr>
                <w:rFonts w:eastAsia="Times New Roman" w:cs="Segoe UI"/>
                <w:color w:val="000000"/>
                <w:sz w:val="18"/>
                <w:szCs w:val="18"/>
                <w:lang w:eastAsia="sk-SK"/>
              </w:rPr>
              <w:t>Program Slovensko</w:t>
            </w:r>
          </w:p>
        </w:tc>
        <w:tc>
          <w:tcPr>
            <w:tcW w:w="528" w:type="pct"/>
            <w:shd w:val="clear" w:color="auto" w:fill="auto"/>
            <w:vAlign w:val="center"/>
            <w:hideMark/>
          </w:tcPr>
          <w:p w14:paraId="3BF1008A"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0</w:t>
            </w:r>
          </w:p>
        </w:tc>
        <w:tc>
          <w:tcPr>
            <w:tcW w:w="485" w:type="pct"/>
            <w:shd w:val="clear" w:color="auto" w:fill="auto"/>
            <w:vAlign w:val="center"/>
            <w:hideMark/>
          </w:tcPr>
          <w:p w14:paraId="27AE7D7C"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50 305</w:t>
            </w:r>
          </w:p>
        </w:tc>
        <w:tc>
          <w:tcPr>
            <w:tcW w:w="644" w:type="pct"/>
            <w:shd w:val="clear" w:color="auto" w:fill="auto"/>
            <w:vAlign w:val="center"/>
            <w:hideMark/>
          </w:tcPr>
          <w:p w14:paraId="6C10BF3B"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1 490 801</w:t>
            </w:r>
          </w:p>
        </w:tc>
        <w:tc>
          <w:tcPr>
            <w:tcW w:w="694" w:type="pct"/>
            <w:shd w:val="clear" w:color="auto" w:fill="auto"/>
            <w:vAlign w:val="center"/>
            <w:hideMark/>
          </w:tcPr>
          <w:p w14:paraId="59853BAF"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1 440 496</w:t>
            </w:r>
          </w:p>
        </w:tc>
        <w:tc>
          <w:tcPr>
            <w:tcW w:w="700" w:type="pct"/>
            <w:shd w:val="clear" w:color="auto" w:fill="auto"/>
            <w:vAlign w:val="center"/>
            <w:hideMark/>
          </w:tcPr>
          <w:p w14:paraId="674F8F26" w14:textId="73C436C8"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2</w:t>
            </w:r>
            <w:r w:rsidR="0051160B">
              <w:rPr>
                <w:rFonts w:eastAsia="Times New Roman" w:cs="Segoe UI"/>
                <w:color w:val="000000"/>
                <w:sz w:val="18"/>
                <w:szCs w:val="18"/>
                <w:lang w:eastAsia="sk-SK"/>
              </w:rPr>
              <w:t xml:space="preserve"> </w:t>
            </w:r>
            <w:r w:rsidRPr="0051160B">
              <w:rPr>
                <w:rFonts w:eastAsia="Times New Roman" w:cs="Segoe UI"/>
                <w:color w:val="000000"/>
                <w:sz w:val="18"/>
                <w:szCs w:val="18"/>
                <w:lang w:eastAsia="sk-SK"/>
              </w:rPr>
              <w:t>963,5</w:t>
            </w:r>
          </w:p>
        </w:tc>
      </w:tr>
      <w:tr w:rsidR="00DC4D9A" w:rsidRPr="0051160B" w14:paraId="200615A1" w14:textId="77777777" w:rsidTr="005A6C82">
        <w:trPr>
          <w:trHeight w:val="288"/>
        </w:trPr>
        <w:tc>
          <w:tcPr>
            <w:tcW w:w="1949" w:type="pct"/>
            <w:shd w:val="clear" w:color="auto" w:fill="auto"/>
            <w:vAlign w:val="center"/>
            <w:hideMark/>
          </w:tcPr>
          <w:p w14:paraId="40628583" w14:textId="77777777" w:rsidR="00DC4D9A" w:rsidRPr="0051160B" w:rsidRDefault="00DC4D9A" w:rsidP="005A6C82">
            <w:pPr>
              <w:spacing w:after="0" w:line="240" w:lineRule="auto"/>
              <w:jc w:val="left"/>
              <w:rPr>
                <w:rFonts w:eastAsia="Times New Roman" w:cs="Segoe UI"/>
                <w:color w:val="000000"/>
                <w:sz w:val="18"/>
                <w:szCs w:val="18"/>
                <w:lang w:eastAsia="sk-SK"/>
              </w:rPr>
            </w:pPr>
            <w:proofErr w:type="spellStart"/>
            <w:r w:rsidRPr="0051160B">
              <w:rPr>
                <w:rFonts w:eastAsia="Times New Roman" w:cs="Segoe UI"/>
                <w:color w:val="000000"/>
                <w:sz w:val="18"/>
                <w:szCs w:val="18"/>
                <w:lang w:eastAsia="sk-SK"/>
              </w:rPr>
              <w:t>Interreg</w:t>
            </w:r>
            <w:proofErr w:type="spellEnd"/>
            <w:r w:rsidRPr="0051160B">
              <w:rPr>
                <w:rFonts w:eastAsia="Times New Roman" w:cs="Segoe UI"/>
                <w:color w:val="000000"/>
                <w:sz w:val="18"/>
                <w:szCs w:val="18"/>
                <w:lang w:eastAsia="sk-SK"/>
              </w:rPr>
              <w:t xml:space="preserve"> V-A SK-CZ - 2021-2027</w:t>
            </w:r>
          </w:p>
        </w:tc>
        <w:tc>
          <w:tcPr>
            <w:tcW w:w="528" w:type="pct"/>
            <w:shd w:val="clear" w:color="000000" w:fill="FFFFFF"/>
            <w:vAlign w:val="center"/>
            <w:hideMark/>
          </w:tcPr>
          <w:p w14:paraId="1EA8DA38"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0</w:t>
            </w:r>
          </w:p>
        </w:tc>
        <w:tc>
          <w:tcPr>
            <w:tcW w:w="485" w:type="pct"/>
            <w:shd w:val="clear" w:color="auto" w:fill="auto"/>
            <w:vAlign w:val="center"/>
            <w:hideMark/>
          </w:tcPr>
          <w:p w14:paraId="4EC851D6"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0</w:t>
            </w:r>
          </w:p>
        </w:tc>
        <w:tc>
          <w:tcPr>
            <w:tcW w:w="644" w:type="pct"/>
            <w:shd w:val="clear" w:color="000000" w:fill="FFFFFF"/>
            <w:vAlign w:val="center"/>
            <w:hideMark/>
          </w:tcPr>
          <w:p w14:paraId="75F8611F"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15 000</w:t>
            </w:r>
          </w:p>
        </w:tc>
        <w:tc>
          <w:tcPr>
            <w:tcW w:w="694" w:type="pct"/>
            <w:shd w:val="clear" w:color="auto" w:fill="auto"/>
            <w:vAlign w:val="center"/>
            <w:hideMark/>
          </w:tcPr>
          <w:p w14:paraId="54B2CF0F"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15 000</w:t>
            </w:r>
          </w:p>
        </w:tc>
        <w:tc>
          <w:tcPr>
            <w:tcW w:w="700" w:type="pct"/>
            <w:shd w:val="clear" w:color="auto" w:fill="auto"/>
            <w:vAlign w:val="center"/>
            <w:hideMark/>
          </w:tcPr>
          <w:p w14:paraId="6ABE4265"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w:t>
            </w:r>
          </w:p>
        </w:tc>
      </w:tr>
      <w:tr w:rsidR="00DC4D9A" w:rsidRPr="0051160B" w14:paraId="0BEAB1A7" w14:textId="77777777" w:rsidTr="005A6C82">
        <w:trPr>
          <w:trHeight w:val="288"/>
        </w:trPr>
        <w:tc>
          <w:tcPr>
            <w:tcW w:w="1949" w:type="pct"/>
            <w:shd w:val="clear" w:color="auto" w:fill="auto"/>
            <w:vAlign w:val="center"/>
            <w:hideMark/>
          </w:tcPr>
          <w:p w14:paraId="24787B69" w14:textId="77777777" w:rsidR="00DC4D9A" w:rsidRPr="0051160B" w:rsidRDefault="00DC4D9A" w:rsidP="005A6C82">
            <w:pPr>
              <w:spacing w:after="0" w:line="240" w:lineRule="auto"/>
              <w:jc w:val="left"/>
              <w:rPr>
                <w:rFonts w:eastAsia="Times New Roman" w:cs="Segoe UI"/>
                <w:color w:val="000000"/>
                <w:sz w:val="18"/>
                <w:szCs w:val="18"/>
                <w:lang w:eastAsia="sk-SK"/>
              </w:rPr>
            </w:pPr>
            <w:proofErr w:type="spellStart"/>
            <w:r w:rsidRPr="0051160B">
              <w:rPr>
                <w:rFonts w:eastAsia="Times New Roman" w:cs="Segoe UI"/>
                <w:color w:val="000000"/>
                <w:sz w:val="18"/>
                <w:szCs w:val="18"/>
                <w:lang w:eastAsia="sk-SK"/>
              </w:rPr>
              <w:t>Interreg</w:t>
            </w:r>
            <w:proofErr w:type="spellEnd"/>
            <w:r w:rsidRPr="0051160B">
              <w:rPr>
                <w:rFonts w:eastAsia="Times New Roman" w:cs="Segoe UI"/>
                <w:color w:val="000000"/>
                <w:sz w:val="18"/>
                <w:szCs w:val="18"/>
                <w:lang w:eastAsia="sk-SK"/>
              </w:rPr>
              <w:t xml:space="preserve"> V-A SK-AT - 2021-2027</w:t>
            </w:r>
          </w:p>
        </w:tc>
        <w:tc>
          <w:tcPr>
            <w:tcW w:w="528" w:type="pct"/>
            <w:shd w:val="clear" w:color="000000" w:fill="FFFFFF"/>
            <w:vAlign w:val="center"/>
            <w:hideMark/>
          </w:tcPr>
          <w:p w14:paraId="3D232E48"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0</w:t>
            </w:r>
          </w:p>
        </w:tc>
        <w:tc>
          <w:tcPr>
            <w:tcW w:w="485" w:type="pct"/>
            <w:shd w:val="clear" w:color="auto" w:fill="auto"/>
            <w:vAlign w:val="center"/>
            <w:hideMark/>
          </w:tcPr>
          <w:p w14:paraId="09B35068"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0</w:t>
            </w:r>
          </w:p>
        </w:tc>
        <w:tc>
          <w:tcPr>
            <w:tcW w:w="644" w:type="pct"/>
            <w:shd w:val="clear" w:color="000000" w:fill="FFFFFF"/>
            <w:vAlign w:val="center"/>
            <w:hideMark/>
          </w:tcPr>
          <w:p w14:paraId="3F206DDD"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10 000</w:t>
            </w:r>
          </w:p>
        </w:tc>
        <w:tc>
          <w:tcPr>
            <w:tcW w:w="694" w:type="pct"/>
            <w:shd w:val="clear" w:color="auto" w:fill="auto"/>
            <w:vAlign w:val="center"/>
            <w:hideMark/>
          </w:tcPr>
          <w:p w14:paraId="5A238715"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10 000</w:t>
            </w:r>
          </w:p>
        </w:tc>
        <w:tc>
          <w:tcPr>
            <w:tcW w:w="700" w:type="pct"/>
            <w:shd w:val="clear" w:color="auto" w:fill="auto"/>
            <w:vAlign w:val="center"/>
            <w:hideMark/>
          </w:tcPr>
          <w:p w14:paraId="20021BA1"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w:t>
            </w:r>
          </w:p>
        </w:tc>
      </w:tr>
      <w:tr w:rsidR="00DC4D9A" w:rsidRPr="0051160B" w14:paraId="3EFA2999" w14:textId="77777777" w:rsidTr="005A6C82">
        <w:trPr>
          <w:trHeight w:val="288"/>
        </w:trPr>
        <w:tc>
          <w:tcPr>
            <w:tcW w:w="1949" w:type="pct"/>
            <w:shd w:val="clear" w:color="auto" w:fill="auto"/>
            <w:vAlign w:val="center"/>
            <w:hideMark/>
          </w:tcPr>
          <w:p w14:paraId="45AE160E" w14:textId="77777777" w:rsidR="00DC4D9A" w:rsidRPr="0051160B" w:rsidRDefault="00DC4D9A" w:rsidP="005A6C82">
            <w:pPr>
              <w:spacing w:after="0" w:line="240" w:lineRule="auto"/>
              <w:jc w:val="left"/>
              <w:rPr>
                <w:rFonts w:eastAsia="Times New Roman" w:cs="Segoe UI"/>
                <w:color w:val="000000"/>
                <w:sz w:val="18"/>
                <w:szCs w:val="18"/>
                <w:lang w:eastAsia="sk-SK"/>
              </w:rPr>
            </w:pPr>
            <w:r w:rsidRPr="0051160B">
              <w:rPr>
                <w:rFonts w:eastAsia="Times New Roman" w:cs="Segoe UI"/>
                <w:color w:val="000000"/>
                <w:sz w:val="18"/>
                <w:szCs w:val="18"/>
                <w:lang w:eastAsia="sk-SK"/>
              </w:rPr>
              <w:t>OP Rybné hospodárstvo 2021-2027</w:t>
            </w:r>
          </w:p>
        </w:tc>
        <w:tc>
          <w:tcPr>
            <w:tcW w:w="528" w:type="pct"/>
            <w:shd w:val="clear" w:color="000000" w:fill="FFFFFF"/>
            <w:vAlign w:val="center"/>
            <w:hideMark/>
          </w:tcPr>
          <w:p w14:paraId="4290EE61"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0</w:t>
            </w:r>
          </w:p>
        </w:tc>
        <w:tc>
          <w:tcPr>
            <w:tcW w:w="485" w:type="pct"/>
            <w:shd w:val="clear" w:color="auto" w:fill="auto"/>
            <w:vAlign w:val="center"/>
            <w:hideMark/>
          </w:tcPr>
          <w:p w14:paraId="4D15CA2B"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2 000</w:t>
            </w:r>
          </w:p>
        </w:tc>
        <w:tc>
          <w:tcPr>
            <w:tcW w:w="644" w:type="pct"/>
            <w:shd w:val="clear" w:color="000000" w:fill="FFFFFF"/>
            <w:vAlign w:val="center"/>
            <w:hideMark/>
          </w:tcPr>
          <w:p w14:paraId="57F99FAC"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667</w:t>
            </w:r>
          </w:p>
        </w:tc>
        <w:tc>
          <w:tcPr>
            <w:tcW w:w="694" w:type="pct"/>
            <w:shd w:val="clear" w:color="auto" w:fill="auto"/>
            <w:vAlign w:val="center"/>
            <w:hideMark/>
          </w:tcPr>
          <w:p w14:paraId="1E6F7156"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-1 333</w:t>
            </w:r>
          </w:p>
        </w:tc>
        <w:tc>
          <w:tcPr>
            <w:tcW w:w="700" w:type="pct"/>
            <w:shd w:val="clear" w:color="auto" w:fill="auto"/>
            <w:vAlign w:val="center"/>
            <w:hideMark/>
          </w:tcPr>
          <w:p w14:paraId="345BC0A4"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33,4</w:t>
            </w:r>
          </w:p>
        </w:tc>
      </w:tr>
      <w:tr w:rsidR="00DC4D9A" w:rsidRPr="0051160B" w14:paraId="2026C950" w14:textId="77777777" w:rsidTr="005A6C82">
        <w:trPr>
          <w:trHeight w:val="288"/>
        </w:trPr>
        <w:tc>
          <w:tcPr>
            <w:tcW w:w="1949" w:type="pct"/>
            <w:tcBorders>
              <w:bottom w:val="single" w:sz="4" w:space="0" w:color="auto"/>
            </w:tcBorders>
            <w:shd w:val="clear" w:color="auto" w:fill="auto"/>
            <w:vAlign w:val="center"/>
            <w:hideMark/>
          </w:tcPr>
          <w:p w14:paraId="1E1A9A24" w14:textId="77777777" w:rsidR="00DC4D9A" w:rsidRPr="0051160B" w:rsidRDefault="00DC4D9A" w:rsidP="005A6C82">
            <w:pPr>
              <w:spacing w:after="0" w:line="240" w:lineRule="auto"/>
              <w:jc w:val="left"/>
              <w:rPr>
                <w:rFonts w:eastAsia="Times New Roman" w:cs="Segoe UI"/>
                <w:b/>
                <w:bCs/>
                <w:color w:val="000000"/>
                <w:sz w:val="18"/>
                <w:szCs w:val="18"/>
                <w:lang w:eastAsia="sk-SK"/>
              </w:rPr>
            </w:pPr>
            <w:r w:rsidRPr="0051160B">
              <w:rPr>
                <w:rFonts w:eastAsia="Times New Roman" w:cs="Segoe UI"/>
                <w:b/>
                <w:bCs/>
                <w:color w:val="000000"/>
                <w:sz w:val="18"/>
                <w:szCs w:val="18"/>
                <w:lang w:eastAsia="sk-SK"/>
              </w:rPr>
              <w:t>Operačné programy spolu</w:t>
            </w:r>
          </w:p>
        </w:tc>
        <w:tc>
          <w:tcPr>
            <w:tcW w:w="528" w:type="pct"/>
            <w:tcBorders>
              <w:bottom w:val="single" w:sz="4" w:space="0" w:color="auto"/>
            </w:tcBorders>
            <w:shd w:val="clear" w:color="auto" w:fill="auto"/>
            <w:vAlign w:val="center"/>
            <w:hideMark/>
          </w:tcPr>
          <w:p w14:paraId="7D981C75" w14:textId="77777777" w:rsidR="00DC4D9A" w:rsidRPr="0051160B" w:rsidRDefault="00DC4D9A" w:rsidP="005A6C82">
            <w:pPr>
              <w:spacing w:after="0" w:line="240" w:lineRule="auto"/>
              <w:jc w:val="right"/>
              <w:rPr>
                <w:rFonts w:eastAsia="Times New Roman" w:cs="Segoe UI"/>
                <w:b/>
                <w:bCs/>
                <w:color w:val="000000"/>
                <w:sz w:val="18"/>
                <w:szCs w:val="18"/>
                <w:lang w:eastAsia="sk-SK"/>
              </w:rPr>
            </w:pPr>
            <w:r w:rsidRPr="0051160B">
              <w:rPr>
                <w:rFonts w:eastAsia="Times New Roman" w:cs="Segoe UI"/>
                <w:b/>
                <w:bCs/>
                <w:color w:val="000000"/>
                <w:sz w:val="18"/>
                <w:szCs w:val="18"/>
                <w:lang w:eastAsia="sk-SK"/>
              </w:rPr>
              <w:t>0</w:t>
            </w:r>
          </w:p>
        </w:tc>
        <w:tc>
          <w:tcPr>
            <w:tcW w:w="485" w:type="pct"/>
            <w:tcBorders>
              <w:bottom w:val="single" w:sz="4" w:space="0" w:color="auto"/>
            </w:tcBorders>
            <w:shd w:val="clear" w:color="auto" w:fill="auto"/>
            <w:vAlign w:val="center"/>
            <w:hideMark/>
          </w:tcPr>
          <w:p w14:paraId="4F88BC59" w14:textId="77777777" w:rsidR="00DC4D9A" w:rsidRPr="0051160B" w:rsidRDefault="00DC4D9A" w:rsidP="005A6C82">
            <w:pPr>
              <w:spacing w:after="0" w:line="240" w:lineRule="auto"/>
              <w:jc w:val="right"/>
              <w:rPr>
                <w:rFonts w:eastAsia="Times New Roman" w:cs="Segoe UI"/>
                <w:b/>
                <w:bCs/>
                <w:color w:val="000000"/>
                <w:sz w:val="18"/>
                <w:szCs w:val="18"/>
                <w:lang w:eastAsia="sk-SK"/>
              </w:rPr>
            </w:pPr>
            <w:r w:rsidRPr="0051160B">
              <w:rPr>
                <w:rFonts w:eastAsia="Times New Roman" w:cs="Segoe UI"/>
                <w:b/>
                <w:bCs/>
                <w:color w:val="000000"/>
                <w:sz w:val="18"/>
                <w:szCs w:val="18"/>
                <w:lang w:eastAsia="sk-SK"/>
              </w:rPr>
              <w:t>52 305</w:t>
            </w:r>
          </w:p>
        </w:tc>
        <w:tc>
          <w:tcPr>
            <w:tcW w:w="644" w:type="pct"/>
            <w:tcBorders>
              <w:bottom w:val="single" w:sz="4" w:space="0" w:color="auto"/>
            </w:tcBorders>
            <w:shd w:val="clear" w:color="auto" w:fill="auto"/>
            <w:vAlign w:val="center"/>
            <w:hideMark/>
          </w:tcPr>
          <w:p w14:paraId="4BAE884F" w14:textId="77777777" w:rsidR="00DC4D9A" w:rsidRPr="0051160B" w:rsidRDefault="00DC4D9A" w:rsidP="005A6C82">
            <w:pPr>
              <w:spacing w:after="0" w:line="240" w:lineRule="auto"/>
              <w:jc w:val="right"/>
              <w:rPr>
                <w:rFonts w:eastAsia="Times New Roman" w:cs="Segoe UI"/>
                <w:b/>
                <w:bCs/>
                <w:color w:val="000000"/>
                <w:sz w:val="18"/>
                <w:szCs w:val="18"/>
                <w:lang w:eastAsia="sk-SK"/>
              </w:rPr>
            </w:pPr>
            <w:r w:rsidRPr="0051160B">
              <w:rPr>
                <w:rFonts w:eastAsia="Times New Roman" w:cs="Segoe UI"/>
                <w:b/>
                <w:bCs/>
                <w:color w:val="000000"/>
                <w:sz w:val="18"/>
                <w:szCs w:val="18"/>
                <w:lang w:eastAsia="sk-SK"/>
              </w:rPr>
              <w:t>1 516 468</w:t>
            </w:r>
          </w:p>
        </w:tc>
        <w:tc>
          <w:tcPr>
            <w:tcW w:w="694" w:type="pct"/>
            <w:tcBorders>
              <w:bottom w:val="single" w:sz="4" w:space="0" w:color="auto"/>
            </w:tcBorders>
            <w:shd w:val="clear" w:color="auto" w:fill="auto"/>
            <w:vAlign w:val="center"/>
            <w:hideMark/>
          </w:tcPr>
          <w:p w14:paraId="01B020B6" w14:textId="77777777"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1 464 163</w:t>
            </w:r>
          </w:p>
        </w:tc>
        <w:tc>
          <w:tcPr>
            <w:tcW w:w="700" w:type="pct"/>
            <w:tcBorders>
              <w:bottom w:val="single" w:sz="4" w:space="0" w:color="auto"/>
            </w:tcBorders>
            <w:shd w:val="clear" w:color="auto" w:fill="auto"/>
            <w:vAlign w:val="center"/>
            <w:hideMark/>
          </w:tcPr>
          <w:p w14:paraId="5CE389B5" w14:textId="54F55A66" w:rsidR="00DC4D9A" w:rsidRPr="0051160B" w:rsidRDefault="00DC4D9A" w:rsidP="005A6C82">
            <w:pPr>
              <w:spacing w:after="0" w:line="240" w:lineRule="auto"/>
              <w:jc w:val="right"/>
              <w:rPr>
                <w:rFonts w:eastAsia="Times New Roman" w:cs="Segoe UI"/>
                <w:color w:val="000000"/>
                <w:sz w:val="18"/>
                <w:szCs w:val="18"/>
                <w:lang w:eastAsia="sk-SK"/>
              </w:rPr>
            </w:pPr>
            <w:r w:rsidRPr="0051160B">
              <w:rPr>
                <w:rFonts w:eastAsia="Times New Roman" w:cs="Segoe UI"/>
                <w:color w:val="000000"/>
                <w:sz w:val="18"/>
                <w:szCs w:val="18"/>
                <w:lang w:eastAsia="sk-SK"/>
              </w:rPr>
              <w:t>2</w:t>
            </w:r>
            <w:r w:rsidR="0051160B">
              <w:rPr>
                <w:rFonts w:eastAsia="Times New Roman" w:cs="Segoe UI"/>
                <w:color w:val="000000"/>
                <w:sz w:val="18"/>
                <w:szCs w:val="18"/>
                <w:lang w:eastAsia="sk-SK"/>
              </w:rPr>
              <w:t xml:space="preserve"> </w:t>
            </w:r>
            <w:r w:rsidRPr="0051160B">
              <w:rPr>
                <w:rFonts w:eastAsia="Times New Roman" w:cs="Segoe UI"/>
                <w:color w:val="000000"/>
                <w:sz w:val="18"/>
                <w:szCs w:val="18"/>
                <w:lang w:eastAsia="sk-SK"/>
              </w:rPr>
              <w:t>899,3</w:t>
            </w:r>
          </w:p>
        </w:tc>
      </w:tr>
    </w:tbl>
    <w:p w14:paraId="4EE49347" w14:textId="678124F7" w:rsidR="00000222" w:rsidRDefault="00DC4D9A" w:rsidP="00E76370">
      <w:pPr>
        <w:pStyle w:val="Zdroj"/>
        <w:rPr>
          <w:lang w:eastAsia="en-GB"/>
        </w:rPr>
      </w:pPr>
      <w:r>
        <w:rPr>
          <w:lang w:eastAsia="en-GB"/>
        </w:rPr>
        <w:t>Zdroj: Návrh RVS na roky 2023 až 2025</w:t>
      </w:r>
      <w:r w:rsidR="00E76370">
        <w:rPr>
          <w:lang w:eastAsia="en-GB"/>
        </w:rPr>
        <w:br/>
      </w:r>
      <w:r w:rsidR="00000222">
        <w:rPr>
          <w:lang w:eastAsia="en-GB"/>
        </w:rPr>
        <w:t xml:space="preserve">* </w:t>
      </w:r>
      <w:r w:rsidR="00000222" w:rsidRPr="00000222">
        <w:rPr>
          <w:lang w:eastAsia="en-GB"/>
        </w:rPr>
        <w:t>Skutočnosť  predstavuje čerpanie platobnými príkazmi, ako aj rozpočtovými opatreniami na úrovni PJ.</w:t>
      </w:r>
    </w:p>
    <w:p w14:paraId="2F3BA52C" w14:textId="5E6222E3" w:rsidR="000218FC" w:rsidRPr="00977050" w:rsidRDefault="000218FC" w:rsidP="000218FC">
      <w:pPr>
        <w:rPr>
          <w:b/>
        </w:rPr>
      </w:pPr>
      <w:r w:rsidRPr="00167F21">
        <w:rPr>
          <w:b/>
        </w:rPr>
        <w:t>Dôležitou súčasťou rozpočtu je</w:t>
      </w:r>
      <w:r>
        <w:t xml:space="preserve"> </w:t>
      </w:r>
      <w:r w:rsidRPr="007F2745">
        <w:rPr>
          <w:b/>
          <w:bCs/>
        </w:rPr>
        <w:t>P</w:t>
      </w:r>
      <w:r w:rsidR="00A82AD4">
        <w:rPr>
          <w:b/>
          <w:bCs/>
        </w:rPr>
        <w:t>OO</w:t>
      </w:r>
      <w:r w:rsidR="0001060E">
        <w:rPr>
          <w:b/>
          <w:bCs/>
        </w:rPr>
        <w:t xml:space="preserve">, ktorý </w:t>
      </w:r>
      <w:r w:rsidR="0001060E" w:rsidRPr="0001060E">
        <w:rPr>
          <w:b/>
          <w:bCs/>
        </w:rPr>
        <w:t>predstavuj</w:t>
      </w:r>
      <w:r w:rsidR="0001060E">
        <w:rPr>
          <w:b/>
          <w:bCs/>
        </w:rPr>
        <w:t>e</w:t>
      </w:r>
      <w:r w:rsidR="0001060E" w:rsidRPr="0001060E">
        <w:rPr>
          <w:b/>
          <w:bCs/>
        </w:rPr>
        <w:t xml:space="preserve"> návratný zdroj financovania a SR ich bude musieť začať splácať od roku 2028.</w:t>
      </w:r>
      <w:r>
        <w:t xml:space="preserve"> EÚ </w:t>
      </w:r>
      <w:r w:rsidR="0001060E">
        <w:t xml:space="preserve">ním </w:t>
      </w:r>
      <w:r>
        <w:t>reagovala na hospodársky prepad spôsobený pandémiou COVID-19</w:t>
      </w:r>
      <w:r w:rsidR="00A82AD4">
        <w:t>.</w:t>
      </w:r>
      <w:r>
        <w:t xml:space="preserve"> </w:t>
      </w:r>
      <w:r w:rsidR="00A82AD4">
        <w:t>J</w:t>
      </w:r>
      <w:r>
        <w:t xml:space="preserve">eho cieľom je zlepšiť fungovanie Slovenska pre jeho obyvateľov a urobiť ho odolnejším do budúcnosti. </w:t>
      </w:r>
      <w:r w:rsidR="005719B3">
        <w:t>Plánované reformy a investičné aktivity majú za cieľ posilniť identifikované slabé miesta slovenskej ekonomiky v týchto oblastiach:</w:t>
      </w:r>
      <w:r>
        <w:t xml:space="preserve"> zelen</w:t>
      </w:r>
      <w:r w:rsidR="005719B3">
        <w:t>á</w:t>
      </w:r>
      <w:r>
        <w:t xml:space="preserve"> ekonomik</w:t>
      </w:r>
      <w:r w:rsidR="005719B3">
        <w:t>a,</w:t>
      </w:r>
      <w:r>
        <w:t xml:space="preserve"> vzdelávanie</w:t>
      </w:r>
      <w:r w:rsidR="005719B3">
        <w:t>,</w:t>
      </w:r>
      <w:r>
        <w:rPr>
          <w:rFonts w:cs="Segoe UI"/>
        </w:rPr>
        <w:t xml:space="preserve"> ved</w:t>
      </w:r>
      <w:r w:rsidR="005719B3">
        <w:rPr>
          <w:rFonts w:cs="Segoe UI"/>
        </w:rPr>
        <w:t>a</w:t>
      </w:r>
      <w:r>
        <w:rPr>
          <w:rFonts w:cs="Segoe UI"/>
        </w:rPr>
        <w:t>, výskum a</w:t>
      </w:r>
      <w:r w:rsidR="005719B3">
        <w:rPr>
          <w:rFonts w:cs="Segoe UI"/>
        </w:rPr>
        <w:t> </w:t>
      </w:r>
      <w:r>
        <w:rPr>
          <w:rFonts w:cs="Segoe UI"/>
        </w:rPr>
        <w:t>inovácie</w:t>
      </w:r>
      <w:r w:rsidR="005719B3">
        <w:rPr>
          <w:rFonts w:cs="Segoe UI"/>
        </w:rPr>
        <w:t>,</w:t>
      </w:r>
      <w:r>
        <w:rPr>
          <w:rFonts w:cs="Segoe UI"/>
        </w:rPr>
        <w:t xml:space="preserve"> zdravie a efektívn</w:t>
      </w:r>
      <w:r w:rsidR="005719B3">
        <w:rPr>
          <w:rFonts w:cs="Segoe UI"/>
        </w:rPr>
        <w:t>a</w:t>
      </w:r>
      <w:r>
        <w:rPr>
          <w:rFonts w:cs="Segoe UI"/>
        </w:rPr>
        <w:t xml:space="preserve"> verejn</w:t>
      </w:r>
      <w:r w:rsidR="005719B3">
        <w:rPr>
          <w:rFonts w:cs="Segoe UI"/>
        </w:rPr>
        <w:t>á</w:t>
      </w:r>
      <w:r>
        <w:rPr>
          <w:rFonts w:cs="Segoe UI"/>
        </w:rPr>
        <w:t xml:space="preserve"> správ</w:t>
      </w:r>
      <w:r w:rsidR="005719B3">
        <w:rPr>
          <w:rFonts w:cs="Segoe UI"/>
        </w:rPr>
        <w:t>a</w:t>
      </w:r>
      <w:r>
        <w:rPr>
          <w:rFonts w:cs="Segoe UI"/>
        </w:rPr>
        <w:t xml:space="preserve"> a digitalizáci</w:t>
      </w:r>
      <w:r w:rsidR="005719B3">
        <w:rPr>
          <w:rFonts w:cs="Segoe UI"/>
        </w:rPr>
        <w:t>a</w:t>
      </w:r>
      <w:r>
        <w:rPr>
          <w:rFonts w:cs="Segoe UI"/>
        </w:rPr>
        <w:t xml:space="preserve">. </w:t>
      </w:r>
      <w:r>
        <w:t>V rámci tohto nástroja môže S</w:t>
      </w:r>
      <w:r w:rsidR="00CB5937">
        <w:t>R</w:t>
      </w:r>
      <w:r>
        <w:t xml:space="preserve"> žiadať celkovo o 6,3 mld. </w:t>
      </w:r>
      <w:r w:rsidR="00D53139">
        <w:t>e</w:t>
      </w:r>
      <w:r>
        <w:t>ur, ktoré sú však podmienené splnením reformných míľnikov a</w:t>
      </w:r>
      <w:r w:rsidR="005719B3">
        <w:t xml:space="preserve"> sú </w:t>
      </w:r>
      <w:r>
        <w:t>rozdelené do viacerých platieb.</w:t>
      </w:r>
      <w:r w:rsidR="00D45587">
        <w:t xml:space="preserve"> </w:t>
      </w:r>
      <w:r w:rsidR="00D45587" w:rsidRPr="00D45587">
        <w:t xml:space="preserve">Z POO už bola prijatá prvá platba (458,3 mil. eur) a žiadosť o druhú platbu (814,7 mil. eur) bola podaná. </w:t>
      </w:r>
      <w:r w:rsidR="00A82AD4" w:rsidRPr="00A82AD4">
        <w:rPr>
          <w:b/>
        </w:rPr>
        <w:t>NKÚ SR u</w:t>
      </w:r>
      <w:r w:rsidR="00D45587" w:rsidRPr="00A82AD4">
        <w:rPr>
          <w:b/>
        </w:rPr>
        <w:t>pozorňuje</w:t>
      </w:r>
      <w:r w:rsidR="00D45587" w:rsidRPr="00D45587">
        <w:rPr>
          <w:b/>
        </w:rPr>
        <w:t>, že v prípade neplnenia stanovených míľnikov, napríklad nevykonávania výdavkových limitov alebo odloženia súdnej reformy, existujú riziká, že EK môže siahnuť na poskytnuté prostriedky.</w:t>
      </w:r>
    </w:p>
    <w:p w14:paraId="2F2B6933" w14:textId="77777777" w:rsidR="00000222" w:rsidRDefault="00000222" w:rsidP="000218FC">
      <w:pPr>
        <w:rPr>
          <w:b/>
          <w:highlight w:val="yellow"/>
        </w:rPr>
      </w:pPr>
    </w:p>
    <w:p w14:paraId="6EABA9F8" w14:textId="6EDC2471" w:rsidR="000D05F7" w:rsidRPr="007E17E1" w:rsidRDefault="00EC6F47" w:rsidP="000D05F7">
      <w:pPr>
        <w:pStyle w:val="Nadpis1"/>
      </w:pPr>
      <w:bookmarkStart w:id="16" w:name="_Toc86396377"/>
      <w:bookmarkStart w:id="17" w:name="_Toc119482909"/>
      <w:r>
        <w:lastRenderedPageBreak/>
        <w:t>Súhrnné r</w:t>
      </w:r>
      <w:r w:rsidR="00AE01AE" w:rsidRPr="007E17E1">
        <w:t>iziká návrhu</w:t>
      </w:r>
      <w:r w:rsidR="000D05F7" w:rsidRPr="007E17E1">
        <w:t xml:space="preserve"> </w:t>
      </w:r>
      <w:r w:rsidR="00CC180B" w:rsidRPr="007E17E1">
        <w:t>ŠR</w:t>
      </w:r>
      <w:r w:rsidR="000D05F7" w:rsidRPr="007E17E1">
        <w:t xml:space="preserve"> na rok 202</w:t>
      </w:r>
      <w:bookmarkEnd w:id="16"/>
      <w:r w:rsidR="000C6EEF">
        <w:t>3</w:t>
      </w:r>
      <w:bookmarkEnd w:id="17"/>
    </w:p>
    <w:p w14:paraId="615861DB" w14:textId="6843544D" w:rsidR="001D29DE" w:rsidRPr="006811C2" w:rsidRDefault="001D29DE" w:rsidP="00D53139">
      <w:pPr>
        <w:rPr>
          <w:rFonts w:eastAsia="Calibri" w:cs="Segoe UI"/>
          <w:szCs w:val="20"/>
        </w:rPr>
      </w:pPr>
      <w:r w:rsidRPr="00411AF8">
        <w:rPr>
          <w:rFonts w:eastAsia="Calibri" w:cs="Segoe UI"/>
          <w:b/>
          <w:szCs w:val="20"/>
        </w:rPr>
        <w:t xml:space="preserve">Hlavným cieľom </w:t>
      </w:r>
      <w:r w:rsidR="00411AF8" w:rsidRPr="00411AF8">
        <w:rPr>
          <w:rFonts w:eastAsia="Calibri" w:cs="Segoe UI"/>
          <w:b/>
          <w:szCs w:val="20"/>
        </w:rPr>
        <w:t xml:space="preserve">návrhu </w:t>
      </w:r>
      <w:r w:rsidRPr="00411AF8">
        <w:rPr>
          <w:rFonts w:eastAsia="Calibri" w:cs="Segoe UI"/>
          <w:b/>
          <w:szCs w:val="20"/>
        </w:rPr>
        <w:t>rozpočtu na rok 2023 je eliminácia negatívnych dopadov</w:t>
      </w:r>
      <w:r w:rsidRPr="006811C2">
        <w:rPr>
          <w:rFonts w:eastAsia="Calibri" w:cs="Segoe UI"/>
          <w:szCs w:val="20"/>
        </w:rPr>
        <w:t xml:space="preserve"> rastu cien energií, vysokej inflácie, vojnového konfliktu na Ukrajine a doznievajúcej pandémie COVID-19. Návrh rozpočtu tiež reaguje na neistotu jeho schválenia v NR SR (hrozbu rozpočtového provizória).</w:t>
      </w:r>
    </w:p>
    <w:p w14:paraId="16AEFD75" w14:textId="7C9C8057" w:rsidR="001D29DE" w:rsidRPr="006811C2" w:rsidRDefault="001D29DE" w:rsidP="00D53139">
      <w:pPr>
        <w:shd w:val="clear" w:color="auto" w:fill="FFFFFF"/>
        <w:rPr>
          <w:rFonts w:eastAsia="Times New Roman" w:cs="Segoe UI"/>
          <w:color w:val="252525"/>
          <w:szCs w:val="20"/>
          <w:lang w:eastAsia="sk-SK"/>
        </w:rPr>
      </w:pPr>
      <w:r w:rsidRPr="000A2B1F">
        <w:rPr>
          <w:rFonts w:eastAsia="Times New Roman" w:cs="Segoe UI"/>
          <w:b/>
          <w:color w:val="252525"/>
          <w:szCs w:val="20"/>
          <w:lang w:eastAsia="sk-SK"/>
        </w:rPr>
        <w:t>Schodok ŠR na rok 2023 je rozpočtovaný vo výške 8,3 mld. eur, čo je o 2,9 mld. eur viac oproti rozpočtu na rok 2022</w:t>
      </w:r>
      <w:r w:rsidRPr="006811C2">
        <w:rPr>
          <w:rFonts w:eastAsia="Times New Roman" w:cs="Segoe UI"/>
          <w:color w:val="252525"/>
          <w:szCs w:val="20"/>
          <w:lang w:eastAsia="sk-SK"/>
        </w:rPr>
        <w:t xml:space="preserve"> (</w:t>
      </w:r>
      <w:r w:rsidR="00D53139">
        <w:rPr>
          <w:rFonts w:eastAsia="Times New Roman" w:cs="Segoe UI"/>
          <w:color w:val="252525"/>
          <w:szCs w:val="20"/>
          <w:lang w:eastAsia="sk-SK"/>
        </w:rPr>
        <w:t>t</w:t>
      </w:r>
      <w:r w:rsidRPr="006811C2">
        <w:rPr>
          <w:rFonts w:eastAsia="Times New Roman" w:cs="Segoe UI"/>
          <w:color w:val="252525"/>
          <w:szCs w:val="20"/>
          <w:lang w:eastAsia="sk-SK"/>
        </w:rPr>
        <w:t xml:space="preserve">abuľka </w:t>
      </w:r>
      <w:r w:rsidR="007D130C">
        <w:rPr>
          <w:rFonts w:eastAsia="Times New Roman" w:cs="Segoe UI"/>
          <w:color w:val="252525"/>
          <w:szCs w:val="20"/>
          <w:lang w:eastAsia="sk-SK"/>
        </w:rPr>
        <w:t>7</w:t>
      </w:r>
      <w:r w:rsidRPr="006811C2">
        <w:rPr>
          <w:rFonts w:eastAsia="Times New Roman" w:cs="Segoe UI"/>
          <w:color w:val="252525"/>
          <w:szCs w:val="20"/>
          <w:lang w:eastAsia="sk-SK"/>
        </w:rPr>
        <w:t>).</w:t>
      </w:r>
    </w:p>
    <w:p w14:paraId="640046AC" w14:textId="2AA4B70D" w:rsidR="00A42B5E" w:rsidRPr="00216FF6" w:rsidRDefault="00A42B5E" w:rsidP="00A42B5E">
      <w:pPr>
        <w:keepNext/>
        <w:spacing w:after="0" w:line="240" w:lineRule="auto"/>
        <w:jc w:val="left"/>
        <w:rPr>
          <w:rFonts w:eastAsia="Calibri" w:cs="Segoe UI"/>
          <w:b/>
          <w:iCs/>
          <w:color w:val="314364"/>
          <w:szCs w:val="18"/>
        </w:rPr>
      </w:pPr>
      <w:r w:rsidRPr="00216FF6">
        <w:rPr>
          <w:rFonts w:eastAsia="Calibri" w:cs="Segoe UI"/>
          <w:b/>
          <w:iCs/>
          <w:color w:val="314364"/>
          <w:szCs w:val="18"/>
        </w:rPr>
        <w:t xml:space="preserve">Tabuľka </w:t>
      </w:r>
      <w:r w:rsidR="00A428D0" w:rsidRPr="00216FF6">
        <w:rPr>
          <w:rFonts w:eastAsia="Calibri" w:cs="Segoe UI"/>
          <w:b/>
          <w:iCs/>
          <w:color w:val="314364"/>
          <w:szCs w:val="18"/>
        </w:rPr>
        <w:t>7</w:t>
      </w:r>
      <w:r w:rsidRPr="00216FF6">
        <w:rPr>
          <w:rFonts w:eastAsia="Calibri" w:cs="Segoe UI"/>
          <w:b/>
          <w:iCs/>
          <w:color w:val="314364"/>
          <w:szCs w:val="18"/>
        </w:rPr>
        <w:t>: Súhrnné príjmy, výdavky a schodok ŠR (v tis. eur)</w:t>
      </w:r>
    </w:p>
    <w:tbl>
      <w:tblPr>
        <w:tblStyle w:val="Mriekatabuky6"/>
        <w:tblW w:w="5000" w:type="pct"/>
        <w:tblBorders>
          <w:top w:val="none" w:sz="0" w:space="0" w:color="auto"/>
          <w:left w:val="none" w:sz="0" w:space="0" w:color="auto"/>
          <w:bottom w:val="single" w:sz="4" w:space="0" w:color="314364" w:themeColor="text2"/>
          <w:right w:val="none" w:sz="0" w:space="0" w:color="auto"/>
          <w:insideH w:val="none" w:sz="0" w:space="0" w:color="auto"/>
          <w:insideV w:val="none" w:sz="0" w:space="0" w:color="auto"/>
        </w:tblBorders>
        <w:tblLook w:val="04A0" w:firstRow="1" w:lastRow="0" w:firstColumn="1" w:lastColumn="0" w:noHBand="0" w:noVBand="1"/>
      </w:tblPr>
      <w:tblGrid>
        <w:gridCol w:w="1949"/>
        <w:gridCol w:w="1425"/>
        <w:gridCol w:w="1424"/>
        <w:gridCol w:w="1424"/>
        <w:gridCol w:w="1424"/>
        <w:gridCol w:w="1424"/>
      </w:tblGrid>
      <w:tr w:rsidR="00A42B5E" w:rsidRPr="006811C2" w14:paraId="5495B67C" w14:textId="77777777" w:rsidTr="00D34201">
        <w:trPr>
          <w:trHeight w:val="283"/>
        </w:trPr>
        <w:tc>
          <w:tcPr>
            <w:tcW w:w="1074" w:type="pct"/>
            <w:shd w:val="clear" w:color="auto" w:fill="314364"/>
            <w:vAlign w:val="center"/>
          </w:tcPr>
          <w:p w14:paraId="79A42267" w14:textId="77777777" w:rsidR="00A42B5E" w:rsidRPr="006811C2" w:rsidRDefault="00A42B5E" w:rsidP="00D34201">
            <w:pPr>
              <w:spacing w:after="0" w:line="240" w:lineRule="auto"/>
              <w:jc w:val="left"/>
              <w:rPr>
                <w:rFonts w:eastAsia="Calibri" w:cs="Segoe UI"/>
                <w:b/>
                <w:bCs/>
                <w:color w:val="FFFFFF"/>
                <w:sz w:val="18"/>
                <w:szCs w:val="18"/>
              </w:rPr>
            </w:pPr>
          </w:p>
        </w:tc>
        <w:tc>
          <w:tcPr>
            <w:tcW w:w="785" w:type="pct"/>
            <w:shd w:val="clear" w:color="auto" w:fill="314364"/>
            <w:vAlign w:val="center"/>
          </w:tcPr>
          <w:p w14:paraId="28C8B52B" w14:textId="77777777" w:rsidR="00A42B5E" w:rsidRPr="006811C2" w:rsidRDefault="00A42B5E" w:rsidP="00D34201">
            <w:pPr>
              <w:spacing w:after="0" w:line="240" w:lineRule="auto"/>
              <w:jc w:val="right"/>
              <w:rPr>
                <w:rFonts w:eastAsia="Calibri" w:cs="Segoe UI"/>
                <w:b/>
                <w:bCs/>
                <w:color w:val="FFFFFF"/>
                <w:sz w:val="18"/>
                <w:szCs w:val="18"/>
              </w:rPr>
            </w:pPr>
            <w:r w:rsidRPr="006811C2">
              <w:rPr>
                <w:rFonts w:eastAsia="Calibri" w:cs="Segoe UI"/>
                <w:b/>
                <w:bCs/>
                <w:color w:val="FFFFFF"/>
                <w:sz w:val="18"/>
                <w:szCs w:val="18"/>
              </w:rPr>
              <w:t>2021 S</w:t>
            </w:r>
          </w:p>
        </w:tc>
        <w:tc>
          <w:tcPr>
            <w:tcW w:w="785" w:type="pct"/>
            <w:shd w:val="clear" w:color="auto" w:fill="314364"/>
            <w:vAlign w:val="center"/>
          </w:tcPr>
          <w:p w14:paraId="36DAEDE4" w14:textId="77777777" w:rsidR="00A42B5E" w:rsidRPr="006811C2" w:rsidRDefault="00A42B5E" w:rsidP="00D34201">
            <w:pPr>
              <w:spacing w:after="0" w:line="240" w:lineRule="auto"/>
              <w:jc w:val="right"/>
              <w:rPr>
                <w:rFonts w:eastAsia="Calibri" w:cs="Segoe UI"/>
                <w:b/>
                <w:bCs/>
                <w:color w:val="FFFFFF"/>
                <w:sz w:val="18"/>
                <w:szCs w:val="18"/>
              </w:rPr>
            </w:pPr>
            <w:r w:rsidRPr="006811C2">
              <w:rPr>
                <w:rFonts w:eastAsia="Calibri" w:cs="Segoe UI"/>
                <w:b/>
                <w:bCs/>
                <w:color w:val="FFFFFF"/>
                <w:sz w:val="18"/>
                <w:szCs w:val="18"/>
              </w:rPr>
              <w:t>2022 R</w:t>
            </w:r>
          </w:p>
        </w:tc>
        <w:tc>
          <w:tcPr>
            <w:tcW w:w="785" w:type="pct"/>
            <w:shd w:val="clear" w:color="auto" w:fill="314364"/>
            <w:vAlign w:val="center"/>
          </w:tcPr>
          <w:p w14:paraId="07E5114F" w14:textId="77777777" w:rsidR="00A42B5E" w:rsidRPr="006811C2" w:rsidRDefault="00A42B5E" w:rsidP="00D34201">
            <w:pPr>
              <w:spacing w:after="0" w:line="240" w:lineRule="auto"/>
              <w:jc w:val="right"/>
              <w:rPr>
                <w:rFonts w:eastAsia="Calibri" w:cs="Segoe UI"/>
                <w:b/>
                <w:bCs/>
                <w:color w:val="FFFFFF"/>
                <w:sz w:val="18"/>
                <w:szCs w:val="18"/>
              </w:rPr>
            </w:pPr>
            <w:r w:rsidRPr="006811C2">
              <w:rPr>
                <w:rFonts w:eastAsia="Calibri" w:cs="Segoe UI"/>
                <w:b/>
                <w:bCs/>
                <w:color w:val="FFFFFF"/>
                <w:sz w:val="18"/>
                <w:szCs w:val="18"/>
              </w:rPr>
              <w:t xml:space="preserve">2023 </w:t>
            </w:r>
            <w:r>
              <w:rPr>
                <w:rFonts w:eastAsia="Calibri" w:cs="Segoe UI"/>
                <w:b/>
                <w:bCs/>
                <w:color w:val="FFFFFF"/>
                <w:sz w:val="18"/>
                <w:szCs w:val="18"/>
              </w:rPr>
              <w:t>R</w:t>
            </w:r>
          </w:p>
        </w:tc>
        <w:tc>
          <w:tcPr>
            <w:tcW w:w="785" w:type="pct"/>
            <w:shd w:val="clear" w:color="auto" w:fill="314364"/>
            <w:vAlign w:val="center"/>
          </w:tcPr>
          <w:p w14:paraId="79D5B021" w14:textId="77777777" w:rsidR="00A42B5E" w:rsidRPr="006811C2" w:rsidRDefault="00A42B5E" w:rsidP="00D34201">
            <w:pPr>
              <w:spacing w:after="0" w:line="240" w:lineRule="auto"/>
              <w:jc w:val="right"/>
              <w:rPr>
                <w:rFonts w:eastAsia="Calibri" w:cs="Segoe UI"/>
                <w:b/>
                <w:bCs/>
                <w:color w:val="FFFFFF"/>
                <w:sz w:val="18"/>
                <w:szCs w:val="18"/>
              </w:rPr>
            </w:pPr>
            <w:r w:rsidRPr="006811C2">
              <w:rPr>
                <w:rFonts w:eastAsia="Calibri" w:cs="Segoe UI"/>
                <w:b/>
                <w:bCs/>
                <w:color w:val="FFFFFF"/>
                <w:sz w:val="18"/>
                <w:szCs w:val="18"/>
              </w:rPr>
              <w:t>2023-2022</w:t>
            </w:r>
          </w:p>
        </w:tc>
        <w:tc>
          <w:tcPr>
            <w:tcW w:w="785" w:type="pct"/>
            <w:shd w:val="clear" w:color="auto" w:fill="314364"/>
            <w:vAlign w:val="center"/>
          </w:tcPr>
          <w:p w14:paraId="15D2D72E" w14:textId="77777777" w:rsidR="00A42B5E" w:rsidRPr="006811C2" w:rsidRDefault="00A42B5E" w:rsidP="00D34201">
            <w:pPr>
              <w:spacing w:after="0" w:line="240" w:lineRule="auto"/>
              <w:jc w:val="right"/>
              <w:rPr>
                <w:rFonts w:eastAsia="Calibri" w:cs="Segoe UI"/>
                <w:b/>
                <w:bCs/>
                <w:color w:val="FFFFFF"/>
                <w:sz w:val="18"/>
                <w:szCs w:val="18"/>
              </w:rPr>
            </w:pPr>
            <w:r w:rsidRPr="006811C2">
              <w:rPr>
                <w:rFonts w:eastAsia="Calibri" w:cs="Segoe UI"/>
                <w:b/>
                <w:bCs/>
                <w:color w:val="FFFFFF"/>
                <w:sz w:val="18"/>
                <w:szCs w:val="18"/>
              </w:rPr>
              <w:t>2023/2022</w:t>
            </w:r>
          </w:p>
        </w:tc>
      </w:tr>
      <w:tr w:rsidR="00A42B5E" w:rsidRPr="006811C2" w14:paraId="197BD2DA" w14:textId="77777777" w:rsidTr="00D34201">
        <w:trPr>
          <w:trHeight w:val="283"/>
        </w:trPr>
        <w:tc>
          <w:tcPr>
            <w:tcW w:w="1074" w:type="pct"/>
            <w:vAlign w:val="center"/>
          </w:tcPr>
          <w:p w14:paraId="0E86846C" w14:textId="77777777" w:rsidR="00A42B5E" w:rsidRPr="006811C2" w:rsidRDefault="00A42B5E" w:rsidP="00D34201">
            <w:pPr>
              <w:spacing w:after="0" w:line="240" w:lineRule="auto"/>
              <w:jc w:val="left"/>
              <w:rPr>
                <w:rFonts w:eastAsia="Calibri" w:cs="Segoe UI"/>
                <w:bCs/>
                <w:sz w:val="18"/>
                <w:szCs w:val="18"/>
              </w:rPr>
            </w:pPr>
            <w:r w:rsidRPr="006811C2">
              <w:rPr>
                <w:rFonts w:eastAsia="Calibri" w:cs="Segoe UI"/>
                <w:bCs/>
                <w:sz w:val="18"/>
                <w:szCs w:val="18"/>
              </w:rPr>
              <w:t>Príjmy ŠR</w:t>
            </w:r>
          </w:p>
        </w:tc>
        <w:tc>
          <w:tcPr>
            <w:tcW w:w="785" w:type="pct"/>
            <w:vAlign w:val="center"/>
          </w:tcPr>
          <w:p w14:paraId="5992E0C0" w14:textId="77777777" w:rsidR="00A42B5E" w:rsidRPr="006811C2" w:rsidRDefault="00A42B5E" w:rsidP="00D34201">
            <w:pPr>
              <w:spacing w:after="0" w:line="240" w:lineRule="auto"/>
              <w:jc w:val="right"/>
              <w:rPr>
                <w:rFonts w:eastAsia="Times New Roman" w:cs="Segoe UI"/>
                <w:bCs/>
                <w:color w:val="000000"/>
                <w:sz w:val="18"/>
                <w:szCs w:val="18"/>
                <w:lang w:eastAsia="sk-SK"/>
              </w:rPr>
            </w:pPr>
            <w:r w:rsidRPr="006811C2">
              <w:rPr>
                <w:rFonts w:eastAsia="Times New Roman" w:cs="Segoe UI"/>
                <w:bCs/>
                <w:color w:val="000000"/>
                <w:sz w:val="18"/>
                <w:szCs w:val="18"/>
                <w:lang w:eastAsia="sk-SK"/>
              </w:rPr>
              <w:t>17 197 298</w:t>
            </w:r>
          </w:p>
        </w:tc>
        <w:tc>
          <w:tcPr>
            <w:tcW w:w="785" w:type="pct"/>
            <w:vAlign w:val="center"/>
          </w:tcPr>
          <w:p w14:paraId="72C50475" w14:textId="77777777" w:rsidR="00A42B5E" w:rsidRPr="006811C2" w:rsidRDefault="00A42B5E" w:rsidP="00D34201">
            <w:pPr>
              <w:spacing w:after="0" w:line="240" w:lineRule="auto"/>
              <w:jc w:val="right"/>
              <w:rPr>
                <w:rFonts w:eastAsia="Times New Roman" w:cs="Segoe UI"/>
                <w:color w:val="000000"/>
                <w:sz w:val="18"/>
                <w:szCs w:val="18"/>
                <w:lang w:eastAsia="sk-SK"/>
              </w:rPr>
            </w:pPr>
            <w:r w:rsidRPr="006811C2">
              <w:rPr>
                <w:rFonts w:eastAsia="Times New Roman" w:cs="Segoe UI"/>
                <w:color w:val="000000"/>
                <w:sz w:val="18"/>
                <w:szCs w:val="18"/>
                <w:lang w:eastAsia="sk-SK"/>
              </w:rPr>
              <w:t>19 974 242</w:t>
            </w:r>
          </w:p>
        </w:tc>
        <w:tc>
          <w:tcPr>
            <w:tcW w:w="785" w:type="pct"/>
            <w:vAlign w:val="center"/>
          </w:tcPr>
          <w:p w14:paraId="0B48ED20" w14:textId="77777777" w:rsidR="00A42B5E" w:rsidRPr="006811C2" w:rsidRDefault="00A42B5E" w:rsidP="00D34201">
            <w:pPr>
              <w:spacing w:after="0" w:line="240" w:lineRule="auto"/>
              <w:jc w:val="right"/>
              <w:rPr>
                <w:rFonts w:eastAsia="Calibri" w:cs="Segoe UI"/>
                <w:sz w:val="18"/>
                <w:szCs w:val="18"/>
              </w:rPr>
            </w:pPr>
            <w:r w:rsidRPr="006811C2">
              <w:rPr>
                <w:rFonts w:eastAsia="Calibri" w:cs="Segoe UI"/>
                <w:sz w:val="18"/>
                <w:szCs w:val="18"/>
              </w:rPr>
              <w:t>26 699 184</w:t>
            </w:r>
          </w:p>
        </w:tc>
        <w:tc>
          <w:tcPr>
            <w:tcW w:w="785" w:type="pct"/>
            <w:vAlign w:val="center"/>
          </w:tcPr>
          <w:p w14:paraId="07BD9867" w14:textId="77777777" w:rsidR="00A42B5E" w:rsidRPr="006811C2" w:rsidRDefault="00A42B5E" w:rsidP="00D34201">
            <w:pPr>
              <w:spacing w:after="0" w:line="240" w:lineRule="auto"/>
              <w:jc w:val="right"/>
              <w:rPr>
                <w:rFonts w:eastAsia="Times New Roman" w:cs="Segoe UI"/>
                <w:color w:val="000000"/>
                <w:sz w:val="18"/>
                <w:szCs w:val="18"/>
                <w:lang w:eastAsia="sk-SK"/>
              </w:rPr>
            </w:pPr>
            <w:r w:rsidRPr="006811C2">
              <w:rPr>
                <w:rFonts w:eastAsia="Calibri" w:cs="Segoe UI"/>
                <w:color w:val="000000"/>
                <w:sz w:val="18"/>
                <w:szCs w:val="18"/>
                <w:lang w:eastAsia="sk-SK"/>
              </w:rPr>
              <w:t>6 724 942</w:t>
            </w:r>
          </w:p>
        </w:tc>
        <w:tc>
          <w:tcPr>
            <w:tcW w:w="785" w:type="pct"/>
            <w:vAlign w:val="center"/>
          </w:tcPr>
          <w:p w14:paraId="0F8C6E9A" w14:textId="77777777" w:rsidR="00A42B5E" w:rsidRPr="006811C2" w:rsidRDefault="00A42B5E" w:rsidP="00D34201">
            <w:pPr>
              <w:spacing w:after="0" w:line="240" w:lineRule="auto"/>
              <w:jc w:val="right"/>
              <w:rPr>
                <w:rFonts w:eastAsia="Times New Roman" w:cs="Segoe UI"/>
                <w:color w:val="000000"/>
                <w:sz w:val="18"/>
                <w:szCs w:val="18"/>
                <w:lang w:eastAsia="sk-SK"/>
              </w:rPr>
            </w:pPr>
            <w:r w:rsidRPr="006811C2">
              <w:rPr>
                <w:rFonts w:eastAsia="Calibri" w:cs="Segoe UI"/>
                <w:color w:val="000000"/>
                <w:sz w:val="18"/>
                <w:szCs w:val="18"/>
                <w:lang w:eastAsia="sk-SK"/>
              </w:rPr>
              <w:t>133,7</w:t>
            </w:r>
          </w:p>
        </w:tc>
      </w:tr>
      <w:tr w:rsidR="00A42B5E" w:rsidRPr="006811C2" w14:paraId="7E0E3B45" w14:textId="77777777" w:rsidTr="00D34201">
        <w:trPr>
          <w:trHeight w:val="283"/>
        </w:trPr>
        <w:tc>
          <w:tcPr>
            <w:tcW w:w="1074" w:type="pct"/>
            <w:vAlign w:val="center"/>
          </w:tcPr>
          <w:p w14:paraId="3E54C4EB" w14:textId="77777777" w:rsidR="00A42B5E" w:rsidRPr="006811C2" w:rsidRDefault="00A42B5E" w:rsidP="00D34201">
            <w:pPr>
              <w:spacing w:after="0" w:line="240" w:lineRule="auto"/>
              <w:jc w:val="left"/>
              <w:rPr>
                <w:rFonts w:eastAsia="Calibri" w:cs="Segoe UI"/>
                <w:bCs/>
                <w:sz w:val="18"/>
                <w:szCs w:val="18"/>
              </w:rPr>
            </w:pPr>
            <w:r w:rsidRPr="006811C2">
              <w:rPr>
                <w:rFonts w:eastAsia="Calibri" w:cs="Segoe UI"/>
                <w:bCs/>
                <w:sz w:val="18"/>
                <w:szCs w:val="18"/>
              </w:rPr>
              <w:t>Výdavky ŠR</w:t>
            </w:r>
          </w:p>
        </w:tc>
        <w:tc>
          <w:tcPr>
            <w:tcW w:w="785" w:type="pct"/>
            <w:vAlign w:val="center"/>
          </w:tcPr>
          <w:p w14:paraId="55134F66" w14:textId="77777777" w:rsidR="00A42B5E" w:rsidRPr="006811C2" w:rsidRDefault="00A42B5E" w:rsidP="00D34201">
            <w:pPr>
              <w:spacing w:after="0" w:line="240" w:lineRule="auto"/>
              <w:jc w:val="right"/>
              <w:rPr>
                <w:rFonts w:eastAsia="Times New Roman" w:cs="Segoe UI"/>
                <w:bCs/>
                <w:color w:val="000000"/>
                <w:sz w:val="18"/>
                <w:szCs w:val="18"/>
                <w:lang w:eastAsia="sk-SK"/>
              </w:rPr>
            </w:pPr>
            <w:r w:rsidRPr="006811C2">
              <w:rPr>
                <w:rFonts w:eastAsia="Times New Roman" w:cs="Segoe UI"/>
                <w:bCs/>
                <w:color w:val="000000"/>
                <w:sz w:val="18"/>
                <w:szCs w:val="18"/>
                <w:lang w:eastAsia="sk-SK"/>
              </w:rPr>
              <w:t>24 211 425</w:t>
            </w:r>
          </w:p>
        </w:tc>
        <w:tc>
          <w:tcPr>
            <w:tcW w:w="785" w:type="pct"/>
            <w:vAlign w:val="center"/>
          </w:tcPr>
          <w:p w14:paraId="60D9E8B3" w14:textId="77777777" w:rsidR="00A42B5E" w:rsidRPr="006811C2" w:rsidRDefault="00A42B5E" w:rsidP="00D34201">
            <w:pPr>
              <w:spacing w:after="0" w:line="240" w:lineRule="auto"/>
              <w:jc w:val="right"/>
              <w:rPr>
                <w:rFonts w:eastAsia="Times New Roman" w:cs="Segoe UI"/>
                <w:color w:val="000000"/>
                <w:sz w:val="18"/>
                <w:szCs w:val="18"/>
                <w:lang w:eastAsia="sk-SK"/>
              </w:rPr>
            </w:pPr>
            <w:r w:rsidRPr="006811C2">
              <w:rPr>
                <w:rFonts w:eastAsia="Times New Roman" w:cs="Segoe UI"/>
                <w:color w:val="000000"/>
                <w:sz w:val="18"/>
                <w:szCs w:val="18"/>
                <w:lang w:eastAsia="sk-SK"/>
              </w:rPr>
              <w:t>25 447 760</w:t>
            </w:r>
          </w:p>
        </w:tc>
        <w:tc>
          <w:tcPr>
            <w:tcW w:w="785" w:type="pct"/>
            <w:vAlign w:val="center"/>
          </w:tcPr>
          <w:p w14:paraId="22C10368" w14:textId="77777777" w:rsidR="00A42B5E" w:rsidRPr="006811C2" w:rsidRDefault="00A42B5E" w:rsidP="00D34201">
            <w:pPr>
              <w:spacing w:after="0" w:line="240" w:lineRule="auto"/>
              <w:jc w:val="right"/>
              <w:rPr>
                <w:rFonts w:eastAsia="Calibri" w:cs="Segoe UI"/>
                <w:sz w:val="18"/>
                <w:szCs w:val="18"/>
              </w:rPr>
            </w:pPr>
            <w:r w:rsidRPr="006811C2">
              <w:rPr>
                <w:rFonts w:eastAsia="Calibri" w:cs="Segoe UI"/>
                <w:sz w:val="18"/>
                <w:szCs w:val="18"/>
              </w:rPr>
              <w:t>35 040 556</w:t>
            </w:r>
          </w:p>
        </w:tc>
        <w:tc>
          <w:tcPr>
            <w:tcW w:w="785" w:type="pct"/>
            <w:vAlign w:val="center"/>
          </w:tcPr>
          <w:p w14:paraId="61AC613B" w14:textId="77777777" w:rsidR="00A42B5E" w:rsidRPr="006811C2" w:rsidRDefault="00A42B5E" w:rsidP="00D34201">
            <w:pPr>
              <w:spacing w:after="0" w:line="240" w:lineRule="auto"/>
              <w:jc w:val="right"/>
              <w:rPr>
                <w:rFonts w:eastAsia="Times New Roman" w:cs="Segoe UI"/>
                <w:color w:val="000000"/>
                <w:sz w:val="18"/>
                <w:szCs w:val="18"/>
                <w:lang w:eastAsia="sk-SK"/>
              </w:rPr>
            </w:pPr>
            <w:r w:rsidRPr="006811C2">
              <w:rPr>
                <w:rFonts w:eastAsia="Calibri" w:cs="Segoe UI"/>
                <w:color w:val="000000"/>
                <w:sz w:val="18"/>
                <w:szCs w:val="18"/>
                <w:lang w:eastAsia="sk-SK"/>
              </w:rPr>
              <w:t>9 592 796</w:t>
            </w:r>
          </w:p>
        </w:tc>
        <w:tc>
          <w:tcPr>
            <w:tcW w:w="785" w:type="pct"/>
            <w:vAlign w:val="center"/>
          </w:tcPr>
          <w:p w14:paraId="2D1AF3F8" w14:textId="77777777" w:rsidR="00A42B5E" w:rsidRPr="006811C2" w:rsidRDefault="00A42B5E" w:rsidP="00D34201">
            <w:pPr>
              <w:spacing w:after="0" w:line="240" w:lineRule="auto"/>
              <w:jc w:val="right"/>
              <w:rPr>
                <w:rFonts w:eastAsia="Times New Roman" w:cs="Segoe UI"/>
                <w:color w:val="000000"/>
                <w:sz w:val="18"/>
                <w:szCs w:val="18"/>
                <w:lang w:eastAsia="sk-SK"/>
              </w:rPr>
            </w:pPr>
            <w:r w:rsidRPr="006811C2">
              <w:rPr>
                <w:rFonts w:eastAsia="Calibri" w:cs="Segoe UI"/>
                <w:color w:val="000000"/>
                <w:sz w:val="18"/>
                <w:szCs w:val="18"/>
                <w:lang w:eastAsia="sk-SK"/>
              </w:rPr>
              <w:t>137,7</w:t>
            </w:r>
          </w:p>
        </w:tc>
      </w:tr>
      <w:tr w:rsidR="00A42B5E" w:rsidRPr="006811C2" w14:paraId="4DDA583D" w14:textId="77777777" w:rsidTr="00D34201">
        <w:trPr>
          <w:trHeight w:val="283"/>
        </w:trPr>
        <w:tc>
          <w:tcPr>
            <w:tcW w:w="1074" w:type="pct"/>
            <w:vAlign w:val="center"/>
          </w:tcPr>
          <w:p w14:paraId="0304BF87" w14:textId="77777777" w:rsidR="00A42B5E" w:rsidRPr="006811C2" w:rsidRDefault="00A42B5E" w:rsidP="00D34201">
            <w:pPr>
              <w:spacing w:after="0" w:line="240" w:lineRule="auto"/>
              <w:jc w:val="left"/>
              <w:rPr>
                <w:rFonts w:eastAsia="Calibri" w:cs="Segoe UI"/>
                <w:b/>
                <w:bCs/>
                <w:sz w:val="18"/>
                <w:szCs w:val="18"/>
              </w:rPr>
            </w:pPr>
            <w:r w:rsidRPr="006811C2">
              <w:rPr>
                <w:rFonts w:eastAsia="Calibri" w:cs="Segoe UI"/>
                <w:b/>
                <w:bCs/>
                <w:sz w:val="18"/>
                <w:szCs w:val="18"/>
              </w:rPr>
              <w:t>Schodok ŠR</w:t>
            </w:r>
          </w:p>
        </w:tc>
        <w:tc>
          <w:tcPr>
            <w:tcW w:w="785" w:type="pct"/>
            <w:vAlign w:val="center"/>
          </w:tcPr>
          <w:p w14:paraId="68346273" w14:textId="77777777" w:rsidR="00A42B5E" w:rsidRPr="006811C2" w:rsidRDefault="00A42B5E" w:rsidP="00D34201">
            <w:pPr>
              <w:spacing w:after="0" w:line="240" w:lineRule="auto"/>
              <w:jc w:val="right"/>
              <w:rPr>
                <w:rFonts w:eastAsia="Times New Roman" w:cs="Segoe UI"/>
                <w:b/>
                <w:bCs/>
                <w:color w:val="000000"/>
                <w:sz w:val="18"/>
                <w:szCs w:val="18"/>
                <w:lang w:eastAsia="sk-SK"/>
              </w:rPr>
            </w:pPr>
            <w:r w:rsidRPr="006811C2">
              <w:rPr>
                <w:rFonts w:eastAsia="Times New Roman" w:cs="Segoe UI"/>
                <w:b/>
                <w:bCs/>
                <w:color w:val="000000"/>
                <w:sz w:val="18"/>
                <w:szCs w:val="18"/>
                <w:lang w:eastAsia="sk-SK"/>
              </w:rPr>
              <w:t>-7 014 127</w:t>
            </w:r>
          </w:p>
        </w:tc>
        <w:tc>
          <w:tcPr>
            <w:tcW w:w="785" w:type="pct"/>
            <w:vAlign w:val="center"/>
          </w:tcPr>
          <w:p w14:paraId="3CB1CFC3" w14:textId="77777777" w:rsidR="00A42B5E" w:rsidRPr="006811C2" w:rsidRDefault="00A42B5E" w:rsidP="00D34201">
            <w:pPr>
              <w:autoSpaceDE w:val="0"/>
              <w:autoSpaceDN w:val="0"/>
              <w:adjustRightInd w:val="0"/>
              <w:spacing w:after="0" w:line="240" w:lineRule="auto"/>
              <w:jc w:val="right"/>
              <w:rPr>
                <w:rFonts w:eastAsia="Calibri" w:cs="Segoe UI"/>
                <w:b/>
                <w:color w:val="000000"/>
                <w:sz w:val="18"/>
                <w:szCs w:val="18"/>
              </w:rPr>
            </w:pPr>
            <w:r w:rsidRPr="006811C2">
              <w:rPr>
                <w:rFonts w:eastAsia="Calibri" w:cs="Segoe UI"/>
                <w:b/>
                <w:color w:val="000000"/>
                <w:sz w:val="18"/>
                <w:szCs w:val="18"/>
              </w:rPr>
              <w:t>-5 473 518</w:t>
            </w:r>
          </w:p>
        </w:tc>
        <w:tc>
          <w:tcPr>
            <w:tcW w:w="785" w:type="pct"/>
            <w:vAlign w:val="center"/>
          </w:tcPr>
          <w:p w14:paraId="0C7C5199" w14:textId="77777777" w:rsidR="00A42B5E" w:rsidRPr="006811C2" w:rsidRDefault="00A42B5E" w:rsidP="00D34201">
            <w:pPr>
              <w:spacing w:after="0" w:line="240" w:lineRule="auto"/>
              <w:jc w:val="right"/>
              <w:rPr>
                <w:rFonts w:eastAsia="Calibri" w:cs="Segoe UI"/>
                <w:b/>
                <w:sz w:val="18"/>
                <w:szCs w:val="18"/>
              </w:rPr>
            </w:pPr>
            <w:r w:rsidRPr="006811C2">
              <w:rPr>
                <w:rFonts w:eastAsia="Calibri" w:cs="Segoe UI"/>
                <w:b/>
                <w:sz w:val="18"/>
                <w:szCs w:val="18"/>
              </w:rPr>
              <w:t>-8 341 372</w:t>
            </w:r>
          </w:p>
        </w:tc>
        <w:tc>
          <w:tcPr>
            <w:tcW w:w="785" w:type="pct"/>
            <w:vAlign w:val="center"/>
          </w:tcPr>
          <w:p w14:paraId="18530153" w14:textId="77777777" w:rsidR="00A42B5E" w:rsidRPr="006811C2" w:rsidRDefault="00A42B5E" w:rsidP="00D34201">
            <w:pPr>
              <w:spacing w:after="0" w:line="240" w:lineRule="auto"/>
              <w:jc w:val="right"/>
              <w:rPr>
                <w:rFonts w:eastAsia="Times New Roman" w:cs="Segoe UI"/>
                <w:b/>
                <w:color w:val="000000"/>
                <w:sz w:val="18"/>
                <w:szCs w:val="18"/>
                <w:lang w:eastAsia="sk-SK"/>
              </w:rPr>
            </w:pPr>
            <w:r w:rsidRPr="006811C2">
              <w:rPr>
                <w:rFonts w:eastAsia="Calibri" w:cs="Segoe UI"/>
                <w:b/>
                <w:color w:val="000000"/>
                <w:sz w:val="18"/>
                <w:szCs w:val="18"/>
                <w:lang w:eastAsia="sk-SK"/>
              </w:rPr>
              <w:t>-2 867 854</w:t>
            </w:r>
          </w:p>
        </w:tc>
        <w:tc>
          <w:tcPr>
            <w:tcW w:w="785" w:type="pct"/>
            <w:vAlign w:val="center"/>
          </w:tcPr>
          <w:p w14:paraId="43667D1B" w14:textId="77777777" w:rsidR="00A42B5E" w:rsidRPr="006811C2" w:rsidRDefault="00A42B5E" w:rsidP="00D34201">
            <w:pPr>
              <w:spacing w:after="0" w:line="240" w:lineRule="auto"/>
              <w:jc w:val="right"/>
              <w:rPr>
                <w:rFonts w:eastAsia="Times New Roman" w:cs="Segoe UI"/>
                <w:b/>
                <w:color w:val="000000"/>
                <w:sz w:val="18"/>
                <w:szCs w:val="18"/>
                <w:lang w:eastAsia="sk-SK"/>
              </w:rPr>
            </w:pPr>
            <w:r w:rsidRPr="006811C2">
              <w:rPr>
                <w:rFonts w:eastAsia="Calibri" w:cs="Segoe UI"/>
                <w:b/>
                <w:color w:val="000000"/>
                <w:sz w:val="18"/>
                <w:szCs w:val="18"/>
                <w:lang w:eastAsia="sk-SK"/>
              </w:rPr>
              <w:t>152,4</w:t>
            </w:r>
          </w:p>
        </w:tc>
      </w:tr>
    </w:tbl>
    <w:p w14:paraId="4C77F76C" w14:textId="77777777" w:rsidR="00A42B5E" w:rsidRPr="006811C2" w:rsidRDefault="00A42B5E" w:rsidP="009169FD">
      <w:pPr>
        <w:pStyle w:val="Zdroj"/>
        <w:rPr>
          <w:shd w:val="clear" w:color="auto" w:fill="FFFFFF"/>
          <w:lang w:eastAsia="sk-SK"/>
        </w:rPr>
      </w:pPr>
      <w:r w:rsidRPr="006811C2">
        <w:rPr>
          <w:shd w:val="clear" w:color="auto" w:fill="FFFFFF"/>
          <w:lang w:eastAsia="sk-SK"/>
        </w:rPr>
        <w:t>Zdroj: ŠZÚ 2021, NRVS na roky 2023 až 2025</w:t>
      </w:r>
    </w:p>
    <w:p w14:paraId="35FA1CB5" w14:textId="4AAB90B0" w:rsidR="001D29DE" w:rsidRDefault="001D29DE" w:rsidP="00D53139">
      <w:pPr>
        <w:rPr>
          <w:rFonts w:eastAsia="Times New Roman" w:cs="Segoe UI"/>
          <w:color w:val="252525"/>
          <w:szCs w:val="20"/>
          <w:lang w:eastAsia="sk-SK"/>
        </w:rPr>
      </w:pPr>
      <w:r w:rsidRPr="006811C2">
        <w:rPr>
          <w:rFonts w:eastAsia="Calibri" w:cs="Segoe UI"/>
          <w:szCs w:val="20"/>
        </w:rPr>
        <w:t>Výška schod</w:t>
      </w:r>
      <w:r w:rsidR="00A42B5E">
        <w:rPr>
          <w:rFonts w:eastAsia="Calibri" w:cs="Segoe UI"/>
          <w:szCs w:val="20"/>
        </w:rPr>
        <w:t>k</w:t>
      </w:r>
      <w:r w:rsidRPr="006811C2">
        <w:rPr>
          <w:rFonts w:eastAsia="Calibri" w:cs="Segoe UI"/>
          <w:szCs w:val="20"/>
        </w:rPr>
        <w:t xml:space="preserve">u ŠR reaguje na výšku zadlženia, potrebu mimoriadnych zdrojov a udržateľnú úroveň deficitu. </w:t>
      </w:r>
      <w:r w:rsidRPr="00813390">
        <w:rPr>
          <w:rFonts w:eastAsia="Times New Roman" w:cs="Segoe UI"/>
          <w:b/>
          <w:color w:val="252525"/>
          <w:szCs w:val="20"/>
          <w:lang w:eastAsia="sk-SK"/>
        </w:rPr>
        <w:t>Schodok ŠR najviac ovplyvňuje výšku hotovostných nákladov na obsluhu štátneho dlhu, ktoré by mali v roku 2023 stúpnuť o 23,3 % oproti rozpočtu na rok 2022</w:t>
      </w:r>
      <w:r w:rsidRPr="006811C2">
        <w:rPr>
          <w:rFonts w:eastAsia="Times New Roman" w:cs="Segoe UI"/>
          <w:color w:val="252525"/>
          <w:szCs w:val="20"/>
          <w:lang w:eastAsia="sk-SK"/>
        </w:rPr>
        <w:t xml:space="preserve"> (</w:t>
      </w:r>
      <w:r w:rsidR="00D53139">
        <w:rPr>
          <w:rFonts w:eastAsia="Times New Roman" w:cs="Segoe UI"/>
          <w:color w:val="252525"/>
          <w:szCs w:val="20"/>
          <w:lang w:eastAsia="sk-SK"/>
        </w:rPr>
        <w:t>t</w:t>
      </w:r>
      <w:r w:rsidRPr="006811C2">
        <w:rPr>
          <w:rFonts w:eastAsia="Times New Roman" w:cs="Segoe UI"/>
          <w:color w:val="252525"/>
          <w:szCs w:val="20"/>
          <w:lang w:eastAsia="sk-SK"/>
        </w:rPr>
        <w:t xml:space="preserve">abuľka </w:t>
      </w:r>
      <w:r w:rsidR="007D130C">
        <w:rPr>
          <w:rFonts w:eastAsia="Times New Roman" w:cs="Segoe UI"/>
          <w:color w:val="252525"/>
          <w:szCs w:val="20"/>
          <w:lang w:eastAsia="sk-SK"/>
        </w:rPr>
        <w:t>8</w:t>
      </w:r>
      <w:r w:rsidRPr="006811C2">
        <w:rPr>
          <w:rFonts w:eastAsia="Times New Roman" w:cs="Segoe UI"/>
          <w:color w:val="252525"/>
          <w:szCs w:val="20"/>
          <w:lang w:eastAsia="sk-SK"/>
        </w:rPr>
        <w:t>).</w:t>
      </w:r>
    </w:p>
    <w:p w14:paraId="094307C1" w14:textId="01C531F6" w:rsidR="00A42B5E" w:rsidRPr="00216FF6" w:rsidRDefault="00A42B5E" w:rsidP="00A42B5E">
      <w:pPr>
        <w:keepNext/>
        <w:spacing w:after="0" w:line="240" w:lineRule="auto"/>
        <w:jc w:val="left"/>
        <w:rPr>
          <w:rFonts w:eastAsia="Calibri" w:cs="Segoe UI"/>
          <w:b/>
          <w:iCs/>
          <w:color w:val="314364"/>
          <w:szCs w:val="18"/>
        </w:rPr>
      </w:pPr>
      <w:r w:rsidRPr="00216FF6">
        <w:rPr>
          <w:rFonts w:eastAsia="Calibri" w:cs="Segoe UI"/>
          <w:b/>
          <w:iCs/>
          <w:color w:val="314364"/>
          <w:szCs w:val="18"/>
        </w:rPr>
        <w:t xml:space="preserve">Tabuľka </w:t>
      </w:r>
      <w:r w:rsidR="00A428D0" w:rsidRPr="00216FF6">
        <w:rPr>
          <w:rFonts w:eastAsia="Calibri" w:cs="Segoe UI"/>
          <w:b/>
          <w:iCs/>
          <w:color w:val="314364"/>
          <w:szCs w:val="18"/>
        </w:rPr>
        <w:t>8</w:t>
      </w:r>
      <w:r w:rsidRPr="00216FF6">
        <w:rPr>
          <w:rFonts w:eastAsia="Calibri" w:cs="Segoe UI"/>
          <w:b/>
          <w:iCs/>
          <w:color w:val="314364"/>
          <w:szCs w:val="18"/>
        </w:rPr>
        <w:t>: Hotovostné výdavky na ŠD (v tis. eur)</w:t>
      </w:r>
    </w:p>
    <w:tbl>
      <w:tblPr>
        <w:tblStyle w:val="Mriekatabuky6"/>
        <w:tblW w:w="5000" w:type="pct"/>
        <w:tblBorders>
          <w:top w:val="none" w:sz="0" w:space="0" w:color="auto"/>
          <w:left w:val="none" w:sz="0" w:space="0" w:color="auto"/>
          <w:bottom w:val="single" w:sz="4" w:space="0" w:color="314364" w:themeColor="text2"/>
          <w:right w:val="none" w:sz="0" w:space="0" w:color="auto"/>
          <w:insideH w:val="none" w:sz="0" w:space="0" w:color="auto"/>
          <w:insideV w:val="none" w:sz="0" w:space="0" w:color="auto"/>
        </w:tblBorders>
        <w:tblLook w:val="04A0" w:firstRow="1" w:lastRow="0" w:firstColumn="1" w:lastColumn="0" w:noHBand="0" w:noVBand="1"/>
      </w:tblPr>
      <w:tblGrid>
        <w:gridCol w:w="3294"/>
        <w:gridCol w:w="965"/>
        <w:gridCol w:w="1130"/>
        <w:gridCol w:w="1130"/>
        <w:gridCol w:w="1272"/>
        <w:gridCol w:w="1279"/>
      </w:tblGrid>
      <w:tr w:rsidR="00A42B5E" w:rsidRPr="006811C2" w14:paraId="6E1F4DE2" w14:textId="77777777" w:rsidTr="00D34201">
        <w:trPr>
          <w:trHeight w:val="283"/>
        </w:trPr>
        <w:tc>
          <w:tcPr>
            <w:tcW w:w="1816" w:type="pct"/>
            <w:shd w:val="clear" w:color="auto" w:fill="314364"/>
            <w:vAlign w:val="center"/>
          </w:tcPr>
          <w:p w14:paraId="6B8D2019" w14:textId="77777777" w:rsidR="00A42B5E" w:rsidRPr="006811C2" w:rsidRDefault="00A42B5E" w:rsidP="00D34201">
            <w:pPr>
              <w:spacing w:after="0" w:line="240" w:lineRule="auto"/>
              <w:contextualSpacing/>
              <w:jc w:val="left"/>
              <w:rPr>
                <w:rFonts w:eastAsia="Calibri" w:cs="Segoe UI"/>
                <w:b/>
                <w:color w:val="FFFFFF"/>
                <w:sz w:val="18"/>
                <w:szCs w:val="18"/>
              </w:rPr>
            </w:pPr>
          </w:p>
        </w:tc>
        <w:tc>
          <w:tcPr>
            <w:tcW w:w="532" w:type="pct"/>
            <w:shd w:val="clear" w:color="auto" w:fill="314364"/>
            <w:vAlign w:val="center"/>
          </w:tcPr>
          <w:p w14:paraId="201546A3" w14:textId="77777777" w:rsidR="00A42B5E" w:rsidRPr="006811C2" w:rsidRDefault="00A42B5E" w:rsidP="00D34201">
            <w:pPr>
              <w:spacing w:after="0" w:line="240" w:lineRule="auto"/>
              <w:contextualSpacing/>
              <w:jc w:val="right"/>
              <w:rPr>
                <w:rFonts w:eastAsia="Calibri" w:cs="Segoe UI"/>
                <w:b/>
                <w:color w:val="FFFFFF"/>
                <w:sz w:val="18"/>
                <w:szCs w:val="18"/>
              </w:rPr>
            </w:pPr>
            <w:r w:rsidRPr="006811C2">
              <w:rPr>
                <w:rFonts w:eastAsia="Calibri" w:cs="Segoe UI"/>
                <w:b/>
                <w:color w:val="FFFFFF"/>
                <w:sz w:val="18"/>
                <w:szCs w:val="18"/>
              </w:rPr>
              <w:t>2021 S</w:t>
            </w:r>
          </w:p>
        </w:tc>
        <w:tc>
          <w:tcPr>
            <w:tcW w:w="623" w:type="pct"/>
            <w:shd w:val="clear" w:color="auto" w:fill="314364"/>
            <w:vAlign w:val="center"/>
          </w:tcPr>
          <w:p w14:paraId="6B438FE3" w14:textId="77777777" w:rsidR="00A42B5E" w:rsidRPr="006811C2" w:rsidRDefault="00A42B5E" w:rsidP="00D34201">
            <w:pPr>
              <w:spacing w:after="0" w:line="240" w:lineRule="auto"/>
              <w:contextualSpacing/>
              <w:jc w:val="right"/>
              <w:rPr>
                <w:rFonts w:eastAsia="Calibri" w:cs="Segoe UI"/>
                <w:b/>
                <w:color w:val="FFFFFF"/>
                <w:sz w:val="18"/>
                <w:szCs w:val="18"/>
              </w:rPr>
            </w:pPr>
            <w:r w:rsidRPr="006811C2">
              <w:rPr>
                <w:rFonts w:eastAsia="Calibri" w:cs="Segoe UI"/>
                <w:b/>
                <w:color w:val="FFFFFF"/>
                <w:sz w:val="18"/>
                <w:szCs w:val="18"/>
              </w:rPr>
              <w:t>2022 R</w:t>
            </w:r>
          </w:p>
        </w:tc>
        <w:tc>
          <w:tcPr>
            <w:tcW w:w="623" w:type="pct"/>
            <w:shd w:val="clear" w:color="auto" w:fill="314364"/>
            <w:vAlign w:val="center"/>
          </w:tcPr>
          <w:p w14:paraId="19F3EBE8" w14:textId="77777777" w:rsidR="00A42B5E" w:rsidRPr="006811C2" w:rsidRDefault="00A42B5E" w:rsidP="00D34201">
            <w:pPr>
              <w:spacing w:after="0" w:line="240" w:lineRule="auto"/>
              <w:contextualSpacing/>
              <w:jc w:val="right"/>
              <w:rPr>
                <w:rFonts w:eastAsia="Calibri" w:cs="Segoe UI"/>
                <w:b/>
                <w:color w:val="FFFFFF"/>
                <w:sz w:val="18"/>
                <w:szCs w:val="18"/>
              </w:rPr>
            </w:pPr>
            <w:r w:rsidRPr="006811C2">
              <w:rPr>
                <w:rFonts w:eastAsia="Calibri" w:cs="Segoe UI"/>
                <w:b/>
                <w:color w:val="FFFFFF"/>
                <w:sz w:val="18"/>
                <w:szCs w:val="18"/>
              </w:rPr>
              <w:t xml:space="preserve">2023 </w:t>
            </w:r>
            <w:r>
              <w:rPr>
                <w:rFonts w:eastAsia="Calibri" w:cs="Segoe UI"/>
                <w:b/>
                <w:color w:val="FFFFFF"/>
                <w:sz w:val="18"/>
                <w:szCs w:val="18"/>
              </w:rPr>
              <w:t>R</w:t>
            </w:r>
          </w:p>
        </w:tc>
        <w:tc>
          <w:tcPr>
            <w:tcW w:w="701" w:type="pct"/>
            <w:shd w:val="clear" w:color="auto" w:fill="314364"/>
            <w:vAlign w:val="center"/>
          </w:tcPr>
          <w:p w14:paraId="3DADE13F" w14:textId="77777777" w:rsidR="00A42B5E" w:rsidRPr="006811C2" w:rsidRDefault="00A42B5E" w:rsidP="00D34201">
            <w:pPr>
              <w:spacing w:after="0" w:line="240" w:lineRule="auto"/>
              <w:contextualSpacing/>
              <w:jc w:val="right"/>
              <w:rPr>
                <w:rFonts w:eastAsia="Calibri" w:cs="Segoe UI"/>
                <w:b/>
                <w:color w:val="FFFFFF"/>
                <w:sz w:val="18"/>
                <w:szCs w:val="18"/>
              </w:rPr>
            </w:pPr>
            <w:r w:rsidRPr="006811C2">
              <w:rPr>
                <w:rFonts w:eastAsia="Calibri" w:cs="Segoe UI"/>
                <w:b/>
                <w:color w:val="FFFFFF"/>
                <w:sz w:val="18"/>
                <w:szCs w:val="18"/>
              </w:rPr>
              <w:t>2023-2022</w:t>
            </w:r>
          </w:p>
        </w:tc>
        <w:tc>
          <w:tcPr>
            <w:tcW w:w="705" w:type="pct"/>
            <w:shd w:val="clear" w:color="auto" w:fill="314364"/>
            <w:vAlign w:val="center"/>
          </w:tcPr>
          <w:p w14:paraId="52A7100B" w14:textId="77777777" w:rsidR="00A42B5E" w:rsidRPr="006811C2" w:rsidRDefault="00A42B5E" w:rsidP="00D34201">
            <w:pPr>
              <w:spacing w:after="0" w:line="240" w:lineRule="auto"/>
              <w:contextualSpacing/>
              <w:jc w:val="right"/>
              <w:rPr>
                <w:rFonts w:eastAsia="Calibri" w:cs="Segoe UI"/>
                <w:b/>
                <w:color w:val="FFFFFF"/>
                <w:sz w:val="18"/>
                <w:szCs w:val="18"/>
              </w:rPr>
            </w:pPr>
            <w:r w:rsidRPr="006811C2">
              <w:rPr>
                <w:rFonts w:eastAsia="Calibri" w:cs="Segoe UI"/>
                <w:b/>
                <w:color w:val="FFFFFF"/>
                <w:sz w:val="18"/>
                <w:szCs w:val="18"/>
              </w:rPr>
              <w:t>2023/2022</w:t>
            </w:r>
          </w:p>
        </w:tc>
      </w:tr>
      <w:tr w:rsidR="00A42B5E" w:rsidRPr="006811C2" w14:paraId="126C3E42" w14:textId="77777777" w:rsidTr="00D34201">
        <w:trPr>
          <w:trHeight w:val="283"/>
        </w:trPr>
        <w:tc>
          <w:tcPr>
            <w:tcW w:w="1816" w:type="pct"/>
            <w:shd w:val="clear" w:color="auto" w:fill="auto"/>
            <w:vAlign w:val="center"/>
          </w:tcPr>
          <w:p w14:paraId="41FBD9C7" w14:textId="22E4E75E" w:rsidR="00A42B5E" w:rsidRPr="006811C2" w:rsidRDefault="00A42B5E" w:rsidP="00142E40">
            <w:pPr>
              <w:spacing w:after="0" w:line="240" w:lineRule="auto"/>
              <w:contextualSpacing/>
              <w:jc w:val="left"/>
              <w:rPr>
                <w:rFonts w:eastAsia="Calibri" w:cs="Segoe UI"/>
                <w:sz w:val="18"/>
                <w:szCs w:val="18"/>
              </w:rPr>
            </w:pPr>
            <w:r w:rsidRPr="006811C2">
              <w:rPr>
                <w:rFonts w:eastAsia="Calibri" w:cs="Segoe UI"/>
                <w:sz w:val="18"/>
                <w:szCs w:val="18"/>
              </w:rPr>
              <w:t xml:space="preserve">Hotovostné výdavky na </w:t>
            </w:r>
            <w:r w:rsidR="00142E40">
              <w:rPr>
                <w:rFonts w:eastAsia="Calibri" w:cs="Segoe UI"/>
                <w:sz w:val="18"/>
                <w:szCs w:val="18"/>
              </w:rPr>
              <w:t>ŠD</w:t>
            </w:r>
          </w:p>
        </w:tc>
        <w:tc>
          <w:tcPr>
            <w:tcW w:w="532" w:type="pct"/>
            <w:shd w:val="clear" w:color="auto" w:fill="auto"/>
            <w:vAlign w:val="center"/>
          </w:tcPr>
          <w:p w14:paraId="75DE78BD" w14:textId="77777777" w:rsidR="00A42B5E" w:rsidRPr="006811C2" w:rsidRDefault="00A42B5E" w:rsidP="00D34201">
            <w:pPr>
              <w:spacing w:after="0" w:line="240" w:lineRule="auto"/>
              <w:jc w:val="right"/>
              <w:rPr>
                <w:rFonts w:eastAsia="Calibri" w:cs="Segoe UI"/>
                <w:sz w:val="18"/>
                <w:szCs w:val="18"/>
              </w:rPr>
            </w:pPr>
            <w:r w:rsidRPr="006811C2">
              <w:rPr>
                <w:rFonts w:eastAsia="Calibri" w:cs="Segoe UI"/>
                <w:sz w:val="18"/>
                <w:szCs w:val="18"/>
              </w:rPr>
              <w:t xml:space="preserve">657 488 </w:t>
            </w:r>
          </w:p>
        </w:tc>
        <w:tc>
          <w:tcPr>
            <w:tcW w:w="623" w:type="pct"/>
            <w:shd w:val="clear" w:color="auto" w:fill="auto"/>
            <w:vAlign w:val="center"/>
          </w:tcPr>
          <w:p w14:paraId="72CAD581" w14:textId="77777777" w:rsidR="00A42B5E" w:rsidRPr="006811C2" w:rsidRDefault="00A42B5E" w:rsidP="00D34201">
            <w:pPr>
              <w:spacing w:after="0" w:line="240" w:lineRule="auto"/>
              <w:jc w:val="right"/>
              <w:rPr>
                <w:rFonts w:eastAsia="Calibri" w:cs="Segoe UI"/>
                <w:sz w:val="18"/>
                <w:szCs w:val="18"/>
              </w:rPr>
            </w:pPr>
            <w:r w:rsidRPr="006811C2">
              <w:rPr>
                <w:rFonts w:eastAsia="Calibri" w:cs="Segoe UI"/>
                <w:sz w:val="18"/>
                <w:szCs w:val="18"/>
              </w:rPr>
              <w:t>1 089 976</w:t>
            </w:r>
          </w:p>
        </w:tc>
        <w:tc>
          <w:tcPr>
            <w:tcW w:w="623" w:type="pct"/>
            <w:shd w:val="clear" w:color="auto" w:fill="auto"/>
            <w:vAlign w:val="center"/>
          </w:tcPr>
          <w:p w14:paraId="6A6DB6F6" w14:textId="77777777" w:rsidR="00A42B5E" w:rsidRPr="006811C2" w:rsidRDefault="00A42B5E" w:rsidP="00D34201">
            <w:pPr>
              <w:spacing w:after="0" w:line="240" w:lineRule="auto"/>
              <w:jc w:val="right"/>
              <w:rPr>
                <w:rFonts w:eastAsia="Calibri" w:cs="Segoe UI"/>
                <w:sz w:val="18"/>
                <w:szCs w:val="18"/>
              </w:rPr>
            </w:pPr>
            <w:r w:rsidRPr="006811C2">
              <w:rPr>
                <w:rFonts w:eastAsia="Calibri" w:cs="Segoe UI"/>
                <w:bCs/>
                <w:sz w:val="18"/>
                <w:szCs w:val="18"/>
              </w:rPr>
              <w:t>1 343 478</w:t>
            </w:r>
          </w:p>
        </w:tc>
        <w:tc>
          <w:tcPr>
            <w:tcW w:w="701" w:type="pct"/>
            <w:shd w:val="clear" w:color="auto" w:fill="auto"/>
            <w:vAlign w:val="center"/>
          </w:tcPr>
          <w:p w14:paraId="0E10FA60" w14:textId="77777777" w:rsidR="00A42B5E" w:rsidRPr="006811C2" w:rsidRDefault="00A42B5E" w:rsidP="00D34201">
            <w:pPr>
              <w:spacing w:after="0" w:line="240" w:lineRule="auto"/>
              <w:jc w:val="right"/>
              <w:rPr>
                <w:rFonts w:eastAsia="Times New Roman" w:cs="Segoe UI"/>
                <w:color w:val="000000"/>
                <w:sz w:val="18"/>
                <w:szCs w:val="18"/>
                <w:lang w:eastAsia="sk-SK"/>
              </w:rPr>
            </w:pPr>
            <w:r w:rsidRPr="006811C2">
              <w:rPr>
                <w:rFonts w:eastAsia="Times New Roman" w:cs="Segoe UI"/>
                <w:color w:val="000000"/>
                <w:sz w:val="18"/>
                <w:szCs w:val="18"/>
                <w:lang w:eastAsia="sk-SK"/>
              </w:rPr>
              <w:t>253 502</w:t>
            </w:r>
          </w:p>
        </w:tc>
        <w:tc>
          <w:tcPr>
            <w:tcW w:w="705" w:type="pct"/>
            <w:shd w:val="clear" w:color="auto" w:fill="auto"/>
            <w:vAlign w:val="center"/>
          </w:tcPr>
          <w:p w14:paraId="3C61E3C8" w14:textId="77777777" w:rsidR="00A42B5E" w:rsidRPr="006811C2" w:rsidRDefault="00A42B5E" w:rsidP="00D34201">
            <w:pPr>
              <w:spacing w:after="0" w:line="240" w:lineRule="auto"/>
              <w:jc w:val="right"/>
              <w:rPr>
                <w:rFonts w:eastAsia="Times New Roman" w:cs="Segoe UI"/>
                <w:color w:val="000000"/>
                <w:sz w:val="18"/>
                <w:szCs w:val="18"/>
                <w:lang w:eastAsia="sk-SK"/>
              </w:rPr>
            </w:pPr>
            <w:r w:rsidRPr="006811C2">
              <w:rPr>
                <w:rFonts w:eastAsia="Times New Roman" w:cs="Segoe UI"/>
                <w:color w:val="000000"/>
                <w:sz w:val="18"/>
                <w:szCs w:val="18"/>
                <w:lang w:eastAsia="sk-SK"/>
              </w:rPr>
              <w:t>123,3</w:t>
            </w:r>
          </w:p>
        </w:tc>
      </w:tr>
    </w:tbl>
    <w:p w14:paraId="5D9D3235" w14:textId="77777777" w:rsidR="00A42B5E" w:rsidRPr="006811C2" w:rsidRDefault="00A42B5E" w:rsidP="009169FD">
      <w:pPr>
        <w:pStyle w:val="Zdroj"/>
        <w:rPr>
          <w:shd w:val="clear" w:color="auto" w:fill="FFFFFF"/>
          <w:lang w:eastAsia="sk-SK"/>
        </w:rPr>
      </w:pPr>
      <w:r w:rsidRPr="006811C2">
        <w:rPr>
          <w:shd w:val="clear" w:color="auto" w:fill="FFFFFF"/>
          <w:lang w:eastAsia="sk-SK"/>
        </w:rPr>
        <w:t>Zdroj: Návrh RVS na roky 2023 až 2025</w:t>
      </w:r>
    </w:p>
    <w:p w14:paraId="1D6B66A0" w14:textId="7F4836B3" w:rsidR="005171D1" w:rsidRPr="006811C2" w:rsidRDefault="001D29DE" w:rsidP="005171D1">
      <w:pPr>
        <w:rPr>
          <w:rFonts w:eastAsia="Times New Roman" w:cs="Segoe UI"/>
          <w:b/>
          <w:color w:val="252525"/>
          <w:szCs w:val="20"/>
          <w:lang w:eastAsia="sk-SK"/>
        </w:rPr>
      </w:pPr>
      <w:r w:rsidRPr="006811C2">
        <w:rPr>
          <w:rFonts w:eastAsia="Times New Roman" w:cs="Segoe UI"/>
          <w:b/>
          <w:color w:val="252525"/>
          <w:szCs w:val="20"/>
          <w:lang w:eastAsia="sk-SK"/>
        </w:rPr>
        <w:t>Rizikom sa javí deficitné hospodárenie ŠR, zvyšovanie nominálneho dlhu a zvyš</w:t>
      </w:r>
      <w:r w:rsidR="000A2B1F">
        <w:rPr>
          <w:rFonts w:eastAsia="Times New Roman" w:cs="Segoe UI"/>
          <w:b/>
          <w:color w:val="252525"/>
          <w:szCs w:val="20"/>
          <w:lang w:eastAsia="sk-SK"/>
        </w:rPr>
        <w:t>ovanie</w:t>
      </w:r>
      <w:r w:rsidRPr="006811C2">
        <w:rPr>
          <w:rFonts w:eastAsia="Times New Roman" w:cs="Segoe UI"/>
          <w:b/>
          <w:color w:val="252525"/>
          <w:szCs w:val="20"/>
          <w:lang w:eastAsia="sk-SK"/>
        </w:rPr>
        <w:t xml:space="preserve"> úrokov</w:t>
      </w:r>
      <w:r w:rsidR="000A2B1F">
        <w:rPr>
          <w:rFonts w:eastAsia="Times New Roman" w:cs="Segoe UI"/>
          <w:b/>
          <w:color w:val="252525"/>
          <w:szCs w:val="20"/>
          <w:lang w:eastAsia="sk-SK"/>
        </w:rPr>
        <w:t>ých</w:t>
      </w:r>
      <w:r w:rsidRPr="006811C2">
        <w:rPr>
          <w:rFonts w:eastAsia="Times New Roman" w:cs="Segoe UI"/>
          <w:b/>
          <w:color w:val="252525"/>
          <w:szCs w:val="20"/>
          <w:lang w:eastAsia="sk-SK"/>
        </w:rPr>
        <w:t xml:space="preserve"> sadz</w:t>
      </w:r>
      <w:r w:rsidR="000A2B1F">
        <w:rPr>
          <w:rFonts w:eastAsia="Times New Roman" w:cs="Segoe UI"/>
          <w:b/>
          <w:color w:val="252525"/>
          <w:szCs w:val="20"/>
          <w:lang w:eastAsia="sk-SK"/>
        </w:rPr>
        <w:t>ie</w:t>
      </w:r>
      <w:r w:rsidRPr="006811C2">
        <w:rPr>
          <w:rFonts w:eastAsia="Times New Roman" w:cs="Segoe UI"/>
          <w:b/>
          <w:color w:val="252525"/>
          <w:szCs w:val="20"/>
          <w:lang w:eastAsia="sk-SK"/>
        </w:rPr>
        <w:t>b.</w:t>
      </w:r>
      <w:r w:rsidR="005171D1" w:rsidRPr="005171D1">
        <w:rPr>
          <w:lang w:eastAsia="sk-SK"/>
        </w:rPr>
        <w:t xml:space="preserve"> </w:t>
      </w:r>
      <w:r w:rsidR="005171D1">
        <w:rPr>
          <w:lang w:eastAsia="sk-SK"/>
        </w:rPr>
        <w:t xml:space="preserve">Podľa simulácie IFP, celkové úrokové náklady </w:t>
      </w:r>
      <w:r w:rsidR="000A2B1F">
        <w:rPr>
          <w:lang w:eastAsia="sk-SK"/>
        </w:rPr>
        <w:t xml:space="preserve">môžu </w:t>
      </w:r>
      <w:r w:rsidR="005171D1">
        <w:rPr>
          <w:lang w:eastAsia="sk-SK"/>
        </w:rPr>
        <w:t>postupne narásť do roku 2030 až na trojnásobok súčasnej hodnoty (z 0,8 % na 2,3 % HDP).</w:t>
      </w:r>
      <w:r w:rsidR="005171D1">
        <w:rPr>
          <w:rStyle w:val="Odkaznapoznmkupodiarou"/>
          <w:rFonts w:eastAsia="Times New Roman" w:cs="Segoe UI"/>
          <w:color w:val="252525"/>
          <w:szCs w:val="20"/>
          <w:lang w:eastAsia="sk-SK"/>
        </w:rPr>
        <w:footnoteReference w:id="15"/>
      </w:r>
      <w:r w:rsidR="005171D1">
        <w:rPr>
          <w:lang w:eastAsia="sk-SK"/>
        </w:rPr>
        <w:t xml:space="preserve"> Okrem toho </w:t>
      </w:r>
      <w:r w:rsidR="006936AB">
        <w:rPr>
          <w:lang w:eastAsia="sk-SK"/>
        </w:rPr>
        <w:t xml:space="preserve">IFP </w:t>
      </w:r>
      <w:r w:rsidR="005171D1">
        <w:rPr>
          <w:lang w:eastAsia="sk-SK"/>
        </w:rPr>
        <w:t xml:space="preserve">odhaduje, že zadlženie by mohlo presiahnuť historických 70 %.  V dlhodobom horizonte sa tak vyžaduje od vlády adekvátna reakcia, </w:t>
      </w:r>
      <w:r w:rsidR="00975E3C">
        <w:rPr>
          <w:lang w:eastAsia="sk-SK"/>
        </w:rPr>
        <w:t xml:space="preserve">ktorá by bola zameraná na </w:t>
      </w:r>
      <w:r w:rsidR="005171D1">
        <w:rPr>
          <w:lang w:eastAsia="sk-SK"/>
        </w:rPr>
        <w:t>postupné ozdravenie verejných financií znižovaním štrukturálneho deficitu o 0,5 % HDP každoročne.</w:t>
      </w:r>
    </w:p>
    <w:p w14:paraId="2E6E7958" w14:textId="5321420A" w:rsidR="001D29DE" w:rsidRPr="006811C2" w:rsidRDefault="001D29DE" w:rsidP="00D53139">
      <w:pPr>
        <w:shd w:val="clear" w:color="auto" w:fill="FFFFFF"/>
        <w:rPr>
          <w:rFonts w:eastAsia="Times New Roman" w:cs="Segoe UI"/>
          <w:color w:val="000000"/>
          <w:szCs w:val="20"/>
          <w:lang w:eastAsia="sk-SK"/>
        </w:rPr>
      </w:pPr>
      <w:r w:rsidRPr="006811C2">
        <w:rPr>
          <w:rFonts w:eastAsia="Times New Roman" w:cs="Segoe UI"/>
          <w:b/>
          <w:color w:val="252525"/>
          <w:szCs w:val="20"/>
          <w:lang w:eastAsia="sk-SK"/>
        </w:rPr>
        <w:t>V oblasti príjmov ŠR opäť nastávajú riziká pri príjmoch z dividend</w:t>
      </w:r>
      <w:r w:rsidRPr="006811C2">
        <w:rPr>
          <w:rFonts w:eastAsia="Times New Roman" w:cs="Segoe UI"/>
          <w:color w:val="252525"/>
          <w:szCs w:val="20"/>
          <w:lang w:eastAsia="sk-SK"/>
        </w:rPr>
        <w:t>, k</w:t>
      </w:r>
      <w:r w:rsidR="004E1B7C">
        <w:rPr>
          <w:rFonts w:eastAsia="Times New Roman" w:cs="Segoe UI"/>
          <w:color w:val="252525"/>
          <w:szCs w:val="20"/>
          <w:lang w:eastAsia="sk-SK"/>
        </w:rPr>
        <w:t>eďže tie závisia</w:t>
      </w:r>
      <w:r w:rsidRPr="006811C2">
        <w:rPr>
          <w:rFonts w:eastAsia="Times New Roman" w:cs="Segoe UI"/>
          <w:color w:val="252525"/>
          <w:szCs w:val="20"/>
          <w:lang w:eastAsia="sk-SK"/>
        </w:rPr>
        <w:t xml:space="preserve"> od </w:t>
      </w:r>
      <w:r w:rsidR="004E1B7C">
        <w:rPr>
          <w:rFonts w:eastAsia="Times New Roman" w:cs="Segoe UI"/>
          <w:color w:val="252525"/>
          <w:szCs w:val="20"/>
          <w:lang w:eastAsia="sk-SK"/>
        </w:rPr>
        <w:t>výsledkov hospodárenia štátnych organizácií</w:t>
      </w:r>
      <w:r w:rsidRPr="006811C2">
        <w:rPr>
          <w:rFonts w:eastAsia="Times New Roman" w:cs="Segoe UI"/>
          <w:color w:val="252525"/>
          <w:szCs w:val="20"/>
          <w:lang w:eastAsia="sk-SK"/>
        </w:rPr>
        <w:t>.</w:t>
      </w:r>
      <w:r w:rsidRPr="006811C2">
        <w:rPr>
          <w:rFonts w:eastAsia="Calibri" w:cs="Segoe UI"/>
          <w:szCs w:val="20"/>
        </w:rPr>
        <w:t xml:space="preserve"> </w:t>
      </w:r>
      <w:r w:rsidRPr="006811C2">
        <w:rPr>
          <w:rFonts w:eastAsia="Times New Roman" w:cs="Segoe UI"/>
          <w:color w:val="252525"/>
          <w:szCs w:val="20"/>
          <w:lang w:eastAsia="sk-SK"/>
        </w:rPr>
        <w:t xml:space="preserve">Príjmy z dividend </w:t>
      </w:r>
      <w:r w:rsidRPr="006811C2">
        <w:rPr>
          <w:rFonts w:eastAsia="Calibri" w:cs="Segoe UI"/>
          <w:szCs w:val="20"/>
        </w:rPr>
        <w:t xml:space="preserve">z podnikov vlastnených a </w:t>
      </w:r>
      <w:proofErr w:type="spellStart"/>
      <w:r w:rsidR="00D84CB0" w:rsidRPr="006811C2">
        <w:rPr>
          <w:rFonts w:eastAsia="Calibri" w:cs="Segoe UI"/>
          <w:szCs w:val="20"/>
        </w:rPr>
        <w:t>spoluvlastnených</w:t>
      </w:r>
      <w:proofErr w:type="spellEnd"/>
      <w:r w:rsidRPr="006811C2">
        <w:rPr>
          <w:rFonts w:eastAsia="Calibri" w:cs="Segoe UI"/>
          <w:szCs w:val="20"/>
        </w:rPr>
        <w:t xml:space="preserve"> štátom </w:t>
      </w:r>
      <w:r w:rsidRPr="006811C2">
        <w:rPr>
          <w:rFonts w:eastAsia="Times New Roman" w:cs="Segoe UI"/>
          <w:color w:val="252525"/>
          <w:szCs w:val="20"/>
          <w:lang w:eastAsia="sk-SK"/>
        </w:rPr>
        <w:t>sa v roku 2023 navrhujú vo výške 389 mil. eur, čo je v porovnaní so schváleným rozpočtom na rok 2022 viac o 5 mil. eur. N</w:t>
      </w:r>
      <w:r w:rsidRPr="006811C2">
        <w:rPr>
          <w:rFonts w:eastAsia="Times New Roman" w:cs="Segoe UI"/>
          <w:color w:val="000000"/>
          <w:szCs w:val="20"/>
          <w:lang w:eastAsia="sk-SK"/>
        </w:rPr>
        <w:t>árast príjmov je spôsobený hlavne zvýšením dividend od spoločností Slovenská elektrizačná prenosová sústava, a. s. a Stredoslovenská energetika Holding, a. s. Naopak nižšie príjmy z dividend pri medziročnom porovnaní sa očakávajú najmä od spoločností Slovenský plynárenský priemysel, a. s., Východoslovenská energetika Holding, a. s. a Západoslovenská energetika, a. s.</w:t>
      </w:r>
    </w:p>
    <w:p w14:paraId="7A53D637" w14:textId="3388A7B4" w:rsidR="005B6D7F" w:rsidRPr="00BE1830" w:rsidRDefault="005B6D7F" w:rsidP="005B6D7F">
      <w:pPr>
        <w:rPr>
          <w:szCs w:val="20"/>
        </w:rPr>
      </w:pPr>
      <w:r w:rsidRPr="005B6D7F">
        <w:rPr>
          <w:b/>
          <w:szCs w:val="20"/>
        </w:rPr>
        <w:t>V oblasti výdavkov sú rizikové najmä výdavky určené na boj s energetickou krízou</w:t>
      </w:r>
      <w:r>
        <w:rPr>
          <w:szCs w:val="20"/>
        </w:rPr>
        <w:t>, rozpočtované</w:t>
      </w:r>
      <w:r w:rsidRPr="005B6D7F">
        <w:rPr>
          <w:szCs w:val="20"/>
        </w:rPr>
        <w:t xml:space="preserve"> </w:t>
      </w:r>
      <w:r>
        <w:rPr>
          <w:szCs w:val="20"/>
        </w:rPr>
        <w:t>vo výške 3,4 mld. eur</w:t>
      </w:r>
      <w:r w:rsidR="00571D72">
        <w:rPr>
          <w:szCs w:val="20"/>
        </w:rPr>
        <w:t>.</w:t>
      </w:r>
      <w:r w:rsidR="005E02E1">
        <w:rPr>
          <w:rStyle w:val="Odkaznapoznmkupodiarou"/>
          <w:szCs w:val="20"/>
        </w:rPr>
        <w:footnoteReference w:id="16"/>
      </w:r>
      <w:r>
        <w:rPr>
          <w:szCs w:val="20"/>
        </w:rPr>
        <w:t xml:space="preserve"> </w:t>
      </w:r>
      <w:r w:rsidR="00813390">
        <w:rPr>
          <w:szCs w:val="20"/>
        </w:rPr>
        <w:t xml:space="preserve">Bežné výdavky </w:t>
      </w:r>
      <w:r>
        <w:rPr>
          <w:szCs w:val="20"/>
        </w:rPr>
        <w:t>na energie v rámci kapitol ŠR</w:t>
      </w:r>
      <w:r w:rsidR="00813390">
        <w:rPr>
          <w:szCs w:val="20"/>
        </w:rPr>
        <w:t xml:space="preserve"> rastú a</w:t>
      </w:r>
      <w:r>
        <w:rPr>
          <w:szCs w:val="20"/>
        </w:rPr>
        <w:t xml:space="preserve"> </w:t>
      </w:r>
      <w:r w:rsidR="00813390">
        <w:rPr>
          <w:szCs w:val="20"/>
        </w:rPr>
        <w:t>c</w:t>
      </w:r>
      <w:r>
        <w:rPr>
          <w:szCs w:val="20"/>
        </w:rPr>
        <w:t xml:space="preserve">elkovo by sa mali oproti rozpočtu na rok 2022 zdvojnásobiť na 154 mil. eur. Tento nárast však nie je konzistentný. Kým pri niektorých kapitolách predstavuje aj viac ako tisíc percent, pri iných sa očakáva pokles. Najviac by mali vzrásť výdavky na energie na MD SR (nárast o 1 617 %), MŽP SR (nárast o 1 547 %) a SAV (nárast o 976 %). Naopak, šetriť s energiami by sa malo v Kancelárii súdnej rady (pokles o 10,5 %) a na MV SR (pokles o 0,7 %). </w:t>
      </w:r>
      <w:r w:rsidR="001A3E7D" w:rsidRPr="001A3E7D">
        <w:rPr>
          <w:szCs w:val="20"/>
        </w:rPr>
        <w:t>NKÚ SR upozorňuje, že pri takej veľkej kapitole, akou je rezort vnútra, nielenže hrozí, že sa výdavky na energie neusporia, ale bude potrebné navyšovať tieto zdroje</w:t>
      </w:r>
      <w:r w:rsidR="001A3E7D">
        <w:rPr>
          <w:szCs w:val="20"/>
        </w:rPr>
        <w:t>.</w:t>
      </w:r>
      <w:r>
        <w:rPr>
          <w:szCs w:val="20"/>
        </w:rPr>
        <w:t xml:space="preserve"> </w:t>
      </w:r>
      <w:r w:rsidR="00813390">
        <w:rPr>
          <w:szCs w:val="20"/>
        </w:rPr>
        <w:t>U</w:t>
      </w:r>
      <w:r>
        <w:rPr>
          <w:szCs w:val="20"/>
        </w:rPr>
        <w:t xml:space="preserve">dialo </w:t>
      </w:r>
      <w:r w:rsidR="00813390">
        <w:rPr>
          <w:szCs w:val="20"/>
        </w:rPr>
        <w:t xml:space="preserve">sa to aj </w:t>
      </w:r>
      <w:r>
        <w:rPr>
          <w:szCs w:val="20"/>
        </w:rPr>
        <w:t xml:space="preserve">počas roka 2022, </w:t>
      </w:r>
      <w:r>
        <w:rPr>
          <w:szCs w:val="20"/>
        </w:rPr>
        <w:lastRenderedPageBreak/>
        <w:t xml:space="preserve">kedy sa schválený rozpočet </w:t>
      </w:r>
      <w:r w:rsidR="00073366">
        <w:rPr>
          <w:szCs w:val="20"/>
        </w:rPr>
        <w:t xml:space="preserve">MV SR </w:t>
      </w:r>
      <w:r>
        <w:rPr>
          <w:szCs w:val="20"/>
        </w:rPr>
        <w:t>na energie vo výške 23</w:t>
      </w:r>
      <w:r w:rsidR="00D04572">
        <w:rPr>
          <w:szCs w:val="20"/>
        </w:rPr>
        <w:t>,</w:t>
      </w:r>
      <w:r>
        <w:rPr>
          <w:szCs w:val="20"/>
        </w:rPr>
        <w:t>1</w:t>
      </w:r>
      <w:r w:rsidR="00D04572">
        <w:rPr>
          <w:szCs w:val="20"/>
        </w:rPr>
        <w:t xml:space="preserve"> mil</w:t>
      </w:r>
      <w:r>
        <w:rPr>
          <w:szCs w:val="20"/>
        </w:rPr>
        <w:t xml:space="preserve">. eur musel navyšovať </w:t>
      </w:r>
      <w:r w:rsidR="00B836D4">
        <w:rPr>
          <w:szCs w:val="20"/>
        </w:rPr>
        <w:t xml:space="preserve">k 31. 10. 2022 </w:t>
      </w:r>
      <w:r>
        <w:rPr>
          <w:szCs w:val="20"/>
        </w:rPr>
        <w:t>na 46</w:t>
      </w:r>
      <w:r w:rsidR="00D04572">
        <w:rPr>
          <w:szCs w:val="20"/>
        </w:rPr>
        <w:t>,9</w:t>
      </w:r>
      <w:r>
        <w:rPr>
          <w:szCs w:val="20"/>
        </w:rPr>
        <w:t xml:space="preserve"> </w:t>
      </w:r>
      <w:r w:rsidR="00D04572">
        <w:rPr>
          <w:szCs w:val="20"/>
        </w:rPr>
        <w:t>mil</w:t>
      </w:r>
      <w:r>
        <w:rPr>
          <w:szCs w:val="20"/>
        </w:rPr>
        <w:t>. eur.</w:t>
      </w:r>
    </w:p>
    <w:p w14:paraId="0C9202F9" w14:textId="24C55B6A" w:rsidR="00D37117" w:rsidRPr="00D04572" w:rsidRDefault="00413AF0" w:rsidP="008150DC">
      <w:pPr>
        <w:spacing w:after="0"/>
        <w:rPr>
          <w:rFonts w:eastAsia="Times New Roman" w:cs="Segoe UI"/>
          <w:b/>
          <w:bCs/>
          <w:szCs w:val="20"/>
          <w:lang w:eastAsia="sk-SK"/>
        </w:rPr>
      </w:pPr>
      <w:r w:rsidRPr="00D04572">
        <w:rPr>
          <w:rFonts w:eastAsia="Times New Roman" w:cs="Segoe UI"/>
          <w:b/>
          <w:bCs/>
          <w:szCs w:val="20"/>
          <w:lang w:eastAsia="sk-SK"/>
        </w:rPr>
        <w:t xml:space="preserve">V návrhu </w:t>
      </w:r>
      <w:r w:rsidR="004A1372" w:rsidRPr="00D04572">
        <w:rPr>
          <w:rFonts w:eastAsia="Times New Roman" w:cs="Segoe UI"/>
          <w:b/>
          <w:bCs/>
          <w:szCs w:val="20"/>
          <w:lang w:eastAsia="sk-SK"/>
        </w:rPr>
        <w:t>ŠR</w:t>
      </w:r>
      <w:r w:rsidR="00D37117" w:rsidRPr="00D04572">
        <w:rPr>
          <w:rFonts w:eastAsia="Times New Roman" w:cs="Segoe UI"/>
          <w:b/>
          <w:bCs/>
          <w:szCs w:val="20"/>
          <w:lang w:eastAsia="sk-SK"/>
        </w:rPr>
        <w:t xml:space="preserve"> sa objavujú riziká </w:t>
      </w:r>
      <w:r w:rsidRPr="00D04572">
        <w:rPr>
          <w:rFonts w:eastAsia="Times New Roman" w:cs="Segoe UI"/>
          <w:b/>
          <w:bCs/>
          <w:szCs w:val="20"/>
          <w:lang w:eastAsia="sk-SK"/>
        </w:rPr>
        <w:t xml:space="preserve">pri rozpočtovaní výdavkov </w:t>
      </w:r>
      <w:r w:rsidR="00D04572" w:rsidRPr="00D04572">
        <w:rPr>
          <w:rFonts w:eastAsia="Times New Roman" w:cs="Segoe UI"/>
          <w:b/>
          <w:bCs/>
          <w:szCs w:val="20"/>
          <w:lang w:eastAsia="sk-SK"/>
        </w:rPr>
        <w:t>aj v</w:t>
      </w:r>
      <w:r w:rsidR="00D37117" w:rsidRPr="00D04572">
        <w:rPr>
          <w:rFonts w:eastAsia="Times New Roman" w:cs="Segoe UI"/>
          <w:b/>
          <w:bCs/>
          <w:szCs w:val="20"/>
          <w:lang w:eastAsia="sk-SK"/>
        </w:rPr>
        <w:t xml:space="preserve"> týchto </w:t>
      </w:r>
      <w:r w:rsidR="009658E7">
        <w:rPr>
          <w:rFonts w:eastAsia="Times New Roman" w:cs="Segoe UI"/>
          <w:b/>
          <w:bCs/>
          <w:szCs w:val="20"/>
          <w:lang w:eastAsia="sk-SK"/>
        </w:rPr>
        <w:t>štyroch</w:t>
      </w:r>
      <w:r w:rsidR="002E22DA" w:rsidRPr="00D04572">
        <w:rPr>
          <w:rFonts w:eastAsia="Times New Roman" w:cs="Segoe UI"/>
          <w:b/>
          <w:bCs/>
          <w:szCs w:val="20"/>
          <w:lang w:eastAsia="sk-SK"/>
        </w:rPr>
        <w:t xml:space="preserve"> </w:t>
      </w:r>
      <w:r w:rsidR="004A1372" w:rsidRPr="00D04572">
        <w:rPr>
          <w:rFonts w:eastAsia="Times New Roman" w:cs="Segoe UI"/>
          <w:b/>
          <w:bCs/>
          <w:szCs w:val="20"/>
          <w:lang w:eastAsia="sk-SK"/>
        </w:rPr>
        <w:t>oblastiach</w:t>
      </w:r>
      <w:r w:rsidR="00D37117" w:rsidRPr="00D04572">
        <w:rPr>
          <w:rFonts w:eastAsia="Times New Roman" w:cs="Segoe UI"/>
          <w:b/>
          <w:bCs/>
          <w:szCs w:val="20"/>
          <w:lang w:eastAsia="sk-SK"/>
        </w:rPr>
        <w:t>:</w:t>
      </w:r>
    </w:p>
    <w:p w14:paraId="390E07BA" w14:textId="5E75F727" w:rsidR="00C136FA" w:rsidRDefault="00C136FA" w:rsidP="00C41459">
      <w:pPr>
        <w:pStyle w:val="Odsekzoznamu"/>
        <w:numPr>
          <w:ilvl w:val="0"/>
          <w:numId w:val="3"/>
        </w:numPr>
        <w:rPr>
          <w:rFonts w:eastAsia="Times New Roman" w:cs="Segoe UI"/>
          <w:bCs/>
          <w:szCs w:val="20"/>
          <w:lang w:eastAsia="sk-SK"/>
        </w:rPr>
      </w:pPr>
      <w:r>
        <w:rPr>
          <w:rFonts w:eastAsia="Times New Roman" w:cs="Segoe UI"/>
          <w:bCs/>
          <w:szCs w:val="20"/>
          <w:lang w:eastAsia="sk-SK"/>
        </w:rPr>
        <w:t>rozpočtovan</w:t>
      </w:r>
      <w:r w:rsidR="00975E3C">
        <w:rPr>
          <w:rFonts w:eastAsia="Times New Roman" w:cs="Segoe UI"/>
          <w:bCs/>
          <w:szCs w:val="20"/>
          <w:lang w:eastAsia="sk-SK"/>
        </w:rPr>
        <w:t>ie</w:t>
      </w:r>
      <w:r>
        <w:rPr>
          <w:rFonts w:eastAsia="Times New Roman" w:cs="Segoe UI"/>
          <w:bCs/>
          <w:szCs w:val="20"/>
          <w:lang w:eastAsia="sk-SK"/>
        </w:rPr>
        <w:t xml:space="preserve"> rezerv,</w:t>
      </w:r>
    </w:p>
    <w:p w14:paraId="1A87C178" w14:textId="29C8720E" w:rsidR="004A1372" w:rsidRPr="00755B69" w:rsidRDefault="004A1372" w:rsidP="00C41459">
      <w:pPr>
        <w:pStyle w:val="Odsekzoznamu"/>
        <w:numPr>
          <w:ilvl w:val="0"/>
          <w:numId w:val="3"/>
        </w:numPr>
        <w:rPr>
          <w:rFonts w:eastAsia="Times New Roman" w:cs="Segoe UI"/>
          <w:bCs/>
          <w:szCs w:val="20"/>
          <w:lang w:eastAsia="sk-SK"/>
        </w:rPr>
      </w:pPr>
      <w:r w:rsidRPr="00755B69">
        <w:rPr>
          <w:rFonts w:eastAsia="Times New Roman" w:cs="Segoe UI"/>
          <w:bCs/>
          <w:szCs w:val="20"/>
          <w:lang w:eastAsia="sk-SK"/>
        </w:rPr>
        <w:t>programov</w:t>
      </w:r>
      <w:r w:rsidR="00975E3C">
        <w:rPr>
          <w:rFonts w:eastAsia="Times New Roman" w:cs="Segoe UI"/>
          <w:bCs/>
          <w:szCs w:val="20"/>
          <w:lang w:eastAsia="sk-SK"/>
        </w:rPr>
        <w:t>é</w:t>
      </w:r>
      <w:r w:rsidRPr="00755B69">
        <w:rPr>
          <w:rFonts w:eastAsia="Times New Roman" w:cs="Segoe UI"/>
          <w:bCs/>
          <w:szCs w:val="20"/>
          <w:lang w:eastAsia="sk-SK"/>
        </w:rPr>
        <w:t xml:space="preserve"> rozpočtovan</w:t>
      </w:r>
      <w:r w:rsidR="00975E3C">
        <w:rPr>
          <w:rFonts w:eastAsia="Times New Roman" w:cs="Segoe UI"/>
          <w:bCs/>
          <w:szCs w:val="20"/>
          <w:lang w:eastAsia="sk-SK"/>
        </w:rPr>
        <w:t>ie</w:t>
      </w:r>
      <w:r w:rsidRPr="00755B69">
        <w:rPr>
          <w:rFonts w:eastAsia="Times New Roman" w:cs="Segoe UI"/>
          <w:bCs/>
          <w:szCs w:val="20"/>
          <w:lang w:eastAsia="sk-SK"/>
        </w:rPr>
        <w:t>,</w:t>
      </w:r>
    </w:p>
    <w:p w14:paraId="329CDB8B" w14:textId="5E1EC538" w:rsidR="004A1372" w:rsidRDefault="004A1372" w:rsidP="00C41459">
      <w:pPr>
        <w:pStyle w:val="Odsekzoznamu"/>
        <w:numPr>
          <w:ilvl w:val="0"/>
          <w:numId w:val="3"/>
        </w:numPr>
        <w:rPr>
          <w:rFonts w:eastAsia="Times New Roman" w:cs="Segoe UI"/>
          <w:bCs/>
          <w:szCs w:val="20"/>
          <w:lang w:eastAsia="sk-SK"/>
        </w:rPr>
      </w:pPr>
      <w:r w:rsidRPr="00755B69">
        <w:rPr>
          <w:rFonts w:eastAsia="Times New Roman" w:cs="Segoe UI"/>
          <w:bCs/>
          <w:szCs w:val="20"/>
          <w:lang w:eastAsia="sk-SK"/>
        </w:rPr>
        <w:t>rozpočtovan</w:t>
      </w:r>
      <w:r w:rsidR="00975E3C">
        <w:rPr>
          <w:rFonts w:eastAsia="Times New Roman" w:cs="Segoe UI"/>
          <w:bCs/>
          <w:szCs w:val="20"/>
          <w:lang w:eastAsia="sk-SK"/>
        </w:rPr>
        <w:t>ie</w:t>
      </w:r>
      <w:r w:rsidRPr="00755B69">
        <w:rPr>
          <w:rFonts w:eastAsia="Times New Roman" w:cs="Segoe UI"/>
          <w:bCs/>
          <w:szCs w:val="20"/>
          <w:lang w:eastAsia="sk-SK"/>
        </w:rPr>
        <w:t xml:space="preserve"> kapitálových výdavkov,</w:t>
      </w:r>
    </w:p>
    <w:p w14:paraId="53B92597" w14:textId="4F734E0C" w:rsidR="00571D72" w:rsidRPr="00571D72" w:rsidRDefault="009658E7" w:rsidP="00571D72">
      <w:pPr>
        <w:pStyle w:val="Odsekzoznamu"/>
        <w:numPr>
          <w:ilvl w:val="0"/>
          <w:numId w:val="3"/>
        </w:numPr>
        <w:spacing w:after="360"/>
        <w:ind w:left="1077"/>
        <w:rPr>
          <w:rFonts w:eastAsia="Times New Roman" w:cs="Segoe UI"/>
          <w:bCs/>
          <w:sz w:val="16"/>
          <w:szCs w:val="20"/>
          <w:lang w:eastAsia="sk-SK"/>
        </w:rPr>
      </w:pPr>
      <w:r w:rsidRPr="00604FA0">
        <w:rPr>
          <w:rFonts w:eastAsia="Times New Roman" w:cs="Segoe UI"/>
          <w:bCs/>
          <w:szCs w:val="20"/>
          <w:lang w:eastAsia="sk-SK"/>
        </w:rPr>
        <w:t>počet zamestnancov.</w:t>
      </w:r>
    </w:p>
    <w:p w14:paraId="15860FE9" w14:textId="77777777" w:rsidR="00571D72" w:rsidRPr="00571D72" w:rsidRDefault="00571D72" w:rsidP="00571D72">
      <w:pPr>
        <w:pStyle w:val="Odsekzoznamu"/>
        <w:spacing w:after="360"/>
        <w:ind w:left="1077"/>
        <w:rPr>
          <w:rFonts w:eastAsia="Times New Roman" w:cs="Segoe UI"/>
          <w:bCs/>
          <w:sz w:val="16"/>
          <w:szCs w:val="20"/>
          <w:lang w:eastAsia="sk-SK"/>
        </w:rPr>
      </w:pPr>
    </w:p>
    <w:p w14:paraId="2F20454A" w14:textId="37AA8E64" w:rsidR="00C136FA" w:rsidRPr="00C136FA" w:rsidRDefault="00C136FA" w:rsidP="00C41459">
      <w:pPr>
        <w:pStyle w:val="Odsekzoznamu"/>
        <w:numPr>
          <w:ilvl w:val="0"/>
          <w:numId w:val="8"/>
        </w:numPr>
        <w:rPr>
          <w:rFonts w:eastAsia="Times New Roman" w:cs="Segoe UI"/>
          <w:b/>
          <w:szCs w:val="20"/>
          <w:lang w:eastAsia="sk-SK"/>
        </w:rPr>
      </w:pPr>
      <w:r w:rsidRPr="00C136FA">
        <w:rPr>
          <w:rFonts w:eastAsia="Times New Roman" w:cs="Segoe UI"/>
          <w:b/>
          <w:szCs w:val="20"/>
          <w:lang w:eastAsia="sk-SK"/>
        </w:rPr>
        <w:t>Rozpočtovanie rezerv</w:t>
      </w:r>
    </w:p>
    <w:p w14:paraId="040F0300" w14:textId="7090188E" w:rsidR="00C136FA" w:rsidRDefault="00C136FA" w:rsidP="00C136FA">
      <w:pPr>
        <w:rPr>
          <w:rFonts w:eastAsia="Times New Roman" w:cs="Segoe UI"/>
          <w:color w:val="000000"/>
          <w:lang w:eastAsia="sk-SK"/>
        </w:rPr>
      </w:pPr>
      <w:r w:rsidRPr="001D29DE">
        <w:rPr>
          <w:rFonts w:eastAsia="Times New Roman" w:cs="Segoe UI"/>
          <w:szCs w:val="20"/>
          <w:lang w:eastAsia="sk-SK"/>
        </w:rPr>
        <w:t>Na krytie nepredvídaných výdavkov nevyhnutných na zabezpečenie rozpočtového hospodárenia</w:t>
      </w:r>
      <w:r>
        <w:rPr>
          <w:rFonts w:eastAsia="Times New Roman" w:cs="Segoe UI"/>
          <w:szCs w:val="20"/>
          <w:lang w:eastAsia="sk-SK"/>
        </w:rPr>
        <w:t xml:space="preserve"> najmä v krízových časoch</w:t>
      </w:r>
      <w:r w:rsidRPr="001D29DE">
        <w:rPr>
          <w:rFonts w:eastAsia="Times New Roman" w:cs="Segoe UI"/>
          <w:szCs w:val="20"/>
          <w:lang w:eastAsia="sk-SK"/>
        </w:rPr>
        <w:t xml:space="preserve"> alebo na krytie zníženia rozpočtovaných príjmov sú vytvorené v ŠR </w:t>
      </w:r>
      <w:r w:rsidRPr="00D56222">
        <w:rPr>
          <w:rFonts w:eastAsia="Times New Roman" w:cs="Segoe UI"/>
          <w:szCs w:val="20"/>
          <w:lang w:eastAsia="sk-SK"/>
        </w:rPr>
        <w:t>rozpočtové rezervy</w:t>
      </w:r>
      <w:r w:rsidRPr="001D29DE">
        <w:rPr>
          <w:rFonts w:eastAsia="Times New Roman" w:cs="Segoe UI"/>
          <w:szCs w:val="20"/>
          <w:lang w:eastAsia="sk-SK"/>
        </w:rPr>
        <w:t xml:space="preserve">. </w:t>
      </w:r>
      <w:r w:rsidR="00D56222" w:rsidRPr="00D56222">
        <w:rPr>
          <w:rFonts w:eastAsia="Times New Roman" w:cs="Segoe UI"/>
          <w:b/>
          <w:szCs w:val="20"/>
          <w:lang w:eastAsia="sk-SK"/>
        </w:rPr>
        <w:t>Väčšina rezerv je alokovaná v kapitole VPS</w:t>
      </w:r>
      <w:r w:rsidR="007A28FB">
        <w:rPr>
          <w:rFonts w:eastAsia="Times New Roman" w:cs="Segoe UI"/>
          <w:b/>
          <w:szCs w:val="20"/>
          <w:lang w:eastAsia="sk-SK"/>
        </w:rPr>
        <w:t xml:space="preserve"> a na rok 2023</w:t>
      </w:r>
      <w:r w:rsidR="00D56222" w:rsidRPr="00D56222">
        <w:rPr>
          <w:rFonts w:eastAsia="Times New Roman" w:cs="Segoe UI"/>
          <w:b/>
          <w:szCs w:val="20"/>
          <w:lang w:eastAsia="sk-SK"/>
        </w:rPr>
        <w:t xml:space="preserve"> spolu predstavujú </w:t>
      </w:r>
      <w:r w:rsidR="005E02E1">
        <w:rPr>
          <w:rFonts w:eastAsia="Times New Roman" w:cs="Segoe UI"/>
          <w:b/>
          <w:szCs w:val="20"/>
          <w:lang w:eastAsia="sk-SK"/>
        </w:rPr>
        <w:t>2,96</w:t>
      </w:r>
      <w:r w:rsidR="00D56222" w:rsidRPr="00D56222">
        <w:rPr>
          <w:rFonts w:eastAsia="Times New Roman" w:cs="Segoe UI"/>
          <w:b/>
          <w:szCs w:val="20"/>
          <w:lang w:eastAsia="sk-SK"/>
        </w:rPr>
        <w:t xml:space="preserve"> mld. eur</w:t>
      </w:r>
      <w:r w:rsidR="007A28FB">
        <w:rPr>
          <w:rFonts w:eastAsia="Times New Roman" w:cs="Segoe UI"/>
          <w:b/>
          <w:szCs w:val="20"/>
          <w:lang w:eastAsia="sk-SK"/>
        </w:rPr>
        <w:t>.</w:t>
      </w:r>
      <w:r w:rsidR="00D56222">
        <w:rPr>
          <w:rFonts w:eastAsia="Times New Roman" w:cs="Segoe UI"/>
          <w:szCs w:val="20"/>
          <w:lang w:eastAsia="sk-SK"/>
        </w:rPr>
        <w:t xml:space="preserve"> </w:t>
      </w:r>
      <w:r w:rsidR="007A28FB">
        <w:rPr>
          <w:rFonts w:eastAsia="Times New Roman" w:cs="Segoe UI"/>
          <w:szCs w:val="20"/>
          <w:lang w:eastAsia="sk-SK"/>
        </w:rPr>
        <w:t> M</w:t>
      </w:r>
      <w:r w:rsidR="00D56222">
        <w:rPr>
          <w:rFonts w:eastAsia="Times New Roman" w:cs="Segoe UI"/>
          <w:szCs w:val="20"/>
          <w:lang w:eastAsia="sk-SK"/>
        </w:rPr>
        <w:t>e</w:t>
      </w:r>
      <w:r w:rsidRPr="001D29DE">
        <w:rPr>
          <w:rFonts w:eastAsia="Calibri" w:cs="Segoe UI"/>
        </w:rPr>
        <w:t>dziročn</w:t>
      </w:r>
      <w:r w:rsidR="007A28FB">
        <w:rPr>
          <w:rFonts w:eastAsia="Calibri" w:cs="Segoe UI"/>
        </w:rPr>
        <w:t>e vzrastú</w:t>
      </w:r>
      <w:r w:rsidRPr="001D29DE">
        <w:rPr>
          <w:rFonts w:eastAsia="Calibri" w:cs="Segoe UI"/>
        </w:rPr>
        <w:t xml:space="preserve"> o 68,9 %, čo je o </w:t>
      </w:r>
      <w:r w:rsidRPr="001D29DE">
        <w:rPr>
          <w:rFonts w:eastAsia="Times New Roman" w:cs="Segoe UI"/>
          <w:color w:val="000000"/>
          <w:lang w:eastAsia="sk-SK"/>
        </w:rPr>
        <w:t xml:space="preserve">1,2 mld. eur viac oproti rozpočtu </w:t>
      </w:r>
      <w:r w:rsidR="00D56222">
        <w:rPr>
          <w:rFonts w:eastAsia="Times New Roman" w:cs="Segoe UI"/>
          <w:color w:val="000000"/>
          <w:lang w:eastAsia="sk-SK"/>
        </w:rPr>
        <w:t xml:space="preserve">na rok </w:t>
      </w:r>
      <w:r w:rsidRPr="001D29DE">
        <w:rPr>
          <w:rFonts w:eastAsia="Times New Roman" w:cs="Segoe UI"/>
          <w:color w:val="000000"/>
          <w:lang w:eastAsia="sk-SK"/>
        </w:rPr>
        <w:t>2022</w:t>
      </w:r>
      <w:r w:rsidR="000E7CF9">
        <w:rPr>
          <w:rFonts w:eastAsia="Times New Roman" w:cs="Segoe UI"/>
          <w:color w:val="000000"/>
          <w:lang w:eastAsia="sk-SK"/>
        </w:rPr>
        <w:t>.</w:t>
      </w:r>
      <w:r w:rsidRPr="001D29DE">
        <w:rPr>
          <w:rFonts w:eastAsia="Times New Roman" w:cs="Segoe UI"/>
          <w:color w:val="000000"/>
          <w:lang w:eastAsia="sk-SK"/>
        </w:rPr>
        <w:t xml:space="preserve"> </w:t>
      </w:r>
      <w:r w:rsidR="000E7CF9">
        <w:rPr>
          <w:rFonts w:eastAsia="Times New Roman" w:cs="Segoe UI"/>
          <w:color w:val="000000"/>
          <w:lang w:eastAsia="sk-SK"/>
        </w:rPr>
        <w:t xml:space="preserve">Oproti roku 2021 však tento nárast predstavuje takmer tisíc percent </w:t>
      </w:r>
      <w:r w:rsidR="000E7CF9" w:rsidRPr="001D29DE">
        <w:rPr>
          <w:rFonts w:eastAsia="Times New Roman" w:cs="Segoe UI"/>
          <w:color w:val="000000"/>
          <w:lang w:eastAsia="sk-SK"/>
        </w:rPr>
        <w:t>(</w:t>
      </w:r>
      <w:r w:rsidR="000E7CF9">
        <w:rPr>
          <w:rFonts w:eastAsia="Times New Roman" w:cs="Segoe UI"/>
          <w:color w:val="000000"/>
          <w:lang w:eastAsia="sk-SK"/>
        </w:rPr>
        <w:t>tabuľka 9</w:t>
      </w:r>
      <w:r w:rsidR="000E7CF9" w:rsidRPr="001D29DE">
        <w:rPr>
          <w:rFonts w:eastAsia="Times New Roman" w:cs="Segoe UI"/>
          <w:color w:val="000000"/>
          <w:lang w:eastAsia="sk-SK"/>
        </w:rPr>
        <w:t>).</w:t>
      </w:r>
    </w:p>
    <w:p w14:paraId="6E398F9C" w14:textId="051A571A" w:rsidR="00DB4539" w:rsidRPr="001D29DE" w:rsidRDefault="00DB4539" w:rsidP="00DB4539">
      <w:pPr>
        <w:keepNext/>
        <w:spacing w:after="0" w:line="240" w:lineRule="auto"/>
        <w:rPr>
          <w:rFonts w:eastAsia="Calibri" w:cs="Times New Roman"/>
          <w:b/>
          <w:iCs/>
          <w:color w:val="314364"/>
          <w:szCs w:val="18"/>
        </w:rPr>
      </w:pPr>
      <w:r w:rsidRPr="001D29DE">
        <w:rPr>
          <w:rFonts w:eastAsia="Calibri" w:cs="Times New Roman"/>
          <w:b/>
          <w:iCs/>
          <w:color w:val="314364"/>
          <w:szCs w:val="18"/>
        </w:rPr>
        <w:t xml:space="preserve">Tabuľka </w:t>
      </w:r>
      <w:r w:rsidR="00A428D0">
        <w:rPr>
          <w:rFonts w:eastAsia="Calibri" w:cs="Times New Roman"/>
          <w:b/>
          <w:iCs/>
          <w:color w:val="314364"/>
          <w:szCs w:val="18"/>
        </w:rPr>
        <w:t>9</w:t>
      </w:r>
      <w:r w:rsidRPr="001D29DE">
        <w:rPr>
          <w:rFonts w:eastAsia="Calibri" w:cs="Times New Roman"/>
          <w:b/>
          <w:iCs/>
          <w:color w:val="314364"/>
          <w:szCs w:val="18"/>
        </w:rPr>
        <w:t>: Rozpočtové rezervy v kapitole VPS</w:t>
      </w:r>
      <w:r>
        <w:rPr>
          <w:rFonts w:eastAsia="Calibri" w:cs="Times New Roman"/>
          <w:b/>
          <w:iCs/>
          <w:color w:val="314364"/>
          <w:szCs w:val="18"/>
        </w:rPr>
        <w:t xml:space="preserve"> (v tis. eur)</w:t>
      </w:r>
    </w:p>
    <w:tbl>
      <w:tblPr>
        <w:tblW w:w="5000" w:type="pct"/>
        <w:tblBorders>
          <w:bottom w:val="single" w:sz="4" w:space="0" w:color="44546A"/>
        </w:tblBorders>
        <w:tblLook w:val="0000" w:firstRow="0" w:lastRow="0" w:firstColumn="0" w:lastColumn="0" w:noHBand="0" w:noVBand="0"/>
      </w:tblPr>
      <w:tblGrid>
        <w:gridCol w:w="3180"/>
        <w:gridCol w:w="1143"/>
        <w:gridCol w:w="1143"/>
        <w:gridCol w:w="1143"/>
        <w:gridCol w:w="1226"/>
        <w:gridCol w:w="1235"/>
      </w:tblGrid>
      <w:tr w:rsidR="00DB4539" w:rsidRPr="00AE0BCF" w14:paraId="5D92F091" w14:textId="77777777" w:rsidTr="00DE07FA">
        <w:trPr>
          <w:trHeight w:val="283"/>
        </w:trPr>
        <w:tc>
          <w:tcPr>
            <w:tcW w:w="1753" w:type="pct"/>
            <w:shd w:val="clear" w:color="auto" w:fill="44546A"/>
            <w:vAlign w:val="center"/>
          </w:tcPr>
          <w:p w14:paraId="31474CE8" w14:textId="77777777" w:rsidR="00DB4539" w:rsidRPr="00AE0BCF" w:rsidRDefault="00DB4539" w:rsidP="00D34201">
            <w:pPr>
              <w:autoSpaceDE w:val="0"/>
              <w:autoSpaceDN w:val="0"/>
              <w:adjustRightInd w:val="0"/>
              <w:spacing w:after="0" w:line="240" w:lineRule="auto"/>
              <w:jc w:val="left"/>
              <w:rPr>
                <w:rFonts w:eastAsia="Calibri" w:cs="Segoe UI"/>
                <w:b/>
                <w:color w:val="FFFFFF"/>
                <w:sz w:val="18"/>
                <w:szCs w:val="18"/>
              </w:rPr>
            </w:pPr>
          </w:p>
        </w:tc>
        <w:tc>
          <w:tcPr>
            <w:tcW w:w="630" w:type="pct"/>
            <w:shd w:val="clear" w:color="auto" w:fill="44546A"/>
            <w:vAlign w:val="center"/>
          </w:tcPr>
          <w:p w14:paraId="175E363A" w14:textId="77777777" w:rsidR="00DB4539" w:rsidRPr="00AE0BCF" w:rsidRDefault="00DB4539" w:rsidP="00D34201">
            <w:pPr>
              <w:autoSpaceDE w:val="0"/>
              <w:autoSpaceDN w:val="0"/>
              <w:adjustRightInd w:val="0"/>
              <w:spacing w:after="0" w:line="240" w:lineRule="auto"/>
              <w:jc w:val="right"/>
              <w:rPr>
                <w:rFonts w:eastAsia="Calibri" w:cs="Segoe UI"/>
                <w:color w:val="FFFFFF"/>
                <w:sz w:val="18"/>
                <w:szCs w:val="18"/>
              </w:rPr>
            </w:pPr>
            <w:r w:rsidRPr="00AE0BCF">
              <w:rPr>
                <w:rFonts w:eastAsia="Calibri" w:cs="Segoe UI"/>
                <w:b/>
                <w:bCs/>
                <w:color w:val="FFFFFF"/>
                <w:sz w:val="18"/>
                <w:szCs w:val="18"/>
              </w:rPr>
              <w:t>2021 S</w:t>
            </w:r>
          </w:p>
        </w:tc>
        <w:tc>
          <w:tcPr>
            <w:tcW w:w="630" w:type="pct"/>
            <w:shd w:val="clear" w:color="auto" w:fill="44546A"/>
            <w:vAlign w:val="center"/>
          </w:tcPr>
          <w:p w14:paraId="14530FA9" w14:textId="77777777" w:rsidR="00DB4539" w:rsidRPr="00AE0BCF" w:rsidRDefault="00DB4539" w:rsidP="00D34201">
            <w:pPr>
              <w:autoSpaceDE w:val="0"/>
              <w:autoSpaceDN w:val="0"/>
              <w:adjustRightInd w:val="0"/>
              <w:spacing w:after="0" w:line="240" w:lineRule="auto"/>
              <w:jc w:val="right"/>
              <w:rPr>
                <w:rFonts w:eastAsia="Calibri" w:cs="Segoe UI"/>
                <w:color w:val="FFFFFF"/>
                <w:sz w:val="18"/>
                <w:szCs w:val="18"/>
              </w:rPr>
            </w:pPr>
            <w:r w:rsidRPr="00AE0BCF">
              <w:rPr>
                <w:rFonts w:eastAsia="Calibri" w:cs="Segoe UI"/>
                <w:b/>
                <w:bCs/>
                <w:color w:val="FFFFFF"/>
                <w:sz w:val="18"/>
                <w:szCs w:val="18"/>
              </w:rPr>
              <w:t>2022 R</w:t>
            </w:r>
          </w:p>
        </w:tc>
        <w:tc>
          <w:tcPr>
            <w:tcW w:w="630" w:type="pct"/>
            <w:shd w:val="clear" w:color="auto" w:fill="44546A"/>
            <w:vAlign w:val="center"/>
          </w:tcPr>
          <w:p w14:paraId="518C8FE6" w14:textId="77777777" w:rsidR="00DB4539" w:rsidRPr="00AE0BCF" w:rsidRDefault="00DB4539" w:rsidP="00D34201">
            <w:pPr>
              <w:autoSpaceDE w:val="0"/>
              <w:autoSpaceDN w:val="0"/>
              <w:adjustRightInd w:val="0"/>
              <w:spacing w:after="0" w:line="240" w:lineRule="auto"/>
              <w:jc w:val="right"/>
              <w:rPr>
                <w:rFonts w:eastAsia="Calibri" w:cs="Segoe UI"/>
                <w:color w:val="FFFFFF"/>
                <w:sz w:val="18"/>
                <w:szCs w:val="18"/>
              </w:rPr>
            </w:pPr>
            <w:r w:rsidRPr="00AE0BCF">
              <w:rPr>
                <w:rFonts w:eastAsia="Calibri" w:cs="Segoe UI"/>
                <w:b/>
                <w:bCs/>
                <w:color w:val="FFFFFF"/>
                <w:sz w:val="18"/>
                <w:szCs w:val="18"/>
              </w:rPr>
              <w:t>2023 N</w:t>
            </w:r>
          </w:p>
        </w:tc>
        <w:tc>
          <w:tcPr>
            <w:tcW w:w="676" w:type="pct"/>
            <w:shd w:val="clear" w:color="auto" w:fill="44546A"/>
            <w:vAlign w:val="center"/>
          </w:tcPr>
          <w:p w14:paraId="18794BAA" w14:textId="77777777" w:rsidR="00DB4539" w:rsidRPr="00AE0BCF" w:rsidRDefault="00DB4539" w:rsidP="00D34201">
            <w:pPr>
              <w:autoSpaceDE w:val="0"/>
              <w:autoSpaceDN w:val="0"/>
              <w:adjustRightInd w:val="0"/>
              <w:spacing w:after="0" w:line="240" w:lineRule="auto"/>
              <w:jc w:val="right"/>
              <w:rPr>
                <w:rFonts w:eastAsia="Calibri" w:cs="Segoe UI"/>
                <w:b/>
                <w:bCs/>
                <w:color w:val="FFFFFF"/>
                <w:sz w:val="18"/>
                <w:szCs w:val="18"/>
              </w:rPr>
            </w:pPr>
            <w:r w:rsidRPr="00AE0BCF">
              <w:rPr>
                <w:rFonts w:eastAsia="Calibri" w:cs="Segoe UI"/>
                <w:b/>
                <w:bCs/>
                <w:color w:val="FFFFFF"/>
                <w:sz w:val="18"/>
                <w:szCs w:val="18"/>
              </w:rPr>
              <w:t>2023-2022</w:t>
            </w:r>
          </w:p>
        </w:tc>
        <w:tc>
          <w:tcPr>
            <w:tcW w:w="681" w:type="pct"/>
            <w:shd w:val="clear" w:color="auto" w:fill="44546A"/>
            <w:vAlign w:val="center"/>
          </w:tcPr>
          <w:p w14:paraId="00587BD3" w14:textId="77777777" w:rsidR="00DB4539" w:rsidRPr="00AE0BCF" w:rsidRDefault="00DB4539" w:rsidP="00D34201">
            <w:pPr>
              <w:autoSpaceDE w:val="0"/>
              <w:autoSpaceDN w:val="0"/>
              <w:adjustRightInd w:val="0"/>
              <w:spacing w:after="0" w:line="240" w:lineRule="auto"/>
              <w:jc w:val="right"/>
              <w:rPr>
                <w:rFonts w:eastAsia="Calibri" w:cs="Segoe UI"/>
                <w:b/>
                <w:bCs/>
                <w:color w:val="FFFFFF"/>
                <w:sz w:val="18"/>
                <w:szCs w:val="18"/>
              </w:rPr>
            </w:pPr>
            <w:r w:rsidRPr="00AE0BCF">
              <w:rPr>
                <w:rFonts w:eastAsia="Calibri" w:cs="Segoe UI"/>
                <w:b/>
                <w:bCs/>
                <w:color w:val="FFFFFF"/>
                <w:sz w:val="18"/>
                <w:szCs w:val="18"/>
              </w:rPr>
              <w:t>2023/2022</w:t>
            </w:r>
          </w:p>
        </w:tc>
      </w:tr>
      <w:tr w:rsidR="00DE07FA" w:rsidRPr="00AE0BCF" w14:paraId="6E7497F8" w14:textId="77777777" w:rsidTr="00DE07FA">
        <w:trPr>
          <w:trHeight w:val="283"/>
        </w:trPr>
        <w:tc>
          <w:tcPr>
            <w:tcW w:w="1753" w:type="pct"/>
            <w:vAlign w:val="center"/>
          </w:tcPr>
          <w:p w14:paraId="6AE3BD9D" w14:textId="748C9257" w:rsidR="00DE07FA" w:rsidRPr="00AE0BCF" w:rsidRDefault="00DE07FA" w:rsidP="00DE07FA">
            <w:pPr>
              <w:autoSpaceDE w:val="0"/>
              <w:autoSpaceDN w:val="0"/>
              <w:adjustRightInd w:val="0"/>
              <w:spacing w:after="0" w:line="240" w:lineRule="auto"/>
              <w:jc w:val="left"/>
              <w:rPr>
                <w:rFonts w:eastAsia="Calibri" w:cs="Segoe UI"/>
                <w:bCs/>
                <w:color w:val="000000"/>
                <w:sz w:val="18"/>
                <w:szCs w:val="18"/>
              </w:rPr>
            </w:pPr>
            <w:r w:rsidRPr="00AE0BCF">
              <w:rPr>
                <w:rFonts w:eastAsia="Times New Roman" w:cs="Segoe UI"/>
                <w:b/>
                <w:bCs/>
                <w:color w:val="000000"/>
                <w:sz w:val="18"/>
                <w:szCs w:val="18"/>
                <w:lang w:eastAsia="sk-SK"/>
              </w:rPr>
              <w:t>Výdavky kapitoly VPS</w:t>
            </w:r>
          </w:p>
        </w:tc>
        <w:tc>
          <w:tcPr>
            <w:tcW w:w="630" w:type="pct"/>
            <w:vAlign w:val="center"/>
          </w:tcPr>
          <w:p w14:paraId="3DEE1F74" w14:textId="4FD710E3" w:rsidR="00DE07FA" w:rsidRPr="00AE0BCF" w:rsidRDefault="00DE07FA" w:rsidP="00DE07FA">
            <w:pPr>
              <w:spacing w:after="0" w:line="240" w:lineRule="auto"/>
              <w:jc w:val="right"/>
              <w:rPr>
                <w:rFonts w:eastAsia="Times New Roman" w:cs="Segoe UI"/>
                <w:color w:val="000000"/>
                <w:sz w:val="18"/>
                <w:szCs w:val="18"/>
                <w:lang w:eastAsia="sk-SK"/>
              </w:rPr>
            </w:pPr>
            <w:r w:rsidRPr="00AE0BCF">
              <w:rPr>
                <w:rFonts w:eastAsia="Times New Roman" w:cs="Segoe UI"/>
                <w:b/>
                <w:bCs/>
                <w:color w:val="000000"/>
                <w:sz w:val="18"/>
                <w:szCs w:val="18"/>
                <w:lang w:eastAsia="sk-SK"/>
              </w:rPr>
              <w:t>2 929 344</w:t>
            </w:r>
          </w:p>
        </w:tc>
        <w:tc>
          <w:tcPr>
            <w:tcW w:w="630" w:type="pct"/>
            <w:vAlign w:val="center"/>
          </w:tcPr>
          <w:p w14:paraId="733982E0" w14:textId="08AFA2EB" w:rsidR="00DE07FA" w:rsidRPr="00AE0BCF" w:rsidRDefault="00DE07FA" w:rsidP="00DE07FA">
            <w:pPr>
              <w:spacing w:after="0" w:line="240" w:lineRule="auto"/>
              <w:jc w:val="right"/>
              <w:rPr>
                <w:rFonts w:eastAsia="Times New Roman" w:cs="Segoe UI"/>
                <w:color w:val="000000"/>
                <w:sz w:val="18"/>
                <w:szCs w:val="18"/>
                <w:lang w:eastAsia="sk-SK"/>
              </w:rPr>
            </w:pPr>
            <w:r w:rsidRPr="00AE0BCF">
              <w:rPr>
                <w:rFonts w:eastAsia="Times New Roman" w:cs="Segoe UI"/>
                <w:b/>
                <w:bCs/>
                <w:color w:val="000000"/>
                <w:sz w:val="18"/>
                <w:szCs w:val="18"/>
                <w:lang w:eastAsia="sk-SK"/>
              </w:rPr>
              <w:t>6 241 427</w:t>
            </w:r>
          </w:p>
        </w:tc>
        <w:tc>
          <w:tcPr>
            <w:tcW w:w="630" w:type="pct"/>
            <w:vAlign w:val="center"/>
          </w:tcPr>
          <w:p w14:paraId="005EAE22" w14:textId="5509CBAA" w:rsidR="00DE07FA" w:rsidRPr="00AE0BCF" w:rsidRDefault="00DE07FA" w:rsidP="00DE07FA">
            <w:pPr>
              <w:spacing w:after="0" w:line="240" w:lineRule="auto"/>
              <w:jc w:val="right"/>
              <w:rPr>
                <w:rFonts w:eastAsia="Times New Roman" w:cs="Segoe UI"/>
                <w:color w:val="000000"/>
                <w:sz w:val="18"/>
                <w:szCs w:val="18"/>
                <w:lang w:eastAsia="sk-SK"/>
              </w:rPr>
            </w:pPr>
            <w:r w:rsidRPr="00AE0BCF">
              <w:rPr>
                <w:rFonts w:eastAsia="Times New Roman" w:cs="Segoe UI"/>
                <w:b/>
                <w:bCs/>
                <w:color w:val="000000"/>
                <w:sz w:val="18"/>
                <w:szCs w:val="18"/>
                <w:lang w:eastAsia="sk-SK"/>
              </w:rPr>
              <w:t>7 766 324</w:t>
            </w:r>
          </w:p>
        </w:tc>
        <w:tc>
          <w:tcPr>
            <w:tcW w:w="676" w:type="pct"/>
            <w:vAlign w:val="bottom"/>
          </w:tcPr>
          <w:p w14:paraId="4B4B1169" w14:textId="73D71EBB" w:rsidR="00DE07FA" w:rsidRPr="00AE0BCF" w:rsidRDefault="00DE07FA" w:rsidP="00DE07FA">
            <w:pPr>
              <w:spacing w:after="0" w:line="240" w:lineRule="auto"/>
              <w:jc w:val="right"/>
              <w:rPr>
                <w:rFonts w:eastAsia="Times New Roman" w:cs="Segoe UI"/>
                <w:color w:val="000000"/>
                <w:sz w:val="18"/>
                <w:szCs w:val="18"/>
                <w:lang w:eastAsia="sk-SK"/>
              </w:rPr>
            </w:pPr>
            <w:r w:rsidRPr="00AE0BCF">
              <w:rPr>
                <w:rFonts w:eastAsia="Times New Roman" w:cs="Segoe UI"/>
                <w:b/>
                <w:bCs/>
                <w:color w:val="000000"/>
                <w:sz w:val="18"/>
                <w:szCs w:val="18"/>
                <w:lang w:eastAsia="sk-SK"/>
              </w:rPr>
              <w:t>1 524 897</w:t>
            </w:r>
          </w:p>
        </w:tc>
        <w:tc>
          <w:tcPr>
            <w:tcW w:w="681" w:type="pct"/>
            <w:vAlign w:val="bottom"/>
          </w:tcPr>
          <w:p w14:paraId="19E7D8CB" w14:textId="38231E4A" w:rsidR="00DE07FA" w:rsidRPr="00AE0BCF" w:rsidRDefault="00DE07FA" w:rsidP="00DE07FA">
            <w:pPr>
              <w:spacing w:after="0" w:line="240" w:lineRule="auto"/>
              <w:jc w:val="right"/>
              <w:rPr>
                <w:rFonts w:eastAsia="Times New Roman" w:cs="Segoe UI"/>
                <w:color w:val="000000"/>
                <w:sz w:val="18"/>
                <w:szCs w:val="18"/>
                <w:lang w:eastAsia="sk-SK"/>
              </w:rPr>
            </w:pPr>
            <w:r w:rsidRPr="00AE0BCF">
              <w:rPr>
                <w:rFonts w:eastAsia="Times New Roman" w:cs="Segoe UI"/>
                <w:b/>
                <w:bCs/>
                <w:color w:val="000000"/>
                <w:sz w:val="18"/>
                <w:szCs w:val="18"/>
                <w:lang w:eastAsia="sk-SK"/>
              </w:rPr>
              <w:t>124,4</w:t>
            </w:r>
          </w:p>
        </w:tc>
      </w:tr>
      <w:tr w:rsidR="00DB4539" w:rsidRPr="00AE0BCF" w14:paraId="3E053A04" w14:textId="77777777" w:rsidTr="00DE07FA">
        <w:trPr>
          <w:trHeight w:val="283"/>
        </w:trPr>
        <w:tc>
          <w:tcPr>
            <w:tcW w:w="1753" w:type="pct"/>
            <w:vAlign w:val="center"/>
          </w:tcPr>
          <w:p w14:paraId="6923DD3E" w14:textId="3266025F" w:rsidR="00DB4539" w:rsidRPr="00AE0BCF" w:rsidRDefault="00DE07FA" w:rsidP="00DE07FA">
            <w:pPr>
              <w:autoSpaceDE w:val="0"/>
              <w:autoSpaceDN w:val="0"/>
              <w:adjustRightInd w:val="0"/>
              <w:spacing w:after="0" w:line="240" w:lineRule="auto"/>
              <w:jc w:val="left"/>
              <w:rPr>
                <w:rFonts w:eastAsia="Calibri" w:cs="Segoe UI"/>
                <w:color w:val="000000"/>
                <w:sz w:val="18"/>
                <w:szCs w:val="18"/>
              </w:rPr>
            </w:pPr>
            <w:r w:rsidRPr="00AE0BCF">
              <w:rPr>
                <w:rFonts w:eastAsia="Calibri" w:cs="Segoe UI"/>
                <w:bCs/>
                <w:color w:val="000000"/>
                <w:sz w:val="18"/>
                <w:szCs w:val="18"/>
              </w:rPr>
              <w:t>z toho r</w:t>
            </w:r>
            <w:r w:rsidR="00DB4539" w:rsidRPr="00AE0BCF">
              <w:rPr>
                <w:rFonts w:eastAsia="Calibri" w:cs="Segoe UI"/>
                <w:bCs/>
                <w:color w:val="000000"/>
                <w:sz w:val="18"/>
                <w:szCs w:val="18"/>
              </w:rPr>
              <w:t>ozpočtové rezervy v</w:t>
            </w:r>
            <w:r w:rsidRPr="00AE0BCF">
              <w:rPr>
                <w:rFonts w:eastAsia="Calibri" w:cs="Segoe UI"/>
                <w:bCs/>
                <w:color w:val="000000"/>
                <w:sz w:val="18"/>
                <w:szCs w:val="18"/>
              </w:rPr>
              <w:t>o</w:t>
            </w:r>
            <w:r w:rsidR="00DB4539" w:rsidRPr="00AE0BCF">
              <w:rPr>
                <w:rFonts w:eastAsia="Calibri" w:cs="Segoe UI"/>
                <w:bCs/>
                <w:color w:val="000000"/>
                <w:sz w:val="18"/>
                <w:szCs w:val="18"/>
              </w:rPr>
              <w:t xml:space="preserve"> VPS</w:t>
            </w:r>
          </w:p>
        </w:tc>
        <w:tc>
          <w:tcPr>
            <w:tcW w:w="630" w:type="pct"/>
            <w:vAlign w:val="center"/>
          </w:tcPr>
          <w:p w14:paraId="1FEB7156" w14:textId="77777777" w:rsidR="00DB4539" w:rsidRPr="00AE0BCF" w:rsidRDefault="00DB4539" w:rsidP="00D34201">
            <w:pPr>
              <w:spacing w:after="0" w:line="240" w:lineRule="auto"/>
              <w:jc w:val="right"/>
              <w:rPr>
                <w:rFonts w:eastAsia="Times New Roman" w:cs="Segoe UI"/>
                <w:color w:val="000000"/>
                <w:sz w:val="18"/>
                <w:szCs w:val="18"/>
                <w:lang w:eastAsia="sk-SK"/>
              </w:rPr>
            </w:pPr>
            <w:r w:rsidRPr="00AE0BCF">
              <w:rPr>
                <w:rFonts w:eastAsia="Times New Roman" w:cs="Segoe UI"/>
                <w:color w:val="000000"/>
                <w:sz w:val="18"/>
                <w:szCs w:val="18"/>
                <w:lang w:eastAsia="sk-SK"/>
              </w:rPr>
              <w:t>277 613</w:t>
            </w:r>
          </w:p>
        </w:tc>
        <w:tc>
          <w:tcPr>
            <w:tcW w:w="630" w:type="pct"/>
            <w:vAlign w:val="center"/>
          </w:tcPr>
          <w:p w14:paraId="2667B39B" w14:textId="77777777" w:rsidR="00DB4539" w:rsidRPr="00AE0BCF" w:rsidRDefault="00DB4539" w:rsidP="00D34201">
            <w:pPr>
              <w:spacing w:after="0" w:line="240" w:lineRule="auto"/>
              <w:jc w:val="right"/>
              <w:rPr>
                <w:rFonts w:eastAsia="Times New Roman" w:cs="Segoe UI"/>
                <w:color w:val="000000"/>
                <w:sz w:val="18"/>
                <w:szCs w:val="18"/>
                <w:lang w:eastAsia="sk-SK"/>
              </w:rPr>
            </w:pPr>
            <w:r w:rsidRPr="00AE0BCF">
              <w:rPr>
                <w:rFonts w:eastAsia="Times New Roman" w:cs="Segoe UI"/>
                <w:color w:val="000000"/>
                <w:sz w:val="18"/>
                <w:szCs w:val="18"/>
                <w:lang w:eastAsia="sk-SK"/>
              </w:rPr>
              <w:t>1 752 294</w:t>
            </w:r>
          </w:p>
        </w:tc>
        <w:tc>
          <w:tcPr>
            <w:tcW w:w="630" w:type="pct"/>
            <w:vAlign w:val="center"/>
          </w:tcPr>
          <w:p w14:paraId="73620018" w14:textId="77777777" w:rsidR="00DB4539" w:rsidRPr="00AE0BCF" w:rsidRDefault="00DB4539" w:rsidP="00D34201">
            <w:pPr>
              <w:spacing w:after="0" w:line="240" w:lineRule="auto"/>
              <w:jc w:val="right"/>
              <w:rPr>
                <w:rFonts w:eastAsia="Times New Roman" w:cs="Segoe UI"/>
                <w:color w:val="000000"/>
                <w:sz w:val="18"/>
                <w:szCs w:val="18"/>
                <w:lang w:eastAsia="sk-SK"/>
              </w:rPr>
            </w:pPr>
            <w:r w:rsidRPr="00AE0BCF">
              <w:rPr>
                <w:rFonts w:eastAsia="Times New Roman" w:cs="Segoe UI"/>
                <w:color w:val="000000"/>
                <w:sz w:val="18"/>
                <w:szCs w:val="18"/>
                <w:lang w:eastAsia="sk-SK"/>
              </w:rPr>
              <w:t>2 959 541</w:t>
            </w:r>
          </w:p>
        </w:tc>
        <w:tc>
          <w:tcPr>
            <w:tcW w:w="676" w:type="pct"/>
            <w:vAlign w:val="center"/>
          </w:tcPr>
          <w:p w14:paraId="11AAA12B" w14:textId="77777777" w:rsidR="00DB4539" w:rsidRPr="00AE0BCF" w:rsidRDefault="00DB4539" w:rsidP="00D34201">
            <w:pPr>
              <w:spacing w:after="0" w:line="240" w:lineRule="auto"/>
              <w:jc w:val="right"/>
              <w:rPr>
                <w:rFonts w:eastAsia="Times New Roman" w:cs="Segoe UI"/>
                <w:color w:val="000000"/>
                <w:sz w:val="18"/>
                <w:szCs w:val="18"/>
                <w:lang w:eastAsia="sk-SK"/>
              </w:rPr>
            </w:pPr>
            <w:r w:rsidRPr="00AE0BCF">
              <w:rPr>
                <w:rFonts w:eastAsia="Times New Roman" w:cs="Segoe UI"/>
                <w:color w:val="000000"/>
                <w:sz w:val="18"/>
                <w:szCs w:val="18"/>
                <w:lang w:eastAsia="sk-SK"/>
              </w:rPr>
              <w:t>1 207 247</w:t>
            </w:r>
          </w:p>
        </w:tc>
        <w:tc>
          <w:tcPr>
            <w:tcW w:w="681" w:type="pct"/>
            <w:vAlign w:val="center"/>
          </w:tcPr>
          <w:p w14:paraId="59F59941" w14:textId="77777777" w:rsidR="00DB4539" w:rsidRPr="00AE0BCF" w:rsidRDefault="00DB4539" w:rsidP="00D34201">
            <w:pPr>
              <w:spacing w:after="0" w:line="240" w:lineRule="auto"/>
              <w:jc w:val="right"/>
              <w:rPr>
                <w:rFonts w:eastAsia="Times New Roman" w:cs="Segoe UI"/>
                <w:color w:val="000000"/>
                <w:sz w:val="18"/>
                <w:szCs w:val="18"/>
                <w:lang w:eastAsia="sk-SK"/>
              </w:rPr>
            </w:pPr>
            <w:r w:rsidRPr="00AE0BCF">
              <w:rPr>
                <w:rFonts w:eastAsia="Times New Roman" w:cs="Segoe UI"/>
                <w:color w:val="000000"/>
                <w:sz w:val="18"/>
                <w:szCs w:val="18"/>
                <w:lang w:eastAsia="sk-SK"/>
              </w:rPr>
              <w:t>168,9</w:t>
            </w:r>
          </w:p>
        </w:tc>
      </w:tr>
    </w:tbl>
    <w:p w14:paraId="698F7867" w14:textId="77777777" w:rsidR="00DB4539" w:rsidRPr="001D29DE" w:rsidRDefault="00DB4539" w:rsidP="009169FD">
      <w:pPr>
        <w:pStyle w:val="Zdroj"/>
      </w:pPr>
      <w:r w:rsidRPr="001D29DE">
        <w:t xml:space="preserve">Zdroj: </w:t>
      </w:r>
      <w:r w:rsidRPr="006A6B9D">
        <w:t>Návrh</w:t>
      </w:r>
      <w:r w:rsidRPr="001D29DE">
        <w:t xml:space="preserve"> RVS na roky 2023 až 2025</w:t>
      </w:r>
    </w:p>
    <w:p w14:paraId="5769B513" w14:textId="67FFEB17" w:rsidR="000E7CF9" w:rsidRPr="003E0903" w:rsidRDefault="00C136FA" w:rsidP="000E7CF9">
      <w:pPr>
        <w:shd w:val="clear" w:color="auto" w:fill="FFFFFF"/>
        <w:rPr>
          <w:rFonts w:eastAsia="Times New Roman" w:cs="Segoe UI"/>
          <w:b/>
          <w:szCs w:val="20"/>
          <w:lang w:eastAsia="sk-SK"/>
        </w:rPr>
      </w:pPr>
      <w:r w:rsidRPr="00A82AD4">
        <w:rPr>
          <w:rFonts w:eastAsia="Times New Roman" w:cs="Segoe UI"/>
          <w:szCs w:val="20"/>
          <w:lang w:eastAsia="sk-SK"/>
        </w:rPr>
        <w:t>Výšku celkových rozpočtových rezerv (vrátane rezervy predsedu vlády)</w:t>
      </w:r>
      <w:r w:rsidR="004250A1" w:rsidRPr="00A82AD4">
        <w:rPr>
          <w:rFonts w:eastAsia="Times New Roman" w:cs="Segoe UI"/>
          <w:szCs w:val="20"/>
          <w:lang w:eastAsia="sk-SK"/>
        </w:rPr>
        <w:t xml:space="preserve"> (g</w:t>
      </w:r>
      <w:r w:rsidRPr="00A82AD4">
        <w:rPr>
          <w:rFonts w:eastAsia="Times New Roman" w:cs="Segoe UI"/>
          <w:szCs w:val="20"/>
          <w:lang w:eastAsia="sk-SK"/>
        </w:rPr>
        <w:t xml:space="preserve">raf 8) síce schvaľuje NR SR zákonom o ŠR, </w:t>
      </w:r>
      <w:r w:rsidRPr="00E335AB">
        <w:rPr>
          <w:rFonts w:eastAsia="Times New Roman" w:cs="Segoe UI"/>
          <w:szCs w:val="20"/>
          <w:lang w:eastAsia="sk-SK"/>
        </w:rPr>
        <w:t>ale</w:t>
      </w:r>
      <w:r w:rsidRPr="003E0903">
        <w:rPr>
          <w:rFonts w:eastAsia="Times New Roman" w:cs="Segoe UI"/>
          <w:b/>
          <w:szCs w:val="20"/>
          <w:lang w:eastAsia="sk-SK"/>
        </w:rPr>
        <w:t xml:space="preserve"> rozpočtové pravidlá VS dávajú ministrovi financií </w:t>
      </w:r>
      <w:r w:rsidR="000D0904">
        <w:rPr>
          <w:rFonts w:eastAsia="Times New Roman" w:cs="Segoe UI"/>
          <w:b/>
          <w:szCs w:val="20"/>
          <w:lang w:eastAsia="sk-SK"/>
        </w:rPr>
        <w:t>veľké</w:t>
      </w:r>
      <w:r w:rsidRPr="003E0903">
        <w:rPr>
          <w:rFonts w:eastAsia="Times New Roman" w:cs="Segoe UI"/>
          <w:b/>
          <w:szCs w:val="20"/>
          <w:lang w:eastAsia="sk-SK"/>
        </w:rPr>
        <w:t xml:space="preserve"> právomoci pri rozhodovaní o ich použití a to bez súhlasu NR SR</w:t>
      </w:r>
      <w:r w:rsidRPr="003E0903">
        <w:rPr>
          <w:rFonts w:eastAsia="Times New Roman" w:cs="Segoe UI"/>
          <w:szCs w:val="20"/>
          <w:lang w:eastAsia="sk-SK"/>
        </w:rPr>
        <w:t xml:space="preserve">. Vláda SR rozhoduje len o rezerve vlády vo výške 5 mil. eur </w:t>
      </w:r>
      <w:r w:rsidRPr="003E0903">
        <w:rPr>
          <w:rFonts w:eastAsia="Times New Roman" w:cs="Segoe UI"/>
          <w:b/>
          <w:szCs w:val="20"/>
          <w:lang w:eastAsia="sk-SK"/>
        </w:rPr>
        <w:t>na základe návrhu ministra financií</w:t>
      </w:r>
      <w:r w:rsidRPr="003E0903">
        <w:rPr>
          <w:rFonts w:eastAsia="Times New Roman" w:cs="Segoe UI"/>
          <w:szCs w:val="20"/>
          <w:lang w:eastAsia="sk-SK"/>
        </w:rPr>
        <w:t xml:space="preserve"> a o rezerve predsedu vlády (1,5 mi</w:t>
      </w:r>
      <w:r w:rsidR="00A61649" w:rsidRPr="003E0903">
        <w:rPr>
          <w:rFonts w:eastAsia="Times New Roman" w:cs="Segoe UI"/>
          <w:szCs w:val="20"/>
          <w:lang w:eastAsia="sk-SK"/>
        </w:rPr>
        <w:t>l. eur) rozhoduje jej predseda.</w:t>
      </w:r>
    </w:p>
    <w:p w14:paraId="3C037399" w14:textId="503C3F3B" w:rsidR="000E7CF9" w:rsidRDefault="000E7CF9" w:rsidP="000E7CF9">
      <w:pPr>
        <w:shd w:val="clear" w:color="auto" w:fill="FFFFFF"/>
        <w:rPr>
          <w:b/>
        </w:rPr>
      </w:pPr>
      <w:r w:rsidRPr="001A28EF">
        <w:rPr>
          <w:rFonts w:eastAsia="Times New Roman" w:cs="Segoe UI"/>
          <w:b/>
          <w:color w:val="252525"/>
          <w:szCs w:val="20"/>
          <w:lang w:eastAsia="sk-SK"/>
        </w:rPr>
        <w:t xml:space="preserve">Nedostatkom </w:t>
      </w:r>
      <w:r>
        <w:rPr>
          <w:rFonts w:eastAsia="Times New Roman" w:cs="Segoe UI"/>
          <w:b/>
          <w:color w:val="252525"/>
          <w:szCs w:val="20"/>
          <w:lang w:eastAsia="sk-SK"/>
        </w:rPr>
        <w:t>je</w:t>
      </w:r>
      <w:r w:rsidRPr="001A28EF">
        <w:rPr>
          <w:rFonts w:eastAsia="Times New Roman" w:cs="Segoe UI"/>
          <w:b/>
          <w:color w:val="252525"/>
          <w:szCs w:val="20"/>
          <w:lang w:eastAsia="sk-SK"/>
        </w:rPr>
        <w:t xml:space="preserve">, že </w:t>
      </w:r>
      <w:r>
        <w:rPr>
          <w:rFonts w:eastAsia="Times New Roman" w:cs="Segoe UI"/>
          <w:b/>
          <w:color w:val="252525"/>
          <w:szCs w:val="20"/>
          <w:lang w:eastAsia="sk-SK"/>
        </w:rPr>
        <w:t>chýbaj</w:t>
      </w:r>
      <w:r w:rsidRPr="001A28EF">
        <w:rPr>
          <w:rFonts w:eastAsia="Times New Roman" w:cs="Segoe UI"/>
          <w:b/>
          <w:color w:val="252525"/>
          <w:szCs w:val="20"/>
          <w:lang w:eastAsia="sk-SK"/>
        </w:rPr>
        <w:t>ú definované pravidlá na tvorbu</w:t>
      </w:r>
      <w:r w:rsidR="000A7226">
        <w:rPr>
          <w:rFonts w:eastAsia="Times New Roman" w:cs="Segoe UI"/>
          <w:b/>
          <w:color w:val="252525"/>
          <w:szCs w:val="20"/>
          <w:lang w:eastAsia="sk-SK"/>
        </w:rPr>
        <w:t>,</w:t>
      </w:r>
      <w:r w:rsidRPr="001A28EF">
        <w:rPr>
          <w:rFonts w:eastAsia="Times New Roman" w:cs="Segoe UI"/>
          <w:b/>
          <w:color w:val="252525"/>
          <w:szCs w:val="20"/>
          <w:lang w:eastAsia="sk-SK"/>
        </w:rPr>
        <w:t xml:space="preserve"> použitie </w:t>
      </w:r>
      <w:r w:rsidR="000A7226">
        <w:rPr>
          <w:rFonts w:eastAsia="Times New Roman" w:cs="Segoe UI"/>
          <w:b/>
          <w:color w:val="252525"/>
          <w:szCs w:val="20"/>
          <w:lang w:eastAsia="sk-SK"/>
        </w:rPr>
        <w:t xml:space="preserve">a rušenie </w:t>
      </w:r>
      <w:r w:rsidRPr="001A28EF">
        <w:rPr>
          <w:rFonts w:eastAsia="Times New Roman" w:cs="Segoe UI"/>
          <w:b/>
          <w:color w:val="252525"/>
          <w:szCs w:val="20"/>
          <w:lang w:eastAsia="sk-SK"/>
        </w:rPr>
        <w:t>rezerv.</w:t>
      </w:r>
      <w:r w:rsidR="00E335AB" w:rsidRPr="00E335AB">
        <w:rPr>
          <w:rStyle w:val="Odkaznapoznmkupodiarou"/>
          <w:rFonts w:eastAsia="Times New Roman" w:cs="Segoe UI"/>
          <w:color w:val="252525"/>
          <w:szCs w:val="20"/>
          <w:lang w:eastAsia="sk-SK"/>
        </w:rPr>
        <w:footnoteReference w:id="17"/>
      </w:r>
      <w:r w:rsidRPr="001A28EF">
        <w:rPr>
          <w:rFonts w:eastAsia="Times New Roman" w:cs="Segoe UI"/>
          <w:b/>
          <w:color w:val="252525"/>
          <w:szCs w:val="20"/>
          <w:lang w:eastAsia="sk-SK"/>
        </w:rPr>
        <w:t xml:space="preserve"> </w:t>
      </w:r>
      <w:r w:rsidRPr="001A28EF">
        <w:rPr>
          <w:rFonts w:eastAsia="Times New Roman" w:cs="Segoe UI"/>
          <w:color w:val="252525"/>
          <w:szCs w:val="20"/>
          <w:lang w:eastAsia="sk-SK"/>
        </w:rPr>
        <w:t>Podľa zákona o rozpočtových pravidlách VS o</w:t>
      </w:r>
      <w:r w:rsidRPr="001A28EF">
        <w:rPr>
          <w:rFonts w:eastAsia="Calibri" w:cs="Segoe UI"/>
          <w:szCs w:val="20"/>
        </w:rPr>
        <w:t> hospodárení s rozpočtovými rezervami podáva vláda informáciu NR SR v rámci návrhu RVS a ŠZÚ. Informácia obsahuje len prehľad o uvoľnení alebo použití prostriedkov z rozpočtových rezerv v členení podľa správcov kapitol alebo podľa prijímateľov prostriedkov podľa účelu a výšky ich čerpania</w:t>
      </w:r>
      <w:r w:rsidRPr="0054590C">
        <w:rPr>
          <w:rFonts w:eastAsia="Calibri" w:cs="Segoe UI"/>
          <w:szCs w:val="20"/>
        </w:rPr>
        <w:t xml:space="preserve">. </w:t>
      </w:r>
      <w:r w:rsidR="0054590C" w:rsidRPr="0054590C">
        <w:rPr>
          <w:rFonts w:eastAsia="Calibri" w:cs="Segoe UI"/>
          <w:szCs w:val="20"/>
        </w:rPr>
        <w:t>NKÚ SR opakovane upozorňuje na problémy spojené s roz</w:t>
      </w:r>
      <w:r w:rsidR="0054590C">
        <w:rPr>
          <w:rFonts w:eastAsia="Calibri" w:cs="Segoe UI"/>
          <w:szCs w:val="20"/>
        </w:rPr>
        <w:t>p</w:t>
      </w:r>
      <w:r w:rsidR="0054590C" w:rsidRPr="0054590C">
        <w:rPr>
          <w:rFonts w:eastAsia="Calibri" w:cs="Segoe UI"/>
          <w:szCs w:val="20"/>
        </w:rPr>
        <w:t>očtovaním rezerv.</w:t>
      </w:r>
      <w:r w:rsidR="0054590C">
        <w:rPr>
          <w:rFonts w:eastAsia="Calibri" w:cs="Segoe UI"/>
          <w:b/>
          <w:szCs w:val="20"/>
        </w:rPr>
        <w:t xml:space="preserve"> </w:t>
      </w:r>
      <w:r w:rsidRPr="001A28EF">
        <w:rPr>
          <w:rFonts w:eastAsia="Calibri" w:cs="Segoe UI"/>
          <w:b/>
          <w:szCs w:val="20"/>
        </w:rPr>
        <w:t>Pre vyššiu transparentnosť, aj s ohľadom na rastúcu výšku rezerv, NKÚ SR navrhuje legislatívne upraviť ich tvorbu, použitie na konkrétne účely, rušenie a </w:t>
      </w:r>
      <w:r w:rsidRPr="001A28EF">
        <w:rPr>
          <w:b/>
        </w:rPr>
        <w:t>možnosť/nemožnosť presúvania na iné rozpočtované položky.</w:t>
      </w:r>
      <w:r w:rsidR="004E1B7C">
        <w:rPr>
          <w:b/>
        </w:rPr>
        <w:t xml:space="preserve"> </w:t>
      </w:r>
      <w:r>
        <w:rPr>
          <w:b/>
        </w:rPr>
        <w:t>NKÚ SR upozorňuje, že  nevyčerpané rezervy by prioritne mali byť použité na znižovanie deficitu verejných financií.</w:t>
      </w:r>
    </w:p>
    <w:p w14:paraId="295B2BAE" w14:textId="77777777" w:rsidR="00C73D30" w:rsidRDefault="00C73D30" w:rsidP="00C73D30">
      <w:r w:rsidRPr="00E63183">
        <w:rPr>
          <w:b/>
        </w:rPr>
        <w:t>Najväčšia rozpočtová rezerva</w:t>
      </w:r>
      <w:r w:rsidRPr="005B6D7F">
        <w:t xml:space="preserve"> (940 mil. eur), určená pre rozpočtové organizácie VS, </w:t>
      </w:r>
      <w:r w:rsidRPr="00E63183">
        <w:rPr>
          <w:b/>
        </w:rPr>
        <w:t>je vytvorená v súvislosti s rastom cien energií</w:t>
      </w:r>
      <w:r>
        <w:rPr>
          <w:b/>
        </w:rPr>
        <w:t xml:space="preserve"> </w:t>
      </w:r>
      <w:r>
        <w:t>(graf 8).</w:t>
      </w:r>
      <w:r w:rsidRPr="00E63183">
        <w:rPr>
          <w:b/>
        </w:rPr>
        <w:t xml:space="preserve"> </w:t>
      </w:r>
      <w:r w:rsidRPr="00B16A78">
        <w:t>Avšak z návrhu</w:t>
      </w:r>
      <w:r w:rsidRPr="00E63183">
        <w:t xml:space="preserve"> rozpočtu nie je jasné, akým kľúčom budú </w:t>
      </w:r>
      <w:r>
        <w:t xml:space="preserve">tieto </w:t>
      </w:r>
      <w:r w:rsidRPr="00E63183">
        <w:t>zdroje smerovať do jednotlivých kapito</w:t>
      </w:r>
      <w:r>
        <w:t>l</w:t>
      </w:r>
      <w:r w:rsidRPr="00E63183">
        <w:t>.</w:t>
      </w:r>
      <w:r>
        <w:t xml:space="preserve"> NKÚ SR identifikoval viacero oblastí, kde tieto informácie o výdavkoch chýbajú a vytvárajú tak riziko ich bezproblémového financovania. </w:t>
      </w:r>
      <w:r w:rsidRPr="00CB6343">
        <w:rPr>
          <w:b/>
        </w:rPr>
        <w:t>V </w:t>
      </w:r>
      <w:r w:rsidRPr="006064B3">
        <w:rPr>
          <w:b/>
        </w:rPr>
        <w:t xml:space="preserve">rezorte zdravotníctva </w:t>
      </w:r>
      <w:r>
        <w:rPr>
          <w:b/>
        </w:rPr>
        <w:t>nejednoznačnosť ohľadom</w:t>
      </w:r>
      <w:r w:rsidRPr="006064B3">
        <w:rPr>
          <w:b/>
        </w:rPr>
        <w:t xml:space="preserve"> </w:t>
      </w:r>
      <w:r>
        <w:rPr>
          <w:b/>
        </w:rPr>
        <w:t>spôsobu rozdelenia</w:t>
      </w:r>
      <w:r w:rsidRPr="006064B3">
        <w:rPr>
          <w:b/>
        </w:rPr>
        <w:t xml:space="preserve"> prostriedk</w:t>
      </w:r>
      <w:r>
        <w:rPr>
          <w:b/>
        </w:rPr>
        <w:t>ov</w:t>
      </w:r>
      <w:r w:rsidRPr="006064B3">
        <w:rPr>
          <w:b/>
        </w:rPr>
        <w:t xml:space="preserve"> </w:t>
      </w:r>
      <w:r>
        <w:rPr>
          <w:b/>
        </w:rPr>
        <w:t xml:space="preserve">na energie má negatívny dopad predovšetkým na </w:t>
      </w:r>
      <w:r w:rsidRPr="006064B3">
        <w:rPr>
          <w:b/>
        </w:rPr>
        <w:t>poskytovateľov zdravotnej starostlivosti.</w:t>
      </w:r>
      <w:r w:rsidRPr="00E63183">
        <w:t xml:space="preserve"> </w:t>
      </w:r>
      <w:r>
        <w:t xml:space="preserve">Vzniká riziko napr. pre ambulantných poskytovateľov zdravotnej starostlivosti, ktorí musia znášať vysokú mieru neistoty ohľadom toho, ako budú schopní zabezpečiť riadny chod svojich ambulancií. </w:t>
      </w:r>
      <w:r w:rsidRPr="00B16A78">
        <w:rPr>
          <w:b/>
        </w:rPr>
        <w:t>Aj v</w:t>
      </w:r>
      <w:r>
        <w:t xml:space="preserve"> </w:t>
      </w:r>
      <w:r w:rsidRPr="00E63183">
        <w:rPr>
          <w:b/>
        </w:rPr>
        <w:t xml:space="preserve">návrhu rozpočtu kapitoly MPSVR SR vníma </w:t>
      </w:r>
      <w:r>
        <w:rPr>
          <w:b/>
        </w:rPr>
        <w:t xml:space="preserve">NKÚ SR </w:t>
      </w:r>
      <w:r w:rsidRPr="00E63183">
        <w:rPr>
          <w:b/>
        </w:rPr>
        <w:t>ako veľké riziko zvýšené výdavky na rastúce ceny energií ministerstva</w:t>
      </w:r>
      <w:r>
        <w:rPr>
          <w:b/>
        </w:rPr>
        <w:t xml:space="preserve"> a jeho </w:t>
      </w:r>
      <w:r>
        <w:rPr>
          <w:b/>
        </w:rPr>
        <w:lastRenderedPageBreak/>
        <w:t>podriadených organizácií</w:t>
      </w:r>
      <w:r w:rsidRPr="000A532A">
        <w:t>, ktoré nie sú zahrnuté</w:t>
      </w:r>
      <w:r>
        <w:t xml:space="preserve"> priamo</w:t>
      </w:r>
      <w:r w:rsidRPr="000A532A">
        <w:t xml:space="preserve"> v návrhu rozpočtu kapitoly na rok 2023.</w:t>
      </w:r>
      <w:r>
        <w:rPr>
          <w:b/>
        </w:rPr>
        <w:t xml:space="preserve"> </w:t>
      </w:r>
      <w:r w:rsidRPr="00E63183">
        <w:t xml:space="preserve">Zvýšenie normatívnych finančných prostriedkov v regionálnom školstve na rok 2023 o 40 mil. eur na pokrytie nárastu počtu žiakov a na zvýšenie cien energií je </w:t>
      </w:r>
      <w:r>
        <w:t xml:space="preserve">tiež </w:t>
      </w:r>
      <w:r w:rsidRPr="00E63183">
        <w:t xml:space="preserve">nedostatočné. Kapitola školstva žiadala v rámci prioritných výdavkových titulov na pokrytie zvýšených cien energií dodatočných 38 mil. eur (na základe predbežných odhadov). </w:t>
      </w:r>
      <w:r>
        <w:t>Aj v</w:t>
      </w:r>
      <w:r w:rsidRPr="00E63183">
        <w:t> roku 2022</w:t>
      </w:r>
      <w:r>
        <w:t xml:space="preserve"> došlo k navýšeniu normatívnych prostriedkov o</w:t>
      </w:r>
      <w:r w:rsidRPr="00E63183">
        <w:t xml:space="preserve"> 40 mil. eur</w:t>
      </w:r>
      <w:r>
        <w:t>. Z tejto sumy</w:t>
      </w:r>
      <w:r w:rsidRPr="00E63183">
        <w:t xml:space="preserve"> ostalo na dofinancovanie zvýšených cien energií len 1,4 mil. eur (zvyšok bol použitý na udržanie výšky normatívov jednotlivých typov škôl)</w:t>
      </w:r>
      <w:r>
        <w:t xml:space="preserve">. MF SR tak muselo na </w:t>
      </w:r>
      <w:r w:rsidRPr="00E63183">
        <w:t xml:space="preserve"> pokrytie</w:t>
      </w:r>
      <w:r>
        <w:t xml:space="preserve"> zvýšených cien energií</w:t>
      </w:r>
      <w:r w:rsidRPr="00E63183">
        <w:t xml:space="preserve"> poskyt</w:t>
      </w:r>
      <w:r>
        <w:t>núť</w:t>
      </w:r>
      <w:r w:rsidRPr="00E63183">
        <w:t xml:space="preserve"> ďalších 30 mil. eur. V prípade verejných vysokých škôl odhadlo ministerstvo</w:t>
      </w:r>
      <w:r>
        <w:t xml:space="preserve"> školstva</w:t>
      </w:r>
      <w:r w:rsidRPr="00E63183">
        <w:t xml:space="preserve"> potrebu dodatočných 15,4 mil. eur (nad rámec rozpočtovaných 50,9 mil. eur). </w:t>
      </w:r>
      <w:r w:rsidRPr="00970578">
        <w:t>Je teda pravdepodobné, že</w:t>
      </w:r>
      <w:r w:rsidRPr="00E63183">
        <w:t xml:space="preserve"> </w:t>
      </w:r>
      <w:r w:rsidRPr="00E63183">
        <w:rPr>
          <w:b/>
        </w:rPr>
        <w:t>školy budú počas roka potrebovať peniaze na dofinancovanie zvýšených cien energií</w:t>
      </w:r>
      <w:r>
        <w:t>.</w:t>
      </w:r>
    </w:p>
    <w:p w14:paraId="68BDFEA8" w14:textId="77777777" w:rsidR="004250A1" w:rsidRPr="001D29DE" w:rsidRDefault="004250A1" w:rsidP="004250A1">
      <w:pPr>
        <w:keepNext/>
        <w:spacing w:after="0" w:line="240" w:lineRule="auto"/>
        <w:rPr>
          <w:rFonts w:eastAsia="Calibri" w:cs="Times New Roman"/>
          <w:b/>
          <w:iCs/>
          <w:color w:val="314364"/>
          <w:szCs w:val="18"/>
        </w:rPr>
      </w:pPr>
      <w:r w:rsidRPr="001D29DE">
        <w:rPr>
          <w:rFonts w:eastAsia="Calibri" w:cs="Times New Roman"/>
          <w:b/>
          <w:iCs/>
          <w:color w:val="314364"/>
          <w:szCs w:val="18"/>
        </w:rPr>
        <w:t xml:space="preserve">Graf </w:t>
      </w:r>
      <w:r>
        <w:rPr>
          <w:rFonts w:eastAsia="Calibri" w:cs="Times New Roman"/>
          <w:b/>
          <w:iCs/>
          <w:color w:val="314364"/>
          <w:szCs w:val="18"/>
        </w:rPr>
        <w:t>8</w:t>
      </w:r>
      <w:r w:rsidRPr="001D29DE">
        <w:rPr>
          <w:rFonts w:eastAsia="Calibri" w:cs="Times New Roman"/>
          <w:b/>
          <w:iCs/>
          <w:color w:val="314364"/>
          <w:szCs w:val="18"/>
        </w:rPr>
        <w:t>: Štruktúra návrhu rozpočtových rezerv na rok 2023 (v tis. eur)</w:t>
      </w:r>
    </w:p>
    <w:tbl>
      <w:tblPr>
        <w:tblStyle w:val="Mriekatabuky11"/>
        <w:tblW w:w="0" w:type="auto"/>
        <w:tblBorders>
          <w:left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4250A1" w:rsidRPr="006811C2" w14:paraId="264916FD" w14:textId="77777777" w:rsidTr="00D34201">
        <w:trPr>
          <w:trHeight w:val="3685"/>
        </w:trPr>
        <w:tc>
          <w:tcPr>
            <w:tcW w:w="9070" w:type="dxa"/>
            <w:tcBorders>
              <w:top w:val="single" w:sz="4" w:space="0" w:color="44546A"/>
              <w:bottom w:val="single" w:sz="4" w:space="0" w:color="44546A"/>
            </w:tcBorders>
          </w:tcPr>
          <w:p w14:paraId="5BDF72EF" w14:textId="77777777" w:rsidR="004250A1" w:rsidRPr="006811C2" w:rsidRDefault="004250A1" w:rsidP="00D34201">
            <w:pPr>
              <w:spacing w:after="0"/>
              <w:rPr>
                <w:rFonts w:eastAsia="Calibri" w:cs="Times New Roman"/>
              </w:rPr>
            </w:pPr>
            <w:r>
              <w:rPr>
                <w:noProof/>
                <w:lang w:eastAsia="sk-SK"/>
              </w:rPr>
              <w:t xml:space="preserve"> </w:t>
            </w:r>
            <w:r>
              <w:rPr>
                <w:noProof/>
                <w:lang w:eastAsia="sk-SK"/>
              </w:rPr>
              <w:drawing>
                <wp:inline distT="0" distB="0" distL="0" distR="0" wp14:anchorId="70D41AF5" wp14:editId="141B2936">
                  <wp:extent cx="5589270" cy="2306955"/>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D03AB6B" w14:textId="77777777" w:rsidR="004250A1" w:rsidRPr="001D29DE" w:rsidRDefault="004250A1" w:rsidP="009169FD">
      <w:pPr>
        <w:pStyle w:val="Zdroj"/>
      </w:pPr>
      <w:r w:rsidRPr="001D29DE">
        <w:t>Zdroj: Návrh RVS na roky 2023 až 2025</w:t>
      </w:r>
    </w:p>
    <w:p w14:paraId="5D07CD7A" w14:textId="2215CBE5" w:rsidR="00AC6430" w:rsidRDefault="00AC6430" w:rsidP="00C41459">
      <w:pPr>
        <w:pStyle w:val="Odsekzoznamu"/>
        <w:numPr>
          <w:ilvl w:val="0"/>
          <w:numId w:val="8"/>
        </w:numPr>
        <w:shd w:val="clear" w:color="auto" w:fill="FFFFFF"/>
        <w:rPr>
          <w:rStyle w:val="Siln"/>
        </w:rPr>
      </w:pPr>
      <w:r w:rsidRPr="00AC6430">
        <w:rPr>
          <w:rStyle w:val="Siln"/>
        </w:rPr>
        <w:t>Programové rozpočtovanie</w:t>
      </w:r>
    </w:p>
    <w:p w14:paraId="5E844337" w14:textId="77777777" w:rsidR="000E7CF9" w:rsidRDefault="000E7CF9" w:rsidP="000E7CF9">
      <w:r>
        <w:t>V roku 2023 by mali narásť výdavky na najväčších programoch vybraných kapitol medziročne o 9,4 mld. eur (príloha 1). Najväčší medziročný nárast, o viac ako 1,4 mld. eur, zaznamenáva program Rozvoj priemyslu a podpora podnikania (MH SR). Okrem neho dosahujú nárast výdavkov o viac ako jednu miliardu aj programy Starostlivosť o životné prostredie (MŽP SR) a Fondy EÚ (MIRRI SR). NKÚ SR sa problematike programového rozpočtovania venuje dlhodobo. So zameraním na väčšie využívanie jeho potenciálu realizoval aj niekoľko kontrol na vybraných kapitolách a pravidelne sa k programovému rozpočtu vyjadruje aj v stanoviskách k návrhu ŠR a ŠZÚ.</w:t>
      </w:r>
    </w:p>
    <w:p w14:paraId="25BBBCE6" w14:textId="383E6110" w:rsidR="00226656" w:rsidRDefault="0098451B" w:rsidP="0098451B">
      <w:r>
        <w:t xml:space="preserve">Jedným z najväčších problémov pri </w:t>
      </w:r>
      <w:r w:rsidR="00C136FA">
        <w:t xml:space="preserve">programovom </w:t>
      </w:r>
      <w:r>
        <w:t>rozpočtovaní</w:t>
      </w:r>
      <w:r w:rsidR="00C136FA">
        <w:t xml:space="preserve"> je</w:t>
      </w:r>
      <w:r>
        <w:t xml:space="preserve"> prílišná rozdrobenosť na najnižšej úrovni prvkov/projektov. Často sa stáva, že viacero prvkov v kapitole sleduje ten istý cieľ. Výsledkom je, že programová štruktúra všetkých kapitol ŠR v roku 2022 dosiahla až 1</w:t>
      </w:r>
      <w:r w:rsidR="00C136FA">
        <w:t xml:space="preserve"> </w:t>
      </w:r>
      <w:r>
        <w:t xml:space="preserve">027 prvkov. </w:t>
      </w:r>
      <w:r w:rsidRPr="00B22111">
        <w:rPr>
          <w:b/>
        </w:rPr>
        <w:t xml:space="preserve">Z návrhu </w:t>
      </w:r>
      <w:r w:rsidR="00C136FA">
        <w:rPr>
          <w:b/>
        </w:rPr>
        <w:t>RVS</w:t>
      </w:r>
      <w:r w:rsidRPr="00B22111">
        <w:rPr>
          <w:b/>
        </w:rPr>
        <w:t xml:space="preserve"> vyplýva, že v roku 2023 dôjde k zoštíhleniu tejto štruktúry, kedy na úrovni prvkov/projektov ich bude vytvorených iba 806.</w:t>
      </w:r>
      <w:r>
        <w:t xml:space="preserve"> </w:t>
      </w:r>
      <w:r w:rsidR="00C136FA">
        <w:t>Avšak n</w:t>
      </w:r>
      <w:r>
        <w:t>ie vždy je vhodné škrtať alebo spájať jednotlivé položky. Napr. počas pandémie mali kapitoly tendenciu výdavky spojené s </w:t>
      </w:r>
      <w:r w:rsidR="000714A7">
        <w:t>pandémiou</w:t>
      </w:r>
      <w:r>
        <w:t xml:space="preserve"> skrývať do už existujúcich položiek, čím sa strácala prehľadnosť čerpania týchto prostriedkov</w:t>
      </w:r>
      <w:r w:rsidR="008372E5">
        <w:t xml:space="preserve"> (</w:t>
      </w:r>
      <w:r w:rsidR="008372E5" w:rsidRPr="006637D8">
        <w:t xml:space="preserve">box </w:t>
      </w:r>
      <w:r w:rsidR="006637D8">
        <w:t>2</w:t>
      </w:r>
      <w:r w:rsidR="008372E5">
        <w:t>)</w:t>
      </w:r>
      <w:r w:rsidR="00226656">
        <w:t>.</w:t>
      </w:r>
    </w:p>
    <w:p w14:paraId="0BEA02CC" w14:textId="2684A3B2" w:rsidR="00226656" w:rsidRPr="00A82AD4" w:rsidRDefault="0098451B" w:rsidP="00226656">
      <w:pPr>
        <w:rPr>
          <w:b/>
        </w:rPr>
      </w:pPr>
      <w:r>
        <w:t>Výhodou programového rozpočtovania oproti iným klasifikáciám je, že v sebe skrýva aspekt flexibil</w:t>
      </w:r>
      <w:r w:rsidR="0084021B">
        <w:t>ity</w:t>
      </w:r>
      <w:r>
        <w:t>, ktorý umožňuje pridávať alebo odoberať jednotlivé položky podľa rôznych situácií. Aj na základe vykonaných kontrol NKÚ SR konštatuje, že túto výhodu ka</w:t>
      </w:r>
      <w:r w:rsidR="0084021B">
        <w:t>pitoly využívajú len minimálne.</w:t>
      </w:r>
      <w:r w:rsidR="008372E5">
        <w:t xml:space="preserve"> </w:t>
      </w:r>
      <w:r w:rsidR="00226656">
        <w:t xml:space="preserve">Tento nedostatok sa prejavuje aj v návrhu </w:t>
      </w:r>
      <w:r w:rsidR="00304609">
        <w:t>RVS</w:t>
      </w:r>
      <w:r w:rsidR="00226656">
        <w:t xml:space="preserve"> na rok 2023, kde napr. </w:t>
      </w:r>
      <w:r w:rsidR="00226656" w:rsidRPr="00226656">
        <w:rPr>
          <w:b/>
        </w:rPr>
        <w:t xml:space="preserve">v kapitole MPSVR SR sú výdavky na </w:t>
      </w:r>
      <w:r w:rsidR="00226656" w:rsidRPr="00A82AD4">
        <w:rPr>
          <w:b/>
        </w:rPr>
        <w:t xml:space="preserve">kompenzačné opatrenia </w:t>
      </w:r>
      <w:r w:rsidR="000E7CF9" w:rsidRPr="00A82AD4">
        <w:rPr>
          <w:b/>
        </w:rPr>
        <w:t xml:space="preserve">pre domácnosti </w:t>
      </w:r>
      <w:r w:rsidR="00226656" w:rsidRPr="00A82AD4">
        <w:rPr>
          <w:b/>
        </w:rPr>
        <w:t xml:space="preserve">v súvislosti s rastom cien energií v sume 900 mil. eur </w:t>
      </w:r>
      <w:r w:rsidR="00226656" w:rsidRPr="00A82AD4">
        <w:rPr>
          <w:b/>
        </w:rPr>
        <w:lastRenderedPageBreak/>
        <w:t xml:space="preserve">zaradené nesprávne </w:t>
      </w:r>
      <w:r w:rsidR="00CB6343">
        <w:rPr>
          <w:b/>
        </w:rPr>
        <w:t>do</w:t>
      </w:r>
      <w:r w:rsidR="00226656" w:rsidRPr="00A82AD4">
        <w:rPr>
          <w:b/>
        </w:rPr>
        <w:t xml:space="preserve"> prvku Aparát ministerstva, pričom chýba aj presné zadefinovanie ich použitia.</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6637D8" w:rsidRPr="00D442FD" w14:paraId="4557CCF8" w14:textId="77777777" w:rsidTr="00D34201">
        <w:tc>
          <w:tcPr>
            <w:tcW w:w="9060" w:type="dxa"/>
            <w:shd w:val="clear" w:color="auto" w:fill="EBF0FB" w:themeFill="background2" w:themeFillTint="33"/>
          </w:tcPr>
          <w:p w14:paraId="551C9D25" w14:textId="20F91F60" w:rsidR="006637D8" w:rsidRPr="00DA6672" w:rsidRDefault="006637D8" w:rsidP="00D34201">
            <w:pPr>
              <w:spacing w:before="120"/>
              <w:ind w:left="176" w:right="163"/>
              <w:rPr>
                <w:b/>
              </w:rPr>
            </w:pPr>
            <w:r w:rsidRPr="00DA6672">
              <w:rPr>
                <w:b/>
              </w:rPr>
              <w:t xml:space="preserve">BOX </w:t>
            </w:r>
            <w:r>
              <w:rPr>
                <w:b/>
              </w:rPr>
              <w:t>2</w:t>
            </w:r>
            <w:r w:rsidRPr="00DA6672">
              <w:rPr>
                <w:b/>
              </w:rPr>
              <w:t xml:space="preserve">: </w:t>
            </w:r>
            <w:r>
              <w:rPr>
                <w:b/>
              </w:rPr>
              <w:t>Programové rozpočtovanie na MPSVR SR</w:t>
            </w:r>
          </w:p>
          <w:p w14:paraId="45C583A3" w14:textId="55A1E3F4" w:rsidR="006637D8" w:rsidRPr="00D442FD" w:rsidRDefault="006637D8" w:rsidP="006637D8">
            <w:pPr>
              <w:spacing w:before="120"/>
              <w:ind w:left="176" w:right="163"/>
              <w:rPr>
                <w:sz w:val="18"/>
              </w:rPr>
            </w:pPr>
            <w:r w:rsidRPr="006637D8">
              <w:rPr>
                <w:sz w:val="18"/>
              </w:rPr>
              <w:t xml:space="preserve">Kontrola na MPSVR SR potvrdila, že ministerstvo </w:t>
            </w:r>
            <w:r>
              <w:rPr>
                <w:sz w:val="18"/>
              </w:rPr>
              <w:t xml:space="preserve">počas pandémie </w:t>
            </w:r>
            <w:r w:rsidRPr="006637D8">
              <w:rPr>
                <w:sz w:val="18"/>
              </w:rPr>
              <w:t>neprispôsobilo svoju programovú štruktúru mimoriadnym okolnostiam. Výdavky vynaložené na zmiernenie dopadov pandémie boli vykazované v rámci už existujúcej programovej štruktúry. Chýbal samostatný prvok pre tieto výdavky. Ako príklad môže poslúžiť prvok Národné programy na rozvoj aktívnej politiky trhu práce a zvýšenie zamestnateľnosti, na ktorom z pôvodne rozpočtovaných 36,5 mil. eur stúpli výdavky na 1,2 mld. eur. Vykázali sa v ňom výdavky na obvyklé, časovo neohraničené aktívne politiky trhu práce spolu s mimoriadnymi, časovo ohraničenými, čo znížilo pre</w:t>
            </w:r>
            <w:r>
              <w:rPr>
                <w:sz w:val="18"/>
              </w:rPr>
              <w:t>hľadnosť programového rozpočtu.</w:t>
            </w:r>
          </w:p>
        </w:tc>
      </w:tr>
    </w:tbl>
    <w:p w14:paraId="0FD5CC5B" w14:textId="58904E84" w:rsidR="0098451B" w:rsidRDefault="0098451B" w:rsidP="006637D8">
      <w:pPr>
        <w:spacing w:before="120"/>
      </w:pPr>
      <w:r>
        <w:t xml:space="preserve">Programové rozpočtovanie však nie je len o rozpočtovaní, ale aj o ďalších etapách, fázach, vrátene </w:t>
      </w:r>
      <w:r w:rsidR="00A61649">
        <w:t xml:space="preserve">jeho </w:t>
      </w:r>
      <w:r>
        <w:t xml:space="preserve">plnenia, vykazovania a monitoringu. </w:t>
      </w:r>
      <w:r w:rsidR="00A61649">
        <w:t>Napríklad v kontrole na MDV SR v rokoch 2020</w:t>
      </w:r>
      <w:r w:rsidR="00226656">
        <w:rPr>
          <w:rStyle w:val="Odkaznapoznmkupodiarou"/>
        </w:rPr>
        <w:footnoteReference w:id="18"/>
      </w:r>
      <w:r w:rsidR="00A61649">
        <w:t xml:space="preserve"> a 2021</w:t>
      </w:r>
      <w:r w:rsidR="00226656">
        <w:rPr>
          <w:rStyle w:val="Odkaznapoznmkupodiarou"/>
        </w:rPr>
        <w:footnoteReference w:id="19"/>
      </w:r>
      <w:r w:rsidR="00A61649">
        <w:t xml:space="preserve"> sme poukázali </w:t>
      </w:r>
      <w:r w:rsidR="005E5D1E">
        <w:t xml:space="preserve">na málo </w:t>
      </w:r>
      <w:r w:rsidRPr="00EC3775">
        <w:t xml:space="preserve">ambiciózne plány pri </w:t>
      </w:r>
      <w:r w:rsidR="005E5D1E">
        <w:t xml:space="preserve">nastavení </w:t>
      </w:r>
      <w:r w:rsidRPr="00EC3775">
        <w:t>cieľo</w:t>
      </w:r>
      <w:r w:rsidR="005E5D1E">
        <w:t>v</w:t>
      </w:r>
      <w:r w:rsidRPr="00EC3775">
        <w:t xml:space="preserve"> a</w:t>
      </w:r>
      <w:r w:rsidR="005E5D1E">
        <w:t xml:space="preserve"> na to, že je potrebné </w:t>
      </w:r>
      <w:r w:rsidRPr="00EC3775">
        <w:t>zmeniť systém plánovania.</w:t>
      </w:r>
      <w:r w:rsidR="00DC244C">
        <w:t xml:space="preserve"> Tiež sme viackrát poukazovali na nevhodne zvolené indikátory a príliš časté používanie výstupových a nie výsledkových ukazovateľov pri nastavení cieľov.</w:t>
      </w:r>
    </w:p>
    <w:p w14:paraId="42D8E544" w14:textId="3BD782B7" w:rsidR="002A3AE6" w:rsidRPr="00EC3775" w:rsidRDefault="002A3AE6" w:rsidP="002A3AE6">
      <w:pPr>
        <w:spacing w:before="120"/>
      </w:pPr>
      <w:r>
        <w:t>V stanovisku sa venujeme aj programovému rozpočtu v rezorte zdravotníctva, ktorý detailnejšie popisujeme v kapitole 5.1.</w:t>
      </w:r>
    </w:p>
    <w:p w14:paraId="0C1B52C4" w14:textId="156DD27A" w:rsidR="00993E8C" w:rsidRPr="0089621C" w:rsidRDefault="00993E8C" w:rsidP="00C41459">
      <w:pPr>
        <w:pStyle w:val="Odsekzoznamu"/>
        <w:numPr>
          <w:ilvl w:val="0"/>
          <w:numId w:val="8"/>
        </w:numPr>
        <w:rPr>
          <w:b/>
        </w:rPr>
      </w:pPr>
      <w:r w:rsidRPr="0089621C">
        <w:rPr>
          <w:b/>
        </w:rPr>
        <w:t>Rozpočtovanie kapitálových výdavkov</w:t>
      </w:r>
    </w:p>
    <w:p w14:paraId="7E8634D8" w14:textId="1C609208" w:rsidR="005C20DB" w:rsidRPr="00F4156D" w:rsidRDefault="00D34201" w:rsidP="005C20DB">
      <w:pPr>
        <w:rPr>
          <w:szCs w:val="20"/>
        </w:rPr>
      </w:pPr>
      <w:r w:rsidRPr="00D34201">
        <w:rPr>
          <w:b/>
          <w:szCs w:val="20"/>
        </w:rPr>
        <w:t xml:space="preserve">NKÚ SR vníma pozitívne </w:t>
      </w:r>
      <w:r w:rsidR="005636BF">
        <w:rPr>
          <w:b/>
          <w:szCs w:val="20"/>
        </w:rPr>
        <w:t xml:space="preserve">zmeny </w:t>
      </w:r>
      <w:r w:rsidRPr="00D34201">
        <w:rPr>
          <w:b/>
          <w:szCs w:val="20"/>
        </w:rPr>
        <w:t>zavedené v návrhu RVS na roky 2023 – 2025, ktoré prispejú k transparentnejšiemu pohľadu na smerovanie investičných výdavkov.</w:t>
      </w:r>
      <w:r>
        <w:rPr>
          <w:szCs w:val="20"/>
        </w:rPr>
        <w:t xml:space="preserve"> </w:t>
      </w:r>
      <w:r w:rsidR="00F4156D" w:rsidRPr="00F4156D">
        <w:rPr>
          <w:szCs w:val="20"/>
        </w:rPr>
        <w:t>V návrhu rozpočtu na rok 2021 bola zavedená novinka v podobe alokovania časti kapitálových výdavkov do rozpočtu VPS a nie priamo do jednotlivých kapitol. Táto novinka však mala niekoľko nedostatkov, ktoré NKÚ SR vo svojich stanoviskách kritizoval. Jedným z nich bolo zbytočné alokovanie týchto výdavkov na už prebiehajúce projekty do kapitoly VPS a rovnako chýbajúci zoznam investičných projektov. Tento nedostatok bol z návrhu rozpočtu na rok 2023 odstránený. Kapitálové výdavky na prebiehajúce projekty (predovšetkým v kapitolách MD SR a MO SR) sú už alokované v kapitolách a vo VPS sú výdavky iba na projekty, ktoré musia prejsť posúdením ÚHP. Rovnako tak je v rozpočte zverejnený aj zoznam 15 najväčších investičných projektov, ktoré sa budú financovať v roku 2023. Ten vychádza z investičných plánov vybraných kapitol</w:t>
      </w:r>
      <w:r w:rsidR="00F4156D">
        <w:rPr>
          <w:rStyle w:val="Odkaznapoznmkupodiarou"/>
          <w:szCs w:val="20"/>
        </w:rPr>
        <w:footnoteReference w:id="20"/>
      </w:r>
      <w:r w:rsidR="00F4156D" w:rsidRPr="00F4156D">
        <w:rPr>
          <w:szCs w:val="20"/>
        </w:rPr>
        <w:t>, ktoré ho, aj keď s</w:t>
      </w:r>
      <w:r w:rsidR="005636BF">
        <w:rPr>
          <w:szCs w:val="20"/>
        </w:rPr>
        <w:t> </w:t>
      </w:r>
      <w:r w:rsidR="00F4156D" w:rsidRPr="00F4156D">
        <w:rPr>
          <w:szCs w:val="20"/>
        </w:rPr>
        <w:t>oneskorením</w:t>
      </w:r>
      <w:r w:rsidR="005636BF">
        <w:rPr>
          <w:szCs w:val="20"/>
        </w:rPr>
        <w:t xml:space="preserve">, </w:t>
      </w:r>
      <w:r w:rsidR="005636BF" w:rsidRPr="00F4156D">
        <w:rPr>
          <w:szCs w:val="20"/>
        </w:rPr>
        <w:t>vypracovali</w:t>
      </w:r>
      <w:r w:rsidR="00F4156D" w:rsidRPr="00F4156D">
        <w:rPr>
          <w:szCs w:val="20"/>
        </w:rPr>
        <w:t>.</w:t>
      </w:r>
      <w:r w:rsidR="005C20DB">
        <w:rPr>
          <w:szCs w:val="20"/>
        </w:rPr>
        <w:t xml:space="preserve"> </w:t>
      </w:r>
      <w:r w:rsidR="00A82AD4" w:rsidRPr="00A82AD4">
        <w:rPr>
          <w:b/>
          <w:szCs w:val="20"/>
        </w:rPr>
        <w:t xml:space="preserve">Do budúcna odporúča NKÚ SR rozšíriť tento zoznam o všetky známe investičné projekty, ktoré sa majú v nasledujúcom období financovať. </w:t>
      </w:r>
      <w:r w:rsidR="005C20DB" w:rsidRPr="00C675C9">
        <w:rPr>
          <w:szCs w:val="20"/>
        </w:rPr>
        <w:t>Medzi najväčšie inves</w:t>
      </w:r>
      <w:r w:rsidR="005C20DB">
        <w:rPr>
          <w:szCs w:val="20"/>
        </w:rPr>
        <w:t>tičné projekty v roku 2023 patrí predovšetkým prebiehajúca výstavba úsekov diaľnic a rýchlostných ciest</w:t>
      </w:r>
      <w:r w:rsidR="005C20DB" w:rsidRPr="00C675C9">
        <w:rPr>
          <w:szCs w:val="20"/>
        </w:rPr>
        <w:t>: Hubová – Ivachnová (II. fáza), Prešov – severný obchvat I. etapa, či Lietavská Lú</w:t>
      </w:r>
      <w:r w:rsidR="005C20DB">
        <w:rPr>
          <w:szCs w:val="20"/>
        </w:rPr>
        <w:t xml:space="preserve">čka – Višňové – </w:t>
      </w:r>
      <w:proofErr w:type="spellStart"/>
      <w:r w:rsidR="005C20DB">
        <w:rPr>
          <w:szCs w:val="20"/>
        </w:rPr>
        <w:t>Dubná</w:t>
      </w:r>
      <w:proofErr w:type="spellEnd"/>
      <w:r w:rsidR="005C20DB">
        <w:rPr>
          <w:szCs w:val="20"/>
        </w:rPr>
        <w:t xml:space="preserve"> Skala</w:t>
      </w:r>
      <w:r w:rsidR="005C20DB" w:rsidRPr="00C675C9">
        <w:rPr>
          <w:szCs w:val="20"/>
        </w:rPr>
        <w:t>.</w:t>
      </w:r>
    </w:p>
    <w:p w14:paraId="2721193B" w14:textId="5F1D9A61" w:rsidR="00EA14A3" w:rsidRPr="00EA14A3" w:rsidRDefault="002A3AE6" w:rsidP="00EA14A3">
      <w:pPr>
        <w:rPr>
          <w:szCs w:val="20"/>
        </w:rPr>
      </w:pPr>
      <w:r w:rsidRPr="00134A6E">
        <w:rPr>
          <w:b/>
          <w:szCs w:val="20"/>
        </w:rPr>
        <w:t>K</w:t>
      </w:r>
      <w:r w:rsidR="00EA14A3" w:rsidRPr="00134A6E">
        <w:rPr>
          <w:b/>
          <w:szCs w:val="20"/>
        </w:rPr>
        <w:t xml:space="preserve">apitálové výdavky ŠR v roku 2023 budú tvoriť 17 % </w:t>
      </w:r>
      <w:r w:rsidR="00134A6E" w:rsidRPr="00134A6E">
        <w:rPr>
          <w:szCs w:val="20"/>
        </w:rPr>
        <w:t>(5,9 mld. eur)</w:t>
      </w:r>
      <w:r w:rsidR="00134A6E">
        <w:rPr>
          <w:b/>
          <w:szCs w:val="20"/>
        </w:rPr>
        <w:t xml:space="preserve"> </w:t>
      </w:r>
      <w:r w:rsidR="00EA14A3" w:rsidRPr="00134A6E">
        <w:rPr>
          <w:b/>
          <w:szCs w:val="20"/>
        </w:rPr>
        <w:t>z celkových rozpočtovaných výdavkov</w:t>
      </w:r>
      <w:r w:rsidR="00EA14A3" w:rsidRPr="00CB6343">
        <w:rPr>
          <w:szCs w:val="20"/>
        </w:rPr>
        <w:t>.</w:t>
      </w:r>
      <w:r w:rsidR="00EA14A3" w:rsidRPr="00134A6E">
        <w:rPr>
          <w:b/>
          <w:szCs w:val="20"/>
        </w:rPr>
        <w:t xml:space="preserve"> </w:t>
      </w:r>
      <w:r w:rsidRPr="00EA14A3">
        <w:rPr>
          <w:szCs w:val="20"/>
        </w:rPr>
        <w:t xml:space="preserve">Plánované kapitálové výdavky </w:t>
      </w:r>
      <w:r w:rsidR="00EA14A3" w:rsidRPr="00EA14A3">
        <w:rPr>
          <w:szCs w:val="20"/>
        </w:rPr>
        <w:t xml:space="preserve">majú byť financované z troch zdrojov – </w:t>
      </w:r>
      <w:r w:rsidR="00304609">
        <w:rPr>
          <w:szCs w:val="20"/>
        </w:rPr>
        <w:t>ŠR</w:t>
      </w:r>
      <w:r w:rsidR="00EA14A3" w:rsidRPr="00EA14A3">
        <w:rPr>
          <w:szCs w:val="20"/>
        </w:rPr>
        <w:t xml:space="preserve"> </w:t>
      </w:r>
      <w:r w:rsidR="00304609">
        <w:rPr>
          <w:szCs w:val="20"/>
        </w:rPr>
        <w:t>(</w:t>
      </w:r>
      <w:r w:rsidR="00EA14A3" w:rsidRPr="00EA14A3">
        <w:rPr>
          <w:szCs w:val="20"/>
        </w:rPr>
        <w:t>1</w:t>
      </w:r>
      <w:r w:rsidR="00304609">
        <w:rPr>
          <w:szCs w:val="20"/>
        </w:rPr>
        <w:t>,</w:t>
      </w:r>
      <w:r w:rsidR="00EA14A3" w:rsidRPr="00EA14A3">
        <w:rPr>
          <w:szCs w:val="20"/>
        </w:rPr>
        <w:t>6 ml</w:t>
      </w:r>
      <w:r w:rsidR="00304609">
        <w:rPr>
          <w:szCs w:val="20"/>
        </w:rPr>
        <w:t>d</w:t>
      </w:r>
      <w:r w:rsidR="00EA14A3" w:rsidRPr="00EA14A3">
        <w:rPr>
          <w:szCs w:val="20"/>
        </w:rPr>
        <w:t>. eur, fondov EÚ (</w:t>
      </w:r>
      <w:r w:rsidR="00304609">
        <w:rPr>
          <w:szCs w:val="20"/>
        </w:rPr>
        <w:t xml:space="preserve">2,4 mld. eur </w:t>
      </w:r>
      <w:r w:rsidR="00EA14A3" w:rsidRPr="00EA14A3">
        <w:rPr>
          <w:szCs w:val="20"/>
        </w:rPr>
        <w:t>vrátane spolufinancovania) a P</w:t>
      </w:r>
      <w:r w:rsidR="00304609">
        <w:rPr>
          <w:szCs w:val="20"/>
        </w:rPr>
        <w:t>OO</w:t>
      </w:r>
      <w:r w:rsidR="00EA14A3" w:rsidRPr="00EA14A3">
        <w:rPr>
          <w:szCs w:val="20"/>
        </w:rPr>
        <w:t xml:space="preserve"> (</w:t>
      </w:r>
      <w:r w:rsidR="00304609">
        <w:rPr>
          <w:szCs w:val="20"/>
        </w:rPr>
        <w:t xml:space="preserve">1,9 mld. eur </w:t>
      </w:r>
      <w:r w:rsidR="00EA14A3" w:rsidRPr="00EA14A3">
        <w:rPr>
          <w:szCs w:val="20"/>
        </w:rPr>
        <w:t>vrátane výdavkov na DPH).</w:t>
      </w:r>
      <w:r w:rsidR="00C35785">
        <w:rPr>
          <w:szCs w:val="20"/>
        </w:rPr>
        <w:t xml:space="preserve"> </w:t>
      </w:r>
      <w:r w:rsidR="00EF1A84">
        <w:rPr>
          <w:szCs w:val="20"/>
        </w:rPr>
        <w:t>Ďalej u</w:t>
      </w:r>
      <w:r w:rsidR="00C35785">
        <w:rPr>
          <w:szCs w:val="20"/>
        </w:rPr>
        <w:t>vádzame stanovisko k</w:t>
      </w:r>
      <w:r w:rsidR="00534DE5">
        <w:rPr>
          <w:szCs w:val="20"/>
        </w:rPr>
        <w:t> vybraným aspektom</w:t>
      </w:r>
      <w:r w:rsidR="00EF1A84">
        <w:rPr>
          <w:szCs w:val="20"/>
        </w:rPr>
        <w:t> kapitálový</w:t>
      </w:r>
      <w:r w:rsidR="00534DE5">
        <w:rPr>
          <w:szCs w:val="20"/>
        </w:rPr>
        <w:t>ch</w:t>
      </w:r>
      <w:r w:rsidR="00EF1A84">
        <w:rPr>
          <w:szCs w:val="20"/>
        </w:rPr>
        <w:t xml:space="preserve"> výdavko</w:t>
      </w:r>
      <w:r w:rsidR="00534DE5">
        <w:rPr>
          <w:szCs w:val="20"/>
        </w:rPr>
        <w:t>v</w:t>
      </w:r>
      <w:r w:rsidR="00EF1A84">
        <w:rPr>
          <w:szCs w:val="20"/>
        </w:rPr>
        <w:t xml:space="preserve"> v</w:t>
      </w:r>
      <w:r w:rsidR="00534DE5">
        <w:rPr>
          <w:szCs w:val="20"/>
        </w:rPr>
        <w:t> jednotlivých rezortoch</w:t>
      </w:r>
      <w:r w:rsidR="00EF1A84">
        <w:rPr>
          <w:szCs w:val="20"/>
        </w:rPr>
        <w:t>.</w:t>
      </w:r>
    </w:p>
    <w:p w14:paraId="56370B44" w14:textId="6C65E8E5" w:rsidR="00352A55" w:rsidRPr="00897B62" w:rsidRDefault="00352A55" w:rsidP="00352A55">
      <w:pPr>
        <w:spacing w:after="160"/>
        <w:rPr>
          <w:b/>
          <w:szCs w:val="20"/>
        </w:rPr>
      </w:pPr>
      <w:r w:rsidRPr="00EA14A3">
        <w:rPr>
          <w:b/>
          <w:szCs w:val="20"/>
        </w:rPr>
        <w:t xml:space="preserve">Kapitálový rozpočet rezortu dopravy dosiahne v roku </w:t>
      </w:r>
      <w:r>
        <w:rPr>
          <w:b/>
          <w:szCs w:val="20"/>
        </w:rPr>
        <w:t xml:space="preserve">2023 </w:t>
      </w:r>
      <w:r w:rsidRPr="00EA14A3">
        <w:rPr>
          <w:b/>
          <w:szCs w:val="20"/>
        </w:rPr>
        <w:t xml:space="preserve">hodnotu 1,6 mld. eur, čo je o 527 mil. eur viac ako v roku 2022, pričom vzrásť má </w:t>
      </w:r>
      <w:r>
        <w:rPr>
          <w:b/>
          <w:szCs w:val="20"/>
        </w:rPr>
        <w:t>z</w:t>
      </w:r>
      <w:r w:rsidRPr="00EA14A3">
        <w:rPr>
          <w:b/>
          <w:szCs w:val="20"/>
        </w:rPr>
        <w:t xml:space="preserve">droj ŠR </w:t>
      </w:r>
      <w:r w:rsidRPr="0020796B">
        <w:rPr>
          <w:szCs w:val="20"/>
        </w:rPr>
        <w:t>(o 346 mil. eur)</w:t>
      </w:r>
      <w:r w:rsidRPr="00EA14A3">
        <w:rPr>
          <w:b/>
          <w:szCs w:val="20"/>
        </w:rPr>
        <w:t xml:space="preserve"> aj </w:t>
      </w:r>
      <w:r>
        <w:rPr>
          <w:b/>
          <w:szCs w:val="20"/>
        </w:rPr>
        <w:t xml:space="preserve">zdroj </w:t>
      </w:r>
      <w:r w:rsidRPr="00EA14A3">
        <w:rPr>
          <w:b/>
          <w:szCs w:val="20"/>
        </w:rPr>
        <w:t xml:space="preserve">EÚ </w:t>
      </w:r>
      <w:r w:rsidRPr="0020796B">
        <w:rPr>
          <w:szCs w:val="20"/>
        </w:rPr>
        <w:t>(o 205 mil. eur).</w:t>
      </w:r>
      <w:r w:rsidRPr="00EA14A3">
        <w:rPr>
          <w:szCs w:val="20"/>
        </w:rPr>
        <w:t xml:space="preserve"> Za </w:t>
      </w:r>
      <w:r w:rsidRPr="00EA14A3">
        <w:rPr>
          <w:szCs w:val="20"/>
        </w:rPr>
        <w:lastRenderedPageBreak/>
        <w:t xml:space="preserve">týmto nárastom je niekoľko faktorov. Pri výdavkoch zo ŠR je to predovšetkým návrat rozpočtovaných výdavkov zo ŠR na rozbehnuté investície </w:t>
      </w:r>
      <w:r w:rsidR="00CB6343">
        <w:rPr>
          <w:szCs w:val="20"/>
        </w:rPr>
        <w:t>(</w:t>
      </w:r>
      <w:r w:rsidRPr="00EA14A3">
        <w:rPr>
          <w:szCs w:val="20"/>
        </w:rPr>
        <w:t>naspäť</w:t>
      </w:r>
      <w:r w:rsidR="00CB6343">
        <w:rPr>
          <w:szCs w:val="20"/>
        </w:rPr>
        <w:t>)</w:t>
      </w:r>
      <w:r w:rsidRPr="00EA14A3">
        <w:rPr>
          <w:szCs w:val="20"/>
        </w:rPr>
        <w:t xml:space="preserve"> do kapitoly dopravy (v roku 2022 boli rozpočtované v kapitole VPS). Pri eurofondoch</w:t>
      </w:r>
      <w:r>
        <w:rPr>
          <w:rStyle w:val="Odkaznapoznmkupodiarou"/>
          <w:szCs w:val="20"/>
        </w:rPr>
        <w:footnoteReference w:id="21"/>
      </w:r>
      <w:r w:rsidRPr="00EA14A3">
        <w:rPr>
          <w:szCs w:val="20"/>
        </w:rPr>
        <w:t xml:space="preserve"> čaká MD SR v roku 2023 veľká výzva. Do rozpočtovaných výdavkov totiž vstupujú prostriedky z končiaceho 3. PO (návrh RVS 429,3 mil. eur) a zároveň zo začínajúceho 4. PO (návrh RVS 597 mil. eur). Spolu by tieto výdavky mali presiahnuť viac ako 1 mld. eur. S veľkou pravdepodobnosťou sa </w:t>
      </w:r>
      <w:r>
        <w:rPr>
          <w:szCs w:val="20"/>
        </w:rPr>
        <w:t xml:space="preserve">k nim </w:t>
      </w:r>
      <w:r w:rsidRPr="00EA14A3">
        <w:rPr>
          <w:szCs w:val="20"/>
        </w:rPr>
        <w:t>pridajú ešte nevyčerpané prostriedky z predchádzajúcich rokov. K 31. 10. 2022 bol stav upraveného rozpočtu týchto výdavkov 1,2 mld. eur, pričom k tomuto dátumu sa vyčerpalo iba 31</w:t>
      </w:r>
      <w:r w:rsidR="002A3AE6">
        <w:rPr>
          <w:szCs w:val="20"/>
        </w:rPr>
        <w:t>8</w:t>
      </w:r>
      <w:r w:rsidRPr="00EA14A3">
        <w:rPr>
          <w:szCs w:val="20"/>
        </w:rPr>
        <w:t xml:space="preserve"> mil. eur. Síce sa do konca roka ešte časť týchto prostriedkov vyčerpá, veľké množstvo sa </w:t>
      </w:r>
      <w:r>
        <w:rPr>
          <w:szCs w:val="20"/>
        </w:rPr>
        <w:t xml:space="preserve">však </w:t>
      </w:r>
      <w:r w:rsidRPr="00EA14A3">
        <w:rPr>
          <w:szCs w:val="20"/>
        </w:rPr>
        <w:t xml:space="preserve">presunie do roku 2023 a pridá sa k spomínanej rozpočtovanej miliarde. Priemerné ročné čerpanie eurofondov v období rokov 2016 – 2021 pritom dosiahlo iba 386 mil. eur. </w:t>
      </w:r>
      <w:r>
        <w:rPr>
          <w:szCs w:val="20"/>
        </w:rPr>
        <w:t xml:space="preserve">Pre porovnanie, v poslednom roku 2. PO dokázalo vyčerpať MD SR až 1,37 mld. eur. </w:t>
      </w:r>
      <w:r w:rsidR="00C14033" w:rsidRPr="00C14033">
        <w:rPr>
          <w:b/>
          <w:szCs w:val="20"/>
        </w:rPr>
        <w:t>Aj na základe minulosti NKÚ SR konštatuje, že takýto objem prostriedkov je možné za rok vyčerpať. Bude to však náročné, najmä z pohľadu zabezpečenia transparentných verejných obstarávaní v reálnom čase, ako aj realizácie značného objemu a kvality investičných stavebných prác.</w:t>
      </w:r>
      <w:r>
        <w:rPr>
          <w:szCs w:val="20"/>
        </w:rPr>
        <w:t xml:space="preserve"> Navyše hrozí, že prostriedky sa na poslednú chvíľu budú míňať na iné účely, ako boli pôvodne naplánované. Riziko prepadnutia časti nevyčerpaných prostriedkov bude stále pretrvávať. </w:t>
      </w:r>
      <w:r w:rsidRPr="00AB3205">
        <w:rPr>
          <w:szCs w:val="20"/>
        </w:rPr>
        <w:t xml:space="preserve">NKÚ SR oceňuje alokovanie výdavkov na pokračujúce veľkoplošné opravy ciest, zároveň však upozorňuje, že v návrhu rozpočtu </w:t>
      </w:r>
      <w:r w:rsidR="00975E3C">
        <w:rPr>
          <w:szCs w:val="20"/>
        </w:rPr>
        <w:t>chýbajú</w:t>
      </w:r>
      <w:r w:rsidRPr="00AB3205">
        <w:rPr>
          <w:szCs w:val="20"/>
        </w:rPr>
        <w:t xml:space="preserve"> </w:t>
      </w:r>
      <w:r w:rsidR="007A289A">
        <w:rPr>
          <w:szCs w:val="20"/>
        </w:rPr>
        <w:t xml:space="preserve">dostatočné </w:t>
      </w:r>
      <w:r w:rsidRPr="00AB3205">
        <w:rPr>
          <w:szCs w:val="20"/>
        </w:rPr>
        <w:t>výdavky na rekonštrukcie mostov na cestách I. triedy</w:t>
      </w:r>
      <w:r w:rsidR="00571D72">
        <w:rPr>
          <w:szCs w:val="20"/>
        </w:rPr>
        <w:t>.</w:t>
      </w:r>
      <w:r w:rsidR="007A289A">
        <w:rPr>
          <w:rStyle w:val="Odkaznapoznmkupodiarou"/>
          <w:szCs w:val="20"/>
        </w:rPr>
        <w:footnoteReference w:id="22"/>
      </w:r>
      <w:r w:rsidRPr="00AB3205">
        <w:rPr>
          <w:szCs w:val="20"/>
        </w:rPr>
        <w:t xml:space="preserve"> </w:t>
      </w:r>
      <w:r>
        <w:rPr>
          <w:szCs w:val="20"/>
        </w:rPr>
        <w:t>P</w:t>
      </w:r>
      <w:r w:rsidRPr="00AB3205">
        <w:rPr>
          <w:szCs w:val="20"/>
        </w:rPr>
        <w:t xml:space="preserve">ozitívom je </w:t>
      </w:r>
      <w:r>
        <w:rPr>
          <w:szCs w:val="20"/>
        </w:rPr>
        <w:t xml:space="preserve">akurát </w:t>
      </w:r>
      <w:r w:rsidRPr="00AB3205">
        <w:rPr>
          <w:szCs w:val="20"/>
        </w:rPr>
        <w:t>vytvorenie samostatného prvku na tento účel. Na ňom však nie sú alokované žiadne prostriedky na rok 2023. Aj na základe svojej kontrolnej činnosti NKÚ SR konštatuje, že SR dlhodobo neinvestovala do modernizácie mostov</w:t>
      </w:r>
      <w:r w:rsidR="00C35785">
        <w:rPr>
          <w:szCs w:val="20"/>
        </w:rPr>
        <w:t>,</w:t>
      </w:r>
      <w:r w:rsidRPr="00AB3205">
        <w:rPr>
          <w:szCs w:val="20"/>
        </w:rPr>
        <w:t xml:space="preserve"> systém údržby a opráv je neúčinný a zdroje na ich obnovu nedostatočné</w:t>
      </w:r>
      <w:r>
        <w:rPr>
          <w:szCs w:val="20"/>
        </w:rPr>
        <w:t>, p</w:t>
      </w:r>
      <w:r>
        <w:t>ričom zatvorenie mostov z dôvodu zlého technického stavu má veľký ekonomický a sociálny vplyv na dotknutý región</w:t>
      </w:r>
      <w:r w:rsidRPr="00AB3205">
        <w:rPr>
          <w:szCs w:val="20"/>
        </w:rPr>
        <w:t xml:space="preserve">. </w:t>
      </w:r>
      <w:r w:rsidRPr="00897B62">
        <w:rPr>
          <w:b/>
          <w:szCs w:val="20"/>
        </w:rPr>
        <w:t>Zásadným krokom k riešeniu situácie je prijatie udržateľného systému financovania, čo sa v návrhu RVS neprejavuje.</w:t>
      </w:r>
    </w:p>
    <w:p w14:paraId="742FBC78" w14:textId="21AB8F9F" w:rsidR="00EA14A3" w:rsidRDefault="00EA14A3" w:rsidP="00EA14A3">
      <w:pPr>
        <w:rPr>
          <w:szCs w:val="20"/>
        </w:rPr>
      </w:pPr>
      <w:r w:rsidRPr="00B37332">
        <w:rPr>
          <w:szCs w:val="20"/>
        </w:rPr>
        <w:t>Celkové výdavky kapitoly MO SR na rok 2023 sa rozpočtujú v sume 2,09 mld. eur.</w:t>
      </w:r>
      <w:r w:rsidRPr="00EA14A3">
        <w:rPr>
          <w:szCs w:val="20"/>
        </w:rPr>
        <w:t xml:space="preserve"> Táto suma </w:t>
      </w:r>
      <w:r w:rsidR="0020796B">
        <w:rPr>
          <w:szCs w:val="20"/>
        </w:rPr>
        <w:t xml:space="preserve">však </w:t>
      </w:r>
      <w:r w:rsidRPr="00EA14A3">
        <w:rPr>
          <w:szCs w:val="20"/>
        </w:rPr>
        <w:t xml:space="preserve">nezahŕňa kapitálové výdavky MO SR alokované v kapitole VPS vo výške 353 mil. eur. V programovej štruktúre kapitoly sú v rámci programu Rozvoj obrany vyčlenené prostriedky na rok 2023 v sume 381 mil. eur. Program je určený na rozvojové aktivity rezortu, a to najmä na rozvoj výzbroje, techniky a materiálu, rozvoj komunikačných a informačných systémov, rozvoj infraštruktúry a rozvoj centrálnej logistiky. </w:t>
      </w:r>
      <w:r w:rsidRPr="00EA14A3">
        <w:rPr>
          <w:b/>
          <w:szCs w:val="20"/>
        </w:rPr>
        <w:t xml:space="preserve">MO SR v roku 2023 plánuje nárast kapitálových výdavkov oproti schválenému rozpočtu na rok 2022 </w:t>
      </w:r>
      <w:r w:rsidR="00436314">
        <w:rPr>
          <w:b/>
          <w:szCs w:val="20"/>
        </w:rPr>
        <w:t xml:space="preserve">o 146 mil. eur </w:t>
      </w:r>
      <w:r w:rsidRPr="00EA14A3">
        <w:rPr>
          <w:b/>
          <w:szCs w:val="20"/>
        </w:rPr>
        <w:t>na 672 mil. eur</w:t>
      </w:r>
      <w:r w:rsidR="00436314">
        <w:rPr>
          <w:b/>
          <w:szCs w:val="20"/>
        </w:rPr>
        <w:t>.</w:t>
      </w:r>
      <w:r w:rsidRPr="00EA14A3">
        <w:rPr>
          <w:b/>
          <w:szCs w:val="20"/>
        </w:rPr>
        <w:t xml:space="preserve"> </w:t>
      </w:r>
      <w:r w:rsidRPr="00EA14A3">
        <w:rPr>
          <w:szCs w:val="20"/>
        </w:rPr>
        <w:t>Najväčšími projektami, na ktoré má MO SR uzatvorené vykonávacie zmluvy</w:t>
      </w:r>
      <w:r w:rsidR="00C35785">
        <w:rPr>
          <w:szCs w:val="20"/>
        </w:rPr>
        <w:t>,</w:t>
      </w:r>
      <w:r w:rsidRPr="00EA14A3">
        <w:rPr>
          <w:szCs w:val="20"/>
        </w:rPr>
        <w:t xml:space="preserve"> sú nákupy stíhacích lietadiel F-16, kolesových húfnic Zuzana 2, bojových obrnených vozidiel 8x8 a 3D rádiolokátorov s rôznym dosahom.</w:t>
      </w:r>
      <w:r w:rsidR="0020796B">
        <w:rPr>
          <w:szCs w:val="20"/>
        </w:rPr>
        <w:t xml:space="preserve"> </w:t>
      </w:r>
      <w:r w:rsidR="0020796B" w:rsidRPr="00EF1A84">
        <w:rPr>
          <w:b/>
          <w:szCs w:val="20"/>
        </w:rPr>
        <w:t>V súvislosti s objemovo najväčšími obrannými nákupmi v histórii SR upozorňuje</w:t>
      </w:r>
      <w:r w:rsidR="009D3B76">
        <w:rPr>
          <w:b/>
          <w:szCs w:val="20"/>
        </w:rPr>
        <w:t xml:space="preserve"> NKÚ SR</w:t>
      </w:r>
      <w:r w:rsidR="0020796B" w:rsidRPr="00EF1A84">
        <w:rPr>
          <w:b/>
          <w:szCs w:val="20"/>
        </w:rPr>
        <w:t xml:space="preserve"> na nedostatočný legislatívny rámec pri riešení kompenzačných programov</w:t>
      </w:r>
      <w:r w:rsidR="0020796B">
        <w:rPr>
          <w:szCs w:val="20"/>
        </w:rPr>
        <w:t xml:space="preserve"> </w:t>
      </w:r>
      <w:r w:rsidR="0020796B" w:rsidRPr="00CB6343">
        <w:rPr>
          <w:szCs w:val="20"/>
        </w:rPr>
        <w:t>(box 3).</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952413" w:rsidRPr="00AC3675" w14:paraId="0B076E72" w14:textId="77777777" w:rsidTr="004A308C">
        <w:trPr>
          <w:trHeight w:val="342"/>
        </w:trPr>
        <w:tc>
          <w:tcPr>
            <w:tcW w:w="9060" w:type="dxa"/>
            <w:shd w:val="clear" w:color="auto" w:fill="EBF0FB" w:themeFill="background2" w:themeFillTint="33"/>
          </w:tcPr>
          <w:p w14:paraId="093FA621" w14:textId="77777777" w:rsidR="00952413" w:rsidRPr="00690557" w:rsidRDefault="00952413" w:rsidP="00B836D4">
            <w:pPr>
              <w:spacing w:before="120"/>
              <w:ind w:left="176" w:right="163"/>
              <w:rPr>
                <w:b/>
              </w:rPr>
            </w:pPr>
            <w:r w:rsidRPr="00690557">
              <w:rPr>
                <w:b/>
              </w:rPr>
              <w:t>BOX 3: Kompenzácie pri obranných nákupoch</w:t>
            </w:r>
          </w:p>
          <w:p w14:paraId="69D4E3A7" w14:textId="0E499791" w:rsidR="00952413" w:rsidRPr="00690557" w:rsidRDefault="00952413" w:rsidP="00B836D4">
            <w:pPr>
              <w:ind w:left="176" w:right="163"/>
              <w:rPr>
                <w:sz w:val="18"/>
              </w:rPr>
            </w:pPr>
            <w:r w:rsidRPr="00690557">
              <w:rPr>
                <w:sz w:val="18"/>
              </w:rPr>
              <w:t>NKÚ SR zverejnil v júni 2021 analytický komentár zameraný na opodstatnenosť a efektívnosť nákupu stíhacích lietadiel F-16</w:t>
            </w:r>
            <w:r w:rsidR="00AC3D1E">
              <w:rPr>
                <w:sz w:val="18"/>
              </w:rPr>
              <w:t>.</w:t>
            </w:r>
            <w:r w:rsidRPr="00B37332">
              <w:rPr>
                <w:sz w:val="18"/>
                <w:vertAlign w:val="superscript"/>
              </w:rPr>
              <w:footnoteReference w:id="23"/>
            </w:r>
            <w:r w:rsidRPr="00690557">
              <w:rPr>
                <w:sz w:val="18"/>
              </w:rPr>
              <w:t xml:space="preserve"> V komentári sme upozornili aj na to, že keby sa pri nákupe požadovali kompenzačné programy</w:t>
            </w:r>
            <w:r w:rsidRPr="00B37332">
              <w:rPr>
                <w:sz w:val="18"/>
                <w:vertAlign w:val="superscript"/>
              </w:rPr>
              <w:footnoteReference w:id="24"/>
            </w:r>
            <w:r w:rsidRPr="00690557">
              <w:rPr>
                <w:sz w:val="18"/>
              </w:rPr>
              <w:t xml:space="preserve">, ekonomika SR mohla byť podporená sumou až do výšky obstarávacej ceny lietadiel, t. j. 1,9 mld. eur. V nadväznosti na toto zistenie sme formulovali nasledovné odporúčanie: „Pri každom ďalšom </w:t>
            </w:r>
            <w:r w:rsidRPr="00690557">
              <w:rPr>
                <w:sz w:val="18"/>
              </w:rPr>
              <w:lastRenderedPageBreak/>
              <w:t>zahraničnom akvizičnom projekte Ozbrojených síl SR požadovať benefity v podobe kompenzačných programov až do výšky 100 % hodnoty kontraktu a ich zohľadnenie ako jedného z kritérií pri výbere. Zvoliť optimálnu stratégiu implementácie týchto programov pre podporu slovenského zbrojného priemyslu.“</w:t>
            </w:r>
          </w:p>
          <w:p w14:paraId="272E6931" w14:textId="77777777" w:rsidR="00952413" w:rsidRPr="00690557" w:rsidRDefault="00952413" w:rsidP="00B836D4">
            <w:pPr>
              <w:ind w:left="176" w:right="163"/>
              <w:rPr>
                <w:sz w:val="18"/>
              </w:rPr>
            </w:pPr>
            <w:r w:rsidRPr="00690557">
              <w:rPr>
                <w:sz w:val="18"/>
              </w:rPr>
              <w:t>Naše odporúčanie je v súlade s implementáciou Smernice ES č. 2009/81</w:t>
            </w:r>
            <w:r w:rsidRPr="00B37332">
              <w:rPr>
                <w:sz w:val="18"/>
                <w:vertAlign w:val="superscript"/>
              </w:rPr>
              <w:footnoteReference w:id="25"/>
            </w:r>
            <w:r w:rsidRPr="00690557">
              <w:rPr>
                <w:sz w:val="18"/>
              </w:rPr>
              <w:t>, na základe ktorej sa v posledných rokoch pri obstarávaní tovarov a služieb v oblasti obrany v Európe realizuje úroveň kompenzačných programov na úrovni 100 % hodnoty kontraktov.</w:t>
            </w:r>
            <w:r w:rsidRPr="00B37332">
              <w:rPr>
                <w:sz w:val="18"/>
                <w:vertAlign w:val="superscript"/>
              </w:rPr>
              <w:footnoteReference w:id="26"/>
            </w:r>
          </w:p>
          <w:p w14:paraId="3A864961" w14:textId="77777777" w:rsidR="00952413" w:rsidRPr="00690557" w:rsidRDefault="00952413" w:rsidP="00B836D4">
            <w:pPr>
              <w:ind w:left="176" w:right="163"/>
              <w:rPr>
                <w:sz w:val="18"/>
              </w:rPr>
            </w:pPr>
            <w:r w:rsidRPr="00690557">
              <w:rPr>
                <w:sz w:val="18"/>
              </w:rPr>
              <w:t>Pri nákupe stíhacích lietadiel F-16 (</w:t>
            </w:r>
            <w:r>
              <w:rPr>
                <w:sz w:val="18"/>
              </w:rPr>
              <w:t xml:space="preserve">v roku </w:t>
            </w:r>
            <w:r w:rsidRPr="00690557">
              <w:rPr>
                <w:sz w:val="18"/>
              </w:rPr>
              <w:t xml:space="preserve">2018) neboli kompenzačné programy riešené vôbec a v súčasnosti pri obstarávaní </w:t>
            </w:r>
            <w:r>
              <w:rPr>
                <w:sz w:val="18"/>
              </w:rPr>
              <w:t>bojových obrnených vozidiel</w:t>
            </w:r>
            <w:r w:rsidRPr="00690557">
              <w:rPr>
                <w:sz w:val="18"/>
              </w:rPr>
              <w:t xml:space="preserve"> </w:t>
            </w:r>
            <w:r>
              <w:rPr>
                <w:sz w:val="18"/>
              </w:rPr>
              <w:t xml:space="preserve">8x8 </w:t>
            </w:r>
            <w:r w:rsidRPr="00690557">
              <w:rPr>
                <w:sz w:val="18"/>
              </w:rPr>
              <w:t>MO SR zvolilo kritérium – „program priamej priemyselnej spolupráce s účasťou slovenského priemyslu v hodnote najmenej 40 % z celkovej obstarávacej ceny“.</w:t>
            </w:r>
            <w:r w:rsidRPr="00B37332">
              <w:rPr>
                <w:sz w:val="18"/>
                <w:vertAlign w:val="superscript"/>
              </w:rPr>
              <w:footnoteReference w:id="27"/>
            </w:r>
          </w:p>
          <w:p w14:paraId="4CB9DA24" w14:textId="51A49069" w:rsidR="00952413" w:rsidRPr="00E244F6" w:rsidRDefault="00952413" w:rsidP="00B836D4">
            <w:pPr>
              <w:ind w:left="176" w:right="163"/>
              <w:rPr>
                <w:sz w:val="18"/>
              </w:rPr>
            </w:pPr>
            <w:r w:rsidRPr="00690557">
              <w:rPr>
                <w:sz w:val="18"/>
              </w:rPr>
              <w:t xml:space="preserve">MO SR dňa 30. 8. 2022 podpísalo medzivládnu zmluvu (G2G) s Fínskom na nákup 76 </w:t>
            </w:r>
            <w:r>
              <w:rPr>
                <w:sz w:val="18"/>
              </w:rPr>
              <w:t>bojových obrnených vozidiel</w:t>
            </w:r>
            <w:r w:rsidRPr="00690557">
              <w:rPr>
                <w:sz w:val="18"/>
              </w:rPr>
              <w:t xml:space="preserve"> Patria AMVXP 8x8</w:t>
            </w:r>
            <w:r w:rsidRPr="006C218D">
              <w:rPr>
                <w:sz w:val="18"/>
                <w:vertAlign w:val="superscript"/>
              </w:rPr>
              <w:footnoteReference w:id="28"/>
            </w:r>
            <w:r w:rsidRPr="00690557">
              <w:rPr>
                <w:sz w:val="18"/>
              </w:rPr>
              <w:t xml:space="preserve"> a v súčasnosti realizuje finálnu prípravu G2G zmluvy so Švédskom pre </w:t>
            </w:r>
            <w:r>
              <w:rPr>
                <w:sz w:val="18"/>
              </w:rPr>
              <w:t>pásové bojové obrnené vozidlá</w:t>
            </w:r>
            <w:r w:rsidRPr="00690557">
              <w:rPr>
                <w:sz w:val="18"/>
              </w:rPr>
              <w:t xml:space="preserve"> (1</w:t>
            </w:r>
            <w:r>
              <w:rPr>
                <w:sz w:val="18"/>
              </w:rPr>
              <w:t xml:space="preserve"> </w:t>
            </w:r>
            <w:r w:rsidRPr="00690557">
              <w:rPr>
                <w:sz w:val="18"/>
              </w:rPr>
              <w:t>689 mil. eur s DPH). Z</w:t>
            </w:r>
            <w:r>
              <w:rPr>
                <w:sz w:val="18"/>
              </w:rPr>
              <w:t>atiaľ z</w:t>
            </w:r>
            <w:r w:rsidRPr="00690557">
              <w:rPr>
                <w:sz w:val="18"/>
              </w:rPr>
              <w:t>verejnená zmluva neobsahuje dohodu o kompenzačných programoch, ktorá má byť súčasťou takejto zmluvy.</w:t>
            </w:r>
            <w:r w:rsidRPr="006C218D">
              <w:rPr>
                <w:sz w:val="18"/>
                <w:vertAlign w:val="superscript"/>
              </w:rPr>
              <w:t>2</w:t>
            </w:r>
            <w:r w:rsidR="00571D72">
              <w:rPr>
                <w:sz w:val="18"/>
                <w:vertAlign w:val="superscript"/>
              </w:rPr>
              <w:t>6</w:t>
            </w:r>
            <w:r w:rsidRPr="00B37332">
              <w:rPr>
                <w:sz w:val="18"/>
                <w:vertAlign w:val="superscript"/>
              </w:rPr>
              <w:t xml:space="preserve"> </w:t>
            </w:r>
            <w:r w:rsidRPr="00690557">
              <w:rPr>
                <w:sz w:val="18"/>
              </w:rPr>
              <w:t>Pre porovnanie uvádzame niektoré princípy kompenzačných programov zakotvené v legislatíve Nórskeho kráľovstva a Českej republiky</w:t>
            </w:r>
            <w:r w:rsidR="00AC3D1E">
              <w:rPr>
                <w:sz w:val="18"/>
              </w:rPr>
              <w:t>.</w:t>
            </w:r>
            <w:r w:rsidRPr="00B37332">
              <w:rPr>
                <w:sz w:val="18"/>
                <w:vertAlign w:val="superscript"/>
              </w:rPr>
              <w:footnoteReference w:id="29"/>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952413" w14:paraId="66281E46" w14:textId="77777777" w:rsidTr="004A308C">
              <w:tc>
                <w:tcPr>
                  <w:tcW w:w="4417" w:type="dxa"/>
                </w:tcPr>
                <w:p w14:paraId="10F270FF" w14:textId="77777777" w:rsidR="00952413" w:rsidRPr="00B31D15" w:rsidRDefault="00952413" w:rsidP="004A308C">
                  <w:pPr>
                    <w:jc w:val="center"/>
                    <w:rPr>
                      <w:rFonts w:cs="Segoe UI"/>
                      <w:b/>
                      <w:noProof/>
                    </w:rPr>
                  </w:pPr>
                  <w:r w:rsidRPr="00B31D15">
                    <w:rPr>
                      <w:rFonts w:cs="Segoe UI"/>
                      <w:b/>
                      <w:noProof/>
                    </w:rPr>
                    <w:t>Nórsko</w:t>
                  </w:r>
                </w:p>
              </w:tc>
              <w:tc>
                <w:tcPr>
                  <w:tcW w:w="4417" w:type="dxa"/>
                </w:tcPr>
                <w:p w14:paraId="3FE598EA" w14:textId="77777777" w:rsidR="00952413" w:rsidRPr="00B31D15" w:rsidRDefault="00952413" w:rsidP="004A308C">
                  <w:pPr>
                    <w:jc w:val="center"/>
                    <w:rPr>
                      <w:rFonts w:cs="Segoe UI"/>
                      <w:b/>
                      <w:noProof/>
                    </w:rPr>
                  </w:pPr>
                  <w:r w:rsidRPr="00B31D15">
                    <w:rPr>
                      <w:rFonts w:cs="Segoe UI"/>
                      <w:b/>
                      <w:noProof/>
                    </w:rPr>
                    <w:t>Česko</w:t>
                  </w:r>
                </w:p>
              </w:tc>
            </w:tr>
            <w:tr w:rsidR="00952413" w14:paraId="56FCBE8E" w14:textId="77777777" w:rsidTr="004A308C">
              <w:tc>
                <w:tcPr>
                  <w:tcW w:w="4417" w:type="dxa"/>
                </w:tcPr>
                <w:p w14:paraId="2C1E5865" w14:textId="77777777" w:rsidR="00952413" w:rsidRPr="009169FD" w:rsidRDefault="00952413" w:rsidP="009169FD">
                  <w:pPr>
                    <w:pStyle w:val="Odsekzoznamu"/>
                    <w:numPr>
                      <w:ilvl w:val="0"/>
                      <w:numId w:val="9"/>
                    </w:numPr>
                    <w:spacing w:after="0" w:line="240" w:lineRule="auto"/>
                    <w:contextualSpacing w:val="0"/>
                    <w:jc w:val="left"/>
                    <w:rPr>
                      <w:rFonts w:cs="Segoe UI"/>
                      <w:noProof/>
                      <w:sz w:val="18"/>
                      <w:szCs w:val="16"/>
                    </w:rPr>
                  </w:pPr>
                  <w:r w:rsidRPr="009169FD">
                    <w:rPr>
                      <w:rFonts w:cs="Segoe UI"/>
                      <w:noProof/>
                      <w:sz w:val="18"/>
                      <w:szCs w:val="16"/>
                    </w:rPr>
                    <w:t>pre obranné nákupy</w:t>
                  </w:r>
                </w:p>
                <w:p w14:paraId="2331E2ED" w14:textId="77777777" w:rsidR="00952413" w:rsidRPr="009169FD" w:rsidRDefault="00952413" w:rsidP="009169FD">
                  <w:pPr>
                    <w:pStyle w:val="Odsekzoznamu"/>
                    <w:numPr>
                      <w:ilvl w:val="0"/>
                      <w:numId w:val="9"/>
                    </w:numPr>
                    <w:spacing w:after="0" w:line="240" w:lineRule="auto"/>
                    <w:contextualSpacing w:val="0"/>
                    <w:jc w:val="left"/>
                    <w:rPr>
                      <w:rFonts w:cs="Segoe UI"/>
                      <w:noProof/>
                      <w:sz w:val="18"/>
                      <w:szCs w:val="16"/>
                    </w:rPr>
                  </w:pPr>
                  <w:r w:rsidRPr="009169FD">
                    <w:rPr>
                      <w:rFonts w:cs="Segoe UI"/>
                      <w:noProof/>
                      <w:sz w:val="18"/>
                      <w:szCs w:val="16"/>
                    </w:rPr>
                    <w:t>definovaná zodpovedná inštitúcia</w:t>
                  </w:r>
                </w:p>
                <w:p w14:paraId="4BDB5578" w14:textId="77777777" w:rsidR="00952413" w:rsidRPr="009169FD" w:rsidRDefault="00952413" w:rsidP="009169FD">
                  <w:pPr>
                    <w:pStyle w:val="Odsekzoznamu"/>
                    <w:numPr>
                      <w:ilvl w:val="0"/>
                      <w:numId w:val="9"/>
                    </w:numPr>
                    <w:spacing w:after="0" w:line="240" w:lineRule="auto"/>
                    <w:contextualSpacing w:val="0"/>
                    <w:jc w:val="left"/>
                    <w:rPr>
                      <w:rFonts w:cs="Segoe UI"/>
                      <w:noProof/>
                      <w:sz w:val="18"/>
                      <w:szCs w:val="16"/>
                    </w:rPr>
                  </w:pPr>
                  <w:r w:rsidRPr="009169FD">
                    <w:rPr>
                      <w:rFonts w:cs="Segoe UI"/>
                      <w:noProof/>
                      <w:sz w:val="18"/>
                      <w:szCs w:val="16"/>
                    </w:rPr>
                    <w:t>definovaný postup a finančné limity</w:t>
                  </w:r>
                </w:p>
                <w:p w14:paraId="386ABF5A" w14:textId="77777777" w:rsidR="00952413" w:rsidRPr="009169FD" w:rsidRDefault="00952413" w:rsidP="009169FD">
                  <w:pPr>
                    <w:pStyle w:val="Odsekzoznamu"/>
                    <w:numPr>
                      <w:ilvl w:val="0"/>
                      <w:numId w:val="9"/>
                    </w:numPr>
                    <w:spacing w:after="0" w:line="240" w:lineRule="auto"/>
                    <w:contextualSpacing w:val="0"/>
                    <w:jc w:val="left"/>
                    <w:rPr>
                      <w:rFonts w:cs="Segoe UI"/>
                      <w:noProof/>
                      <w:sz w:val="18"/>
                      <w:szCs w:val="16"/>
                    </w:rPr>
                  </w:pPr>
                  <w:r w:rsidRPr="009169FD">
                    <w:rPr>
                      <w:rFonts w:cs="Segoe UI"/>
                      <w:noProof/>
                      <w:sz w:val="18"/>
                      <w:szCs w:val="16"/>
                    </w:rPr>
                    <w:t>používa presne definované multiplikátory</w:t>
                  </w:r>
                </w:p>
                <w:p w14:paraId="723BA29B" w14:textId="77777777" w:rsidR="00952413" w:rsidRPr="009169FD" w:rsidRDefault="00952413" w:rsidP="009169FD">
                  <w:pPr>
                    <w:pStyle w:val="Odsekzoznamu"/>
                    <w:numPr>
                      <w:ilvl w:val="0"/>
                      <w:numId w:val="9"/>
                    </w:numPr>
                    <w:spacing w:after="0" w:line="240" w:lineRule="auto"/>
                    <w:contextualSpacing w:val="0"/>
                    <w:jc w:val="left"/>
                    <w:rPr>
                      <w:rFonts w:cs="Segoe UI"/>
                      <w:noProof/>
                      <w:sz w:val="18"/>
                      <w:szCs w:val="16"/>
                    </w:rPr>
                  </w:pPr>
                  <w:r w:rsidRPr="009169FD">
                    <w:rPr>
                      <w:rFonts w:cs="Segoe UI"/>
                      <w:noProof/>
                      <w:sz w:val="18"/>
                      <w:szCs w:val="16"/>
                    </w:rPr>
                    <w:t>pri sporoch je používané výlučne nórske právo</w:t>
                  </w:r>
                </w:p>
                <w:p w14:paraId="74D9F603" w14:textId="77777777" w:rsidR="00952413" w:rsidRPr="009169FD" w:rsidRDefault="00952413" w:rsidP="009169FD">
                  <w:pPr>
                    <w:pStyle w:val="Odsekzoznamu"/>
                    <w:numPr>
                      <w:ilvl w:val="0"/>
                      <w:numId w:val="9"/>
                    </w:numPr>
                    <w:spacing w:after="0" w:line="240" w:lineRule="auto"/>
                    <w:contextualSpacing w:val="0"/>
                    <w:jc w:val="left"/>
                    <w:rPr>
                      <w:rFonts w:cs="Segoe UI"/>
                      <w:noProof/>
                      <w:sz w:val="18"/>
                      <w:szCs w:val="16"/>
                    </w:rPr>
                  </w:pPr>
                  <w:r w:rsidRPr="009169FD">
                    <w:rPr>
                      <w:rFonts w:cs="Segoe UI"/>
                      <w:noProof/>
                      <w:sz w:val="18"/>
                      <w:szCs w:val="16"/>
                    </w:rPr>
                    <w:t>dodávateľ musí uzavrieť priemyselnú spoluprácu na minimálne 100 % hodnoty základu definovaného výpočtu</w:t>
                  </w:r>
                </w:p>
                <w:p w14:paraId="68BFCBE5" w14:textId="77777777" w:rsidR="00952413" w:rsidRPr="009169FD" w:rsidRDefault="00952413" w:rsidP="009169FD">
                  <w:pPr>
                    <w:pStyle w:val="Odsekzoznamu"/>
                    <w:numPr>
                      <w:ilvl w:val="0"/>
                      <w:numId w:val="9"/>
                    </w:numPr>
                    <w:spacing w:after="0" w:line="240" w:lineRule="auto"/>
                    <w:contextualSpacing w:val="0"/>
                    <w:jc w:val="left"/>
                    <w:rPr>
                      <w:rFonts w:cs="Segoe UI"/>
                      <w:noProof/>
                      <w:sz w:val="18"/>
                      <w:szCs w:val="16"/>
                    </w:rPr>
                  </w:pPr>
                  <w:r w:rsidRPr="009169FD">
                    <w:rPr>
                      <w:rFonts w:cs="Segoe UI"/>
                      <w:noProof/>
                      <w:sz w:val="18"/>
                      <w:szCs w:val="16"/>
                    </w:rPr>
                    <w:t>definovaný počet míľnikov</w:t>
                  </w:r>
                </w:p>
                <w:p w14:paraId="20FE054E" w14:textId="77777777" w:rsidR="00952413" w:rsidRPr="00535E15" w:rsidRDefault="00952413" w:rsidP="009169FD">
                  <w:pPr>
                    <w:pStyle w:val="Odsekzoznamu"/>
                    <w:numPr>
                      <w:ilvl w:val="0"/>
                      <w:numId w:val="9"/>
                    </w:numPr>
                    <w:spacing w:line="240" w:lineRule="auto"/>
                    <w:contextualSpacing w:val="0"/>
                    <w:jc w:val="left"/>
                    <w:rPr>
                      <w:rFonts w:cs="Segoe UI"/>
                      <w:noProof/>
                      <w:sz w:val="16"/>
                      <w:szCs w:val="16"/>
                    </w:rPr>
                  </w:pPr>
                  <w:r w:rsidRPr="009169FD">
                    <w:rPr>
                      <w:rFonts w:cs="Segoe UI"/>
                      <w:noProof/>
                      <w:sz w:val="18"/>
                      <w:szCs w:val="16"/>
                    </w:rPr>
                    <w:t>určené sankcie</w:t>
                  </w:r>
                </w:p>
              </w:tc>
              <w:tc>
                <w:tcPr>
                  <w:tcW w:w="4417" w:type="dxa"/>
                </w:tcPr>
                <w:p w14:paraId="4C1E5781" w14:textId="77777777" w:rsidR="00952413" w:rsidRPr="009169FD" w:rsidRDefault="00952413" w:rsidP="009169FD">
                  <w:pPr>
                    <w:pStyle w:val="Odsekzoznamu"/>
                    <w:numPr>
                      <w:ilvl w:val="0"/>
                      <w:numId w:val="9"/>
                    </w:numPr>
                    <w:spacing w:after="0" w:line="240" w:lineRule="auto"/>
                    <w:jc w:val="left"/>
                    <w:rPr>
                      <w:rFonts w:cs="Segoe UI"/>
                      <w:noProof/>
                      <w:sz w:val="18"/>
                      <w:szCs w:val="16"/>
                    </w:rPr>
                  </w:pPr>
                  <w:r w:rsidRPr="009169FD">
                    <w:rPr>
                      <w:rFonts w:cs="Segoe UI"/>
                      <w:noProof/>
                      <w:sz w:val="18"/>
                      <w:szCs w:val="16"/>
                    </w:rPr>
                    <w:t>pre všetky verejné zákazky</w:t>
                  </w:r>
                </w:p>
                <w:p w14:paraId="430FC55B" w14:textId="77777777" w:rsidR="00952413" w:rsidRPr="009169FD" w:rsidRDefault="00952413" w:rsidP="009169FD">
                  <w:pPr>
                    <w:pStyle w:val="Odsekzoznamu"/>
                    <w:numPr>
                      <w:ilvl w:val="0"/>
                      <w:numId w:val="9"/>
                    </w:numPr>
                    <w:spacing w:after="0" w:line="240" w:lineRule="auto"/>
                    <w:jc w:val="left"/>
                    <w:rPr>
                      <w:rFonts w:cs="Segoe UI"/>
                      <w:noProof/>
                      <w:sz w:val="18"/>
                      <w:szCs w:val="16"/>
                    </w:rPr>
                  </w:pPr>
                  <w:r w:rsidRPr="009169FD">
                    <w:rPr>
                      <w:rFonts w:cs="Segoe UI"/>
                      <w:noProof/>
                      <w:sz w:val="18"/>
                      <w:szCs w:val="16"/>
                    </w:rPr>
                    <w:t>definovaná zodpovedná inštitúcia</w:t>
                  </w:r>
                </w:p>
                <w:p w14:paraId="4F131790" w14:textId="77777777" w:rsidR="00952413" w:rsidRPr="009169FD" w:rsidRDefault="00952413" w:rsidP="009169FD">
                  <w:pPr>
                    <w:pStyle w:val="Odsekzoznamu"/>
                    <w:numPr>
                      <w:ilvl w:val="0"/>
                      <w:numId w:val="9"/>
                    </w:numPr>
                    <w:spacing w:after="0" w:line="240" w:lineRule="auto"/>
                    <w:jc w:val="left"/>
                    <w:rPr>
                      <w:rFonts w:cs="Segoe UI"/>
                      <w:noProof/>
                      <w:sz w:val="18"/>
                      <w:szCs w:val="16"/>
                    </w:rPr>
                  </w:pPr>
                  <w:r w:rsidRPr="009169FD">
                    <w:rPr>
                      <w:rFonts w:cs="Segoe UI"/>
                      <w:noProof/>
                      <w:sz w:val="18"/>
                      <w:szCs w:val="16"/>
                    </w:rPr>
                    <w:t>definovaný postup a finančné limity</w:t>
                  </w:r>
                </w:p>
                <w:p w14:paraId="2A7BD18C" w14:textId="77777777" w:rsidR="00952413" w:rsidRPr="009169FD" w:rsidRDefault="00952413" w:rsidP="009169FD">
                  <w:pPr>
                    <w:pStyle w:val="Odsekzoznamu"/>
                    <w:numPr>
                      <w:ilvl w:val="0"/>
                      <w:numId w:val="9"/>
                    </w:numPr>
                    <w:spacing w:after="0" w:line="240" w:lineRule="auto"/>
                    <w:jc w:val="left"/>
                    <w:rPr>
                      <w:rFonts w:cs="Segoe UI"/>
                      <w:noProof/>
                      <w:sz w:val="18"/>
                      <w:szCs w:val="16"/>
                    </w:rPr>
                  </w:pPr>
                  <w:r w:rsidRPr="009169FD">
                    <w:rPr>
                      <w:rFonts w:cs="Segoe UI"/>
                      <w:noProof/>
                      <w:sz w:val="18"/>
                      <w:szCs w:val="16"/>
                    </w:rPr>
                    <w:t>nepoužíva multiplikátory</w:t>
                  </w:r>
                </w:p>
                <w:p w14:paraId="6B22A05A" w14:textId="77777777" w:rsidR="00952413" w:rsidRPr="009169FD" w:rsidRDefault="00952413" w:rsidP="009169FD">
                  <w:pPr>
                    <w:pStyle w:val="Odsekzoznamu"/>
                    <w:numPr>
                      <w:ilvl w:val="0"/>
                      <w:numId w:val="9"/>
                    </w:numPr>
                    <w:spacing w:after="0" w:line="240" w:lineRule="auto"/>
                    <w:jc w:val="left"/>
                    <w:rPr>
                      <w:rFonts w:cs="Segoe UI"/>
                      <w:noProof/>
                      <w:sz w:val="18"/>
                      <w:szCs w:val="16"/>
                    </w:rPr>
                  </w:pPr>
                  <w:r w:rsidRPr="009169FD">
                    <w:rPr>
                      <w:rFonts w:cs="Segoe UI"/>
                      <w:noProof/>
                      <w:sz w:val="18"/>
                      <w:szCs w:val="16"/>
                    </w:rPr>
                    <w:t>výpočet hodnoty je presne definovaný</w:t>
                  </w:r>
                </w:p>
                <w:p w14:paraId="2A6E9B40" w14:textId="77777777" w:rsidR="00952413" w:rsidRPr="009169FD" w:rsidRDefault="00952413" w:rsidP="009169FD">
                  <w:pPr>
                    <w:pStyle w:val="Odsekzoznamu"/>
                    <w:numPr>
                      <w:ilvl w:val="0"/>
                      <w:numId w:val="9"/>
                    </w:numPr>
                    <w:spacing w:after="0" w:line="240" w:lineRule="auto"/>
                    <w:jc w:val="left"/>
                    <w:rPr>
                      <w:rFonts w:cs="Segoe UI"/>
                      <w:noProof/>
                      <w:sz w:val="18"/>
                      <w:szCs w:val="16"/>
                    </w:rPr>
                  </w:pPr>
                  <w:r w:rsidRPr="009169FD">
                    <w:rPr>
                      <w:rFonts w:cs="Segoe UI"/>
                      <w:noProof/>
                      <w:sz w:val="18"/>
                      <w:szCs w:val="16"/>
                    </w:rPr>
                    <w:t>ČR uznesením vlády č. 499/2010 schválila zásady pre offsety</w:t>
                  </w:r>
                </w:p>
                <w:p w14:paraId="7046B825" w14:textId="77777777" w:rsidR="00952413" w:rsidRPr="009169FD" w:rsidRDefault="00952413" w:rsidP="009169FD">
                  <w:pPr>
                    <w:pStyle w:val="Odsekzoznamu"/>
                    <w:numPr>
                      <w:ilvl w:val="0"/>
                      <w:numId w:val="9"/>
                    </w:numPr>
                    <w:spacing w:after="0" w:line="240" w:lineRule="auto"/>
                    <w:jc w:val="left"/>
                    <w:rPr>
                      <w:rFonts w:cs="Segoe UI"/>
                      <w:noProof/>
                      <w:sz w:val="18"/>
                      <w:szCs w:val="16"/>
                    </w:rPr>
                  </w:pPr>
                  <w:r w:rsidRPr="009169FD">
                    <w:rPr>
                      <w:rFonts w:cs="Segoe UI"/>
                      <w:noProof/>
                      <w:sz w:val="18"/>
                      <w:szCs w:val="16"/>
                    </w:rPr>
                    <w:t>hodnota offsetu nesmie prekročiť 100 % hodnoty kontraktu</w:t>
                  </w:r>
                </w:p>
                <w:p w14:paraId="641351BC" w14:textId="77777777" w:rsidR="00952413" w:rsidRPr="009169FD" w:rsidRDefault="00952413" w:rsidP="009169FD">
                  <w:pPr>
                    <w:pStyle w:val="Odsekzoznamu"/>
                    <w:numPr>
                      <w:ilvl w:val="0"/>
                      <w:numId w:val="9"/>
                    </w:numPr>
                    <w:spacing w:after="0" w:line="240" w:lineRule="auto"/>
                    <w:jc w:val="left"/>
                    <w:rPr>
                      <w:rFonts w:cs="Segoe UI"/>
                      <w:noProof/>
                      <w:sz w:val="18"/>
                      <w:szCs w:val="16"/>
                    </w:rPr>
                  </w:pPr>
                  <w:r w:rsidRPr="009169FD">
                    <w:rPr>
                      <w:rFonts w:cs="Segoe UI"/>
                      <w:noProof/>
                      <w:sz w:val="18"/>
                      <w:szCs w:val="16"/>
                    </w:rPr>
                    <w:t>zadávateľ vyhodnocuje a offsetová komisia sa vyjadruje</w:t>
                  </w:r>
                </w:p>
                <w:p w14:paraId="54338185" w14:textId="77777777" w:rsidR="00952413" w:rsidRPr="00535E15" w:rsidRDefault="00952413" w:rsidP="009169FD">
                  <w:pPr>
                    <w:pStyle w:val="Odsekzoznamu"/>
                    <w:numPr>
                      <w:ilvl w:val="0"/>
                      <w:numId w:val="9"/>
                    </w:numPr>
                    <w:spacing w:line="240" w:lineRule="auto"/>
                    <w:jc w:val="left"/>
                    <w:rPr>
                      <w:rFonts w:cs="Segoe UI"/>
                      <w:noProof/>
                      <w:sz w:val="16"/>
                      <w:szCs w:val="16"/>
                    </w:rPr>
                  </w:pPr>
                  <w:r w:rsidRPr="009169FD">
                    <w:rPr>
                      <w:rFonts w:cs="Segoe UI"/>
                      <w:noProof/>
                      <w:sz w:val="18"/>
                      <w:szCs w:val="16"/>
                    </w:rPr>
                    <w:t>povinné uvedenie sankcií</w:t>
                  </w:r>
                </w:p>
              </w:tc>
            </w:tr>
          </w:tbl>
          <w:p w14:paraId="3036FA37" w14:textId="77777777" w:rsidR="00952413" w:rsidRPr="00690557" w:rsidRDefault="00952413" w:rsidP="00B836D4">
            <w:pPr>
              <w:spacing w:before="120"/>
              <w:ind w:left="176" w:right="163"/>
              <w:rPr>
                <w:rFonts w:cs="Segoe UI"/>
                <w:noProof/>
                <w:sz w:val="18"/>
              </w:rPr>
            </w:pPr>
            <w:r w:rsidRPr="00690557">
              <w:rPr>
                <w:rFonts w:cs="Segoe UI"/>
                <w:noProof/>
                <w:sz w:val="18"/>
              </w:rPr>
              <w:t>Rozpočet kapitoly MO SR významne rastie a vybudovanie potrebných kapacít a spôsobilostí rezortu MO SR si do roku 2035 vyžiada 38 mld. eur (priemerne 2,92 mld. eur ročne).</w:t>
            </w:r>
            <w:r w:rsidRPr="00690557">
              <w:rPr>
                <w:rStyle w:val="Odkaznapoznmkupodiarou"/>
                <w:rFonts w:cs="Segoe UI"/>
                <w:noProof/>
                <w:sz w:val="18"/>
              </w:rPr>
              <w:footnoteReference w:id="30"/>
            </w:r>
            <w:r w:rsidRPr="00690557">
              <w:rPr>
                <w:rFonts w:cs="Segoe UI"/>
                <w:noProof/>
                <w:sz w:val="18"/>
              </w:rPr>
              <w:t xml:space="preserve"> Významná časť týchto prostriedkov bude využitá na obranné akvizičné projekty. Využívanie všetkých dostupných možností kompenzačných programov pri takýchto akvizíciách je nevyhnutné pre podporu domácej ekonomiky.</w:t>
            </w:r>
          </w:p>
          <w:p w14:paraId="4829EA1E" w14:textId="2F875088" w:rsidR="00952413" w:rsidRPr="00AE5D31" w:rsidRDefault="00AE5D31" w:rsidP="00AE5D31">
            <w:pPr>
              <w:ind w:left="176" w:right="163"/>
              <w:rPr>
                <w:rFonts w:cs="Segoe UI"/>
                <w:b/>
                <w:noProof/>
                <w:sz w:val="18"/>
                <w:szCs w:val="18"/>
              </w:rPr>
            </w:pPr>
            <w:r w:rsidRPr="006F0A6E">
              <w:rPr>
                <w:rFonts w:cs="Segoe UI"/>
                <w:b/>
                <w:noProof/>
                <w:sz w:val="18"/>
                <w:szCs w:val="18"/>
              </w:rPr>
              <w:t>Pred realizáciou ďalších obranných akvizícií je potrebné analyticky vyhodnotiť všetky relevantné možnosti</w:t>
            </w:r>
            <w:r>
              <w:rPr>
                <w:rFonts w:cs="Segoe UI"/>
                <w:b/>
                <w:noProof/>
                <w:sz w:val="18"/>
                <w:szCs w:val="18"/>
              </w:rPr>
              <w:t>,</w:t>
            </w:r>
            <w:r w:rsidRPr="006F0A6E">
              <w:rPr>
                <w:rFonts w:cs="Segoe UI"/>
                <w:b/>
                <w:noProof/>
                <w:sz w:val="18"/>
                <w:szCs w:val="18"/>
              </w:rPr>
              <w:t xml:space="preserve"> ako dosiahnuť ciele kompenzačných programov, ktoré sú používané v zahraničí</w:t>
            </w:r>
            <w:r w:rsidRPr="006F0A6E">
              <w:rPr>
                <w:rStyle w:val="Odkaznapoznmkupodiarou"/>
                <w:rFonts w:cs="Segoe UI"/>
                <w:b/>
                <w:noProof/>
                <w:sz w:val="18"/>
                <w:szCs w:val="18"/>
              </w:rPr>
              <w:footnoteReference w:id="31"/>
            </w:r>
            <w:r w:rsidRPr="006F0A6E">
              <w:rPr>
                <w:rFonts w:cs="Segoe UI"/>
                <w:b/>
                <w:noProof/>
                <w:sz w:val="18"/>
                <w:szCs w:val="18"/>
              </w:rPr>
              <w:t>, a v prípade potreby predložiť vláde návrh legislatívneho zámeru na ich zavedenie.</w:t>
            </w:r>
          </w:p>
        </w:tc>
      </w:tr>
    </w:tbl>
    <w:p w14:paraId="01D31885" w14:textId="59DC6E98" w:rsidR="0088656D" w:rsidRPr="0088656D" w:rsidRDefault="004D5D6A" w:rsidP="00C35785">
      <w:pPr>
        <w:spacing w:before="120"/>
      </w:pPr>
      <w:r>
        <w:lastRenderedPageBreak/>
        <w:t xml:space="preserve">Ďalšou dôležitou súčasťou kapitálových výdavkov sú investície do zdravotníctva, vrátane výstavby nových nemocníc. V tejto súvislosti </w:t>
      </w:r>
      <w:r w:rsidR="0088656D" w:rsidRPr="0088656D">
        <w:t xml:space="preserve">NKÚ SR negatívne hodnotí, že pre rezort zdravotníctva nie sú </w:t>
      </w:r>
      <w:r w:rsidR="0088656D" w:rsidRPr="0088656D">
        <w:rPr>
          <w:b/>
        </w:rPr>
        <w:t>zo ŠR vyčlenené žiadne prostriedky na kapitálové výdavky</w:t>
      </w:r>
      <w:r w:rsidR="0088656D" w:rsidRPr="0088656D">
        <w:t xml:space="preserve">. </w:t>
      </w:r>
      <w:r w:rsidR="00CB6343">
        <w:t>Na</w:t>
      </w:r>
      <w:r w:rsidR="0088656D" w:rsidRPr="0088656D">
        <w:t xml:space="preserve"> tento účel sú rozpočtované výlučne prostriedky z POO. Návrh RVS uvádza v súlade s priorizovaným investičným plánom MZ SR</w:t>
      </w:r>
      <w:r w:rsidR="0088656D" w:rsidRPr="0088656D">
        <w:rPr>
          <w:rStyle w:val="Odkaznapoznmkupodiarou"/>
        </w:rPr>
        <w:footnoteReference w:id="32"/>
      </w:r>
      <w:r w:rsidR="0088656D" w:rsidRPr="0088656D">
        <w:t>, že: „</w:t>
      </w:r>
      <w:r w:rsidR="0088656D" w:rsidRPr="0088656D">
        <w:rPr>
          <w:i/>
        </w:rPr>
        <w:t>Na rok 2023 je odhadované čerpanie prostriedkov vo výške 36 mil. eur zo štátneho rozpočtu a 30 mil. eur z prostriedkov Európskych štrukturálnych a investičných fondov.</w:t>
      </w:r>
      <w:r w:rsidR="0088656D" w:rsidRPr="0088656D">
        <w:t>“</w:t>
      </w:r>
      <w:r w:rsidR="0088656D" w:rsidRPr="0088656D">
        <w:rPr>
          <w:rStyle w:val="Odkaznapoznmkupodiarou"/>
        </w:rPr>
        <w:footnoteReference w:id="33"/>
      </w:r>
      <w:r w:rsidR="0088656D" w:rsidRPr="0088656D">
        <w:t xml:space="preserve"> Tieto prostriedky v rozpočte </w:t>
      </w:r>
      <w:r w:rsidR="00CB6343">
        <w:t>však</w:t>
      </w:r>
      <w:r w:rsidR="0088656D" w:rsidRPr="0088656D">
        <w:t xml:space="preserve"> reálne vyčlenené nie sú. V tomto ohľade je návrh rozpočtu nekonzistentný a neposkytuje dostatočnú mieru istoty, ako budú financované projekty, kde sa plánoval iný zdroj financovania ako POO.</w:t>
      </w:r>
      <w:r w:rsidR="009E22E5">
        <w:rPr>
          <w:rStyle w:val="Odkaznapoznmkupodiarou"/>
        </w:rPr>
        <w:footnoteReference w:id="34"/>
      </w:r>
    </w:p>
    <w:p w14:paraId="37F69F55" w14:textId="200EAD99" w:rsidR="003914D9" w:rsidRPr="00E34BBA" w:rsidRDefault="00B419A2" w:rsidP="00C41459">
      <w:pPr>
        <w:pStyle w:val="Odsekzoznamu"/>
        <w:numPr>
          <w:ilvl w:val="0"/>
          <w:numId w:val="8"/>
        </w:numPr>
        <w:rPr>
          <w:b/>
        </w:rPr>
      </w:pPr>
      <w:r>
        <w:rPr>
          <w:b/>
        </w:rPr>
        <w:t>Počet zamestnancov vo VS</w:t>
      </w:r>
    </w:p>
    <w:p w14:paraId="712FF604" w14:textId="005000DB" w:rsidR="008379F5" w:rsidRDefault="001F153B" w:rsidP="001F153B">
      <w:pPr>
        <w:rPr>
          <w:szCs w:val="20"/>
        </w:rPr>
      </w:pPr>
      <w:r w:rsidRPr="001F153B">
        <w:rPr>
          <w:szCs w:val="20"/>
        </w:rPr>
        <w:t xml:space="preserve">Krízové obdobie sa neprejavuje v úsporných opatreniach týkajúcich sa </w:t>
      </w:r>
      <w:r w:rsidR="00B80661" w:rsidRPr="001F153B">
        <w:rPr>
          <w:szCs w:val="20"/>
        </w:rPr>
        <w:t xml:space="preserve">počtu zamestnancov VS </w:t>
      </w:r>
      <w:r w:rsidR="008379F5">
        <w:rPr>
          <w:szCs w:val="20"/>
        </w:rPr>
        <w:t xml:space="preserve">a </w:t>
      </w:r>
      <w:r w:rsidRPr="001F153B">
        <w:rPr>
          <w:szCs w:val="20"/>
        </w:rPr>
        <w:t>mzdových výdavkov.</w:t>
      </w:r>
      <w:r w:rsidRPr="007C4EA2">
        <w:t xml:space="preserve"> </w:t>
      </w:r>
      <w:r w:rsidRPr="0062698F">
        <w:t xml:space="preserve">Rozpočtované osobné výdavky zamestnancov </w:t>
      </w:r>
      <w:r w:rsidR="00622B42">
        <w:t>VS</w:t>
      </w:r>
      <w:r w:rsidRPr="0062698F">
        <w:t xml:space="preserve"> tvoria </w:t>
      </w:r>
      <w:r w:rsidRPr="00622B42">
        <w:t xml:space="preserve">19,6 % z </w:t>
      </w:r>
      <w:r w:rsidR="0067655E">
        <w:t>celkov</w:t>
      </w:r>
      <w:r w:rsidRPr="00622B42">
        <w:t xml:space="preserve">ých výdavkov </w:t>
      </w:r>
      <w:r w:rsidR="00622B42" w:rsidRPr="00622B42">
        <w:t>VS</w:t>
      </w:r>
      <w:r w:rsidRPr="00622B42">
        <w:t>.</w:t>
      </w:r>
      <w:r w:rsidRPr="001F153B">
        <w:rPr>
          <w:b/>
          <w:szCs w:val="20"/>
        </w:rPr>
        <w:t xml:space="preserve"> Zamestnanosť </w:t>
      </w:r>
      <w:r w:rsidR="001768FA">
        <w:rPr>
          <w:b/>
          <w:szCs w:val="20"/>
        </w:rPr>
        <w:t xml:space="preserve">vo </w:t>
      </w:r>
      <w:r w:rsidR="008379F5">
        <w:rPr>
          <w:b/>
          <w:szCs w:val="20"/>
        </w:rPr>
        <w:t xml:space="preserve">VS </w:t>
      </w:r>
      <w:r w:rsidR="006F48F9">
        <w:rPr>
          <w:b/>
          <w:szCs w:val="20"/>
        </w:rPr>
        <w:t xml:space="preserve">má </w:t>
      </w:r>
      <w:r w:rsidRPr="001F153B">
        <w:rPr>
          <w:b/>
          <w:szCs w:val="20"/>
        </w:rPr>
        <w:t>v roku 2023</w:t>
      </w:r>
      <w:r w:rsidR="003D50E6">
        <w:rPr>
          <w:b/>
          <w:szCs w:val="20"/>
        </w:rPr>
        <w:t xml:space="preserve"> </w:t>
      </w:r>
      <w:r w:rsidR="001768FA">
        <w:rPr>
          <w:b/>
          <w:szCs w:val="20"/>
        </w:rPr>
        <w:t>m</w:t>
      </w:r>
      <w:r w:rsidRPr="001F153B">
        <w:rPr>
          <w:b/>
          <w:szCs w:val="20"/>
        </w:rPr>
        <w:t>edziročne vzr</w:t>
      </w:r>
      <w:r w:rsidR="003D50E6">
        <w:rPr>
          <w:b/>
          <w:szCs w:val="20"/>
        </w:rPr>
        <w:t>ásť</w:t>
      </w:r>
      <w:r w:rsidRPr="001F153B">
        <w:rPr>
          <w:b/>
          <w:szCs w:val="20"/>
        </w:rPr>
        <w:t xml:space="preserve"> o 10 377 osôb</w:t>
      </w:r>
      <w:r w:rsidR="001768FA">
        <w:rPr>
          <w:b/>
          <w:szCs w:val="20"/>
        </w:rPr>
        <w:t xml:space="preserve"> (2,4 %) na 439 387 osôb</w:t>
      </w:r>
      <w:r w:rsidR="00C55005">
        <w:rPr>
          <w:b/>
          <w:szCs w:val="20"/>
        </w:rPr>
        <w:t xml:space="preserve"> </w:t>
      </w:r>
      <w:r w:rsidR="00C55005" w:rsidRPr="00C55005">
        <w:rPr>
          <w:szCs w:val="20"/>
        </w:rPr>
        <w:t>(graf 9).</w:t>
      </w:r>
      <w:r w:rsidR="003D50E6" w:rsidRPr="003D50E6">
        <w:t xml:space="preserve"> </w:t>
      </w:r>
      <w:r w:rsidR="003D50E6" w:rsidRPr="003D50E6">
        <w:rPr>
          <w:szCs w:val="20"/>
        </w:rPr>
        <w:t>Rozpočtovaný počet zamestnancov sa však zvyčajne nedarí naplniť.</w:t>
      </w:r>
    </w:p>
    <w:p w14:paraId="2CC23D87" w14:textId="77777777" w:rsidR="008B650D" w:rsidRDefault="008B650D" w:rsidP="008B650D">
      <w:pPr>
        <w:keepNext/>
        <w:spacing w:after="0" w:line="240" w:lineRule="auto"/>
        <w:rPr>
          <w:rFonts w:eastAsia="Calibri" w:cs="Times New Roman"/>
          <w:b/>
          <w:iCs/>
          <w:color w:val="314364"/>
          <w:szCs w:val="18"/>
        </w:rPr>
      </w:pPr>
      <w:r w:rsidRPr="001F153B">
        <w:rPr>
          <w:rFonts w:eastAsia="Calibri" w:cs="Times New Roman"/>
          <w:b/>
          <w:iCs/>
          <w:color w:val="314364"/>
          <w:szCs w:val="18"/>
        </w:rPr>
        <w:t>Graf 9: Medziročná zmena počtu zamestnancov podľa oblastí VS</w:t>
      </w:r>
    </w:p>
    <w:tbl>
      <w:tblPr>
        <w:tblStyle w:val="Mriekatabuky"/>
        <w:tblW w:w="9140" w:type="dxa"/>
        <w:tblCellMar>
          <w:left w:w="70" w:type="dxa"/>
          <w:right w:w="70" w:type="dxa"/>
        </w:tblCellMar>
        <w:tblLook w:val="04A0" w:firstRow="1" w:lastRow="0" w:firstColumn="1" w:lastColumn="0" w:noHBand="0" w:noVBand="1"/>
      </w:tblPr>
      <w:tblGrid>
        <w:gridCol w:w="9140"/>
      </w:tblGrid>
      <w:tr w:rsidR="008B650D" w14:paraId="69E1A4DF" w14:textId="77777777" w:rsidTr="006F48F9">
        <w:trPr>
          <w:trHeight w:val="2815"/>
        </w:trPr>
        <w:tc>
          <w:tcPr>
            <w:tcW w:w="9140" w:type="dxa"/>
            <w:tcBorders>
              <w:top w:val="single" w:sz="4" w:space="0" w:color="314364" w:themeColor="text2"/>
              <w:left w:val="nil"/>
              <w:bottom w:val="single" w:sz="4" w:space="0" w:color="314364" w:themeColor="text2"/>
              <w:right w:val="nil"/>
            </w:tcBorders>
          </w:tcPr>
          <w:p w14:paraId="32BF2455" w14:textId="77777777" w:rsidR="008B650D" w:rsidRDefault="008B650D" w:rsidP="0054590C">
            <w:pPr>
              <w:keepNext/>
              <w:spacing w:after="0" w:line="240" w:lineRule="auto"/>
              <w:rPr>
                <w:rFonts w:eastAsia="Calibri" w:cs="Times New Roman"/>
                <w:b/>
                <w:iCs/>
                <w:color w:val="314364"/>
                <w:szCs w:val="18"/>
              </w:rPr>
            </w:pPr>
            <w:r>
              <w:rPr>
                <w:noProof/>
                <w:lang w:eastAsia="sk-SK"/>
              </w:rPr>
              <w:drawing>
                <wp:inline distT="0" distB="0" distL="0" distR="0" wp14:anchorId="70E12BDE" wp14:editId="207C4EB1">
                  <wp:extent cx="5692140" cy="1752600"/>
                  <wp:effectExtent l="0" t="0" r="381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107EF09B" w14:textId="2404984F" w:rsidR="008B650D" w:rsidRPr="00B419A2" w:rsidRDefault="008B650D" w:rsidP="008B650D">
      <w:pPr>
        <w:pStyle w:val="Zdroj"/>
      </w:pPr>
      <w:r>
        <w:t>Zdroj: MF SR</w:t>
      </w:r>
      <w:r w:rsidR="0067655E">
        <w:t xml:space="preserve">, </w:t>
      </w:r>
      <w:r>
        <w:t xml:space="preserve">* </w:t>
      </w:r>
      <w:r w:rsidRPr="00B419A2">
        <w:t>vrátane metodickej zmeny preradenia SVP, š.</w:t>
      </w:r>
      <w:r>
        <w:t xml:space="preserve"> </w:t>
      </w:r>
      <w:r w:rsidRPr="00B419A2">
        <w:t>p.</w:t>
      </w:r>
    </w:p>
    <w:p w14:paraId="5180443B" w14:textId="597768C5" w:rsidR="00002D2F" w:rsidRDefault="001F153B" w:rsidP="001F153B">
      <w:r w:rsidRPr="001F153B">
        <w:rPr>
          <w:szCs w:val="20"/>
        </w:rPr>
        <w:t>Hoci nárast o</w:t>
      </w:r>
      <w:r w:rsidR="001768FA">
        <w:rPr>
          <w:szCs w:val="20"/>
        </w:rPr>
        <w:t xml:space="preserve"> vyše </w:t>
      </w:r>
      <w:r w:rsidRPr="001F153B">
        <w:rPr>
          <w:szCs w:val="20"/>
        </w:rPr>
        <w:t xml:space="preserve">3 tis. zamestnancov je z dôvodu </w:t>
      </w:r>
      <w:r w:rsidR="008379F5">
        <w:rPr>
          <w:szCs w:val="20"/>
        </w:rPr>
        <w:t>začlenenia</w:t>
      </w:r>
      <w:r w:rsidRPr="001F153B">
        <w:rPr>
          <w:szCs w:val="20"/>
        </w:rPr>
        <w:t xml:space="preserve"> SVP</w:t>
      </w:r>
      <w:r w:rsidR="008379F5">
        <w:rPr>
          <w:szCs w:val="20"/>
        </w:rPr>
        <w:t>, š. p.</w:t>
      </w:r>
      <w:r w:rsidRPr="001F153B">
        <w:rPr>
          <w:szCs w:val="20"/>
        </w:rPr>
        <w:t xml:space="preserve"> do VS, navýšenie o zvyšných 7 tis. osôb je v rozpore s opatreniami z </w:t>
      </w:r>
      <w:r w:rsidR="006F48F9">
        <w:rPr>
          <w:szCs w:val="20"/>
        </w:rPr>
        <w:t>r</w:t>
      </w:r>
      <w:r w:rsidRPr="001F153B">
        <w:rPr>
          <w:szCs w:val="20"/>
        </w:rPr>
        <w:t>evízie výdavkov</w:t>
      </w:r>
      <w:r w:rsidR="009C1181">
        <w:rPr>
          <w:rStyle w:val="Odkaznapoznmkupodiarou"/>
          <w:szCs w:val="20"/>
        </w:rPr>
        <w:footnoteReference w:id="35"/>
      </w:r>
      <w:r w:rsidRPr="001F153B">
        <w:rPr>
          <w:szCs w:val="20"/>
        </w:rPr>
        <w:t xml:space="preserve">, ktorá ako kľúčové opatrenie navrhuje 10 % zníženie počtu zamestnancov v ústrednej štátnej správe. K medziročnému </w:t>
      </w:r>
      <w:r w:rsidR="006F48F9">
        <w:rPr>
          <w:szCs w:val="20"/>
        </w:rPr>
        <w:t>rastu</w:t>
      </w:r>
      <w:r w:rsidRPr="001F153B">
        <w:rPr>
          <w:szCs w:val="20"/>
        </w:rPr>
        <w:t xml:space="preserve"> dochádza </w:t>
      </w:r>
      <w:r w:rsidR="006F48F9">
        <w:rPr>
          <w:szCs w:val="20"/>
        </w:rPr>
        <w:t>najmä</w:t>
      </w:r>
      <w:r w:rsidRPr="001F153B">
        <w:rPr>
          <w:szCs w:val="20"/>
        </w:rPr>
        <w:t xml:space="preserve"> v kapitole MV SR </w:t>
      </w:r>
      <w:r w:rsidR="008379F5">
        <w:rPr>
          <w:szCs w:val="20"/>
        </w:rPr>
        <w:t>(</w:t>
      </w:r>
      <w:r w:rsidRPr="001F153B">
        <w:rPr>
          <w:szCs w:val="20"/>
        </w:rPr>
        <w:t>o 431 osôb</w:t>
      </w:r>
      <w:r w:rsidR="008379F5">
        <w:rPr>
          <w:szCs w:val="20"/>
        </w:rPr>
        <w:t>)</w:t>
      </w:r>
      <w:r w:rsidRPr="001F153B">
        <w:rPr>
          <w:szCs w:val="20"/>
        </w:rPr>
        <w:t xml:space="preserve"> a MPSVR SR </w:t>
      </w:r>
      <w:r w:rsidR="008379F5">
        <w:rPr>
          <w:szCs w:val="20"/>
        </w:rPr>
        <w:t>(</w:t>
      </w:r>
      <w:r w:rsidRPr="001F153B">
        <w:rPr>
          <w:szCs w:val="20"/>
        </w:rPr>
        <w:t>o 392 osôb</w:t>
      </w:r>
      <w:r w:rsidR="008379F5">
        <w:rPr>
          <w:szCs w:val="20"/>
        </w:rPr>
        <w:t>)</w:t>
      </w:r>
      <w:r w:rsidRPr="001F153B">
        <w:rPr>
          <w:szCs w:val="20"/>
        </w:rPr>
        <w:t>. Takmer 5 tis. zame</w:t>
      </w:r>
      <w:r w:rsidR="006F48F9">
        <w:rPr>
          <w:szCs w:val="20"/>
        </w:rPr>
        <w:t xml:space="preserve">stnancov má pribudnúť </w:t>
      </w:r>
      <w:r w:rsidRPr="001F153B">
        <w:rPr>
          <w:szCs w:val="20"/>
        </w:rPr>
        <w:t xml:space="preserve">samospráve. </w:t>
      </w:r>
      <w:r w:rsidR="006F48F9">
        <w:rPr>
          <w:szCs w:val="20"/>
        </w:rPr>
        <w:t>Z</w:t>
      </w:r>
      <w:r w:rsidRPr="0062698F">
        <w:t>amestnanos</w:t>
      </w:r>
      <w:r w:rsidR="006F48F9">
        <w:t>ť</w:t>
      </w:r>
      <w:r w:rsidRPr="0062698F">
        <w:t xml:space="preserve"> vo </w:t>
      </w:r>
      <w:r w:rsidR="00622B42">
        <w:t>VS</w:t>
      </w:r>
      <w:r w:rsidRPr="0062698F">
        <w:t xml:space="preserve"> </w:t>
      </w:r>
      <w:r w:rsidR="006F48F9">
        <w:t>rastie</w:t>
      </w:r>
      <w:r w:rsidRPr="0062698F">
        <w:t xml:space="preserve"> aj napriek tomu, že v rámci transformácie časti S</w:t>
      </w:r>
      <w:r w:rsidR="008379F5">
        <w:t>AV</w:t>
      </w:r>
      <w:r w:rsidRPr="0062698F">
        <w:t xml:space="preserve"> na verejné výskumn</w:t>
      </w:r>
      <w:r w:rsidR="009531BA">
        <w:t>é</w:t>
      </w:r>
      <w:r w:rsidRPr="0062698F">
        <w:t xml:space="preserve"> inštitúcie sa počet zamestnancov štátnych rozpočtových organizácií zníži o 722 osôb.</w:t>
      </w:r>
      <w:r w:rsidR="00002D2F">
        <w:t xml:space="preserve"> Kvôli realizácii</w:t>
      </w:r>
      <w:r w:rsidR="00002D2F" w:rsidRPr="00002D2F">
        <w:t xml:space="preserve"> P</w:t>
      </w:r>
      <w:r w:rsidR="00002D2F">
        <w:t xml:space="preserve">OO </w:t>
      </w:r>
      <w:r w:rsidR="00002D2F" w:rsidRPr="00002D2F">
        <w:t xml:space="preserve">sa medziročne zvyšuje počet zamestnancov </w:t>
      </w:r>
      <w:r w:rsidR="00002D2F">
        <w:t>VS</w:t>
      </w:r>
      <w:r w:rsidR="00002D2F" w:rsidRPr="00002D2F">
        <w:t xml:space="preserve"> o 224 osôb na 1 739 osôb.</w:t>
      </w:r>
    </w:p>
    <w:p w14:paraId="451D6964" w14:textId="0C6A1619" w:rsidR="006D336B" w:rsidRDefault="00DE29B9" w:rsidP="00DE29B9">
      <w:pPr>
        <w:spacing w:after="160"/>
        <w:rPr>
          <w:szCs w:val="20"/>
        </w:rPr>
      </w:pPr>
      <w:r w:rsidRPr="00526AD0">
        <w:rPr>
          <w:szCs w:val="20"/>
        </w:rPr>
        <w:t>Napriek r</w:t>
      </w:r>
      <w:r w:rsidR="006F48F9">
        <w:rPr>
          <w:szCs w:val="20"/>
        </w:rPr>
        <w:t>astu</w:t>
      </w:r>
      <w:r w:rsidRPr="00526AD0">
        <w:rPr>
          <w:szCs w:val="20"/>
        </w:rPr>
        <w:t xml:space="preserve"> počtu zamestnancov a vytvoreniu nových úradov (Úrad pre územné plánovanie a výstavbu SR s počtom 159 zamestnancov v roku 2023), vybrané úrady trpia nedostatkom zamestnancov. Úrad na ochranu osobných údajov SR v</w:t>
      </w:r>
      <w:r w:rsidR="00CB6343">
        <w:rPr>
          <w:szCs w:val="20"/>
        </w:rPr>
        <w:t>o</w:t>
      </w:r>
      <w:r w:rsidRPr="00526AD0">
        <w:rPr>
          <w:szCs w:val="20"/>
        </w:rPr>
        <w:t xml:space="preserve"> svojej správe za rok 2021</w:t>
      </w:r>
      <w:r w:rsidR="00E2136D">
        <w:rPr>
          <w:rStyle w:val="Odkaznapoznmkupodiarou"/>
          <w:szCs w:val="20"/>
        </w:rPr>
        <w:footnoteReference w:id="36"/>
      </w:r>
      <w:r w:rsidRPr="00526AD0">
        <w:rPr>
          <w:szCs w:val="20"/>
        </w:rPr>
        <w:t xml:space="preserve"> uvádza, že nedostatok zamestnancov na personál úradu </w:t>
      </w:r>
      <w:r w:rsidR="008379F5">
        <w:rPr>
          <w:szCs w:val="20"/>
        </w:rPr>
        <w:t xml:space="preserve">sa </w:t>
      </w:r>
      <w:r w:rsidRPr="00526AD0">
        <w:rPr>
          <w:szCs w:val="20"/>
        </w:rPr>
        <w:t>premieta v podobe jeho enormnej zaťaženosti, ktorú neodstránila ani kumulácia funkcií organizačných útvarov či niektorých zamestnancov.</w:t>
      </w:r>
    </w:p>
    <w:p w14:paraId="1FDEE706" w14:textId="0DC42B52" w:rsidR="000D05F7" w:rsidRPr="007E630A" w:rsidRDefault="000D05F7" w:rsidP="009B66D6">
      <w:pPr>
        <w:pStyle w:val="Nadpis1"/>
        <w:jc w:val="left"/>
      </w:pPr>
      <w:bookmarkStart w:id="18" w:name="_Toc86396378"/>
      <w:bookmarkStart w:id="19" w:name="_Toc119482910"/>
      <w:r w:rsidRPr="007E630A">
        <w:lastRenderedPageBreak/>
        <w:t xml:space="preserve">Riziká </w:t>
      </w:r>
      <w:r w:rsidR="007E630A">
        <w:t>rozpočtovania pri dosahovaní najvýznamnejších cieľov</w:t>
      </w:r>
      <w:bookmarkEnd w:id="18"/>
      <w:bookmarkEnd w:id="19"/>
    </w:p>
    <w:p w14:paraId="4551912B" w14:textId="7B7A7A1F" w:rsidR="000D752F" w:rsidRPr="007D45D5" w:rsidRDefault="008E5EE3" w:rsidP="009E7E3C">
      <w:r w:rsidRPr="007D45D5">
        <w:t>Rok 202</w:t>
      </w:r>
      <w:r w:rsidR="005D061E">
        <w:t>3</w:t>
      </w:r>
      <w:r w:rsidRPr="007D45D5">
        <w:t xml:space="preserve"> </w:t>
      </w:r>
      <w:r w:rsidR="00887C94" w:rsidRPr="007D45D5">
        <w:t>je</w:t>
      </w:r>
      <w:r w:rsidRPr="007D45D5">
        <w:t xml:space="preserve"> už </w:t>
      </w:r>
      <w:r w:rsidR="005D061E">
        <w:t>tretím</w:t>
      </w:r>
      <w:r w:rsidR="000D752F" w:rsidRPr="007D45D5">
        <w:t xml:space="preserve"> rok</w:t>
      </w:r>
      <w:r w:rsidRPr="007D45D5">
        <w:t xml:space="preserve">om, v ktorom bude </w:t>
      </w:r>
      <w:r w:rsidR="00635F0B" w:rsidRPr="007D45D5">
        <w:t xml:space="preserve">vláda SR </w:t>
      </w:r>
      <w:r w:rsidRPr="007D45D5">
        <w:t xml:space="preserve">napĺňať </w:t>
      </w:r>
      <w:r w:rsidR="00DE1013">
        <w:t xml:space="preserve">svoje </w:t>
      </w:r>
      <w:r w:rsidR="00C05EE2">
        <w:t>programové vyhlásenie</w:t>
      </w:r>
      <w:r w:rsidR="00885B6E">
        <w:t xml:space="preserve"> </w:t>
      </w:r>
      <w:r w:rsidR="002C2BAB" w:rsidRPr="007D45D5">
        <w:t>na roky 202</w:t>
      </w:r>
      <w:r w:rsidR="005D061E">
        <w:t>1</w:t>
      </w:r>
      <w:r w:rsidR="000347E2" w:rsidRPr="007D45D5">
        <w:t xml:space="preserve"> – 2024</w:t>
      </w:r>
      <w:r w:rsidR="00AC3D1E">
        <w:t>.</w:t>
      </w:r>
      <w:r w:rsidR="00635F0B" w:rsidRPr="0088656D">
        <w:rPr>
          <w:rStyle w:val="Odkaznapoznmkupodiarou"/>
        </w:rPr>
        <w:footnoteReference w:id="37"/>
      </w:r>
      <w:r w:rsidR="000D752F" w:rsidRPr="007D45D5">
        <w:t xml:space="preserve"> </w:t>
      </w:r>
      <w:r w:rsidR="00887C94" w:rsidRPr="007D45D5">
        <w:t>P</w:t>
      </w:r>
      <w:r w:rsidRPr="007D45D5">
        <w:t xml:space="preserve">reto sme sa </w:t>
      </w:r>
      <w:r w:rsidR="000347E2" w:rsidRPr="007D45D5">
        <w:t>zameral</w:t>
      </w:r>
      <w:r w:rsidRPr="007D45D5">
        <w:t xml:space="preserve">i na to, či sú </w:t>
      </w:r>
      <w:r w:rsidR="003914D9" w:rsidRPr="007D45D5">
        <w:t xml:space="preserve">programy </w:t>
      </w:r>
      <w:r w:rsidR="00887C94" w:rsidRPr="007D45D5">
        <w:t>financované zo ŠR</w:t>
      </w:r>
      <w:r w:rsidR="003914D9" w:rsidRPr="007D45D5">
        <w:t xml:space="preserve"> naviazané na plnenie h</w:t>
      </w:r>
      <w:r w:rsidR="000D752F" w:rsidRPr="007D45D5">
        <w:t>lavn</w:t>
      </w:r>
      <w:r w:rsidR="003914D9" w:rsidRPr="007D45D5">
        <w:t>ých</w:t>
      </w:r>
      <w:r w:rsidR="000D752F" w:rsidRPr="007D45D5">
        <w:t xml:space="preserve"> cie</w:t>
      </w:r>
      <w:r w:rsidR="003914D9" w:rsidRPr="007D45D5">
        <w:t>ľov</w:t>
      </w:r>
      <w:r w:rsidR="00635F0B" w:rsidRPr="007D45D5">
        <w:t xml:space="preserve"> PVV vo vybraných oblastiach</w:t>
      </w:r>
      <w:r w:rsidR="003914D9" w:rsidRPr="007D45D5">
        <w:t>.</w:t>
      </w:r>
      <w:r w:rsidR="000D752F" w:rsidRPr="007D45D5">
        <w:t xml:space="preserve"> </w:t>
      </w:r>
      <w:r w:rsidR="003914D9" w:rsidRPr="007D45D5">
        <w:t>Identifik</w:t>
      </w:r>
      <w:r w:rsidR="00635F0B" w:rsidRPr="007D45D5">
        <w:t>ovali sme tak</w:t>
      </w:r>
      <w:r w:rsidR="003914D9" w:rsidRPr="007D45D5">
        <w:t xml:space="preserve"> riziká, ktoré súvisia s reálnosťou </w:t>
      </w:r>
      <w:r w:rsidR="000D752F" w:rsidRPr="007D45D5">
        <w:t>splneni</w:t>
      </w:r>
      <w:r w:rsidR="003914D9" w:rsidRPr="007D45D5">
        <w:t>a jednotlivých cieľov v kontexte</w:t>
      </w:r>
      <w:r w:rsidR="000D752F" w:rsidRPr="007D45D5">
        <w:t xml:space="preserve"> navrhnutého rozpočtu</w:t>
      </w:r>
      <w:r w:rsidR="00FA4826" w:rsidRPr="007D45D5">
        <w:t xml:space="preserve"> na rok 202</w:t>
      </w:r>
      <w:r w:rsidR="00CA703E" w:rsidRPr="007D45D5">
        <w:t>3</w:t>
      </w:r>
      <w:r w:rsidR="00FA4826" w:rsidRPr="007D45D5">
        <w:t>.</w:t>
      </w:r>
    </w:p>
    <w:p w14:paraId="4262D673" w14:textId="3FAC7088" w:rsidR="00F05471" w:rsidRDefault="001B5A17" w:rsidP="00F05471">
      <w:pPr>
        <w:spacing w:before="60" w:after="60"/>
      </w:pPr>
      <w:r w:rsidRPr="007D45D5">
        <w:t>Bližšie sme sa venovali</w:t>
      </w:r>
      <w:r w:rsidR="00F05471" w:rsidRPr="007D45D5">
        <w:t xml:space="preserve"> </w:t>
      </w:r>
      <w:r w:rsidR="004A7AEC" w:rsidRPr="007D45D5">
        <w:t>tr</w:t>
      </w:r>
      <w:r w:rsidR="006D5E21" w:rsidRPr="007D45D5">
        <w:t>o</w:t>
      </w:r>
      <w:r w:rsidR="00E65596" w:rsidRPr="007D45D5">
        <w:t>m</w:t>
      </w:r>
      <w:r w:rsidR="00F05471" w:rsidRPr="007D45D5">
        <w:t xml:space="preserve"> oblastiam verejných politík, ktoré sú priorit</w:t>
      </w:r>
      <w:r w:rsidR="00957C35" w:rsidRPr="007D45D5">
        <w:t>ami</w:t>
      </w:r>
      <w:r w:rsidR="00F05471" w:rsidRPr="007D45D5">
        <w:t xml:space="preserve"> kontrolnej činnosti NKÚ SR </w:t>
      </w:r>
      <w:r w:rsidR="00CB6343">
        <w:t>v</w:t>
      </w:r>
      <w:r w:rsidR="00F05471" w:rsidRPr="007D45D5">
        <w:t> rok</w:t>
      </w:r>
      <w:r w:rsidR="00CB6343">
        <w:t>u</w:t>
      </w:r>
      <w:r w:rsidR="00F05471" w:rsidRPr="007D45D5">
        <w:t xml:space="preserve"> 202</w:t>
      </w:r>
      <w:r w:rsidR="00CA703E" w:rsidRPr="007D45D5">
        <w:t>3</w:t>
      </w:r>
      <w:r w:rsidR="000D752F" w:rsidRPr="007D45D5">
        <w:t xml:space="preserve"> </w:t>
      </w:r>
      <w:r w:rsidR="004A7AEC" w:rsidRPr="007D45D5">
        <w:t>–</w:t>
      </w:r>
      <w:r w:rsidR="00F05471" w:rsidRPr="007D45D5">
        <w:t xml:space="preserve"> </w:t>
      </w:r>
      <w:r w:rsidR="00CA703E" w:rsidRPr="007D45D5">
        <w:t>z</w:t>
      </w:r>
      <w:r w:rsidR="003567A1" w:rsidRPr="007D45D5">
        <w:t>dravotníctvo</w:t>
      </w:r>
      <w:r w:rsidR="004A7AEC" w:rsidRPr="007D45D5">
        <w:t>, vzdelávanie</w:t>
      </w:r>
      <w:r w:rsidR="003567A1" w:rsidRPr="007D45D5">
        <w:t xml:space="preserve"> </w:t>
      </w:r>
      <w:r w:rsidR="00AE01AE" w:rsidRPr="007D45D5">
        <w:t>a</w:t>
      </w:r>
      <w:r w:rsidR="006D5E21" w:rsidRPr="007D45D5">
        <w:t> udržateľné verejné financie</w:t>
      </w:r>
      <w:r w:rsidR="00F05471" w:rsidRPr="007D45D5">
        <w:t>.</w:t>
      </w:r>
      <w:r w:rsidR="006D5E21" w:rsidRPr="007D45D5">
        <w:t xml:space="preserve"> V rámci udržateľnosti </w:t>
      </w:r>
      <w:r w:rsidR="000A532A">
        <w:t xml:space="preserve">verejných financií </w:t>
      </w:r>
      <w:r w:rsidR="006D5E21" w:rsidRPr="007D45D5">
        <w:t>sme sa zamerali na sociálne politiky a environmentálnu udržateľnosť.</w:t>
      </w:r>
    </w:p>
    <w:p w14:paraId="2B66C17D" w14:textId="136F1433" w:rsidR="000D05F7" w:rsidRPr="00432AD8" w:rsidRDefault="003567A1" w:rsidP="00432AD8">
      <w:pPr>
        <w:pStyle w:val="Nadpis2"/>
      </w:pPr>
      <w:bookmarkStart w:id="20" w:name="_Toc86396380"/>
      <w:bookmarkStart w:id="21" w:name="_Toc119482911"/>
      <w:r w:rsidRPr="00432AD8">
        <w:t>Zdravotníctvo</w:t>
      </w:r>
      <w:bookmarkEnd w:id="20"/>
      <w:bookmarkEnd w:id="21"/>
    </w:p>
    <w:p w14:paraId="7E8A4D3B" w14:textId="6FF32819" w:rsidR="0088656D" w:rsidRDefault="0088656D" w:rsidP="0088656D">
      <w:r>
        <w:t>Pre oblasť zdravotníctva je navrhovaný celkový objem verejných výdavkov v</w:t>
      </w:r>
      <w:r w:rsidR="00DE1013">
        <w:t>o výške</w:t>
      </w:r>
      <w:r>
        <w:t xml:space="preserve"> 7,62 mld. eur. Pri tejto sume je uvádzané, že ide o medziročný rast vo výške 19,4 % oproti schválenému rozpočtu na rok 2022. Ak však </w:t>
      </w:r>
      <w:r w:rsidR="00C05EE2">
        <w:t>t</w:t>
      </w:r>
      <w:r>
        <w:t xml:space="preserve">ento objem </w:t>
      </w:r>
      <w:r w:rsidR="00C05EE2">
        <w:t>porovnáme s</w:t>
      </w:r>
      <w:r>
        <w:t xml:space="preserve"> odhado</w:t>
      </w:r>
      <w:r w:rsidR="00C05EE2">
        <w:t>m</w:t>
      </w:r>
      <w:r>
        <w:t xml:space="preserve"> skutočného čerpania výdavkov na zdravotníctvo </w:t>
      </w:r>
      <w:r w:rsidR="00C05EE2">
        <w:t>v</w:t>
      </w:r>
      <w:r>
        <w:t xml:space="preserve"> rok</w:t>
      </w:r>
      <w:r w:rsidR="00C05EE2">
        <w:t>u</w:t>
      </w:r>
      <w:r>
        <w:t xml:space="preserve"> 2022, ide o pokles o 1,08 %. Návrh rozpočtu počíta s </w:t>
      </w:r>
      <w:r w:rsidR="00C05EE2" w:rsidRPr="00C05EE2">
        <w:rPr>
          <w:b/>
        </w:rPr>
        <w:t>nižšími</w:t>
      </w:r>
      <w:r w:rsidRPr="00C05EE2">
        <w:rPr>
          <w:b/>
        </w:rPr>
        <w:t xml:space="preserve"> </w:t>
      </w:r>
      <w:r w:rsidRPr="00BF5761">
        <w:rPr>
          <w:b/>
        </w:rPr>
        <w:t>výdavk</w:t>
      </w:r>
      <w:r w:rsidR="00C05EE2">
        <w:rPr>
          <w:b/>
        </w:rPr>
        <w:t>ami</w:t>
      </w:r>
      <w:r w:rsidRPr="00BF5761">
        <w:rPr>
          <w:b/>
        </w:rPr>
        <w:t xml:space="preserve"> na zdravotníctvo v roku 2023, ako </w:t>
      </w:r>
      <w:r>
        <w:rPr>
          <w:b/>
        </w:rPr>
        <w:t>sa očakávajú</w:t>
      </w:r>
      <w:r w:rsidRPr="00BF5761">
        <w:rPr>
          <w:b/>
        </w:rPr>
        <w:t xml:space="preserve"> reálne </w:t>
      </w:r>
      <w:r>
        <w:rPr>
          <w:b/>
        </w:rPr>
        <w:t>výdavky</w:t>
      </w:r>
      <w:r w:rsidRPr="00BF5761">
        <w:rPr>
          <w:b/>
        </w:rPr>
        <w:t xml:space="preserve"> zdravotníctva v roku 2022 a to o 83 mil. eur</w:t>
      </w:r>
      <w:r w:rsidRPr="00781956">
        <w:t>.</w:t>
      </w:r>
    </w:p>
    <w:p w14:paraId="1AC1D0F0" w14:textId="6CD9147F" w:rsidR="0088656D" w:rsidRPr="00AC3D1E" w:rsidRDefault="0088656D" w:rsidP="0088656D">
      <w:r>
        <w:t xml:space="preserve">Okrem toho je až takmer 458 mil. eur z týchto celkových zdrojov závislých </w:t>
      </w:r>
      <w:r w:rsidR="00CB6343">
        <w:t>od</w:t>
      </w:r>
      <w:r>
        <w:t xml:space="preserve"> schopnosti čerpať prostriedky z POO, čo predstavuje istú mieru rizika. Celkový objem disponibilných zdrojov závisí aj od úspechu pri realizácii úsporných opatrení, ktoré sú na rok 2023 plánované vo výške 127 mil. eur. Na základe skúseností z minulých rokov, kedy sa nepodarilo zrealizovať plánované úspory ani z polovice</w:t>
      </w:r>
      <w:r>
        <w:rPr>
          <w:rStyle w:val="Odkaznapoznmkupodiarou"/>
        </w:rPr>
        <w:footnoteReference w:id="38"/>
      </w:r>
      <w:r>
        <w:t>, možn</w:t>
      </w:r>
      <w:r w:rsidR="00CB6343">
        <w:t>o</w:t>
      </w:r>
      <w:r>
        <w:t xml:space="preserve"> predpokladať, že ani v roku 2023 sa nepodarí úsporou uvoľniť dodatočné disponibilné zdroje v plánovanej výške (</w:t>
      </w:r>
      <w:r w:rsidR="00C05EE2">
        <w:t>viac k úsporám v boxe</w:t>
      </w:r>
      <w:r>
        <w:t xml:space="preserve"> 6). Určitú mieru neistoty do rozpočtu pre zdravotníctvo vnášajú aj prostriedky v objeme 340 mil. eur, ktoré sú rozpočtované v kapitole VPS s tým, že budú presunuté do sektoru zdravotníctva až po schválení rozpočtu, a to prostredníctvom navýšenia platieb štátu za svojich poistencov. Do sektora zdravotníctva môže v roku 2023 smerovať aj časť prostriedkov rozpočtovaných v rezervách, najmä pokiaľ ide o 400 mil. eur na negatívne vplyvy pandémie (z čoho 220 mil. eur má ísť na úhradu vakcín) alebo aj časť rezervy na kompenzáciu rastu cien energií. Tieto položky sú </w:t>
      </w:r>
      <w:r w:rsidR="00CB6343">
        <w:t>však</w:t>
      </w:r>
      <w:r>
        <w:t xml:space="preserve"> mimo dosahu kapitoly MZ SR, a to, koľko z nich reálne </w:t>
      </w:r>
      <w:r w:rsidR="00CB6343">
        <w:t xml:space="preserve">pôjde </w:t>
      </w:r>
      <w:r>
        <w:t xml:space="preserve">do zdravotníctva, je neisté. Vzhľadom k uvedeným skutočnostiam NKÚ SR konštatuje, že takto navrhnutý rozpočet </w:t>
      </w:r>
      <w:r w:rsidRPr="0071625E">
        <w:rPr>
          <w:b/>
        </w:rPr>
        <w:t>nie je v súlade s PVV, ktoré vládu zaväzuje</w:t>
      </w:r>
      <w:r>
        <w:rPr>
          <w:b/>
        </w:rPr>
        <w:t>,</w:t>
      </w:r>
      <w:r w:rsidRPr="0071625E">
        <w:rPr>
          <w:b/>
        </w:rPr>
        <w:t xml:space="preserve"> že v zdravotníctve „zabezpečí stabilitu a predvídateľnosť financovania</w:t>
      </w:r>
      <w:r w:rsidRPr="00AC3D1E">
        <w:rPr>
          <w:b/>
        </w:rPr>
        <w:t>“</w:t>
      </w:r>
      <w:r w:rsidR="00AC3D1E" w:rsidRPr="00AC3D1E">
        <w:rPr>
          <w:b/>
        </w:rPr>
        <w:t>.</w:t>
      </w:r>
      <w:r w:rsidRPr="00AC3D1E">
        <w:rPr>
          <w:rStyle w:val="Odkaznapoznmkupodiarou"/>
        </w:rPr>
        <w:footnoteReference w:id="39"/>
      </w:r>
    </w:p>
    <w:p w14:paraId="18794E72" w14:textId="66510761" w:rsidR="0088656D" w:rsidRDefault="0088656D" w:rsidP="0088656D">
      <w:r w:rsidRPr="00C05EE2">
        <w:rPr>
          <w:b/>
        </w:rPr>
        <w:t xml:space="preserve">NKÚ SR </w:t>
      </w:r>
      <w:r w:rsidR="001C375A">
        <w:rPr>
          <w:b/>
        </w:rPr>
        <w:t>pozitívne hodnotí</w:t>
      </w:r>
      <w:r w:rsidRPr="00C05EE2">
        <w:rPr>
          <w:b/>
        </w:rPr>
        <w:t>, že MF SR pokračuje v nedávno zavedenej praxi uvádzať v návrhu RVS aj kľúčové výsledkové ukazovatele konkrétnej verejnej politiky</w:t>
      </w:r>
      <w:r w:rsidRPr="00CB6343">
        <w:rPr>
          <w:b/>
        </w:rPr>
        <w:t xml:space="preserve">. </w:t>
      </w:r>
      <w:r>
        <w:t>Výsledky slovenského zdravotníctva sú dlhodobo neuspokojivé, či už ide o úmrtnos</w:t>
      </w:r>
      <w:r w:rsidR="00C05EE2">
        <w:t>ť</w:t>
      </w:r>
      <w:r>
        <w:t>, očakávanú dĺžku života alebo aj ďalšie výsledkové ukazovatele. Dobrý prehľad v tomto smere ponúka aktuálna súhrnná správa MZ SR</w:t>
      </w:r>
      <w:r>
        <w:rPr>
          <w:rStyle w:val="Odkaznapoznmkupodiarou"/>
        </w:rPr>
        <w:footnoteReference w:id="40"/>
      </w:r>
      <w:r>
        <w:t>, v ktorej je konštatovaný neuspokojivý vývoj pri väčšine indikátorov.</w:t>
      </w:r>
    </w:p>
    <w:p w14:paraId="00C33B4B" w14:textId="355ED1B1" w:rsidR="0088656D" w:rsidRDefault="0088656D" w:rsidP="0088656D">
      <w:r>
        <w:lastRenderedPageBreak/>
        <w:t xml:space="preserve">NKÚ SR taktiež pozitívne vníma stanovenie konkrétnych cieľov daných indikátorov, pričom </w:t>
      </w:r>
      <w:r w:rsidR="00CB6343">
        <w:t>však</w:t>
      </w:r>
      <w:r>
        <w:t xml:space="preserve"> upozorňuje, že napríklad dosiahnutie cieľovej hodnoty v úmrtnosti odvrátiteľnej zdravotnou starostlivosťou by podľa aktuálnych údajov SR neposunulo v rebríčku krajín EÚ ani o jednu priečku dopredu</w:t>
      </w:r>
      <w:r w:rsidR="00BF6CDC">
        <w:rPr>
          <w:rStyle w:val="Odkaznapoznmkupodiarou"/>
        </w:rPr>
        <w:footnoteReference w:id="41"/>
      </w:r>
      <w:r>
        <w:t xml:space="preserve"> </w:t>
      </w:r>
      <w:r w:rsidRPr="00C9511C">
        <w:t xml:space="preserve">(graf </w:t>
      </w:r>
      <w:r w:rsidR="008376F3">
        <w:t>10</w:t>
      </w:r>
      <w:r>
        <w:t xml:space="preserve">). Priestor na zlepšenie vidí </w:t>
      </w:r>
      <w:r w:rsidRPr="00263D6B">
        <w:rPr>
          <w:b/>
        </w:rPr>
        <w:t>v</w:t>
      </w:r>
      <w:r>
        <w:rPr>
          <w:b/>
        </w:rPr>
        <w:t xml:space="preserve"> previazanosti </w:t>
      </w:r>
      <w:r w:rsidRPr="00263D6B">
        <w:rPr>
          <w:b/>
        </w:rPr>
        <w:t>výsledkových ukazovateľov s</w:t>
      </w:r>
      <w:r>
        <w:rPr>
          <w:b/>
        </w:rPr>
        <w:t>o štruktúrou rozpočtu</w:t>
      </w:r>
      <w:r>
        <w:t xml:space="preserve">. Uvádzanie výsledkových ukazovateľov by malo výrazne vyššiu pridanú hodnotu, keby z návrhu rozpočtu bolo zrejmé, ako konkrétne majú jednotlivé výdavkové tituly prispieť k pozitívnemu vývoju konkrétnych výsledkov, čím by sa zvýšila celková zúčtovateľnosť verejnej politiky a jej konkrétnych </w:t>
      </w:r>
      <w:r w:rsidR="008D0CDE">
        <w:t>opatrení uvádzaných v rozpočte.</w:t>
      </w:r>
    </w:p>
    <w:tbl>
      <w:tblPr>
        <w:tblStyle w:val="Mriekatabuky3"/>
        <w:tblW w:w="8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01"/>
      </w:tblGrid>
      <w:tr w:rsidR="00BA4D8D" w:rsidRPr="00D40AB4" w14:paraId="2E332DC3" w14:textId="77777777" w:rsidTr="002B1C07">
        <w:trPr>
          <w:trHeight w:val="283"/>
        </w:trPr>
        <w:tc>
          <w:tcPr>
            <w:tcW w:w="8901" w:type="dxa"/>
            <w:tcBorders>
              <w:bottom w:val="single" w:sz="4" w:space="0" w:color="314364"/>
            </w:tcBorders>
            <w:shd w:val="clear" w:color="auto" w:fill="auto"/>
          </w:tcPr>
          <w:p w14:paraId="5C4DC2B3" w14:textId="77777777" w:rsidR="00BA4D8D" w:rsidRPr="00D40AB4" w:rsidRDefault="00BA4D8D" w:rsidP="002B1C07">
            <w:pPr>
              <w:pStyle w:val="Popis"/>
              <w:keepNext/>
              <w:rPr>
                <w:color w:val="314364"/>
              </w:rPr>
            </w:pPr>
            <w:r w:rsidRPr="00D40AB4">
              <w:rPr>
                <w:color w:val="314364"/>
              </w:rPr>
              <w:t>Graf</w:t>
            </w:r>
            <w:r>
              <w:rPr>
                <w:color w:val="314364"/>
              </w:rPr>
              <w:t xml:space="preserve"> 10</w:t>
            </w:r>
            <w:r w:rsidRPr="00D40AB4">
              <w:rPr>
                <w:color w:val="314364"/>
              </w:rPr>
              <w:t xml:space="preserve">: </w:t>
            </w:r>
            <w:r>
              <w:rPr>
                <w:color w:val="314364"/>
              </w:rPr>
              <w:t>Úmrtnosť odvrátiteľná zdravotnou starostlivosťou</w:t>
            </w:r>
            <w:r w:rsidRPr="00D40AB4">
              <w:rPr>
                <w:color w:val="314364"/>
              </w:rPr>
              <w:t xml:space="preserve"> </w:t>
            </w:r>
            <w:r>
              <w:rPr>
                <w:color w:val="314364"/>
              </w:rPr>
              <w:t>(na 100 tis. obyvateľov)</w:t>
            </w:r>
          </w:p>
        </w:tc>
      </w:tr>
      <w:tr w:rsidR="00BA4D8D" w:rsidRPr="00402675" w14:paraId="56A0051E" w14:textId="77777777" w:rsidTr="002B1C07">
        <w:tblPrEx>
          <w:tblCellMar>
            <w:left w:w="70" w:type="dxa"/>
            <w:right w:w="70" w:type="dxa"/>
          </w:tblCellMar>
        </w:tblPrEx>
        <w:trPr>
          <w:trHeight w:val="3402"/>
        </w:trPr>
        <w:tc>
          <w:tcPr>
            <w:tcW w:w="8901" w:type="dxa"/>
            <w:tcBorders>
              <w:top w:val="single" w:sz="4" w:space="0" w:color="314364"/>
              <w:bottom w:val="single" w:sz="4" w:space="0" w:color="314364"/>
            </w:tcBorders>
            <w:vAlign w:val="center"/>
          </w:tcPr>
          <w:p w14:paraId="7C6F586B" w14:textId="77777777" w:rsidR="00BA4D8D" w:rsidRPr="00402675" w:rsidRDefault="00BA4D8D" w:rsidP="002B1C07">
            <w:pPr>
              <w:spacing w:after="0"/>
              <w:rPr>
                <w:rFonts w:cs="Segoe UI"/>
                <w:b/>
                <w:szCs w:val="20"/>
              </w:rPr>
            </w:pPr>
            <w:r>
              <w:rPr>
                <w:noProof/>
                <w:lang w:eastAsia="sk-SK"/>
              </w:rPr>
              <w:drawing>
                <wp:inline distT="0" distB="0" distL="0" distR="0" wp14:anchorId="13FE1E18" wp14:editId="16D52EC0">
                  <wp:extent cx="5600700" cy="2113280"/>
                  <wp:effectExtent l="0" t="0" r="0" b="127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A4D8D" w:rsidRPr="00402675" w14:paraId="694AA1C2" w14:textId="77777777" w:rsidTr="002B1C07">
        <w:tblPrEx>
          <w:tblCellMar>
            <w:left w:w="70" w:type="dxa"/>
            <w:right w:w="70" w:type="dxa"/>
          </w:tblCellMar>
        </w:tblPrEx>
        <w:trPr>
          <w:trHeight w:val="283"/>
        </w:trPr>
        <w:tc>
          <w:tcPr>
            <w:tcW w:w="8901" w:type="dxa"/>
            <w:tcBorders>
              <w:top w:val="single" w:sz="4" w:space="0" w:color="314364"/>
              <w:bottom w:val="single" w:sz="4" w:space="0" w:color="314364"/>
            </w:tcBorders>
            <w:vAlign w:val="center"/>
          </w:tcPr>
          <w:p w14:paraId="53F140AA" w14:textId="77777777" w:rsidR="00BA4D8D" w:rsidDel="00A17CD8" w:rsidRDefault="00BA4D8D" w:rsidP="002B1C07">
            <w:pPr>
              <w:keepNext/>
              <w:spacing w:after="0"/>
              <w:rPr>
                <w:noProof/>
                <w:lang w:eastAsia="sk-SK"/>
              </w:rPr>
            </w:pPr>
            <w:r w:rsidRPr="009169FD">
              <w:rPr>
                <w:b/>
                <w:noProof/>
                <w:color w:val="314364" w:themeColor="text2"/>
                <w:lang w:eastAsia="sk-SK"/>
              </w:rPr>
              <w:t>Graf 1</w:t>
            </w:r>
            <w:r>
              <w:rPr>
                <w:b/>
                <w:noProof/>
                <w:color w:val="314364" w:themeColor="text2"/>
                <w:lang w:eastAsia="sk-SK"/>
              </w:rPr>
              <w:t>1</w:t>
            </w:r>
            <w:r w:rsidRPr="009169FD">
              <w:rPr>
                <w:b/>
                <w:noProof/>
                <w:color w:val="314364" w:themeColor="text2"/>
                <w:lang w:eastAsia="sk-SK"/>
              </w:rPr>
              <w:t>: Úmrtnosť odvrátiteľná prevenciou (na 100 tis. obyvateľov)</w:t>
            </w:r>
          </w:p>
        </w:tc>
      </w:tr>
      <w:tr w:rsidR="00BA4D8D" w:rsidRPr="00402675" w14:paraId="167D9257" w14:textId="77777777" w:rsidTr="002B1C07">
        <w:tblPrEx>
          <w:tblCellMar>
            <w:left w:w="70" w:type="dxa"/>
            <w:right w:w="70" w:type="dxa"/>
          </w:tblCellMar>
        </w:tblPrEx>
        <w:trPr>
          <w:trHeight w:val="3402"/>
        </w:trPr>
        <w:tc>
          <w:tcPr>
            <w:tcW w:w="8901" w:type="dxa"/>
            <w:tcBorders>
              <w:top w:val="single" w:sz="4" w:space="0" w:color="314364"/>
              <w:bottom w:val="single" w:sz="4" w:space="0" w:color="314364"/>
            </w:tcBorders>
            <w:vAlign w:val="center"/>
          </w:tcPr>
          <w:p w14:paraId="6F2C6DCF" w14:textId="77777777" w:rsidR="00BA4D8D" w:rsidRDefault="00BA4D8D" w:rsidP="002B1C07">
            <w:pPr>
              <w:keepNext/>
              <w:spacing w:after="0"/>
              <w:rPr>
                <w:noProof/>
                <w:lang w:eastAsia="sk-SK"/>
              </w:rPr>
            </w:pPr>
            <w:r>
              <w:rPr>
                <w:noProof/>
                <w:lang w:eastAsia="sk-SK"/>
              </w:rPr>
              <w:drawing>
                <wp:inline distT="0" distB="0" distL="0" distR="0" wp14:anchorId="0B6F3FCA" wp14:editId="45EED929">
                  <wp:extent cx="5608320" cy="2113280"/>
                  <wp:effectExtent l="0" t="0" r="0" b="127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6A63DC0F" w14:textId="77777777" w:rsidR="00BA4D8D" w:rsidRPr="00D40AB4" w:rsidRDefault="00BA4D8D" w:rsidP="00BA4D8D">
      <w:pPr>
        <w:pStyle w:val="Zdroj"/>
      </w:pPr>
      <w:r w:rsidRPr="00D40AB4">
        <w:t xml:space="preserve">Zdroj: </w:t>
      </w:r>
      <w:r>
        <w:t xml:space="preserve">Eurostat; </w:t>
      </w:r>
      <w:proofErr w:type="spellStart"/>
      <w:r w:rsidRPr="00D625AC">
        <w:t>hlth_cd_apr</w:t>
      </w:r>
      <w:proofErr w:type="spellEnd"/>
      <w:r>
        <w:t xml:space="preserve">; zdroj cieľových hodnôt: Návrh rozpočtu </w:t>
      </w:r>
    </w:p>
    <w:p w14:paraId="5BA190B6" w14:textId="25219685" w:rsidR="0088656D" w:rsidRDefault="0088656D" w:rsidP="0088656D">
      <w:r w:rsidRPr="004671AE">
        <w:rPr>
          <w:b/>
        </w:rPr>
        <w:t>Programovej štruktúre rozpočtu kapitoly MZ SR</w:t>
      </w:r>
      <w:r>
        <w:t xml:space="preserve"> </w:t>
      </w:r>
      <w:r w:rsidRPr="002818B5">
        <w:rPr>
          <w:b/>
        </w:rPr>
        <w:t>dominuje z hľadiska objemu výdavkov prvok, na ktorom sa rozpočtuje poistné za poistencov štátu</w:t>
      </w:r>
      <w:r>
        <w:t xml:space="preserve"> </w:t>
      </w:r>
      <w:r w:rsidRPr="00CB6343">
        <w:t xml:space="preserve">(tabuľka </w:t>
      </w:r>
      <w:r w:rsidR="007D130C" w:rsidRPr="00CB6343">
        <w:t>10</w:t>
      </w:r>
      <w:r w:rsidRPr="00CB6343">
        <w:t>).</w:t>
      </w:r>
      <w:r>
        <w:t xml:space="preserve"> </w:t>
      </w:r>
      <w:r w:rsidRPr="005B7798">
        <w:t>Druhým</w:t>
      </w:r>
      <w:r>
        <w:t xml:space="preserve"> objemovo najvýznamnejším prvkom je časť POO (</w:t>
      </w:r>
      <w:r w:rsidRPr="005B7798">
        <w:t>Moderná a dostupná zdravotná starostlivosť</w:t>
      </w:r>
      <w:r>
        <w:t xml:space="preserve">), cez ktorý je plánovaná výstavba nemocníc. Rozpočet sa v tomto ohľade spolieha iba na tento jeden externý zdroj a na ostatných prvkoch venovaných stavbe či vybaveniu zdravotníckych zariadení nie sú rozpočtované žiadne prostriedky. Pri detailnejšom pohľade na ostatné položky možno pozitívne hodnotiť mierne navýšenie prostriedkov na programe venovanom prevencii, keďže v tejto oblasti Slovensko dlhodobo vykazuje slabé výsledky </w:t>
      </w:r>
      <w:r w:rsidRPr="00C9511C">
        <w:t xml:space="preserve">(graf </w:t>
      </w:r>
      <w:r w:rsidR="002818B5">
        <w:lastRenderedPageBreak/>
        <w:t>11</w:t>
      </w:r>
      <w:r>
        <w:t>). Naopak riziko</w:t>
      </w:r>
      <w:r w:rsidR="00FD2D0E">
        <w:t>vý</w:t>
      </w:r>
      <w:r>
        <w:t xml:space="preserve">m </w:t>
      </w:r>
      <w:r w:rsidR="002818B5">
        <w:t>je</w:t>
      </w:r>
      <w:r>
        <w:t xml:space="preserve"> prvok určený pre rozpočet príspevkových organizácií MZ SR, kde je rozpočtovaná výrazne nižšia suma oproti minulým rokom, ale aj oproti návrhu kapitoly. Za zmienku stojí aj to, že vede a výskumu v zdravotníctve sú v rozpočte venované zanedbateľné prostriedky.</w:t>
      </w:r>
    </w:p>
    <w:p w14:paraId="1342EC75" w14:textId="77777777" w:rsidR="00FD2D0E" w:rsidRPr="000672BD" w:rsidRDefault="00FD2D0E" w:rsidP="00FD2D0E">
      <w:pPr>
        <w:spacing w:after="0"/>
        <w:rPr>
          <w:b/>
          <w:iCs/>
          <w:color w:val="314364"/>
          <w:szCs w:val="18"/>
        </w:rPr>
      </w:pPr>
      <w:r w:rsidRPr="000672BD">
        <w:rPr>
          <w:b/>
          <w:iCs/>
          <w:color w:val="314364"/>
          <w:szCs w:val="18"/>
        </w:rPr>
        <w:t xml:space="preserve">Tabuľka </w:t>
      </w:r>
      <w:r>
        <w:rPr>
          <w:b/>
          <w:iCs/>
          <w:color w:val="314364"/>
          <w:szCs w:val="18"/>
        </w:rPr>
        <w:t>10</w:t>
      </w:r>
      <w:r w:rsidRPr="000672BD">
        <w:rPr>
          <w:b/>
          <w:iCs/>
          <w:color w:val="314364"/>
          <w:szCs w:val="18"/>
        </w:rPr>
        <w:t xml:space="preserve">: Programová štruktúra </w:t>
      </w:r>
      <w:r>
        <w:rPr>
          <w:b/>
          <w:iCs/>
          <w:color w:val="314364"/>
          <w:szCs w:val="18"/>
        </w:rPr>
        <w:t>rozpočtu kapitoly MZ SR (v mil. eur)</w:t>
      </w:r>
    </w:p>
    <w:tbl>
      <w:tblPr>
        <w:tblW w:w="5000" w:type="pct"/>
        <w:tblBorders>
          <w:bottom w:val="single" w:sz="4" w:space="0" w:color="314364" w:themeColor="text2"/>
          <w:insideH w:val="single" w:sz="4" w:space="0" w:color="314364" w:themeColor="text2"/>
        </w:tblBorders>
        <w:tblCellMar>
          <w:left w:w="70" w:type="dxa"/>
          <w:right w:w="70" w:type="dxa"/>
        </w:tblCellMar>
        <w:tblLook w:val="04A0" w:firstRow="1" w:lastRow="0" w:firstColumn="1" w:lastColumn="0" w:noHBand="0" w:noVBand="1"/>
      </w:tblPr>
      <w:tblGrid>
        <w:gridCol w:w="1230"/>
        <w:gridCol w:w="2882"/>
        <w:gridCol w:w="851"/>
        <w:gridCol w:w="849"/>
        <w:gridCol w:w="949"/>
        <w:gridCol w:w="974"/>
        <w:gridCol w:w="1335"/>
      </w:tblGrid>
      <w:tr w:rsidR="00FD2D0E" w:rsidRPr="008B5B66" w14:paraId="63558025" w14:textId="77777777" w:rsidTr="002D0A8C">
        <w:trPr>
          <w:trHeight w:val="283"/>
        </w:trPr>
        <w:tc>
          <w:tcPr>
            <w:tcW w:w="678" w:type="pct"/>
            <w:shd w:val="clear" w:color="auto" w:fill="314364" w:themeFill="text2"/>
            <w:vAlign w:val="center"/>
            <w:hideMark/>
          </w:tcPr>
          <w:p w14:paraId="0975F3F0" w14:textId="77777777" w:rsidR="00FD2D0E" w:rsidRPr="009169FD" w:rsidRDefault="00FD2D0E" w:rsidP="002D0A8C">
            <w:pPr>
              <w:spacing w:after="0" w:line="240" w:lineRule="auto"/>
              <w:jc w:val="left"/>
              <w:rPr>
                <w:rFonts w:eastAsia="Times New Roman" w:cs="Segoe UI"/>
                <w:b/>
                <w:color w:val="FFFFFF" w:themeColor="background1"/>
                <w:sz w:val="18"/>
                <w:szCs w:val="18"/>
                <w:lang w:eastAsia="sk-SK"/>
              </w:rPr>
            </w:pPr>
            <w:r w:rsidRPr="009169FD">
              <w:rPr>
                <w:rFonts w:eastAsia="Times New Roman" w:cs="Segoe UI"/>
                <w:b/>
                <w:color w:val="FFFFFF" w:themeColor="background1"/>
                <w:sz w:val="18"/>
                <w:szCs w:val="18"/>
                <w:lang w:eastAsia="sk-SK"/>
              </w:rPr>
              <w:t>Program</w:t>
            </w:r>
          </w:p>
        </w:tc>
        <w:tc>
          <w:tcPr>
            <w:tcW w:w="1589" w:type="pct"/>
            <w:shd w:val="clear" w:color="auto" w:fill="314364" w:themeFill="text2"/>
            <w:vAlign w:val="center"/>
            <w:hideMark/>
          </w:tcPr>
          <w:p w14:paraId="0D1BF0D8" w14:textId="77777777" w:rsidR="00FD2D0E" w:rsidRPr="009169FD" w:rsidRDefault="00FD2D0E" w:rsidP="002D0A8C">
            <w:pPr>
              <w:spacing w:after="0" w:line="240" w:lineRule="auto"/>
              <w:jc w:val="left"/>
              <w:rPr>
                <w:rFonts w:eastAsia="Times New Roman" w:cs="Segoe UI"/>
                <w:b/>
                <w:color w:val="FFFFFF" w:themeColor="background1"/>
                <w:sz w:val="18"/>
                <w:szCs w:val="18"/>
                <w:lang w:eastAsia="sk-SK"/>
              </w:rPr>
            </w:pPr>
            <w:r w:rsidRPr="009169FD">
              <w:rPr>
                <w:rFonts w:eastAsia="Times New Roman" w:cs="Segoe UI"/>
                <w:b/>
                <w:color w:val="FFFFFF" w:themeColor="background1"/>
                <w:sz w:val="18"/>
                <w:szCs w:val="18"/>
                <w:lang w:eastAsia="sk-SK"/>
              </w:rPr>
              <w:t>Prvok</w:t>
            </w:r>
          </w:p>
        </w:tc>
        <w:tc>
          <w:tcPr>
            <w:tcW w:w="469" w:type="pct"/>
            <w:shd w:val="clear" w:color="auto" w:fill="314364" w:themeFill="text2"/>
            <w:vAlign w:val="center"/>
            <w:hideMark/>
          </w:tcPr>
          <w:p w14:paraId="03F339DB" w14:textId="77777777" w:rsidR="00FD2D0E" w:rsidRPr="009169FD" w:rsidRDefault="00FD2D0E" w:rsidP="002D0A8C">
            <w:pPr>
              <w:spacing w:after="0" w:line="240" w:lineRule="auto"/>
              <w:jc w:val="right"/>
              <w:rPr>
                <w:rFonts w:eastAsia="Times New Roman" w:cs="Segoe UI"/>
                <w:b/>
                <w:color w:val="FFFFFF" w:themeColor="background1"/>
                <w:sz w:val="18"/>
                <w:szCs w:val="18"/>
                <w:lang w:eastAsia="sk-SK"/>
              </w:rPr>
            </w:pPr>
            <w:r w:rsidRPr="009169FD">
              <w:rPr>
                <w:rFonts w:eastAsia="Times New Roman" w:cs="Segoe UI"/>
                <w:b/>
                <w:color w:val="FFFFFF" w:themeColor="background1"/>
                <w:sz w:val="18"/>
                <w:szCs w:val="18"/>
                <w:lang w:eastAsia="sk-SK"/>
              </w:rPr>
              <w:t>R 2021</w:t>
            </w:r>
          </w:p>
        </w:tc>
        <w:tc>
          <w:tcPr>
            <w:tcW w:w="468" w:type="pct"/>
            <w:shd w:val="clear" w:color="auto" w:fill="314364" w:themeFill="text2"/>
            <w:vAlign w:val="center"/>
            <w:hideMark/>
          </w:tcPr>
          <w:p w14:paraId="24FF408E" w14:textId="77777777" w:rsidR="00FD2D0E" w:rsidRPr="009169FD" w:rsidRDefault="00FD2D0E" w:rsidP="002D0A8C">
            <w:pPr>
              <w:spacing w:after="0" w:line="240" w:lineRule="auto"/>
              <w:jc w:val="right"/>
              <w:rPr>
                <w:rFonts w:eastAsia="Times New Roman" w:cs="Segoe UI"/>
                <w:b/>
                <w:color w:val="FFFFFF" w:themeColor="background1"/>
                <w:sz w:val="18"/>
                <w:szCs w:val="18"/>
                <w:lang w:eastAsia="sk-SK"/>
              </w:rPr>
            </w:pPr>
            <w:r w:rsidRPr="009169FD">
              <w:rPr>
                <w:rFonts w:eastAsia="Times New Roman" w:cs="Segoe UI"/>
                <w:b/>
                <w:color w:val="FFFFFF" w:themeColor="background1"/>
                <w:sz w:val="18"/>
                <w:szCs w:val="18"/>
                <w:lang w:eastAsia="sk-SK"/>
              </w:rPr>
              <w:t>S 2021</w:t>
            </w:r>
          </w:p>
        </w:tc>
        <w:tc>
          <w:tcPr>
            <w:tcW w:w="523" w:type="pct"/>
            <w:shd w:val="clear" w:color="auto" w:fill="314364" w:themeFill="text2"/>
            <w:vAlign w:val="center"/>
            <w:hideMark/>
          </w:tcPr>
          <w:p w14:paraId="6F5C51B0" w14:textId="77777777" w:rsidR="00FD2D0E" w:rsidRPr="009169FD" w:rsidRDefault="00FD2D0E" w:rsidP="002D0A8C">
            <w:pPr>
              <w:spacing w:after="0" w:line="240" w:lineRule="auto"/>
              <w:jc w:val="right"/>
              <w:rPr>
                <w:rFonts w:eastAsia="Times New Roman" w:cs="Segoe UI"/>
                <w:b/>
                <w:color w:val="FFFFFF" w:themeColor="background1"/>
                <w:sz w:val="18"/>
                <w:szCs w:val="18"/>
                <w:lang w:eastAsia="sk-SK"/>
              </w:rPr>
            </w:pPr>
            <w:r w:rsidRPr="009169FD">
              <w:rPr>
                <w:rFonts w:eastAsia="Times New Roman" w:cs="Segoe UI"/>
                <w:b/>
                <w:color w:val="FFFFFF" w:themeColor="background1"/>
                <w:sz w:val="18"/>
                <w:szCs w:val="18"/>
                <w:lang w:eastAsia="sk-SK"/>
              </w:rPr>
              <w:t>R 2022</w:t>
            </w:r>
          </w:p>
        </w:tc>
        <w:tc>
          <w:tcPr>
            <w:tcW w:w="537" w:type="pct"/>
            <w:shd w:val="clear" w:color="auto" w:fill="314364" w:themeFill="text2"/>
            <w:vAlign w:val="center"/>
            <w:hideMark/>
          </w:tcPr>
          <w:p w14:paraId="43B6BF6E" w14:textId="77777777" w:rsidR="00FD2D0E" w:rsidRPr="009169FD" w:rsidRDefault="00FD2D0E" w:rsidP="002D0A8C">
            <w:pPr>
              <w:spacing w:after="0" w:line="240" w:lineRule="auto"/>
              <w:jc w:val="right"/>
              <w:rPr>
                <w:rFonts w:eastAsia="Times New Roman" w:cs="Segoe UI"/>
                <w:b/>
                <w:color w:val="FFFFFF" w:themeColor="background1"/>
                <w:sz w:val="18"/>
                <w:szCs w:val="18"/>
                <w:lang w:eastAsia="sk-SK"/>
              </w:rPr>
            </w:pPr>
            <w:r w:rsidRPr="009169FD">
              <w:rPr>
                <w:rFonts w:eastAsia="Times New Roman" w:cs="Segoe UI"/>
                <w:b/>
                <w:color w:val="FFFFFF" w:themeColor="background1"/>
                <w:sz w:val="18"/>
                <w:szCs w:val="18"/>
                <w:lang w:eastAsia="sk-SK"/>
              </w:rPr>
              <w:t>N</w:t>
            </w:r>
            <w:r>
              <w:rPr>
                <w:rFonts w:eastAsia="Times New Roman" w:cs="Segoe UI"/>
                <w:b/>
                <w:color w:val="FFFFFF" w:themeColor="background1"/>
                <w:sz w:val="18"/>
                <w:szCs w:val="18"/>
                <w:lang w:eastAsia="sk-SK"/>
              </w:rPr>
              <w:t>K</w:t>
            </w:r>
            <w:r w:rsidRPr="009169FD">
              <w:rPr>
                <w:rFonts w:eastAsia="Times New Roman" w:cs="Segoe UI"/>
                <w:b/>
                <w:color w:val="FFFFFF" w:themeColor="background1"/>
                <w:sz w:val="18"/>
                <w:szCs w:val="18"/>
                <w:lang w:eastAsia="sk-SK"/>
              </w:rPr>
              <w:t xml:space="preserve"> 2023</w:t>
            </w:r>
          </w:p>
        </w:tc>
        <w:tc>
          <w:tcPr>
            <w:tcW w:w="736" w:type="pct"/>
            <w:shd w:val="clear" w:color="auto" w:fill="314364" w:themeFill="text2"/>
            <w:vAlign w:val="center"/>
            <w:hideMark/>
          </w:tcPr>
          <w:p w14:paraId="54DAA76A" w14:textId="77777777" w:rsidR="00FD2D0E" w:rsidRPr="009169FD" w:rsidRDefault="00FD2D0E" w:rsidP="002D0A8C">
            <w:pPr>
              <w:spacing w:after="0" w:line="240" w:lineRule="auto"/>
              <w:jc w:val="right"/>
              <w:rPr>
                <w:rFonts w:eastAsia="Times New Roman" w:cs="Segoe UI"/>
                <w:b/>
                <w:color w:val="FFFFFF" w:themeColor="background1"/>
                <w:sz w:val="18"/>
                <w:szCs w:val="18"/>
                <w:lang w:eastAsia="sk-SK"/>
              </w:rPr>
            </w:pPr>
            <w:r>
              <w:rPr>
                <w:rFonts w:eastAsia="Times New Roman" w:cs="Segoe UI"/>
                <w:b/>
                <w:color w:val="FFFFFF" w:themeColor="background1"/>
                <w:sz w:val="18"/>
                <w:szCs w:val="18"/>
                <w:lang w:eastAsia="sk-SK"/>
              </w:rPr>
              <w:t>N</w:t>
            </w:r>
            <w:r w:rsidRPr="009169FD">
              <w:rPr>
                <w:rFonts w:eastAsia="Times New Roman" w:cs="Segoe UI"/>
                <w:b/>
                <w:color w:val="FFFFFF" w:themeColor="background1"/>
                <w:sz w:val="18"/>
                <w:szCs w:val="18"/>
                <w:lang w:eastAsia="sk-SK"/>
              </w:rPr>
              <w:t xml:space="preserve"> 2023</w:t>
            </w:r>
          </w:p>
        </w:tc>
      </w:tr>
      <w:tr w:rsidR="00FD2D0E" w:rsidRPr="008B5B66" w14:paraId="559AB441" w14:textId="77777777" w:rsidTr="002D0A8C">
        <w:trPr>
          <w:trHeight w:val="283"/>
        </w:trPr>
        <w:tc>
          <w:tcPr>
            <w:tcW w:w="2266" w:type="pct"/>
            <w:gridSpan w:val="2"/>
            <w:shd w:val="clear" w:color="auto" w:fill="auto"/>
            <w:vAlign w:val="center"/>
            <w:hideMark/>
          </w:tcPr>
          <w:p w14:paraId="62220832" w14:textId="77777777" w:rsidR="00FD2D0E" w:rsidRPr="009169FD" w:rsidRDefault="00FD2D0E" w:rsidP="002D0A8C">
            <w:pPr>
              <w:spacing w:after="0" w:line="240" w:lineRule="auto"/>
              <w:jc w:val="left"/>
              <w:rPr>
                <w:rFonts w:eastAsia="Times New Roman" w:cs="Segoe UI"/>
                <w:b/>
                <w:bCs/>
                <w:color w:val="000000"/>
                <w:sz w:val="18"/>
                <w:szCs w:val="18"/>
                <w:lang w:eastAsia="sk-SK"/>
              </w:rPr>
            </w:pPr>
            <w:r w:rsidRPr="009169FD">
              <w:rPr>
                <w:rFonts w:eastAsia="Times New Roman" w:cs="Segoe UI"/>
                <w:b/>
                <w:bCs/>
                <w:color w:val="000000"/>
                <w:sz w:val="18"/>
                <w:szCs w:val="18"/>
                <w:lang w:eastAsia="sk-SK"/>
              </w:rPr>
              <w:t>MZ SR spolu</w:t>
            </w:r>
          </w:p>
        </w:tc>
        <w:tc>
          <w:tcPr>
            <w:tcW w:w="469" w:type="pct"/>
            <w:shd w:val="clear" w:color="auto" w:fill="auto"/>
            <w:vAlign w:val="center"/>
            <w:hideMark/>
          </w:tcPr>
          <w:p w14:paraId="4EA15090"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1 706,9</w:t>
            </w:r>
          </w:p>
        </w:tc>
        <w:tc>
          <w:tcPr>
            <w:tcW w:w="468" w:type="pct"/>
            <w:shd w:val="clear" w:color="auto" w:fill="auto"/>
            <w:vAlign w:val="center"/>
            <w:hideMark/>
          </w:tcPr>
          <w:p w14:paraId="1D9C7B75"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2 281,2</w:t>
            </w:r>
          </w:p>
        </w:tc>
        <w:tc>
          <w:tcPr>
            <w:tcW w:w="523" w:type="pct"/>
            <w:shd w:val="clear" w:color="auto" w:fill="auto"/>
            <w:vAlign w:val="center"/>
            <w:hideMark/>
          </w:tcPr>
          <w:p w14:paraId="1738F480"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1 606,5</w:t>
            </w:r>
          </w:p>
        </w:tc>
        <w:tc>
          <w:tcPr>
            <w:tcW w:w="537" w:type="pct"/>
            <w:shd w:val="clear" w:color="auto" w:fill="auto"/>
            <w:vAlign w:val="center"/>
            <w:hideMark/>
          </w:tcPr>
          <w:p w14:paraId="7F08806D"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2 005,9</w:t>
            </w:r>
          </w:p>
        </w:tc>
        <w:tc>
          <w:tcPr>
            <w:tcW w:w="736" w:type="pct"/>
            <w:shd w:val="clear" w:color="auto" w:fill="auto"/>
            <w:vAlign w:val="center"/>
            <w:hideMark/>
          </w:tcPr>
          <w:p w14:paraId="0433E311"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1 730,2</w:t>
            </w:r>
          </w:p>
        </w:tc>
      </w:tr>
      <w:tr w:rsidR="00FD2D0E" w:rsidRPr="008B5B66" w14:paraId="4E891491" w14:textId="77777777" w:rsidTr="002D0A8C">
        <w:trPr>
          <w:trHeight w:val="283"/>
        </w:trPr>
        <w:tc>
          <w:tcPr>
            <w:tcW w:w="2266" w:type="pct"/>
            <w:gridSpan w:val="2"/>
            <w:shd w:val="clear" w:color="auto" w:fill="auto"/>
            <w:vAlign w:val="center"/>
            <w:hideMark/>
          </w:tcPr>
          <w:p w14:paraId="2B01FA7B" w14:textId="77777777" w:rsidR="00FD2D0E" w:rsidRPr="009169FD" w:rsidRDefault="00FD2D0E" w:rsidP="002D0A8C">
            <w:pPr>
              <w:spacing w:after="0" w:line="240" w:lineRule="auto"/>
              <w:jc w:val="left"/>
              <w:rPr>
                <w:rFonts w:eastAsia="Times New Roman" w:cs="Segoe UI"/>
                <w:b/>
                <w:bCs/>
                <w:color w:val="000000"/>
                <w:sz w:val="18"/>
                <w:szCs w:val="18"/>
                <w:lang w:eastAsia="sk-SK"/>
              </w:rPr>
            </w:pPr>
            <w:r w:rsidRPr="009169FD">
              <w:rPr>
                <w:rFonts w:eastAsia="Times New Roman" w:cs="Segoe UI"/>
                <w:b/>
                <w:bCs/>
                <w:color w:val="000000"/>
                <w:sz w:val="18"/>
                <w:szCs w:val="18"/>
                <w:lang w:eastAsia="sk-SK"/>
              </w:rPr>
              <w:t>079 Prevencia a ochrana zdravia</w:t>
            </w:r>
          </w:p>
        </w:tc>
        <w:tc>
          <w:tcPr>
            <w:tcW w:w="469" w:type="pct"/>
            <w:shd w:val="clear" w:color="auto" w:fill="auto"/>
            <w:vAlign w:val="center"/>
            <w:hideMark/>
          </w:tcPr>
          <w:p w14:paraId="05F3047F"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65,6</w:t>
            </w:r>
          </w:p>
        </w:tc>
        <w:tc>
          <w:tcPr>
            <w:tcW w:w="468" w:type="pct"/>
            <w:shd w:val="clear" w:color="auto" w:fill="auto"/>
            <w:vAlign w:val="center"/>
            <w:hideMark/>
          </w:tcPr>
          <w:p w14:paraId="57003E5F"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101,5</w:t>
            </w:r>
          </w:p>
        </w:tc>
        <w:tc>
          <w:tcPr>
            <w:tcW w:w="523" w:type="pct"/>
            <w:shd w:val="clear" w:color="auto" w:fill="auto"/>
            <w:vAlign w:val="center"/>
            <w:hideMark/>
          </w:tcPr>
          <w:p w14:paraId="3F65B23B"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65,6</w:t>
            </w:r>
          </w:p>
        </w:tc>
        <w:tc>
          <w:tcPr>
            <w:tcW w:w="537" w:type="pct"/>
            <w:shd w:val="clear" w:color="auto" w:fill="auto"/>
            <w:vAlign w:val="center"/>
            <w:hideMark/>
          </w:tcPr>
          <w:p w14:paraId="3B73549B"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67,6</w:t>
            </w:r>
          </w:p>
        </w:tc>
        <w:tc>
          <w:tcPr>
            <w:tcW w:w="736" w:type="pct"/>
            <w:shd w:val="clear" w:color="auto" w:fill="auto"/>
            <w:vAlign w:val="center"/>
            <w:hideMark/>
          </w:tcPr>
          <w:p w14:paraId="5281899C"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74,1</w:t>
            </w:r>
          </w:p>
        </w:tc>
      </w:tr>
      <w:tr w:rsidR="00FD2D0E" w:rsidRPr="008B5B66" w14:paraId="3FFD0E48" w14:textId="77777777" w:rsidTr="002D0A8C">
        <w:trPr>
          <w:trHeight w:val="283"/>
        </w:trPr>
        <w:tc>
          <w:tcPr>
            <w:tcW w:w="2266" w:type="pct"/>
            <w:gridSpan w:val="2"/>
            <w:shd w:val="clear" w:color="auto" w:fill="auto"/>
            <w:vAlign w:val="center"/>
            <w:hideMark/>
          </w:tcPr>
          <w:p w14:paraId="7BE6D1EB" w14:textId="77777777" w:rsidR="00FD2D0E" w:rsidRPr="009169FD" w:rsidRDefault="00FD2D0E" w:rsidP="002D0A8C">
            <w:pPr>
              <w:spacing w:after="0" w:line="240" w:lineRule="auto"/>
              <w:jc w:val="left"/>
              <w:rPr>
                <w:rFonts w:eastAsia="Times New Roman" w:cs="Segoe UI"/>
                <w:b/>
                <w:bCs/>
                <w:color w:val="000000"/>
                <w:sz w:val="18"/>
                <w:szCs w:val="18"/>
                <w:lang w:eastAsia="sk-SK"/>
              </w:rPr>
            </w:pPr>
            <w:r w:rsidRPr="009169FD">
              <w:rPr>
                <w:rFonts w:eastAsia="Times New Roman" w:cs="Segoe UI"/>
                <w:b/>
                <w:bCs/>
                <w:color w:val="000000"/>
                <w:sz w:val="18"/>
                <w:szCs w:val="18"/>
                <w:lang w:eastAsia="sk-SK"/>
              </w:rPr>
              <w:t>07A Zdravotná starostlivosť</w:t>
            </w:r>
          </w:p>
        </w:tc>
        <w:tc>
          <w:tcPr>
            <w:tcW w:w="469" w:type="pct"/>
            <w:shd w:val="clear" w:color="auto" w:fill="auto"/>
            <w:vAlign w:val="center"/>
            <w:hideMark/>
          </w:tcPr>
          <w:p w14:paraId="61101D01"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1 452,9</w:t>
            </w:r>
          </w:p>
        </w:tc>
        <w:tc>
          <w:tcPr>
            <w:tcW w:w="468" w:type="pct"/>
            <w:shd w:val="clear" w:color="auto" w:fill="auto"/>
            <w:vAlign w:val="center"/>
            <w:hideMark/>
          </w:tcPr>
          <w:p w14:paraId="42359A49"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1 377,9</w:t>
            </w:r>
          </w:p>
        </w:tc>
        <w:tc>
          <w:tcPr>
            <w:tcW w:w="523" w:type="pct"/>
            <w:shd w:val="clear" w:color="auto" w:fill="auto"/>
            <w:vAlign w:val="center"/>
            <w:hideMark/>
          </w:tcPr>
          <w:p w14:paraId="1D6CC414"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1 346,1</w:t>
            </w:r>
          </w:p>
        </w:tc>
        <w:tc>
          <w:tcPr>
            <w:tcW w:w="537" w:type="pct"/>
            <w:shd w:val="clear" w:color="auto" w:fill="auto"/>
            <w:vAlign w:val="center"/>
            <w:hideMark/>
          </w:tcPr>
          <w:p w14:paraId="70AAF9C5"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1 742,2</w:t>
            </w:r>
          </w:p>
        </w:tc>
        <w:tc>
          <w:tcPr>
            <w:tcW w:w="736" w:type="pct"/>
            <w:shd w:val="clear" w:color="auto" w:fill="auto"/>
            <w:vAlign w:val="center"/>
            <w:hideMark/>
          </w:tcPr>
          <w:p w14:paraId="6A3CF7D8"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1 576,8</w:t>
            </w:r>
          </w:p>
        </w:tc>
      </w:tr>
      <w:tr w:rsidR="00FD2D0E" w:rsidRPr="008B5B66" w14:paraId="60116C1B" w14:textId="77777777" w:rsidTr="002D0A8C">
        <w:trPr>
          <w:trHeight w:val="283"/>
        </w:trPr>
        <w:tc>
          <w:tcPr>
            <w:tcW w:w="678" w:type="pct"/>
            <w:vMerge w:val="restart"/>
            <w:shd w:val="clear" w:color="auto" w:fill="auto"/>
            <w:vAlign w:val="center"/>
            <w:hideMark/>
          </w:tcPr>
          <w:p w14:paraId="6A19C0D0" w14:textId="77777777" w:rsidR="00FD2D0E" w:rsidRPr="009169FD" w:rsidRDefault="00FD2D0E" w:rsidP="002D0A8C">
            <w:pPr>
              <w:spacing w:after="0" w:line="240" w:lineRule="auto"/>
              <w:jc w:val="left"/>
              <w:rPr>
                <w:rFonts w:eastAsia="Times New Roman" w:cs="Segoe UI"/>
                <w:color w:val="000000"/>
                <w:sz w:val="18"/>
                <w:szCs w:val="18"/>
                <w:lang w:eastAsia="sk-SK"/>
              </w:rPr>
            </w:pPr>
            <w:r w:rsidRPr="009169FD">
              <w:rPr>
                <w:rFonts w:eastAsia="Times New Roman" w:cs="Segoe UI"/>
                <w:color w:val="000000"/>
                <w:sz w:val="18"/>
                <w:szCs w:val="18"/>
                <w:lang w:eastAsia="sk-SK"/>
              </w:rPr>
              <w:t>z toho vybrané prvky:</w:t>
            </w:r>
          </w:p>
        </w:tc>
        <w:tc>
          <w:tcPr>
            <w:tcW w:w="1589" w:type="pct"/>
            <w:tcBorders>
              <w:top w:val="single" w:sz="4" w:space="0" w:color="314364" w:themeColor="text2"/>
              <w:bottom w:val="nil"/>
            </w:tcBorders>
            <w:shd w:val="clear" w:color="auto" w:fill="auto"/>
            <w:vAlign w:val="center"/>
            <w:hideMark/>
          </w:tcPr>
          <w:p w14:paraId="7906D189" w14:textId="77777777" w:rsidR="00FD2D0E" w:rsidRPr="009169FD" w:rsidRDefault="00FD2D0E" w:rsidP="002D0A8C">
            <w:pPr>
              <w:spacing w:after="0" w:line="240" w:lineRule="auto"/>
              <w:jc w:val="left"/>
              <w:rPr>
                <w:rFonts w:eastAsia="Times New Roman" w:cs="Segoe UI"/>
                <w:color w:val="000000"/>
                <w:sz w:val="18"/>
                <w:szCs w:val="18"/>
                <w:lang w:eastAsia="sk-SK"/>
              </w:rPr>
            </w:pPr>
            <w:r w:rsidRPr="009169FD">
              <w:rPr>
                <w:rFonts w:eastAsia="Times New Roman" w:cs="Segoe UI"/>
                <w:color w:val="000000"/>
                <w:sz w:val="18"/>
                <w:szCs w:val="18"/>
                <w:lang w:eastAsia="sk-SK"/>
              </w:rPr>
              <w:t>Poistné za poistencov štátu</w:t>
            </w:r>
          </w:p>
        </w:tc>
        <w:tc>
          <w:tcPr>
            <w:tcW w:w="469" w:type="pct"/>
            <w:tcBorders>
              <w:top w:val="single" w:sz="4" w:space="0" w:color="314364" w:themeColor="text2"/>
              <w:bottom w:val="nil"/>
            </w:tcBorders>
            <w:shd w:val="clear" w:color="auto" w:fill="auto"/>
            <w:vAlign w:val="center"/>
            <w:hideMark/>
          </w:tcPr>
          <w:p w14:paraId="15A17D24"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1 433,0</w:t>
            </w:r>
          </w:p>
        </w:tc>
        <w:tc>
          <w:tcPr>
            <w:tcW w:w="468" w:type="pct"/>
            <w:tcBorders>
              <w:top w:val="single" w:sz="4" w:space="0" w:color="314364" w:themeColor="text2"/>
              <w:bottom w:val="nil"/>
            </w:tcBorders>
            <w:shd w:val="clear" w:color="auto" w:fill="auto"/>
            <w:vAlign w:val="center"/>
            <w:hideMark/>
          </w:tcPr>
          <w:p w14:paraId="6F4A9808"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1 292,1</w:t>
            </w:r>
          </w:p>
        </w:tc>
        <w:tc>
          <w:tcPr>
            <w:tcW w:w="523" w:type="pct"/>
            <w:tcBorders>
              <w:top w:val="single" w:sz="4" w:space="0" w:color="314364" w:themeColor="text2"/>
              <w:bottom w:val="nil"/>
            </w:tcBorders>
            <w:shd w:val="clear" w:color="auto" w:fill="auto"/>
            <w:vAlign w:val="center"/>
            <w:hideMark/>
          </w:tcPr>
          <w:p w14:paraId="1BB74F76"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1 103,0</w:t>
            </w:r>
          </w:p>
        </w:tc>
        <w:tc>
          <w:tcPr>
            <w:tcW w:w="537" w:type="pct"/>
            <w:tcBorders>
              <w:top w:val="single" w:sz="4" w:space="0" w:color="314364" w:themeColor="text2"/>
              <w:bottom w:val="nil"/>
            </w:tcBorders>
            <w:shd w:val="clear" w:color="auto" w:fill="auto"/>
            <w:vAlign w:val="center"/>
            <w:hideMark/>
          </w:tcPr>
          <w:p w14:paraId="627032B7"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1 270,6</w:t>
            </w:r>
          </w:p>
        </w:tc>
        <w:tc>
          <w:tcPr>
            <w:tcW w:w="736" w:type="pct"/>
            <w:tcBorders>
              <w:top w:val="single" w:sz="4" w:space="0" w:color="314364" w:themeColor="text2"/>
              <w:bottom w:val="nil"/>
            </w:tcBorders>
            <w:shd w:val="clear" w:color="auto" w:fill="auto"/>
            <w:vAlign w:val="center"/>
            <w:hideMark/>
          </w:tcPr>
          <w:p w14:paraId="05566FF3"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1 103,0</w:t>
            </w:r>
          </w:p>
        </w:tc>
      </w:tr>
      <w:tr w:rsidR="00FD2D0E" w:rsidRPr="008B5B66" w14:paraId="3BBEDE57" w14:textId="77777777" w:rsidTr="002D0A8C">
        <w:trPr>
          <w:trHeight w:val="283"/>
        </w:trPr>
        <w:tc>
          <w:tcPr>
            <w:tcW w:w="678" w:type="pct"/>
            <w:vMerge/>
            <w:shd w:val="clear" w:color="auto" w:fill="auto"/>
            <w:vAlign w:val="center"/>
            <w:hideMark/>
          </w:tcPr>
          <w:p w14:paraId="176D35CE" w14:textId="77777777" w:rsidR="00FD2D0E" w:rsidRPr="009169FD" w:rsidRDefault="00FD2D0E" w:rsidP="002D0A8C">
            <w:pPr>
              <w:spacing w:after="0" w:line="240" w:lineRule="auto"/>
              <w:jc w:val="left"/>
              <w:rPr>
                <w:rFonts w:eastAsia="Times New Roman" w:cs="Segoe UI"/>
                <w:color w:val="000000"/>
                <w:sz w:val="18"/>
                <w:szCs w:val="18"/>
                <w:lang w:eastAsia="sk-SK"/>
              </w:rPr>
            </w:pPr>
          </w:p>
        </w:tc>
        <w:tc>
          <w:tcPr>
            <w:tcW w:w="1589" w:type="pct"/>
            <w:tcBorders>
              <w:top w:val="nil"/>
              <w:bottom w:val="nil"/>
            </w:tcBorders>
            <w:shd w:val="clear" w:color="auto" w:fill="auto"/>
            <w:vAlign w:val="center"/>
            <w:hideMark/>
          </w:tcPr>
          <w:p w14:paraId="53B5EC30" w14:textId="77777777" w:rsidR="00FD2D0E" w:rsidRPr="009169FD" w:rsidRDefault="00FD2D0E" w:rsidP="002D0A8C">
            <w:pPr>
              <w:spacing w:after="0" w:line="240" w:lineRule="auto"/>
              <w:jc w:val="left"/>
              <w:rPr>
                <w:rFonts w:eastAsia="Times New Roman" w:cs="Segoe UI"/>
                <w:color w:val="000000"/>
                <w:sz w:val="18"/>
                <w:szCs w:val="18"/>
                <w:lang w:eastAsia="sk-SK"/>
              </w:rPr>
            </w:pPr>
            <w:r w:rsidRPr="009169FD">
              <w:rPr>
                <w:rFonts w:eastAsia="Times New Roman" w:cs="Segoe UI"/>
                <w:color w:val="000000"/>
                <w:sz w:val="18"/>
                <w:szCs w:val="18"/>
                <w:lang w:eastAsia="sk-SK"/>
              </w:rPr>
              <w:t>Ostatná technika zdravotníckych zariadení</w:t>
            </w:r>
          </w:p>
        </w:tc>
        <w:tc>
          <w:tcPr>
            <w:tcW w:w="469" w:type="pct"/>
            <w:tcBorders>
              <w:top w:val="nil"/>
              <w:bottom w:val="nil"/>
            </w:tcBorders>
            <w:shd w:val="clear" w:color="auto" w:fill="auto"/>
            <w:vAlign w:val="center"/>
            <w:hideMark/>
          </w:tcPr>
          <w:p w14:paraId="0532CACD"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1,6</w:t>
            </w:r>
          </w:p>
        </w:tc>
        <w:tc>
          <w:tcPr>
            <w:tcW w:w="468" w:type="pct"/>
            <w:tcBorders>
              <w:top w:val="nil"/>
              <w:bottom w:val="nil"/>
            </w:tcBorders>
            <w:shd w:val="clear" w:color="auto" w:fill="auto"/>
            <w:vAlign w:val="center"/>
            <w:hideMark/>
          </w:tcPr>
          <w:p w14:paraId="089ADA64"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30,8</w:t>
            </w:r>
          </w:p>
        </w:tc>
        <w:tc>
          <w:tcPr>
            <w:tcW w:w="523" w:type="pct"/>
            <w:tcBorders>
              <w:top w:val="nil"/>
              <w:bottom w:val="nil"/>
            </w:tcBorders>
            <w:shd w:val="clear" w:color="auto" w:fill="auto"/>
            <w:vAlign w:val="center"/>
            <w:hideMark/>
          </w:tcPr>
          <w:p w14:paraId="37B8DF7B"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c>
          <w:tcPr>
            <w:tcW w:w="537" w:type="pct"/>
            <w:tcBorders>
              <w:top w:val="nil"/>
              <w:bottom w:val="nil"/>
            </w:tcBorders>
            <w:shd w:val="clear" w:color="auto" w:fill="auto"/>
            <w:vAlign w:val="center"/>
            <w:hideMark/>
          </w:tcPr>
          <w:p w14:paraId="4A625184"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c>
          <w:tcPr>
            <w:tcW w:w="736" w:type="pct"/>
            <w:tcBorders>
              <w:top w:val="nil"/>
              <w:bottom w:val="nil"/>
            </w:tcBorders>
            <w:shd w:val="clear" w:color="auto" w:fill="auto"/>
            <w:vAlign w:val="center"/>
            <w:hideMark/>
          </w:tcPr>
          <w:p w14:paraId="38DE1B02"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r>
      <w:tr w:rsidR="00FD2D0E" w:rsidRPr="008B5B66" w14:paraId="0E43272A" w14:textId="77777777" w:rsidTr="002D0A8C">
        <w:trPr>
          <w:trHeight w:val="283"/>
        </w:trPr>
        <w:tc>
          <w:tcPr>
            <w:tcW w:w="678" w:type="pct"/>
            <w:vMerge/>
            <w:shd w:val="clear" w:color="auto" w:fill="auto"/>
            <w:vAlign w:val="center"/>
            <w:hideMark/>
          </w:tcPr>
          <w:p w14:paraId="24647571" w14:textId="77777777" w:rsidR="00FD2D0E" w:rsidRPr="009169FD" w:rsidRDefault="00FD2D0E" w:rsidP="002D0A8C">
            <w:pPr>
              <w:spacing w:after="0" w:line="240" w:lineRule="auto"/>
              <w:jc w:val="left"/>
              <w:rPr>
                <w:rFonts w:eastAsia="Times New Roman" w:cs="Segoe UI"/>
                <w:color w:val="000000"/>
                <w:sz w:val="18"/>
                <w:szCs w:val="18"/>
                <w:lang w:eastAsia="sk-SK"/>
              </w:rPr>
            </w:pPr>
          </w:p>
        </w:tc>
        <w:tc>
          <w:tcPr>
            <w:tcW w:w="1589" w:type="pct"/>
            <w:tcBorders>
              <w:top w:val="nil"/>
              <w:bottom w:val="nil"/>
            </w:tcBorders>
            <w:shd w:val="clear" w:color="auto" w:fill="auto"/>
            <w:vAlign w:val="center"/>
            <w:hideMark/>
          </w:tcPr>
          <w:p w14:paraId="3CFA2E9E" w14:textId="77777777" w:rsidR="00FD2D0E" w:rsidRPr="009169FD" w:rsidRDefault="00FD2D0E" w:rsidP="002D0A8C">
            <w:pPr>
              <w:spacing w:after="0" w:line="240" w:lineRule="auto"/>
              <w:jc w:val="left"/>
              <w:rPr>
                <w:rFonts w:eastAsia="Times New Roman" w:cs="Segoe UI"/>
                <w:color w:val="000000"/>
                <w:sz w:val="18"/>
                <w:szCs w:val="18"/>
                <w:lang w:eastAsia="sk-SK"/>
              </w:rPr>
            </w:pPr>
            <w:r w:rsidRPr="009169FD">
              <w:rPr>
                <w:rFonts w:eastAsia="Times New Roman" w:cs="Segoe UI"/>
                <w:color w:val="000000"/>
                <w:sz w:val="18"/>
                <w:szCs w:val="18"/>
                <w:lang w:eastAsia="sk-SK"/>
              </w:rPr>
              <w:t>Stavby zdravotníckych zariadení</w:t>
            </w:r>
          </w:p>
        </w:tc>
        <w:tc>
          <w:tcPr>
            <w:tcW w:w="469" w:type="pct"/>
            <w:tcBorders>
              <w:top w:val="nil"/>
              <w:bottom w:val="nil"/>
            </w:tcBorders>
            <w:shd w:val="clear" w:color="auto" w:fill="auto"/>
            <w:vAlign w:val="center"/>
            <w:hideMark/>
          </w:tcPr>
          <w:p w14:paraId="64DB3093"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c>
          <w:tcPr>
            <w:tcW w:w="468" w:type="pct"/>
            <w:tcBorders>
              <w:top w:val="nil"/>
              <w:bottom w:val="nil"/>
            </w:tcBorders>
            <w:shd w:val="clear" w:color="auto" w:fill="auto"/>
            <w:vAlign w:val="center"/>
            <w:hideMark/>
          </w:tcPr>
          <w:p w14:paraId="47E354B0"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34,9</w:t>
            </w:r>
          </w:p>
        </w:tc>
        <w:tc>
          <w:tcPr>
            <w:tcW w:w="523" w:type="pct"/>
            <w:tcBorders>
              <w:top w:val="nil"/>
              <w:bottom w:val="nil"/>
            </w:tcBorders>
            <w:shd w:val="clear" w:color="auto" w:fill="auto"/>
            <w:vAlign w:val="center"/>
            <w:hideMark/>
          </w:tcPr>
          <w:p w14:paraId="7734C33E"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4,7</w:t>
            </w:r>
          </w:p>
        </w:tc>
        <w:tc>
          <w:tcPr>
            <w:tcW w:w="537" w:type="pct"/>
            <w:tcBorders>
              <w:top w:val="nil"/>
              <w:bottom w:val="nil"/>
            </w:tcBorders>
            <w:shd w:val="clear" w:color="auto" w:fill="auto"/>
            <w:vAlign w:val="center"/>
            <w:hideMark/>
          </w:tcPr>
          <w:p w14:paraId="3E332386"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c>
          <w:tcPr>
            <w:tcW w:w="736" w:type="pct"/>
            <w:tcBorders>
              <w:top w:val="nil"/>
              <w:bottom w:val="nil"/>
            </w:tcBorders>
            <w:shd w:val="clear" w:color="auto" w:fill="auto"/>
            <w:vAlign w:val="center"/>
            <w:hideMark/>
          </w:tcPr>
          <w:p w14:paraId="4AE6AB37"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r>
      <w:tr w:rsidR="00FD2D0E" w:rsidRPr="008B5B66" w14:paraId="3C547328" w14:textId="77777777" w:rsidTr="002D0A8C">
        <w:trPr>
          <w:trHeight w:val="283"/>
        </w:trPr>
        <w:tc>
          <w:tcPr>
            <w:tcW w:w="678" w:type="pct"/>
            <w:vMerge/>
            <w:shd w:val="clear" w:color="auto" w:fill="auto"/>
            <w:vAlign w:val="center"/>
            <w:hideMark/>
          </w:tcPr>
          <w:p w14:paraId="414222FE" w14:textId="77777777" w:rsidR="00FD2D0E" w:rsidRPr="009169FD" w:rsidRDefault="00FD2D0E" w:rsidP="002D0A8C">
            <w:pPr>
              <w:spacing w:after="0" w:line="240" w:lineRule="auto"/>
              <w:jc w:val="left"/>
              <w:rPr>
                <w:rFonts w:eastAsia="Times New Roman" w:cs="Segoe UI"/>
                <w:color w:val="000000"/>
                <w:sz w:val="18"/>
                <w:szCs w:val="18"/>
                <w:lang w:eastAsia="sk-SK"/>
              </w:rPr>
            </w:pPr>
          </w:p>
        </w:tc>
        <w:tc>
          <w:tcPr>
            <w:tcW w:w="1589" w:type="pct"/>
            <w:tcBorders>
              <w:top w:val="nil"/>
              <w:bottom w:val="single" w:sz="4" w:space="0" w:color="314364" w:themeColor="text2"/>
            </w:tcBorders>
            <w:shd w:val="clear" w:color="auto" w:fill="auto"/>
            <w:vAlign w:val="center"/>
            <w:hideMark/>
          </w:tcPr>
          <w:p w14:paraId="21452E9C" w14:textId="77777777" w:rsidR="00FD2D0E" w:rsidRPr="009169FD" w:rsidRDefault="00FD2D0E" w:rsidP="002D0A8C">
            <w:pPr>
              <w:spacing w:after="0" w:line="240" w:lineRule="auto"/>
              <w:jc w:val="left"/>
              <w:rPr>
                <w:rFonts w:eastAsia="Times New Roman" w:cs="Segoe UI"/>
                <w:color w:val="000000"/>
                <w:sz w:val="18"/>
                <w:szCs w:val="18"/>
                <w:lang w:eastAsia="sk-SK"/>
              </w:rPr>
            </w:pPr>
            <w:r w:rsidRPr="009169FD">
              <w:rPr>
                <w:rFonts w:eastAsia="Times New Roman" w:cs="Segoe UI"/>
                <w:color w:val="000000"/>
                <w:sz w:val="18"/>
                <w:szCs w:val="18"/>
                <w:lang w:eastAsia="sk-SK"/>
              </w:rPr>
              <w:t>Moderná a dostupná zdravotná starostlivosť</w:t>
            </w:r>
          </w:p>
        </w:tc>
        <w:tc>
          <w:tcPr>
            <w:tcW w:w="469" w:type="pct"/>
            <w:tcBorders>
              <w:top w:val="nil"/>
              <w:bottom w:val="single" w:sz="4" w:space="0" w:color="314364" w:themeColor="text2"/>
            </w:tcBorders>
            <w:shd w:val="clear" w:color="auto" w:fill="auto"/>
            <w:vAlign w:val="center"/>
            <w:hideMark/>
          </w:tcPr>
          <w:p w14:paraId="7619E352"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c>
          <w:tcPr>
            <w:tcW w:w="468" w:type="pct"/>
            <w:tcBorders>
              <w:top w:val="nil"/>
              <w:bottom w:val="single" w:sz="4" w:space="0" w:color="314364" w:themeColor="text2"/>
            </w:tcBorders>
            <w:shd w:val="clear" w:color="auto" w:fill="auto"/>
            <w:vAlign w:val="center"/>
            <w:hideMark/>
          </w:tcPr>
          <w:p w14:paraId="5A32BA06"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c>
          <w:tcPr>
            <w:tcW w:w="523" w:type="pct"/>
            <w:tcBorders>
              <w:top w:val="nil"/>
              <w:bottom w:val="single" w:sz="4" w:space="0" w:color="314364" w:themeColor="text2"/>
            </w:tcBorders>
            <w:shd w:val="clear" w:color="auto" w:fill="auto"/>
            <w:vAlign w:val="center"/>
            <w:hideMark/>
          </w:tcPr>
          <w:p w14:paraId="67174E1F"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177,5</w:t>
            </w:r>
          </w:p>
        </w:tc>
        <w:tc>
          <w:tcPr>
            <w:tcW w:w="537" w:type="pct"/>
            <w:tcBorders>
              <w:top w:val="nil"/>
              <w:bottom w:val="single" w:sz="4" w:space="0" w:color="314364" w:themeColor="text2"/>
            </w:tcBorders>
            <w:shd w:val="clear" w:color="auto" w:fill="auto"/>
            <w:vAlign w:val="center"/>
            <w:hideMark/>
          </w:tcPr>
          <w:p w14:paraId="041CE238"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400,4</w:t>
            </w:r>
          </w:p>
        </w:tc>
        <w:tc>
          <w:tcPr>
            <w:tcW w:w="736" w:type="pct"/>
            <w:tcBorders>
              <w:top w:val="nil"/>
              <w:bottom w:val="single" w:sz="4" w:space="0" w:color="314364" w:themeColor="text2"/>
            </w:tcBorders>
            <w:shd w:val="clear" w:color="auto" w:fill="auto"/>
            <w:vAlign w:val="center"/>
            <w:hideMark/>
          </w:tcPr>
          <w:p w14:paraId="631F217C"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400,4</w:t>
            </w:r>
          </w:p>
        </w:tc>
      </w:tr>
      <w:tr w:rsidR="00FD2D0E" w:rsidRPr="008B5B66" w14:paraId="17989992" w14:textId="77777777" w:rsidTr="002D0A8C">
        <w:trPr>
          <w:trHeight w:val="283"/>
        </w:trPr>
        <w:tc>
          <w:tcPr>
            <w:tcW w:w="2266" w:type="pct"/>
            <w:gridSpan w:val="2"/>
            <w:shd w:val="clear" w:color="auto" w:fill="auto"/>
            <w:vAlign w:val="center"/>
            <w:hideMark/>
          </w:tcPr>
          <w:p w14:paraId="0ED28898" w14:textId="77777777" w:rsidR="00FD2D0E" w:rsidRPr="009169FD" w:rsidRDefault="00FD2D0E" w:rsidP="002D0A8C">
            <w:pPr>
              <w:spacing w:after="0" w:line="240" w:lineRule="auto"/>
              <w:jc w:val="left"/>
              <w:rPr>
                <w:rFonts w:eastAsia="Times New Roman" w:cs="Segoe UI"/>
                <w:b/>
                <w:bCs/>
                <w:color w:val="000000"/>
                <w:sz w:val="18"/>
                <w:szCs w:val="18"/>
                <w:lang w:eastAsia="sk-SK"/>
              </w:rPr>
            </w:pPr>
            <w:r w:rsidRPr="009169FD">
              <w:rPr>
                <w:rFonts w:eastAsia="Times New Roman" w:cs="Segoe UI"/>
                <w:b/>
                <w:bCs/>
                <w:color w:val="000000"/>
                <w:sz w:val="18"/>
                <w:szCs w:val="18"/>
                <w:lang w:eastAsia="sk-SK"/>
              </w:rPr>
              <w:t>07B Tvorba a implementácia politík</w:t>
            </w:r>
          </w:p>
        </w:tc>
        <w:tc>
          <w:tcPr>
            <w:tcW w:w="469" w:type="pct"/>
            <w:shd w:val="clear" w:color="auto" w:fill="auto"/>
            <w:vAlign w:val="center"/>
            <w:hideMark/>
          </w:tcPr>
          <w:p w14:paraId="3DCEF880"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183,9</w:t>
            </w:r>
          </w:p>
        </w:tc>
        <w:tc>
          <w:tcPr>
            <w:tcW w:w="468" w:type="pct"/>
            <w:shd w:val="clear" w:color="auto" w:fill="auto"/>
            <w:vAlign w:val="center"/>
            <w:hideMark/>
          </w:tcPr>
          <w:p w14:paraId="482012B4"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584,9</w:t>
            </w:r>
          </w:p>
        </w:tc>
        <w:tc>
          <w:tcPr>
            <w:tcW w:w="523" w:type="pct"/>
            <w:shd w:val="clear" w:color="auto" w:fill="auto"/>
            <w:vAlign w:val="center"/>
            <w:hideMark/>
          </w:tcPr>
          <w:p w14:paraId="117A52D1"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188,4</w:t>
            </w:r>
          </w:p>
        </w:tc>
        <w:tc>
          <w:tcPr>
            <w:tcW w:w="537" w:type="pct"/>
            <w:shd w:val="clear" w:color="auto" w:fill="auto"/>
            <w:vAlign w:val="center"/>
            <w:hideMark/>
          </w:tcPr>
          <w:p w14:paraId="1CC7E416"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181,9</w:t>
            </w:r>
          </w:p>
        </w:tc>
        <w:tc>
          <w:tcPr>
            <w:tcW w:w="736" w:type="pct"/>
            <w:shd w:val="clear" w:color="auto" w:fill="auto"/>
            <w:vAlign w:val="center"/>
            <w:hideMark/>
          </w:tcPr>
          <w:p w14:paraId="3B85D065"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64,2</w:t>
            </w:r>
          </w:p>
        </w:tc>
      </w:tr>
      <w:tr w:rsidR="00FD2D0E" w:rsidRPr="008B5B66" w14:paraId="6E8DD575" w14:textId="77777777" w:rsidTr="002D0A8C">
        <w:trPr>
          <w:trHeight w:val="283"/>
        </w:trPr>
        <w:tc>
          <w:tcPr>
            <w:tcW w:w="678" w:type="pct"/>
            <w:vMerge w:val="restart"/>
            <w:shd w:val="clear" w:color="auto" w:fill="auto"/>
            <w:vAlign w:val="center"/>
            <w:hideMark/>
          </w:tcPr>
          <w:p w14:paraId="54483893" w14:textId="77777777" w:rsidR="00FD2D0E" w:rsidRPr="009169FD" w:rsidRDefault="00FD2D0E" w:rsidP="002D0A8C">
            <w:pPr>
              <w:spacing w:after="0" w:line="240" w:lineRule="auto"/>
              <w:jc w:val="left"/>
              <w:rPr>
                <w:rFonts w:eastAsia="Times New Roman" w:cs="Segoe UI"/>
                <w:color w:val="000000"/>
                <w:sz w:val="18"/>
                <w:szCs w:val="18"/>
                <w:lang w:eastAsia="sk-SK"/>
              </w:rPr>
            </w:pPr>
          </w:p>
        </w:tc>
        <w:tc>
          <w:tcPr>
            <w:tcW w:w="1589" w:type="pct"/>
            <w:tcBorders>
              <w:top w:val="nil"/>
              <w:bottom w:val="nil"/>
            </w:tcBorders>
            <w:shd w:val="clear" w:color="auto" w:fill="auto"/>
            <w:vAlign w:val="center"/>
            <w:hideMark/>
          </w:tcPr>
          <w:p w14:paraId="71AF44A1" w14:textId="77777777" w:rsidR="00FD2D0E" w:rsidRPr="009169FD" w:rsidRDefault="00FD2D0E" w:rsidP="002D0A8C">
            <w:pPr>
              <w:spacing w:after="0" w:line="240" w:lineRule="auto"/>
              <w:jc w:val="left"/>
              <w:rPr>
                <w:rFonts w:eastAsia="Times New Roman" w:cs="Segoe UI"/>
                <w:color w:val="000000"/>
                <w:sz w:val="18"/>
                <w:szCs w:val="18"/>
                <w:lang w:eastAsia="sk-SK"/>
              </w:rPr>
            </w:pPr>
            <w:r w:rsidRPr="009169FD">
              <w:rPr>
                <w:rFonts w:eastAsia="Times New Roman" w:cs="Segoe UI"/>
                <w:color w:val="000000"/>
                <w:sz w:val="18"/>
                <w:szCs w:val="18"/>
                <w:lang w:eastAsia="sk-SK"/>
              </w:rPr>
              <w:t>Rozpočet príspevkových organizácií v pôsobnosti MZ SR</w:t>
            </w:r>
          </w:p>
        </w:tc>
        <w:tc>
          <w:tcPr>
            <w:tcW w:w="469" w:type="pct"/>
            <w:tcBorders>
              <w:top w:val="nil"/>
              <w:bottom w:val="nil"/>
            </w:tcBorders>
            <w:shd w:val="clear" w:color="auto" w:fill="auto"/>
            <w:vAlign w:val="center"/>
            <w:hideMark/>
          </w:tcPr>
          <w:p w14:paraId="6BE8BD89"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130,0</w:t>
            </w:r>
          </w:p>
        </w:tc>
        <w:tc>
          <w:tcPr>
            <w:tcW w:w="468" w:type="pct"/>
            <w:tcBorders>
              <w:top w:val="nil"/>
              <w:bottom w:val="nil"/>
            </w:tcBorders>
            <w:shd w:val="clear" w:color="auto" w:fill="auto"/>
            <w:vAlign w:val="center"/>
            <w:hideMark/>
          </w:tcPr>
          <w:p w14:paraId="5ABC2415"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132,0</w:t>
            </w:r>
          </w:p>
        </w:tc>
        <w:tc>
          <w:tcPr>
            <w:tcW w:w="523" w:type="pct"/>
            <w:tcBorders>
              <w:top w:val="nil"/>
              <w:bottom w:val="nil"/>
            </w:tcBorders>
            <w:shd w:val="clear" w:color="auto" w:fill="auto"/>
            <w:vAlign w:val="center"/>
            <w:hideMark/>
          </w:tcPr>
          <w:p w14:paraId="7EC12872"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130,4</w:t>
            </w:r>
          </w:p>
        </w:tc>
        <w:tc>
          <w:tcPr>
            <w:tcW w:w="537" w:type="pct"/>
            <w:tcBorders>
              <w:top w:val="nil"/>
              <w:bottom w:val="nil"/>
            </w:tcBorders>
            <w:shd w:val="clear" w:color="auto" w:fill="auto"/>
            <w:vAlign w:val="center"/>
            <w:hideMark/>
          </w:tcPr>
          <w:p w14:paraId="5339900E"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130,8</w:t>
            </w:r>
          </w:p>
        </w:tc>
        <w:tc>
          <w:tcPr>
            <w:tcW w:w="736" w:type="pct"/>
            <w:tcBorders>
              <w:top w:val="nil"/>
              <w:bottom w:val="nil"/>
            </w:tcBorders>
            <w:shd w:val="clear" w:color="auto" w:fill="auto"/>
            <w:vAlign w:val="center"/>
            <w:hideMark/>
          </w:tcPr>
          <w:p w14:paraId="62583FA0"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5,8</w:t>
            </w:r>
          </w:p>
        </w:tc>
      </w:tr>
      <w:tr w:rsidR="00FD2D0E" w:rsidRPr="008B5B66" w14:paraId="43333581" w14:textId="77777777" w:rsidTr="002D0A8C">
        <w:trPr>
          <w:trHeight w:val="283"/>
        </w:trPr>
        <w:tc>
          <w:tcPr>
            <w:tcW w:w="678" w:type="pct"/>
            <w:vMerge/>
            <w:shd w:val="clear" w:color="auto" w:fill="auto"/>
            <w:vAlign w:val="center"/>
            <w:hideMark/>
          </w:tcPr>
          <w:p w14:paraId="5242DEC4" w14:textId="77777777" w:rsidR="00FD2D0E" w:rsidRPr="009169FD" w:rsidRDefault="00FD2D0E" w:rsidP="002D0A8C">
            <w:pPr>
              <w:spacing w:after="0" w:line="240" w:lineRule="auto"/>
              <w:jc w:val="left"/>
              <w:rPr>
                <w:rFonts w:eastAsia="Times New Roman" w:cs="Segoe UI"/>
                <w:color w:val="000000"/>
                <w:sz w:val="18"/>
                <w:szCs w:val="18"/>
                <w:lang w:eastAsia="sk-SK"/>
              </w:rPr>
            </w:pPr>
          </w:p>
        </w:tc>
        <w:tc>
          <w:tcPr>
            <w:tcW w:w="1589" w:type="pct"/>
            <w:tcBorders>
              <w:top w:val="nil"/>
              <w:bottom w:val="nil"/>
            </w:tcBorders>
            <w:shd w:val="clear" w:color="auto" w:fill="auto"/>
            <w:vAlign w:val="center"/>
            <w:hideMark/>
          </w:tcPr>
          <w:p w14:paraId="6A68E961" w14:textId="77777777" w:rsidR="00FD2D0E" w:rsidRPr="009169FD" w:rsidRDefault="00FD2D0E" w:rsidP="002D0A8C">
            <w:pPr>
              <w:spacing w:after="0" w:line="240" w:lineRule="auto"/>
              <w:jc w:val="left"/>
              <w:rPr>
                <w:rFonts w:eastAsia="Times New Roman" w:cs="Segoe UI"/>
                <w:color w:val="000000"/>
                <w:sz w:val="18"/>
                <w:szCs w:val="18"/>
                <w:lang w:eastAsia="sk-SK"/>
              </w:rPr>
            </w:pPr>
            <w:r w:rsidRPr="009169FD">
              <w:rPr>
                <w:rFonts w:eastAsia="Times New Roman" w:cs="Segoe UI"/>
                <w:color w:val="000000"/>
                <w:sz w:val="18"/>
                <w:szCs w:val="18"/>
                <w:lang w:eastAsia="sk-SK"/>
              </w:rPr>
              <w:t>Lieková politika</w:t>
            </w:r>
          </w:p>
        </w:tc>
        <w:tc>
          <w:tcPr>
            <w:tcW w:w="469" w:type="pct"/>
            <w:tcBorders>
              <w:top w:val="nil"/>
              <w:bottom w:val="nil"/>
            </w:tcBorders>
            <w:shd w:val="clear" w:color="auto" w:fill="auto"/>
            <w:vAlign w:val="center"/>
            <w:hideMark/>
          </w:tcPr>
          <w:p w14:paraId="55CE28D2"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6,1</w:t>
            </w:r>
          </w:p>
        </w:tc>
        <w:tc>
          <w:tcPr>
            <w:tcW w:w="468" w:type="pct"/>
            <w:tcBorders>
              <w:top w:val="nil"/>
              <w:bottom w:val="nil"/>
            </w:tcBorders>
            <w:shd w:val="clear" w:color="auto" w:fill="auto"/>
            <w:vAlign w:val="center"/>
            <w:hideMark/>
          </w:tcPr>
          <w:p w14:paraId="6100E06C"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5,7</w:t>
            </w:r>
          </w:p>
        </w:tc>
        <w:tc>
          <w:tcPr>
            <w:tcW w:w="523" w:type="pct"/>
            <w:tcBorders>
              <w:top w:val="nil"/>
              <w:bottom w:val="nil"/>
            </w:tcBorders>
            <w:shd w:val="clear" w:color="auto" w:fill="auto"/>
            <w:vAlign w:val="center"/>
            <w:hideMark/>
          </w:tcPr>
          <w:p w14:paraId="79AE6ACB"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6,1</w:t>
            </w:r>
          </w:p>
        </w:tc>
        <w:tc>
          <w:tcPr>
            <w:tcW w:w="537" w:type="pct"/>
            <w:tcBorders>
              <w:top w:val="nil"/>
              <w:bottom w:val="nil"/>
            </w:tcBorders>
            <w:shd w:val="clear" w:color="auto" w:fill="auto"/>
            <w:vAlign w:val="center"/>
            <w:hideMark/>
          </w:tcPr>
          <w:p w14:paraId="3343EC9A"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6,2</w:t>
            </w:r>
          </w:p>
        </w:tc>
        <w:tc>
          <w:tcPr>
            <w:tcW w:w="736" w:type="pct"/>
            <w:tcBorders>
              <w:top w:val="nil"/>
              <w:bottom w:val="nil"/>
            </w:tcBorders>
            <w:shd w:val="clear" w:color="auto" w:fill="auto"/>
            <w:vAlign w:val="center"/>
            <w:hideMark/>
          </w:tcPr>
          <w:p w14:paraId="4FD8975A"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6,6</w:t>
            </w:r>
          </w:p>
        </w:tc>
      </w:tr>
      <w:tr w:rsidR="00FD2D0E" w:rsidRPr="008B5B66" w14:paraId="3DE516DF" w14:textId="77777777" w:rsidTr="002D0A8C">
        <w:trPr>
          <w:trHeight w:val="283"/>
        </w:trPr>
        <w:tc>
          <w:tcPr>
            <w:tcW w:w="678" w:type="pct"/>
            <w:vMerge/>
            <w:shd w:val="clear" w:color="auto" w:fill="auto"/>
            <w:vAlign w:val="center"/>
            <w:hideMark/>
          </w:tcPr>
          <w:p w14:paraId="1E987F97" w14:textId="77777777" w:rsidR="00FD2D0E" w:rsidRPr="009169FD" w:rsidRDefault="00FD2D0E" w:rsidP="002D0A8C">
            <w:pPr>
              <w:spacing w:after="0" w:line="240" w:lineRule="auto"/>
              <w:jc w:val="left"/>
              <w:rPr>
                <w:rFonts w:eastAsia="Times New Roman" w:cs="Segoe UI"/>
                <w:color w:val="000000"/>
                <w:sz w:val="18"/>
                <w:szCs w:val="18"/>
                <w:lang w:eastAsia="sk-SK"/>
              </w:rPr>
            </w:pPr>
          </w:p>
        </w:tc>
        <w:tc>
          <w:tcPr>
            <w:tcW w:w="1589" w:type="pct"/>
            <w:tcBorders>
              <w:top w:val="nil"/>
            </w:tcBorders>
            <w:shd w:val="clear" w:color="auto" w:fill="auto"/>
            <w:vAlign w:val="center"/>
            <w:hideMark/>
          </w:tcPr>
          <w:p w14:paraId="5B6382A5" w14:textId="77777777" w:rsidR="00FD2D0E" w:rsidRPr="009169FD" w:rsidRDefault="00FD2D0E" w:rsidP="002D0A8C">
            <w:pPr>
              <w:spacing w:after="0" w:line="240" w:lineRule="auto"/>
              <w:jc w:val="left"/>
              <w:rPr>
                <w:rFonts w:eastAsia="Times New Roman" w:cs="Segoe UI"/>
                <w:color w:val="000000"/>
                <w:sz w:val="18"/>
                <w:szCs w:val="18"/>
                <w:lang w:eastAsia="sk-SK"/>
              </w:rPr>
            </w:pPr>
            <w:r w:rsidRPr="009169FD">
              <w:rPr>
                <w:rFonts w:eastAsia="Times New Roman" w:cs="Segoe UI"/>
                <w:color w:val="000000"/>
                <w:sz w:val="18"/>
                <w:szCs w:val="18"/>
                <w:lang w:eastAsia="sk-SK"/>
              </w:rPr>
              <w:t>Veda a výskum v zdravotníctve</w:t>
            </w:r>
          </w:p>
        </w:tc>
        <w:tc>
          <w:tcPr>
            <w:tcW w:w="469" w:type="pct"/>
            <w:tcBorders>
              <w:top w:val="nil"/>
            </w:tcBorders>
            <w:shd w:val="clear" w:color="auto" w:fill="auto"/>
            <w:vAlign w:val="center"/>
            <w:hideMark/>
          </w:tcPr>
          <w:p w14:paraId="1397D607"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1,2</w:t>
            </w:r>
          </w:p>
        </w:tc>
        <w:tc>
          <w:tcPr>
            <w:tcW w:w="468" w:type="pct"/>
            <w:tcBorders>
              <w:top w:val="nil"/>
            </w:tcBorders>
            <w:shd w:val="clear" w:color="auto" w:fill="auto"/>
            <w:vAlign w:val="center"/>
            <w:hideMark/>
          </w:tcPr>
          <w:p w14:paraId="42FA751A"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0,7</w:t>
            </w:r>
          </w:p>
        </w:tc>
        <w:tc>
          <w:tcPr>
            <w:tcW w:w="523" w:type="pct"/>
            <w:tcBorders>
              <w:top w:val="nil"/>
            </w:tcBorders>
            <w:shd w:val="clear" w:color="auto" w:fill="auto"/>
            <w:vAlign w:val="center"/>
            <w:hideMark/>
          </w:tcPr>
          <w:p w14:paraId="1D6B46E1"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0,4</w:t>
            </w:r>
          </w:p>
        </w:tc>
        <w:tc>
          <w:tcPr>
            <w:tcW w:w="537" w:type="pct"/>
            <w:tcBorders>
              <w:top w:val="nil"/>
            </w:tcBorders>
            <w:shd w:val="clear" w:color="auto" w:fill="auto"/>
            <w:vAlign w:val="center"/>
            <w:hideMark/>
          </w:tcPr>
          <w:p w14:paraId="378AF6D0"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c>
          <w:tcPr>
            <w:tcW w:w="736" w:type="pct"/>
            <w:tcBorders>
              <w:top w:val="nil"/>
            </w:tcBorders>
            <w:shd w:val="clear" w:color="auto" w:fill="auto"/>
            <w:vAlign w:val="center"/>
            <w:hideMark/>
          </w:tcPr>
          <w:p w14:paraId="692B5191" w14:textId="77777777" w:rsidR="00FD2D0E" w:rsidRPr="009169FD" w:rsidRDefault="00FD2D0E" w:rsidP="002D0A8C">
            <w:pPr>
              <w:spacing w:after="0" w:line="240" w:lineRule="auto"/>
              <w:jc w:val="right"/>
              <w:rPr>
                <w:rFonts w:eastAsia="Times New Roman" w:cs="Segoe UI"/>
                <w:color w:val="000000"/>
                <w:sz w:val="18"/>
                <w:szCs w:val="18"/>
                <w:lang w:eastAsia="sk-SK"/>
              </w:rPr>
            </w:pPr>
            <w:r w:rsidRPr="009169FD">
              <w:rPr>
                <w:rFonts w:eastAsia="Times New Roman" w:cs="Segoe UI"/>
                <w:color w:val="000000"/>
                <w:sz w:val="18"/>
                <w:szCs w:val="18"/>
                <w:lang w:eastAsia="sk-SK"/>
              </w:rPr>
              <w:t>0,0</w:t>
            </w:r>
          </w:p>
        </w:tc>
      </w:tr>
      <w:tr w:rsidR="00FD2D0E" w:rsidRPr="008B5B66" w14:paraId="12F0DC99" w14:textId="77777777" w:rsidTr="002D0A8C">
        <w:trPr>
          <w:trHeight w:val="283"/>
        </w:trPr>
        <w:tc>
          <w:tcPr>
            <w:tcW w:w="2266" w:type="pct"/>
            <w:gridSpan w:val="2"/>
            <w:shd w:val="clear" w:color="auto" w:fill="auto"/>
            <w:vAlign w:val="center"/>
            <w:hideMark/>
          </w:tcPr>
          <w:p w14:paraId="18AB31C5" w14:textId="77777777" w:rsidR="00FD2D0E" w:rsidRPr="009169FD" w:rsidRDefault="00FD2D0E" w:rsidP="002D0A8C">
            <w:pPr>
              <w:spacing w:after="0" w:line="240" w:lineRule="auto"/>
              <w:jc w:val="left"/>
              <w:rPr>
                <w:rFonts w:eastAsia="Times New Roman" w:cs="Segoe UI"/>
                <w:b/>
                <w:bCs/>
                <w:color w:val="000000"/>
                <w:sz w:val="18"/>
                <w:szCs w:val="18"/>
                <w:lang w:eastAsia="sk-SK"/>
              </w:rPr>
            </w:pPr>
            <w:r w:rsidRPr="009169FD">
              <w:rPr>
                <w:rFonts w:eastAsia="Times New Roman" w:cs="Segoe UI"/>
                <w:b/>
                <w:bCs/>
                <w:color w:val="000000"/>
                <w:sz w:val="18"/>
                <w:szCs w:val="18"/>
                <w:lang w:eastAsia="sk-SK"/>
              </w:rPr>
              <w:t>Iné</w:t>
            </w:r>
          </w:p>
        </w:tc>
        <w:tc>
          <w:tcPr>
            <w:tcW w:w="469" w:type="pct"/>
            <w:shd w:val="clear" w:color="auto" w:fill="auto"/>
            <w:vAlign w:val="center"/>
            <w:hideMark/>
          </w:tcPr>
          <w:p w14:paraId="7AA1145A"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4,5</w:t>
            </w:r>
          </w:p>
        </w:tc>
        <w:tc>
          <w:tcPr>
            <w:tcW w:w="468" w:type="pct"/>
            <w:shd w:val="clear" w:color="auto" w:fill="auto"/>
            <w:vAlign w:val="center"/>
            <w:hideMark/>
          </w:tcPr>
          <w:p w14:paraId="1096ACF8"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216,8</w:t>
            </w:r>
          </w:p>
        </w:tc>
        <w:tc>
          <w:tcPr>
            <w:tcW w:w="523" w:type="pct"/>
            <w:shd w:val="clear" w:color="auto" w:fill="auto"/>
            <w:vAlign w:val="center"/>
            <w:hideMark/>
          </w:tcPr>
          <w:p w14:paraId="7F766BB3"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6,4</w:t>
            </w:r>
          </w:p>
        </w:tc>
        <w:tc>
          <w:tcPr>
            <w:tcW w:w="537" w:type="pct"/>
            <w:shd w:val="clear" w:color="auto" w:fill="auto"/>
            <w:vAlign w:val="center"/>
            <w:hideMark/>
          </w:tcPr>
          <w:p w14:paraId="7D0EA869"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14,1</w:t>
            </w:r>
          </w:p>
        </w:tc>
        <w:tc>
          <w:tcPr>
            <w:tcW w:w="736" w:type="pct"/>
            <w:shd w:val="clear" w:color="auto" w:fill="auto"/>
            <w:vAlign w:val="center"/>
            <w:hideMark/>
          </w:tcPr>
          <w:p w14:paraId="365FC40C" w14:textId="77777777" w:rsidR="00FD2D0E" w:rsidRPr="009169FD" w:rsidRDefault="00FD2D0E" w:rsidP="002D0A8C">
            <w:pPr>
              <w:spacing w:after="0" w:line="240" w:lineRule="auto"/>
              <w:jc w:val="right"/>
              <w:rPr>
                <w:rFonts w:eastAsia="Times New Roman" w:cs="Segoe UI"/>
                <w:b/>
                <w:bCs/>
                <w:color w:val="000000"/>
                <w:sz w:val="18"/>
                <w:szCs w:val="18"/>
                <w:lang w:eastAsia="sk-SK"/>
              </w:rPr>
            </w:pPr>
            <w:r w:rsidRPr="009169FD">
              <w:rPr>
                <w:rFonts w:eastAsia="Times New Roman" w:cs="Segoe UI"/>
                <w:b/>
                <w:bCs/>
                <w:color w:val="000000"/>
                <w:sz w:val="18"/>
                <w:szCs w:val="18"/>
                <w:lang w:eastAsia="sk-SK"/>
              </w:rPr>
              <w:t>15,1</w:t>
            </w:r>
          </w:p>
        </w:tc>
      </w:tr>
    </w:tbl>
    <w:p w14:paraId="3D4BA410" w14:textId="3D5BF2B8" w:rsidR="00FD2D0E" w:rsidRDefault="00FD2D0E" w:rsidP="00FD2D0E">
      <w:pPr>
        <w:pStyle w:val="Zdroj"/>
      </w:pPr>
      <w:r w:rsidRPr="00D40AB4">
        <w:t xml:space="preserve">Zdroj: </w:t>
      </w:r>
      <w:r>
        <w:t>RIS BI</w:t>
      </w:r>
      <w:r>
        <w:br/>
        <w:t>NK – návrh kapitoly, R – schválený rozpočet, S – skutočnosť</w:t>
      </w:r>
      <w:r w:rsidR="008A1788">
        <w:t>, N – návrh rozpočtu</w:t>
      </w:r>
    </w:p>
    <w:p w14:paraId="50557310" w14:textId="77777777" w:rsidR="00C85E0E" w:rsidRDefault="00C85E0E" w:rsidP="00C85E0E">
      <w:pPr>
        <w:rPr>
          <w:szCs w:val="20"/>
        </w:rPr>
      </w:pPr>
      <w:r>
        <w:rPr>
          <w:szCs w:val="20"/>
        </w:rPr>
        <w:t xml:space="preserve">Súhrn verejných zdrojov, ktoré sú určené na úhradu zdravotnej starostlivosti predstavuje </w:t>
      </w:r>
      <w:r w:rsidRPr="007C571E">
        <w:rPr>
          <w:b/>
          <w:szCs w:val="20"/>
        </w:rPr>
        <w:t>verejné zdravotné poistenie</w:t>
      </w:r>
      <w:r>
        <w:rPr>
          <w:szCs w:val="20"/>
        </w:rPr>
        <w:t xml:space="preserve"> (VZP). Rozhodujúci podiel na výdavkoch VZP predstavujú výdavky poistenia, teda výdavky na zdravotnú starostlivosť (ZS). Úpravou legislatívy sa od roku 2020 zaviedol nový spôsob financovania VZP, pri ktorom sa platba štátu už neodvíja od počtu poistencov štátu, ale plní </w:t>
      </w:r>
      <w:proofErr w:type="spellStart"/>
      <w:r>
        <w:rPr>
          <w:szCs w:val="20"/>
        </w:rPr>
        <w:t>dorovnávaciu</w:t>
      </w:r>
      <w:proofErr w:type="spellEnd"/>
      <w:r>
        <w:rPr>
          <w:szCs w:val="20"/>
        </w:rPr>
        <w:t xml:space="preserve"> funkciu. Jej výška je určená tak, aby spolu so zdravotnými odvodmi pokryla očakávané výdavky VZP.</w:t>
      </w:r>
    </w:p>
    <w:p w14:paraId="792C03E0" w14:textId="4A73A7D1" w:rsidR="00C85E0E" w:rsidRDefault="00C85E0E" w:rsidP="00C85E0E">
      <w:pPr>
        <w:rPr>
          <w:szCs w:val="20"/>
        </w:rPr>
      </w:pPr>
      <w:r>
        <w:rPr>
          <w:szCs w:val="20"/>
        </w:rPr>
        <w:t xml:space="preserve">Rozpočet výdavkov na zdravotnú starostlivosť na rok 2023 v porovnaní s rozpočtom na rok 2022 síce vzrastie o 12,5 %, ale v porovnaní s očakávanou skutočnosťou </w:t>
      </w:r>
      <w:r w:rsidR="001E7633">
        <w:rPr>
          <w:szCs w:val="20"/>
        </w:rPr>
        <w:t>z</w:t>
      </w:r>
      <w:r>
        <w:rPr>
          <w:szCs w:val="20"/>
        </w:rPr>
        <w:t xml:space="preserve">a rok 2022 vzrastie len o 2 % </w:t>
      </w:r>
      <w:r w:rsidRPr="00A9575B">
        <w:rPr>
          <w:szCs w:val="20"/>
        </w:rPr>
        <w:t xml:space="preserve">(tabuľka </w:t>
      </w:r>
      <w:r>
        <w:rPr>
          <w:szCs w:val="20"/>
        </w:rPr>
        <w:t>1</w:t>
      </w:r>
      <w:r w:rsidR="00B4495E">
        <w:rPr>
          <w:szCs w:val="20"/>
        </w:rPr>
        <w:t>1</w:t>
      </w:r>
      <w:r>
        <w:rPr>
          <w:szCs w:val="20"/>
        </w:rPr>
        <w:t xml:space="preserve">). </w:t>
      </w:r>
      <w:r w:rsidRPr="001E7633">
        <w:rPr>
          <w:szCs w:val="20"/>
        </w:rPr>
        <w:t>NKÚ SR upozorňuje, že dynamika rastu výdavkov na ZS nedosahuje úroveň prognózovanej inflácie</w:t>
      </w:r>
      <w:r w:rsidR="001E7633" w:rsidRPr="001E7633">
        <w:rPr>
          <w:szCs w:val="20"/>
        </w:rPr>
        <w:t xml:space="preserve"> </w:t>
      </w:r>
      <w:r w:rsidR="001E7633">
        <w:rPr>
          <w:szCs w:val="20"/>
        </w:rPr>
        <w:t xml:space="preserve">a za predpokladu kompenzácie cien energií ani jadrovej inflácie. </w:t>
      </w:r>
      <w:r w:rsidRPr="001E7633">
        <w:rPr>
          <w:szCs w:val="20"/>
        </w:rPr>
        <w:t>Návrh RVS obsahuje aj rezervy, ale z predloženého materiálu nie je jasné ani isté, aký objem pôjde na ZS. Po započítaní dodatočného transferu vo výške 340 mil. eur by sa mal rast výdavkov poistenia (o 7,7 % oproti očakávanej skutočnosti roku 2022) dostať na úroveň prognózovanej jadrovej inflácie, ale stále to nerieši problém štruktúry ZS a možných rizík v konkrétnych oblastiach zdravotníctva</w:t>
      </w:r>
      <w:r w:rsidR="001E7633" w:rsidRPr="001E7633">
        <w:rPr>
          <w:szCs w:val="20"/>
        </w:rPr>
        <w:t xml:space="preserve"> </w:t>
      </w:r>
      <w:r w:rsidR="001E7633">
        <w:rPr>
          <w:szCs w:val="20"/>
        </w:rPr>
        <w:t>vyplývajúcich z dlhodobého nedofinancovania</w:t>
      </w:r>
      <w:r w:rsidRPr="001E7633">
        <w:rPr>
          <w:szCs w:val="20"/>
        </w:rPr>
        <w:t>.</w:t>
      </w:r>
      <w:r>
        <w:rPr>
          <w:szCs w:val="20"/>
        </w:rPr>
        <w:t xml:space="preserve"> </w:t>
      </w:r>
      <w:r w:rsidRPr="008D4ABD">
        <w:rPr>
          <w:szCs w:val="20"/>
        </w:rPr>
        <w:t xml:space="preserve">NKÚ SR upozorňuje, že tento návrh rozpočtu znamená </w:t>
      </w:r>
      <w:r w:rsidRPr="008D4ABD">
        <w:rPr>
          <w:b/>
          <w:szCs w:val="20"/>
        </w:rPr>
        <w:t>riziko problémov fungovania ambulantného sektora</w:t>
      </w:r>
      <w:r w:rsidRPr="008D4ABD">
        <w:rPr>
          <w:szCs w:val="20"/>
        </w:rPr>
        <w:t xml:space="preserve">, </w:t>
      </w:r>
      <w:r w:rsidR="008D4ABD">
        <w:rPr>
          <w:szCs w:val="20"/>
        </w:rPr>
        <w:t xml:space="preserve">a to aj preto, </w:t>
      </w:r>
      <w:r w:rsidRPr="008D4ABD">
        <w:rPr>
          <w:szCs w:val="20"/>
        </w:rPr>
        <w:t>že rozpočtované výdavky na ZS nepočítajú s nárastom miezd pre ambulantný sektor nad rámec platového automatu.</w:t>
      </w:r>
      <w:r>
        <w:rPr>
          <w:szCs w:val="20"/>
        </w:rPr>
        <w:t xml:space="preserve"> Rozpočet kryje</w:t>
      </w:r>
      <w:r w:rsidRPr="00313583">
        <w:rPr>
          <w:szCs w:val="20"/>
        </w:rPr>
        <w:t xml:space="preserve"> </w:t>
      </w:r>
      <w:r>
        <w:rPr>
          <w:szCs w:val="20"/>
        </w:rPr>
        <w:t>zvyšovanie</w:t>
      </w:r>
      <w:r w:rsidRPr="00313583">
        <w:rPr>
          <w:szCs w:val="20"/>
        </w:rPr>
        <w:t xml:space="preserve"> miezd nad rámec platového automatu iba v prípade zdravotníckych pracovníkov v ústavnej zdravotnej starostlivosti</w:t>
      </w:r>
      <w:r>
        <w:rPr>
          <w:szCs w:val="20"/>
        </w:rPr>
        <w:t>.</w:t>
      </w:r>
      <w:r w:rsidRPr="00313583">
        <w:rPr>
          <w:szCs w:val="20"/>
        </w:rPr>
        <w:t xml:space="preserve"> Pritom v ambulantnom sektore je dlhodobý problém s nedostatkom lekárov, čo sa vzhľadom na ich vekovú štruktúru bude v najbližšej dobe ešte prehlbovať. </w:t>
      </w:r>
    </w:p>
    <w:p w14:paraId="34997B81" w14:textId="77777777" w:rsidR="007F7533" w:rsidRDefault="007F7533" w:rsidP="007C571E">
      <w:pPr>
        <w:spacing w:after="0"/>
        <w:rPr>
          <w:b/>
          <w:color w:val="314364" w:themeColor="text2"/>
          <w:szCs w:val="20"/>
        </w:rPr>
      </w:pPr>
      <w:r>
        <w:rPr>
          <w:b/>
          <w:color w:val="314364" w:themeColor="text2"/>
          <w:szCs w:val="20"/>
        </w:rPr>
        <w:br w:type="page"/>
      </w:r>
    </w:p>
    <w:p w14:paraId="2CFB4B87" w14:textId="55B5A576" w:rsidR="007C571E" w:rsidRDefault="007C571E" w:rsidP="007C571E">
      <w:pPr>
        <w:spacing w:after="0"/>
        <w:rPr>
          <w:b/>
          <w:color w:val="314364" w:themeColor="text2"/>
          <w:szCs w:val="20"/>
        </w:rPr>
      </w:pPr>
      <w:r w:rsidRPr="009169FD">
        <w:rPr>
          <w:b/>
          <w:color w:val="314364" w:themeColor="text2"/>
          <w:szCs w:val="20"/>
        </w:rPr>
        <w:lastRenderedPageBreak/>
        <w:t xml:space="preserve">Tabuľka </w:t>
      </w:r>
      <w:r w:rsidR="00A9575B" w:rsidRPr="009169FD">
        <w:rPr>
          <w:b/>
          <w:color w:val="314364" w:themeColor="text2"/>
          <w:szCs w:val="20"/>
        </w:rPr>
        <w:t>1</w:t>
      </w:r>
      <w:r w:rsidR="00A428D0">
        <w:rPr>
          <w:b/>
          <w:color w:val="314364" w:themeColor="text2"/>
          <w:szCs w:val="20"/>
        </w:rPr>
        <w:t>1</w:t>
      </w:r>
      <w:r w:rsidRPr="009169FD">
        <w:rPr>
          <w:b/>
          <w:color w:val="314364" w:themeColor="text2"/>
          <w:szCs w:val="20"/>
        </w:rPr>
        <w:t xml:space="preserve">: Výdavky verejného zdravotného poistenia (v </w:t>
      </w:r>
      <w:r w:rsidR="006A6B9D" w:rsidRPr="009169FD">
        <w:rPr>
          <w:b/>
          <w:color w:val="314364" w:themeColor="text2"/>
          <w:szCs w:val="20"/>
        </w:rPr>
        <w:t>mil</w:t>
      </w:r>
      <w:r w:rsidRPr="009169FD">
        <w:rPr>
          <w:b/>
          <w:color w:val="314364" w:themeColor="text2"/>
          <w:szCs w:val="20"/>
        </w:rPr>
        <w:t>. eur)</w:t>
      </w:r>
    </w:p>
    <w:tbl>
      <w:tblPr>
        <w:tblW w:w="8580" w:type="dxa"/>
        <w:tblCellMar>
          <w:left w:w="70" w:type="dxa"/>
          <w:right w:w="70" w:type="dxa"/>
        </w:tblCellMar>
        <w:tblLook w:val="04A0" w:firstRow="1" w:lastRow="0" w:firstColumn="1" w:lastColumn="0" w:noHBand="0" w:noVBand="1"/>
      </w:tblPr>
      <w:tblGrid>
        <w:gridCol w:w="2200"/>
        <w:gridCol w:w="800"/>
        <w:gridCol w:w="759"/>
        <w:gridCol w:w="759"/>
        <w:gridCol w:w="901"/>
        <w:gridCol w:w="759"/>
        <w:gridCol w:w="742"/>
        <w:gridCol w:w="759"/>
        <w:gridCol w:w="901"/>
      </w:tblGrid>
      <w:tr w:rsidR="00E82085" w:rsidRPr="00636410" w14:paraId="0BB90665" w14:textId="77777777" w:rsidTr="005B6D7F">
        <w:trPr>
          <w:trHeight w:val="405"/>
        </w:trPr>
        <w:tc>
          <w:tcPr>
            <w:tcW w:w="2200" w:type="dxa"/>
            <w:tcBorders>
              <w:top w:val="nil"/>
              <w:left w:val="nil"/>
              <w:bottom w:val="nil"/>
              <w:right w:val="nil"/>
            </w:tcBorders>
            <w:shd w:val="clear" w:color="000000" w:fill="314364"/>
            <w:vAlign w:val="center"/>
            <w:hideMark/>
          </w:tcPr>
          <w:p w14:paraId="332A7438" w14:textId="77777777" w:rsidR="00E82085" w:rsidRPr="00636410" w:rsidRDefault="00E82085" w:rsidP="005B6D7F">
            <w:pPr>
              <w:spacing w:after="0" w:line="240" w:lineRule="auto"/>
              <w:jc w:val="left"/>
              <w:rPr>
                <w:rFonts w:eastAsia="Times New Roman" w:cs="Segoe UI"/>
                <w:b/>
                <w:bCs/>
                <w:color w:val="FFFFFF"/>
                <w:sz w:val="18"/>
                <w:szCs w:val="18"/>
                <w:lang w:eastAsia="sk-SK"/>
              </w:rPr>
            </w:pPr>
            <w:r w:rsidRPr="004A1805">
              <w:rPr>
                <w:rFonts w:eastAsia="Times New Roman" w:cs="Segoe UI"/>
                <w:b/>
                <w:bCs/>
                <w:color w:val="FFFFFF"/>
                <w:sz w:val="18"/>
                <w:szCs w:val="18"/>
                <w:lang w:eastAsia="sk-SK"/>
              </w:rPr>
              <w:t xml:space="preserve">Ukazovateľ </w:t>
            </w:r>
          </w:p>
        </w:tc>
        <w:tc>
          <w:tcPr>
            <w:tcW w:w="800" w:type="dxa"/>
            <w:tcBorders>
              <w:top w:val="nil"/>
              <w:left w:val="nil"/>
              <w:bottom w:val="nil"/>
              <w:right w:val="nil"/>
            </w:tcBorders>
            <w:shd w:val="clear" w:color="000000" w:fill="314364"/>
            <w:vAlign w:val="center"/>
            <w:hideMark/>
          </w:tcPr>
          <w:p w14:paraId="7EB95A76" w14:textId="77777777" w:rsidR="00E82085" w:rsidRPr="00636410" w:rsidRDefault="00E82085" w:rsidP="005B6D7F">
            <w:pPr>
              <w:spacing w:after="0" w:line="240" w:lineRule="auto"/>
              <w:jc w:val="right"/>
              <w:rPr>
                <w:rFonts w:eastAsia="Times New Roman" w:cs="Segoe UI"/>
                <w:b/>
                <w:bCs/>
                <w:color w:val="FFFFFF"/>
                <w:sz w:val="18"/>
                <w:szCs w:val="18"/>
                <w:lang w:eastAsia="sk-SK"/>
              </w:rPr>
            </w:pPr>
            <w:r w:rsidRPr="004A1805">
              <w:rPr>
                <w:rFonts w:eastAsia="Times New Roman" w:cs="Segoe UI"/>
                <w:b/>
                <w:bCs/>
                <w:color w:val="FFFFFF"/>
                <w:sz w:val="18"/>
                <w:szCs w:val="18"/>
                <w:lang w:eastAsia="sk-SK"/>
              </w:rPr>
              <w:t>2019 S</w:t>
            </w:r>
          </w:p>
        </w:tc>
        <w:tc>
          <w:tcPr>
            <w:tcW w:w="759" w:type="dxa"/>
            <w:tcBorders>
              <w:top w:val="nil"/>
              <w:left w:val="nil"/>
              <w:bottom w:val="nil"/>
              <w:right w:val="nil"/>
            </w:tcBorders>
            <w:shd w:val="clear" w:color="000000" w:fill="314364"/>
            <w:vAlign w:val="center"/>
            <w:hideMark/>
          </w:tcPr>
          <w:p w14:paraId="27D06412" w14:textId="77777777" w:rsidR="00E82085" w:rsidRPr="00636410" w:rsidRDefault="00E82085" w:rsidP="005B6D7F">
            <w:pPr>
              <w:spacing w:after="0" w:line="240" w:lineRule="auto"/>
              <w:jc w:val="right"/>
              <w:rPr>
                <w:rFonts w:eastAsia="Times New Roman" w:cs="Segoe UI"/>
                <w:b/>
                <w:bCs/>
                <w:color w:val="FFFFFF"/>
                <w:sz w:val="18"/>
                <w:szCs w:val="18"/>
                <w:lang w:eastAsia="sk-SK"/>
              </w:rPr>
            </w:pPr>
            <w:r w:rsidRPr="004A1805">
              <w:rPr>
                <w:rFonts w:eastAsia="Times New Roman" w:cs="Segoe UI"/>
                <w:b/>
                <w:bCs/>
                <w:color w:val="FFFFFF"/>
                <w:sz w:val="18"/>
                <w:szCs w:val="18"/>
                <w:lang w:eastAsia="sk-SK"/>
              </w:rPr>
              <w:t>2020 S</w:t>
            </w:r>
          </w:p>
        </w:tc>
        <w:tc>
          <w:tcPr>
            <w:tcW w:w="759" w:type="dxa"/>
            <w:tcBorders>
              <w:top w:val="nil"/>
              <w:left w:val="nil"/>
              <w:bottom w:val="nil"/>
              <w:right w:val="nil"/>
            </w:tcBorders>
            <w:shd w:val="clear" w:color="000000" w:fill="314364"/>
            <w:vAlign w:val="center"/>
            <w:hideMark/>
          </w:tcPr>
          <w:p w14:paraId="009BBC1E" w14:textId="77777777" w:rsidR="00E82085" w:rsidRPr="00636410" w:rsidRDefault="00E82085" w:rsidP="005B6D7F">
            <w:pPr>
              <w:spacing w:after="0" w:line="240" w:lineRule="auto"/>
              <w:jc w:val="right"/>
              <w:rPr>
                <w:rFonts w:eastAsia="Times New Roman" w:cs="Segoe UI"/>
                <w:b/>
                <w:bCs/>
                <w:color w:val="FFFFFF"/>
                <w:sz w:val="18"/>
                <w:szCs w:val="18"/>
                <w:lang w:eastAsia="sk-SK"/>
              </w:rPr>
            </w:pPr>
            <w:r w:rsidRPr="004A1805">
              <w:rPr>
                <w:rFonts w:eastAsia="Times New Roman" w:cs="Segoe UI"/>
                <w:b/>
                <w:bCs/>
                <w:color w:val="FFFFFF"/>
                <w:sz w:val="18"/>
                <w:szCs w:val="18"/>
                <w:lang w:eastAsia="sk-SK"/>
              </w:rPr>
              <w:t>2021 S</w:t>
            </w:r>
          </w:p>
        </w:tc>
        <w:tc>
          <w:tcPr>
            <w:tcW w:w="901" w:type="dxa"/>
            <w:tcBorders>
              <w:top w:val="nil"/>
              <w:left w:val="nil"/>
              <w:bottom w:val="nil"/>
              <w:right w:val="nil"/>
            </w:tcBorders>
            <w:shd w:val="clear" w:color="000000" w:fill="314364"/>
            <w:vAlign w:val="center"/>
            <w:hideMark/>
          </w:tcPr>
          <w:p w14:paraId="718C7980" w14:textId="77777777" w:rsidR="00E82085" w:rsidRPr="00636410" w:rsidRDefault="00E82085" w:rsidP="005B6D7F">
            <w:pPr>
              <w:spacing w:after="0" w:line="240" w:lineRule="auto"/>
              <w:jc w:val="right"/>
              <w:rPr>
                <w:rFonts w:eastAsia="Times New Roman" w:cs="Segoe UI"/>
                <w:b/>
                <w:bCs/>
                <w:color w:val="FFFFFF"/>
                <w:sz w:val="18"/>
                <w:szCs w:val="18"/>
                <w:lang w:eastAsia="sk-SK"/>
              </w:rPr>
            </w:pPr>
            <w:r w:rsidRPr="004A1805">
              <w:rPr>
                <w:rFonts w:eastAsia="Times New Roman" w:cs="Segoe UI"/>
                <w:b/>
                <w:bCs/>
                <w:color w:val="FFFFFF"/>
                <w:sz w:val="18"/>
                <w:szCs w:val="18"/>
                <w:lang w:eastAsia="sk-SK"/>
              </w:rPr>
              <w:t>2022 OS</w:t>
            </w:r>
          </w:p>
        </w:tc>
        <w:tc>
          <w:tcPr>
            <w:tcW w:w="759" w:type="dxa"/>
            <w:tcBorders>
              <w:top w:val="nil"/>
              <w:left w:val="nil"/>
              <w:bottom w:val="nil"/>
              <w:right w:val="nil"/>
            </w:tcBorders>
            <w:shd w:val="clear" w:color="000000" w:fill="314364"/>
            <w:vAlign w:val="center"/>
            <w:hideMark/>
          </w:tcPr>
          <w:p w14:paraId="351E22F5" w14:textId="77777777" w:rsidR="00E82085" w:rsidRPr="00636410" w:rsidRDefault="00E82085" w:rsidP="005B6D7F">
            <w:pPr>
              <w:spacing w:after="0" w:line="240" w:lineRule="auto"/>
              <w:jc w:val="right"/>
              <w:rPr>
                <w:rFonts w:eastAsia="Times New Roman" w:cs="Segoe UI"/>
                <w:b/>
                <w:bCs/>
                <w:color w:val="FFFFFF"/>
                <w:sz w:val="18"/>
                <w:szCs w:val="18"/>
                <w:lang w:eastAsia="sk-SK"/>
              </w:rPr>
            </w:pPr>
            <w:r w:rsidRPr="004A1805">
              <w:rPr>
                <w:rFonts w:eastAsia="Times New Roman" w:cs="Segoe UI"/>
                <w:b/>
                <w:bCs/>
                <w:color w:val="FFFFFF"/>
                <w:sz w:val="18"/>
                <w:szCs w:val="18"/>
                <w:lang w:eastAsia="sk-SK"/>
              </w:rPr>
              <w:t>2020 R</w:t>
            </w:r>
          </w:p>
        </w:tc>
        <w:tc>
          <w:tcPr>
            <w:tcW w:w="742" w:type="dxa"/>
            <w:tcBorders>
              <w:top w:val="nil"/>
              <w:left w:val="nil"/>
              <w:bottom w:val="nil"/>
              <w:right w:val="nil"/>
            </w:tcBorders>
            <w:shd w:val="clear" w:color="000000" w:fill="314364"/>
            <w:vAlign w:val="center"/>
            <w:hideMark/>
          </w:tcPr>
          <w:p w14:paraId="602FCEF8" w14:textId="77777777" w:rsidR="00E82085" w:rsidRPr="00636410" w:rsidRDefault="00E82085" w:rsidP="005B6D7F">
            <w:pPr>
              <w:spacing w:after="0" w:line="240" w:lineRule="auto"/>
              <w:jc w:val="right"/>
              <w:rPr>
                <w:rFonts w:eastAsia="Times New Roman" w:cs="Segoe UI"/>
                <w:b/>
                <w:bCs/>
                <w:color w:val="FFFFFF"/>
                <w:sz w:val="18"/>
                <w:szCs w:val="18"/>
                <w:lang w:eastAsia="sk-SK"/>
              </w:rPr>
            </w:pPr>
            <w:r w:rsidRPr="004A1805">
              <w:rPr>
                <w:rFonts w:eastAsia="Times New Roman" w:cs="Segoe UI"/>
                <w:b/>
                <w:bCs/>
                <w:color w:val="FFFFFF"/>
                <w:sz w:val="18"/>
                <w:szCs w:val="18"/>
                <w:lang w:eastAsia="sk-SK"/>
              </w:rPr>
              <w:t>2021 R</w:t>
            </w:r>
          </w:p>
        </w:tc>
        <w:tc>
          <w:tcPr>
            <w:tcW w:w="759" w:type="dxa"/>
            <w:tcBorders>
              <w:top w:val="nil"/>
              <w:left w:val="nil"/>
              <w:bottom w:val="nil"/>
              <w:right w:val="nil"/>
            </w:tcBorders>
            <w:shd w:val="clear" w:color="000000" w:fill="314364"/>
            <w:vAlign w:val="center"/>
            <w:hideMark/>
          </w:tcPr>
          <w:p w14:paraId="2523E240" w14:textId="77777777" w:rsidR="00E82085" w:rsidRPr="00636410" w:rsidRDefault="00E82085" w:rsidP="005B6D7F">
            <w:pPr>
              <w:spacing w:after="0" w:line="240" w:lineRule="auto"/>
              <w:jc w:val="right"/>
              <w:rPr>
                <w:rFonts w:eastAsia="Times New Roman" w:cs="Segoe UI"/>
                <w:b/>
                <w:bCs/>
                <w:color w:val="FFFFFF"/>
                <w:sz w:val="18"/>
                <w:szCs w:val="18"/>
                <w:lang w:eastAsia="sk-SK"/>
              </w:rPr>
            </w:pPr>
            <w:r w:rsidRPr="004A1805">
              <w:rPr>
                <w:rFonts w:eastAsia="Times New Roman" w:cs="Segoe UI"/>
                <w:b/>
                <w:bCs/>
                <w:color w:val="FFFFFF"/>
                <w:sz w:val="18"/>
                <w:szCs w:val="18"/>
                <w:lang w:eastAsia="sk-SK"/>
              </w:rPr>
              <w:t>2022 R</w:t>
            </w:r>
          </w:p>
        </w:tc>
        <w:tc>
          <w:tcPr>
            <w:tcW w:w="901" w:type="dxa"/>
            <w:tcBorders>
              <w:top w:val="nil"/>
              <w:left w:val="nil"/>
              <w:bottom w:val="nil"/>
              <w:right w:val="nil"/>
            </w:tcBorders>
            <w:shd w:val="clear" w:color="000000" w:fill="314364"/>
            <w:vAlign w:val="center"/>
            <w:hideMark/>
          </w:tcPr>
          <w:p w14:paraId="6CAB8923" w14:textId="77777777" w:rsidR="00E82085" w:rsidRPr="00636410" w:rsidRDefault="00E82085" w:rsidP="005B6D7F">
            <w:pPr>
              <w:spacing w:after="0" w:line="240" w:lineRule="auto"/>
              <w:jc w:val="right"/>
              <w:rPr>
                <w:rFonts w:eastAsia="Times New Roman" w:cs="Segoe UI"/>
                <w:b/>
                <w:bCs/>
                <w:color w:val="FFFFFF"/>
                <w:sz w:val="18"/>
                <w:szCs w:val="18"/>
                <w:lang w:eastAsia="sk-SK"/>
              </w:rPr>
            </w:pPr>
            <w:r w:rsidRPr="004A1805">
              <w:rPr>
                <w:rFonts w:eastAsia="Times New Roman" w:cs="Segoe UI"/>
                <w:b/>
                <w:bCs/>
                <w:color w:val="FFFFFF"/>
                <w:sz w:val="18"/>
                <w:szCs w:val="18"/>
                <w:lang w:eastAsia="sk-SK"/>
              </w:rPr>
              <w:t>2023 N</w:t>
            </w:r>
          </w:p>
        </w:tc>
      </w:tr>
      <w:tr w:rsidR="00E82085" w:rsidRPr="00636410" w14:paraId="2F0547CC" w14:textId="77777777" w:rsidTr="005B6D7F">
        <w:trPr>
          <w:trHeight w:val="315"/>
        </w:trPr>
        <w:tc>
          <w:tcPr>
            <w:tcW w:w="2200" w:type="dxa"/>
            <w:tcBorders>
              <w:top w:val="single" w:sz="4" w:space="0" w:color="auto"/>
              <w:left w:val="nil"/>
              <w:bottom w:val="nil"/>
              <w:right w:val="nil"/>
            </w:tcBorders>
            <w:shd w:val="clear" w:color="auto" w:fill="auto"/>
            <w:vAlign w:val="center"/>
            <w:hideMark/>
          </w:tcPr>
          <w:p w14:paraId="5436FBC6"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Výdavky VZP spolu</w:t>
            </w:r>
          </w:p>
        </w:tc>
        <w:tc>
          <w:tcPr>
            <w:tcW w:w="800" w:type="dxa"/>
            <w:tcBorders>
              <w:top w:val="single" w:sz="4" w:space="0" w:color="auto"/>
              <w:left w:val="nil"/>
              <w:bottom w:val="nil"/>
              <w:right w:val="nil"/>
            </w:tcBorders>
            <w:shd w:val="clear" w:color="auto" w:fill="auto"/>
            <w:vAlign w:val="center"/>
            <w:hideMark/>
          </w:tcPr>
          <w:p w14:paraId="5C65C5C7"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5 212,1</w:t>
            </w:r>
          </w:p>
        </w:tc>
        <w:tc>
          <w:tcPr>
            <w:tcW w:w="759" w:type="dxa"/>
            <w:tcBorders>
              <w:top w:val="single" w:sz="4" w:space="0" w:color="auto"/>
              <w:left w:val="nil"/>
              <w:bottom w:val="nil"/>
              <w:right w:val="nil"/>
            </w:tcBorders>
            <w:shd w:val="clear" w:color="auto" w:fill="auto"/>
            <w:vAlign w:val="center"/>
            <w:hideMark/>
          </w:tcPr>
          <w:p w14:paraId="47613DE2"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5 323,1</w:t>
            </w:r>
          </w:p>
        </w:tc>
        <w:tc>
          <w:tcPr>
            <w:tcW w:w="759" w:type="dxa"/>
            <w:tcBorders>
              <w:top w:val="single" w:sz="4" w:space="0" w:color="auto"/>
              <w:left w:val="nil"/>
              <w:bottom w:val="nil"/>
              <w:right w:val="nil"/>
            </w:tcBorders>
            <w:shd w:val="clear" w:color="auto" w:fill="auto"/>
            <w:vAlign w:val="center"/>
            <w:hideMark/>
          </w:tcPr>
          <w:p w14:paraId="788FD1BA"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5 731,0</w:t>
            </w:r>
          </w:p>
        </w:tc>
        <w:tc>
          <w:tcPr>
            <w:tcW w:w="901" w:type="dxa"/>
            <w:tcBorders>
              <w:top w:val="single" w:sz="4" w:space="0" w:color="auto"/>
              <w:left w:val="nil"/>
              <w:bottom w:val="nil"/>
              <w:right w:val="nil"/>
            </w:tcBorders>
            <w:shd w:val="clear" w:color="auto" w:fill="auto"/>
            <w:vAlign w:val="center"/>
            <w:hideMark/>
          </w:tcPr>
          <w:p w14:paraId="406DC97A"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6 269,6</w:t>
            </w:r>
          </w:p>
        </w:tc>
        <w:tc>
          <w:tcPr>
            <w:tcW w:w="759" w:type="dxa"/>
            <w:tcBorders>
              <w:top w:val="single" w:sz="4" w:space="0" w:color="auto"/>
              <w:left w:val="nil"/>
              <w:bottom w:val="nil"/>
              <w:right w:val="nil"/>
            </w:tcBorders>
            <w:shd w:val="clear" w:color="auto" w:fill="auto"/>
            <w:vAlign w:val="center"/>
            <w:hideMark/>
          </w:tcPr>
          <w:p w14:paraId="4ED71F5E"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5 418,0</w:t>
            </w:r>
          </w:p>
        </w:tc>
        <w:tc>
          <w:tcPr>
            <w:tcW w:w="742" w:type="dxa"/>
            <w:tcBorders>
              <w:top w:val="single" w:sz="4" w:space="0" w:color="auto"/>
              <w:left w:val="nil"/>
              <w:bottom w:val="nil"/>
              <w:right w:val="nil"/>
            </w:tcBorders>
            <w:shd w:val="clear" w:color="auto" w:fill="auto"/>
            <w:vAlign w:val="center"/>
            <w:hideMark/>
          </w:tcPr>
          <w:p w14:paraId="2DDB2F05"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5 692,9</w:t>
            </w:r>
          </w:p>
        </w:tc>
        <w:tc>
          <w:tcPr>
            <w:tcW w:w="759" w:type="dxa"/>
            <w:tcBorders>
              <w:top w:val="single" w:sz="4" w:space="0" w:color="auto"/>
              <w:left w:val="nil"/>
              <w:bottom w:val="nil"/>
              <w:right w:val="nil"/>
            </w:tcBorders>
            <w:shd w:val="clear" w:color="auto" w:fill="auto"/>
            <w:vAlign w:val="center"/>
            <w:hideMark/>
          </w:tcPr>
          <w:p w14:paraId="4CA78C70"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5 693,9</w:t>
            </w:r>
          </w:p>
        </w:tc>
        <w:tc>
          <w:tcPr>
            <w:tcW w:w="901" w:type="dxa"/>
            <w:tcBorders>
              <w:top w:val="single" w:sz="4" w:space="0" w:color="auto"/>
              <w:left w:val="nil"/>
              <w:bottom w:val="nil"/>
              <w:right w:val="nil"/>
            </w:tcBorders>
            <w:shd w:val="clear" w:color="auto" w:fill="auto"/>
            <w:vAlign w:val="center"/>
            <w:hideMark/>
          </w:tcPr>
          <w:p w14:paraId="52C37250"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6 399,6</w:t>
            </w:r>
          </w:p>
        </w:tc>
      </w:tr>
      <w:tr w:rsidR="00E82085" w:rsidRPr="00636410" w14:paraId="34AA787B" w14:textId="77777777" w:rsidTr="005B6D7F">
        <w:trPr>
          <w:trHeight w:val="315"/>
        </w:trPr>
        <w:tc>
          <w:tcPr>
            <w:tcW w:w="2200" w:type="dxa"/>
            <w:tcBorders>
              <w:top w:val="nil"/>
              <w:left w:val="nil"/>
              <w:bottom w:val="nil"/>
              <w:right w:val="nil"/>
            </w:tcBorders>
            <w:shd w:val="clear" w:color="auto" w:fill="auto"/>
            <w:vAlign w:val="center"/>
            <w:hideMark/>
          </w:tcPr>
          <w:p w14:paraId="78A023B0"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 nárast*</w:t>
            </w:r>
          </w:p>
        </w:tc>
        <w:tc>
          <w:tcPr>
            <w:tcW w:w="800" w:type="dxa"/>
            <w:tcBorders>
              <w:top w:val="nil"/>
              <w:left w:val="nil"/>
              <w:bottom w:val="nil"/>
              <w:right w:val="nil"/>
            </w:tcBorders>
            <w:shd w:val="clear" w:color="auto" w:fill="auto"/>
            <w:vAlign w:val="center"/>
            <w:hideMark/>
          </w:tcPr>
          <w:p w14:paraId="32861B30" w14:textId="77777777" w:rsidR="00E82085" w:rsidRPr="00636410" w:rsidRDefault="00E82085" w:rsidP="005B6D7F">
            <w:pPr>
              <w:spacing w:after="0" w:line="240" w:lineRule="auto"/>
              <w:jc w:val="left"/>
              <w:rPr>
                <w:rFonts w:eastAsia="Times New Roman" w:cs="Segoe UI"/>
                <w:color w:val="000000"/>
                <w:sz w:val="18"/>
                <w:szCs w:val="18"/>
                <w:lang w:eastAsia="sk-SK"/>
              </w:rPr>
            </w:pPr>
          </w:p>
        </w:tc>
        <w:tc>
          <w:tcPr>
            <w:tcW w:w="759" w:type="dxa"/>
            <w:tcBorders>
              <w:top w:val="nil"/>
              <w:left w:val="nil"/>
              <w:bottom w:val="nil"/>
              <w:right w:val="nil"/>
            </w:tcBorders>
            <w:shd w:val="clear" w:color="auto" w:fill="auto"/>
            <w:vAlign w:val="center"/>
            <w:hideMark/>
          </w:tcPr>
          <w:p w14:paraId="5DCDCAD7"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2,1</w:t>
            </w:r>
          </w:p>
        </w:tc>
        <w:tc>
          <w:tcPr>
            <w:tcW w:w="759" w:type="dxa"/>
            <w:tcBorders>
              <w:top w:val="nil"/>
              <w:left w:val="nil"/>
              <w:bottom w:val="nil"/>
              <w:right w:val="nil"/>
            </w:tcBorders>
            <w:shd w:val="clear" w:color="auto" w:fill="auto"/>
            <w:vAlign w:val="center"/>
            <w:hideMark/>
          </w:tcPr>
          <w:p w14:paraId="3AEB821B"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7,7</w:t>
            </w:r>
          </w:p>
        </w:tc>
        <w:tc>
          <w:tcPr>
            <w:tcW w:w="901" w:type="dxa"/>
            <w:tcBorders>
              <w:top w:val="nil"/>
              <w:left w:val="nil"/>
              <w:bottom w:val="nil"/>
              <w:right w:val="nil"/>
            </w:tcBorders>
            <w:shd w:val="clear" w:color="auto" w:fill="auto"/>
            <w:vAlign w:val="center"/>
            <w:hideMark/>
          </w:tcPr>
          <w:p w14:paraId="77EB2424"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9,4</w:t>
            </w:r>
          </w:p>
        </w:tc>
        <w:tc>
          <w:tcPr>
            <w:tcW w:w="759" w:type="dxa"/>
            <w:tcBorders>
              <w:top w:val="nil"/>
              <w:left w:val="nil"/>
              <w:bottom w:val="nil"/>
              <w:right w:val="nil"/>
            </w:tcBorders>
            <w:shd w:val="clear" w:color="auto" w:fill="auto"/>
            <w:vAlign w:val="center"/>
            <w:hideMark/>
          </w:tcPr>
          <w:p w14:paraId="12D66D38" w14:textId="77777777" w:rsidR="00E82085" w:rsidRPr="00636410" w:rsidRDefault="00E82085" w:rsidP="005B6D7F">
            <w:pPr>
              <w:spacing w:after="0" w:line="240" w:lineRule="auto"/>
              <w:jc w:val="right"/>
              <w:rPr>
                <w:rFonts w:eastAsia="Times New Roman" w:cs="Segoe UI"/>
                <w:color w:val="000000"/>
                <w:sz w:val="18"/>
                <w:szCs w:val="18"/>
                <w:lang w:eastAsia="sk-SK"/>
              </w:rPr>
            </w:pPr>
          </w:p>
        </w:tc>
        <w:tc>
          <w:tcPr>
            <w:tcW w:w="742" w:type="dxa"/>
            <w:tcBorders>
              <w:top w:val="nil"/>
              <w:left w:val="nil"/>
              <w:bottom w:val="nil"/>
              <w:right w:val="nil"/>
            </w:tcBorders>
            <w:shd w:val="clear" w:color="auto" w:fill="auto"/>
            <w:vAlign w:val="center"/>
            <w:hideMark/>
          </w:tcPr>
          <w:p w14:paraId="4728C5CD"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5,1</w:t>
            </w:r>
          </w:p>
        </w:tc>
        <w:tc>
          <w:tcPr>
            <w:tcW w:w="759" w:type="dxa"/>
            <w:tcBorders>
              <w:top w:val="nil"/>
              <w:left w:val="nil"/>
              <w:bottom w:val="nil"/>
              <w:right w:val="nil"/>
            </w:tcBorders>
            <w:shd w:val="clear" w:color="auto" w:fill="auto"/>
            <w:vAlign w:val="center"/>
            <w:hideMark/>
          </w:tcPr>
          <w:p w14:paraId="023915C1"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0,0</w:t>
            </w:r>
          </w:p>
        </w:tc>
        <w:tc>
          <w:tcPr>
            <w:tcW w:w="901" w:type="dxa"/>
            <w:tcBorders>
              <w:top w:val="nil"/>
              <w:left w:val="nil"/>
              <w:bottom w:val="nil"/>
              <w:right w:val="nil"/>
            </w:tcBorders>
            <w:shd w:val="clear" w:color="auto" w:fill="auto"/>
            <w:vAlign w:val="center"/>
            <w:hideMark/>
          </w:tcPr>
          <w:p w14:paraId="63043D24"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12,4</w:t>
            </w:r>
          </w:p>
        </w:tc>
      </w:tr>
      <w:tr w:rsidR="00E82085" w:rsidRPr="00636410" w14:paraId="7E0F0409" w14:textId="77777777" w:rsidTr="005B6D7F">
        <w:trPr>
          <w:trHeight w:val="315"/>
        </w:trPr>
        <w:tc>
          <w:tcPr>
            <w:tcW w:w="2200" w:type="dxa"/>
            <w:tcBorders>
              <w:top w:val="nil"/>
              <w:left w:val="nil"/>
              <w:bottom w:val="single" w:sz="4" w:space="0" w:color="auto"/>
              <w:right w:val="nil"/>
            </w:tcBorders>
            <w:shd w:val="clear" w:color="auto" w:fill="auto"/>
            <w:vAlign w:val="center"/>
            <w:hideMark/>
          </w:tcPr>
          <w:p w14:paraId="0ADCCE78"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 nárast**</w:t>
            </w:r>
          </w:p>
        </w:tc>
        <w:tc>
          <w:tcPr>
            <w:tcW w:w="800" w:type="dxa"/>
            <w:tcBorders>
              <w:top w:val="nil"/>
              <w:left w:val="nil"/>
              <w:bottom w:val="single" w:sz="4" w:space="0" w:color="auto"/>
              <w:right w:val="nil"/>
            </w:tcBorders>
            <w:shd w:val="clear" w:color="auto" w:fill="auto"/>
            <w:vAlign w:val="center"/>
            <w:hideMark/>
          </w:tcPr>
          <w:p w14:paraId="53E98585"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40B4146F"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5780CD59"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901" w:type="dxa"/>
            <w:tcBorders>
              <w:top w:val="nil"/>
              <w:left w:val="nil"/>
              <w:bottom w:val="single" w:sz="4" w:space="0" w:color="auto"/>
              <w:right w:val="nil"/>
            </w:tcBorders>
            <w:shd w:val="clear" w:color="auto" w:fill="auto"/>
            <w:vAlign w:val="center"/>
            <w:hideMark/>
          </w:tcPr>
          <w:p w14:paraId="0352C62C"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19893C9C"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4,0</w:t>
            </w:r>
          </w:p>
        </w:tc>
        <w:tc>
          <w:tcPr>
            <w:tcW w:w="742" w:type="dxa"/>
            <w:tcBorders>
              <w:top w:val="nil"/>
              <w:left w:val="nil"/>
              <w:bottom w:val="single" w:sz="4" w:space="0" w:color="auto"/>
              <w:right w:val="nil"/>
            </w:tcBorders>
            <w:shd w:val="clear" w:color="auto" w:fill="auto"/>
            <w:vAlign w:val="center"/>
            <w:hideMark/>
          </w:tcPr>
          <w:p w14:paraId="40E6F01C"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6,9</w:t>
            </w:r>
          </w:p>
        </w:tc>
        <w:tc>
          <w:tcPr>
            <w:tcW w:w="759" w:type="dxa"/>
            <w:tcBorders>
              <w:top w:val="nil"/>
              <w:left w:val="nil"/>
              <w:bottom w:val="single" w:sz="4" w:space="0" w:color="auto"/>
              <w:right w:val="nil"/>
            </w:tcBorders>
            <w:shd w:val="clear" w:color="auto" w:fill="auto"/>
            <w:vAlign w:val="center"/>
            <w:hideMark/>
          </w:tcPr>
          <w:p w14:paraId="76963EEE"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-0,6</w:t>
            </w:r>
          </w:p>
        </w:tc>
        <w:tc>
          <w:tcPr>
            <w:tcW w:w="901" w:type="dxa"/>
            <w:tcBorders>
              <w:top w:val="nil"/>
              <w:left w:val="nil"/>
              <w:bottom w:val="single" w:sz="4" w:space="0" w:color="auto"/>
              <w:right w:val="nil"/>
            </w:tcBorders>
            <w:shd w:val="clear" w:color="auto" w:fill="auto"/>
            <w:vAlign w:val="center"/>
            <w:hideMark/>
          </w:tcPr>
          <w:p w14:paraId="7CF92BB7"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2,1</w:t>
            </w:r>
          </w:p>
        </w:tc>
      </w:tr>
      <w:tr w:rsidR="00E82085" w:rsidRPr="00636410" w14:paraId="3025C659" w14:textId="77777777" w:rsidTr="005B6D7F">
        <w:trPr>
          <w:trHeight w:val="315"/>
        </w:trPr>
        <w:tc>
          <w:tcPr>
            <w:tcW w:w="2200" w:type="dxa"/>
            <w:tcBorders>
              <w:top w:val="nil"/>
              <w:left w:val="nil"/>
              <w:bottom w:val="nil"/>
              <w:right w:val="nil"/>
            </w:tcBorders>
            <w:shd w:val="clear" w:color="auto" w:fill="auto"/>
            <w:vAlign w:val="center"/>
            <w:hideMark/>
          </w:tcPr>
          <w:p w14:paraId="211AD784"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Výdavky poistenia</w:t>
            </w:r>
          </w:p>
        </w:tc>
        <w:tc>
          <w:tcPr>
            <w:tcW w:w="800" w:type="dxa"/>
            <w:tcBorders>
              <w:top w:val="nil"/>
              <w:left w:val="nil"/>
              <w:bottom w:val="nil"/>
              <w:right w:val="nil"/>
            </w:tcBorders>
            <w:shd w:val="clear" w:color="auto" w:fill="auto"/>
            <w:vAlign w:val="center"/>
            <w:hideMark/>
          </w:tcPr>
          <w:p w14:paraId="1DCA9B60"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4 959,2</w:t>
            </w:r>
          </w:p>
        </w:tc>
        <w:tc>
          <w:tcPr>
            <w:tcW w:w="759" w:type="dxa"/>
            <w:tcBorders>
              <w:top w:val="nil"/>
              <w:left w:val="nil"/>
              <w:bottom w:val="nil"/>
              <w:right w:val="nil"/>
            </w:tcBorders>
            <w:shd w:val="clear" w:color="auto" w:fill="auto"/>
            <w:vAlign w:val="center"/>
            <w:hideMark/>
          </w:tcPr>
          <w:p w14:paraId="00B7831A"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5 022,8</w:t>
            </w:r>
          </w:p>
        </w:tc>
        <w:tc>
          <w:tcPr>
            <w:tcW w:w="759" w:type="dxa"/>
            <w:tcBorders>
              <w:top w:val="nil"/>
              <w:left w:val="nil"/>
              <w:bottom w:val="nil"/>
              <w:right w:val="nil"/>
            </w:tcBorders>
            <w:shd w:val="clear" w:color="auto" w:fill="auto"/>
            <w:vAlign w:val="center"/>
            <w:hideMark/>
          </w:tcPr>
          <w:p w14:paraId="1B2D2C07"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5 486,5</w:t>
            </w:r>
          </w:p>
        </w:tc>
        <w:tc>
          <w:tcPr>
            <w:tcW w:w="901" w:type="dxa"/>
            <w:tcBorders>
              <w:top w:val="nil"/>
              <w:left w:val="nil"/>
              <w:bottom w:val="nil"/>
              <w:right w:val="nil"/>
            </w:tcBorders>
            <w:shd w:val="clear" w:color="auto" w:fill="auto"/>
            <w:vAlign w:val="center"/>
            <w:hideMark/>
          </w:tcPr>
          <w:p w14:paraId="2EFEC922"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5 979,7</w:t>
            </w:r>
          </w:p>
        </w:tc>
        <w:tc>
          <w:tcPr>
            <w:tcW w:w="759" w:type="dxa"/>
            <w:tcBorders>
              <w:top w:val="nil"/>
              <w:left w:val="nil"/>
              <w:bottom w:val="nil"/>
              <w:right w:val="nil"/>
            </w:tcBorders>
            <w:shd w:val="clear" w:color="auto" w:fill="auto"/>
            <w:vAlign w:val="center"/>
            <w:hideMark/>
          </w:tcPr>
          <w:p w14:paraId="7F76F25B"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5 167,5</w:t>
            </w:r>
          </w:p>
        </w:tc>
        <w:tc>
          <w:tcPr>
            <w:tcW w:w="742" w:type="dxa"/>
            <w:tcBorders>
              <w:top w:val="nil"/>
              <w:left w:val="nil"/>
              <w:bottom w:val="nil"/>
              <w:right w:val="nil"/>
            </w:tcBorders>
            <w:shd w:val="clear" w:color="auto" w:fill="auto"/>
            <w:vAlign w:val="center"/>
            <w:hideMark/>
          </w:tcPr>
          <w:p w14:paraId="113C7CD1"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5 428,3</w:t>
            </w:r>
          </w:p>
        </w:tc>
        <w:tc>
          <w:tcPr>
            <w:tcW w:w="759" w:type="dxa"/>
            <w:tcBorders>
              <w:top w:val="nil"/>
              <w:left w:val="nil"/>
              <w:bottom w:val="nil"/>
              <w:right w:val="nil"/>
            </w:tcBorders>
            <w:shd w:val="clear" w:color="auto" w:fill="auto"/>
            <w:vAlign w:val="center"/>
            <w:hideMark/>
          </w:tcPr>
          <w:p w14:paraId="588D216F"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5 422,2</w:t>
            </w:r>
          </w:p>
        </w:tc>
        <w:tc>
          <w:tcPr>
            <w:tcW w:w="901" w:type="dxa"/>
            <w:tcBorders>
              <w:top w:val="nil"/>
              <w:left w:val="nil"/>
              <w:bottom w:val="nil"/>
              <w:right w:val="nil"/>
            </w:tcBorders>
            <w:shd w:val="clear" w:color="auto" w:fill="auto"/>
            <w:vAlign w:val="center"/>
            <w:hideMark/>
          </w:tcPr>
          <w:p w14:paraId="3948926A"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6 101,4</w:t>
            </w:r>
          </w:p>
        </w:tc>
      </w:tr>
      <w:tr w:rsidR="00E82085" w:rsidRPr="00636410" w14:paraId="2A473A9E" w14:textId="77777777" w:rsidTr="005B6D7F">
        <w:trPr>
          <w:trHeight w:val="315"/>
        </w:trPr>
        <w:tc>
          <w:tcPr>
            <w:tcW w:w="2200" w:type="dxa"/>
            <w:tcBorders>
              <w:top w:val="nil"/>
              <w:left w:val="nil"/>
              <w:bottom w:val="nil"/>
              <w:right w:val="nil"/>
            </w:tcBorders>
            <w:shd w:val="clear" w:color="auto" w:fill="auto"/>
            <w:vAlign w:val="center"/>
            <w:hideMark/>
          </w:tcPr>
          <w:p w14:paraId="34371601"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 nárast*</w:t>
            </w:r>
          </w:p>
        </w:tc>
        <w:tc>
          <w:tcPr>
            <w:tcW w:w="800" w:type="dxa"/>
            <w:tcBorders>
              <w:top w:val="nil"/>
              <w:left w:val="nil"/>
              <w:bottom w:val="nil"/>
              <w:right w:val="nil"/>
            </w:tcBorders>
            <w:shd w:val="clear" w:color="auto" w:fill="auto"/>
            <w:vAlign w:val="center"/>
            <w:hideMark/>
          </w:tcPr>
          <w:p w14:paraId="4053FDC1" w14:textId="77777777" w:rsidR="00E82085" w:rsidRPr="00636410" w:rsidRDefault="00E82085" w:rsidP="005B6D7F">
            <w:pPr>
              <w:spacing w:after="0" w:line="240" w:lineRule="auto"/>
              <w:jc w:val="left"/>
              <w:rPr>
                <w:rFonts w:eastAsia="Times New Roman" w:cs="Segoe UI"/>
                <w:color w:val="000000"/>
                <w:sz w:val="18"/>
                <w:szCs w:val="18"/>
                <w:lang w:eastAsia="sk-SK"/>
              </w:rPr>
            </w:pPr>
          </w:p>
        </w:tc>
        <w:tc>
          <w:tcPr>
            <w:tcW w:w="759" w:type="dxa"/>
            <w:tcBorders>
              <w:top w:val="nil"/>
              <w:left w:val="nil"/>
              <w:bottom w:val="nil"/>
              <w:right w:val="nil"/>
            </w:tcBorders>
            <w:shd w:val="clear" w:color="auto" w:fill="auto"/>
            <w:vAlign w:val="center"/>
            <w:hideMark/>
          </w:tcPr>
          <w:p w14:paraId="713AA356" w14:textId="77777777" w:rsidR="00E82085" w:rsidRPr="00636410" w:rsidRDefault="00E82085" w:rsidP="005B6D7F">
            <w:pPr>
              <w:spacing w:after="0" w:line="240" w:lineRule="auto"/>
              <w:jc w:val="left"/>
              <w:rPr>
                <w:rFonts w:ascii="Times New Roman" w:eastAsia="Times New Roman" w:hAnsi="Times New Roman" w:cs="Times New Roman"/>
                <w:szCs w:val="20"/>
                <w:lang w:eastAsia="sk-SK"/>
              </w:rPr>
            </w:pPr>
          </w:p>
        </w:tc>
        <w:tc>
          <w:tcPr>
            <w:tcW w:w="759" w:type="dxa"/>
            <w:tcBorders>
              <w:top w:val="nil"/>
              <w:left w:val="nil"/>
              <w:bottom w:val="nil"/>
              <w:right w:val="nil"/>
            </w:tcBorders>
            <w:shd w:val="clear" w:color="auto" w:fill="auto"/>
            <w:vAlign w:val="center"/>
            <w:hideMark/>
          </w:tcPr>
          <w:p w14:paraId="71990C5B"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9,2</w:t>
            </w:r>
          </w:p>
        </w:tc>
        <w:tc>
          <w:tcPr>
            <w:tcW w:w="901" w:type="dxa"/>
            <w:tcBorders>
              <w:top w:val="nil"/>
              <w:left w:val="nil"/>
              <w:bottom w:val="nil"/>
              <w:right w:val="nil"/>
            </w:tcBorders>
            <w:shd w:val="clear" w:color="auto" w:fill="auto"/>
            <w:vAlign w:val="center"/>
            <w:hideMark/>
          </w:tcPr>
          <w:p w14:paraId="177BF17A"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9,0</w:t>
            </w:r>
          </w:p>
        </w:tc>
        <w:tc>
          <w:tcPr>
            <w:tcW w:w="759" w:type="dxa"/>
            <w:tcBorders>
              <w:top w:val="nil"/>
              <w:left w:val="nil"/>
              <w:bottom w:val="nil"/>
              <w:right w:val="nil"/>
            </w:tcBorders>
            <w:shd w:val="clear" w:color="auto" w:fill="auto"/>
            <w:vAlign w:val="center"/>
            <w:hideMark/>
          </w:tcPr>
          <w:p w14:paraId="08EB96E3" w14:textId="77777777" w:rsidR="00E82085" w:rsidRPr="00636410" w:rsidRDefault="00E82085" w:rsidP="005B6D7F">
            <w:pPr>
              <w:spacing w:after="0" w:line="240" w:lineRule="auto"/>
              <w:jc w:val="right"/>
              <w:rPr>
                <w:rFonts w:eastAsia="Times New Roman" w:cs="Segoe UI"/>
                <w:color w:val="000000"/>
                <w:sz w:val="18"/>
                <w:szCs w:val="18"/>
                <w:lang w:eastAsia="sk-SK"/>
              </w:rPr>
            </w:pPr>
          </w:p>
        </w:tc>
        <w:tc>
          <w:tcPr>
            <w:tcW w:w="742" w:type="dxa"/>
            <w:tcBorders>
              <w:top w:val="nil"/>
              <w:left w:val="nil"/>
              <w:bottom w:val="nil"/>
              <w:right w:val="nil"/>
            </w:tcBorders>
            <w:shd w:val="clear" w:color="auto" w:fill="auto"/>
            <w:vAlign w:val="center"/>
            <w:hideMark/>
          </w:tcPr>
          <w:p w14:paraId="51083378"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5,0</w:t>
            </w:r>
          </w:p>
        </w:tc>
        <w:tc>
          <w:tcPr>
            <w:tcW w:w="759" w:type="dxa"/>
            <w:tcBorders>
              <w:top w:val="nil"/>
              <w:left w:val="nil"/>
              <w:bottom w:val="nil"/>
              <w:right w:val="nil"/>
            </w:tcBorders>
            <w:shd w:val="clear" w:color="auto" w:fill="auto"/>
            <w:vAlign w:val="center"/>
            <w:hideMark/>
          </w:tcPr>
          <w:p w14:paraId="42AB547E"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-0,1</w:t>
            </w:r>
          </w:p>
        </w:tc>
        <w:tc>
          <w:tcPr>
            <w:tcW w:w="901" w:type="dxa"/>
            <w:tcBorders>
              <w:top w:val="nil"/>
              <w:left w:val="nil"/>
              <w:bottom w:val="nil"/>
              <w:right w:val="nil"/>
            </w:tcBorders>
            <w:shd w:val="clear" w:color="auto" w:fill="auto"/>
            <w:vAlign w:val="center"/>
            <w:hideMark/>
          </w:tcPr>
          <w:p w14:paraId="41D52DB4"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12,5</w:t>
            </w:r>
          </w:p>
        </w:tc>
      </w:tr>
      <w:tr w:rsidR="00E82085" w:rsidRPr="00636410" w14:paraId="44EF1F46" w14:textId="77777777" w:rsidTr="005B6D7F">
        <w:trPr>
          <w:trHeight w:val="315"/>
        </w:trPr>
        <w:tc>
          <w:tcPr>
            <w:tcW w:w="2200" w:type="dxa"/>
            <w:tcBorders>
              <w:top w:val="nil"/>
              <w:left w:val="nil"/>
              <w:bottom w:val="nil"/>
              <w:right w:val="nil"/>
            </w:tcBorders>
            <w:shd w:val="clear" w:color="auto" w:fill="auto"/>
            <w:vAlign w:val="center"/>
            <w:hideMark/>
          </w:tcPr>
          <w:p w14:paraId="09A08C47" w14:textId="77777777" w:rsidR="00E82085" w:rsidRPr="00636410" w:rsidRDefault="00E82085" w:rsidP="003E0903">
            <w:pPr>
              <w:spacing w:after="0" w:line="240" w:lineRule="auto"/>
              <w:ind w:right="163"/>
              <w:jc w:val="left"/>
              <w:rPr>
                <w:rFonts w:eastAsia="Times New Roman" w:cs="Segoe UI"/>
                <w:color w:val="000000"/>
                <w:sz w:val="18"/>
                <w:szCs w:val="18"/>
                <w:lang w:eastAsia="sk-SK"/>
              </w:rPr>
            </w:pPr>
            <w:r w:rsidRPr="00636410">
              <w:rPr>
                <w:rFonts w:eastAsia="Times New Roman" w:cs="Segoe UI"/>
                <w:color w:val="000000"/>
                <w:sz w:val="18"/>
                <w:szCs w:val="18"/>
                <w:lang w:eastAsia="sk-SK"/>
              </w:rPr>
              <w:t>% nárast**</w:t>
            </w:r>
          </w:p>
        </w:tc>
        <w:tc>
          <w:tcPr>
            <w:tcW w:w="800" w:type="dxa"/>
            <w:tcBorders>
              <w:top w:val="nil"/>
              <w:left w:val="nil"/>
              <w:bottom w:val="nil"/>
              <w:right w:val="nil"/>
            </w:tcBorders>
            <w:shd w:val="clear" w:color="auto" w:fill="auto"/>
            <w:vAlign w:val="center"/>
            <w:hideMark/>
          </w:tcPr>
          <w:p w14:paraId="6F324134" w14:textId="77777777" w:rsidR="00E82085" w:rsidRPr="00636410" w:rsidRDefault="00E82085" w:rsidP="005B6D7F">
            <w:pPr>
              <w:spacing w:after="0" w:line="240" w:lineRule="auto"/>
              <w:jc w:val="left"/>
              <w:rPr>
                <w:rFonts w:eastAsia="Times New Roman" w:cs="Segoe UI"/>
                <w:color w:val="000000"/>
                <w:sz w:val="18"/>
                <w:szCs w:val="18"/>
                <w:lang w:eastAsia="sk-SK"/>
              </w:rPr>
            </w:pPr>
          </w:p>
        </w:tc>
        <w:tc>
          <w:tcPr>
            <w:tcW w:w="759" w:type="dxa"/>
            <w:tcBorders>
              <w:top w:val="nil"/>
              <w:left w:val="nil"/>
              <w:bottom w:val="nil"/>
              <w:right w:val="nil"/>
            </w:tcBorders>
            <w:shd w:val="clear" w:color="auto" w:fill="auto"/>
            <w:vAlign w:val="center"/>
            <w:hideMark/>
          </w:tcPr>
          <w:p w14:paraId="75FC57AE" w14:textId="77777777" w:rsidR="00E82085" w:rsidRPr="00636410" w:rsidRDefault="00E82085" w:rsidP="005B6D7F">
            <w:pPr>
              <w:spacing w:after="0" w:line="240" w:lineRule="auto"/>
              <w:jc w:val="left"/>
              <w:rPr>
                <w:rFonts w:ascii="Times New Roman" w:eastAsia="Times New Roman" w:hAnsi="Times New Roman" w:cs="Times New Roman"/>
                <w:szCs w:val="20"/>
                <w:lang w:eastAsia="sk-SK"/>
              </w:rPr>
            </w:pPr>
          </w:p>
        </w:tc>
        <w:tc>
          <w:tcPr>
            <w:tcW w:w="759" w:type="dxa"/>
            <w:tcBorders>
              <w:top w:val="nil"/>
              <w:left w:val="nil"/>
              <w:bottom w:val="nil"/>
              <w:right w:val="nil"/>
            </w:tcBorders>
            <w:shd w:val="clear" w:color="auto" w:fill="auto"/>
            <w:vAlign w:val="center"/>
            <w:hideMark/>
          </w:tcPr>
          <w:p w14:paraId="6CBCAEB6" w14:textId="77777777" w:rsidR="00E82085" w:rsidRPr="00636410" w:rsidRDefault="00E82085" w:rsidP="005B6D7F">
            <w:pPr>
              <w:spacing w:after="0" w:line="240" w:lineRule="auto"/>
              <w:jc w:val="right"/>
              <w:rPr>
                <w:rFonts w:ascii="Times New Roman" w:eastAsia="Times New Roman" w:hAnsi="Times New Roman" w:cs="Times New Roman"/>
                <w:szCs w:val="20"/>
                <w:lang w:eastAsia="sk-SK"/>
              </w:rPr>
            </w:pPr>
          </w:p>
        </w:tc>
        <w:tc>
          <w:tcPr>
            <w:tcW w:w="901" w:type="dxa"/>
            <w:tcBorders>
              <w:top w:val="nil"/>
              <w:left w:val="nil"/>
              <w:bottom w:val="nil"/>
              <w:right w:val="nil"/>
            </w:tcBorders>
            <w:shd w:val="clear" w:color="auto" w:fill="auto"/>
            <w:vAlign w:val="center"/>
            <w:hideMark/>
          </w:tcPr>
          <w:p w14:paraId="1D8769BD" w14:textId="77777777" w:rsidR="00E82085" w:rsidRPr="00636410" w:rsidRDefault="00E82085" w:rsidP="005B6D7F">
            <w:pPr>
              <w:spacing w:after="0" w:line="240" w:lineRule="auto"/>
              <w:jc w:val="right"/>
              <w:rPr>
                <w:rFonts w:ascii="Times New Roman" w:eastAsia="Times New Roman" w:hAnsi="Times New Roman" w:cs="Times New Roman"/>
                <w:szCs w:val="20"/>
                <w:lang w:eastAsia="sk-SK"/>
              </w:rPr>
            </w:pPr>
          </w:p>
        </w:tc>
        <w:tc>
          <w:tcPr>
            <w:tcW w:w="759" w:type="dxa"/>
            <w:tcBorders>
              <w:top w:val="nil"/>
              <w:left w:val="nil"/>
              <w:bottom w:val="nil"/>
              <w:right w:val="nil"/>
            </w:tcBorders>
            <w:shd w:val="clear" w:color="auto" w:fill="auto"/>
            <w:vAlign w:val="center"/>
            <w:hideMark/>
          </w:tcPr>
          <w:p w14:paraId="6EF0479B"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4,2</w:t>
            </w:r>
          </w:p>
        </w:tc>
        <w:tc>
          <w:tcPr>
            <w:tcW w:w="742" w:type="dxa"/>
            <w:tcBorders>
              <w:top w:val="nil"/>
              <w:left w:val="nil"/>
              <w:bottom w:val="nil"/>
              <w:right w:val="nil"/>
            </w:tcBorders>
            <w:shd w:val="clear" w:color="auto" w:fill="auto"/>
            <w:vAlign w:val="center"/>
            <w:hideMark/>
          </w:tcPr>
          <w:p w14:paraId="12F7FE3F"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8,1</w:t>
            </w:r>
          </w:p>
        </w:tc>
        <w:tc>
          <w:tcPr>
            <w:tcW w:w="759" w:type="dxa"/>
            <w:tcBorders>
              <w:top w:val="nil"/>
              <w:left w:val="nil"/>
              <w:bottom w:val="nil"/>
              <w:right w:val="nil"/>
            </w:tcBorders>
            <w:shd w:val="clear" w:color="auto" w:fill="auto"/>
            <w:vAlign w:val="center"/>
            <w:hideMark/>
          </w:tcPr>
          <w:p w14:paraId="4EE170F5"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-1,2</w:t>
            </w:r>
          </w:p>
        </w:tc>
        <w:tc>
          <w:tcPr>
            <w:tcW w:w="901" w:type="dxa"/>
            <w:tcBorders>
              <w:top w:val="nil"/>
              <w:left w:val="nil"/>
              <w:bottom w:val="nil"/>
              <w:right w:val="nil"/>
            </w:tcBorders>
            <w:shd w:val="clear" w:color="auto" w:fill="auto"/>
            <w:vAlign w:val="center"/>
            <w:hideMark/>
          </w:tcPr>
          <w:p w14:paraId="39B73814"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2,0</w:t>
            </w:r>
          </w:p>
        </w:tc>
      </w:tr>
      <w:tr w:rsidR="00E82085" w:rsidRPr="00636410" w14:paraId="31A65073" w14:textId="77777777" w:rsidTr="005B6D7F">
        <w:trPr>
          <w:trHeight w:val="315"/>
        </w:trPr>
        <w:tc>
          <w:tcPr>
            <w:tcW w:w="2200" w:type="dxa"/>
            <w:tcBorders>
              <w:top w:val="nil"/>
              <w:left w:val="nil"/>
              <w:bottom w:val="nil"/>
              <w:right w:val="nil"/>
            </w:tcBorders>
            <w:shd w:val="clear" w:color="auto" w:fill="auto"/>
            <w:vAlign w:val="center"/>
            <w:hideMark/>
          </w:tcPr>
          <w:p w14:paraId="248F8943"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 nárast***</w:t>
            </w:r>
          </w:p>
        </w:tc>
        <w:tc>
          <w:tcPr>
            <w:tcW w:w="800" w:type="dxa"/>
            <w:tcBorders>
              <w:top w:val="nil"/>
              <w:left w:val="nil"/>
              <w:bottom w:val="single" w:sz="4" w:space="0" w:color="auto"/>
              <w:right w:val="nil"/>
            </w:tcBorders>
            <w:shd w:val="clear" w:color="auto" w:fill="auto"/>
            <w:vAlign w:val="center"/>
            <w:hideMark/>
          </w:tcPr>
          <w:p w14:paraId="31919819"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3984B8DF"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33B508EC"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901" w:type="dxa"/>
            <w:tcBorders>
              <w:top w:val="nil"/>
              <w:left w:val="nil"/>
              <w:bottom w:val="single" w:sz="4" w:space="0" w:color="auto"/>
              <w:right w:val="nil"/>
            </w:tcBorders>
            <w:shd w:val="clear" w:color="auto" w:fill="auto"/>
            <w:vAlign w:val="center"/>
            <w:hideMark/>
          </w:tcPr>
          <w:p w14:paraId="43240B45"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58D11F1F"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42" w:type="dxa"/>
            <w:tcBorders>
              <w:top w:val="nil"/>
              <w:left w:val="nil"/>
              <w:bottom w:val="single" w:sz="4" w:space="0" w:color="auto"/>
              <w:right w:val="nil"/>
            </w:tcBorders>
            <w:shd w:val="clear" w:color="auto" w:fill="auto"/>
            <w:vAlign w:val="center"/>
            <w:hideMark/>
          </w:tcPr>
          <w:p w14:paraId="69A3C5EB"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4AECCA85"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901" w:type="dxa"/>
            <w:tcBorders>
              <w:top w:val="nil"/>
              <w:left w:val="nil"/>
              <w:bottom w:val="single" w:sz="4" w:space="0" w:color="auto"/>
              <w:right w:val="nil"/>
            </w:tcBorders>
            <w:shd w:val="clear" w:color="auto" w:fill="auto"/>
            <w:vAlign w:val="center"/>
            <w:hideMark/>
          </w:tcPr>
          <w:p w14:paraId="79223DB5"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7,7</w:t>
            </w:r>
          </w:p>
        </w:tc>
      </w:tr>
      <w:tr w:rsidR="00E82085" w:rsidRPr="00636410" w14:paraId="797A5769" w14:textId="77777777" w:rsidTr="005B6D7F">
        <w:trPr>
          <w:trHeight w:val="330"/>
        </w:trPr>
        <w:tc>
          <w:tcPr>
            <w:tcW w:w="2200" w:type="dxa"/>
            <w:tcBorders>
              <w:top w:val="single" w:sz="4" w:space="0" w:color="auto"/>
              <w:left w:val="nil"/>
              <w:bottom w:val="single" w:sz="4" w:space="0" w:color="auto"/>
              <w:right w:val="nil"/>
            </w:tcBorders>
            <w:shd w:val="clear" w:color="auto" w:fill="auto"/>
            <w:noWrap/>
            <w:vAlign w:val="center"/>
            <w:hideMark/>
          </w:tcPr>
          <w:p w14:paraId="546923D1"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800" w:type="dxa"/>
            <w:tcBorders>
              <w:top w:val="nil"/>
              <w:left w:val="nil"/>
              <w:bottom w:val="single" w:sz="4" w:space="0" w:color="auto"/>
              <w:right w:val="nil"/>
            </w:tcBorders>
            <w:shd w:val="clear" w:color="auto" w:fill="auto"/>
            <w:noWrap/>
            <w:vAlign w:val="center"/>
            <w:hideMark/>
          </w:tcPr>
          <w:p w14:paraId="608FF32C"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0D70CE8E"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3BB0E2D2"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901" w:type="dxa"/>
            <w:tcBorders>
              <w:top w:val="nil"/>
              <w:left w:val="nil"/>
              <w:bottom w:val="single" w:sz="4" w:space="0" w:color="auto"/>
              <w:right w:val="nil"/>
            </w:tcBorders>
            <w:shd w:val="clear" w:color="auto" w:fill="auto"/>
            <w:vAlign w:val="center"/>
            <w:hideMark/>
          </w:tcPr>
          <w:p w14:paraId="0BFA65D6"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prognóza</w:t>
            </w:r>
          </w:p>
        </w:tc>
        <w:tc>
          <w:tcPr>
            <w:tcW w:w="759" w:type="dxa"/>
            <w:tcBorders>
              <w:top w:val="nil"/>
              <w:left w:val="nil"/>
              <w:bottom w:val="single" w:sz="4" w:space="0" w:color="auto"/>
              <w:right w:val="nil"/>
            </w:tcBorders>
            <w:shd w:val="clear" w:color="auto" w:fill="auto"/>
            <w:vAlign w:val="center"/>
            <w:hideMark/>
          </w:tcPr>
          <w:p w14:paraId="20218A87"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42" w:type="dxa"/>
            <w:tcBorders>
              <w:top w:val="nil"/>
              <w:left w:val="nil"/>
              <w:bottom w:val="single" w:sz="4" w:space="0" w:color="auto"/>
              <w:right w:val="nil"/>
            </w:tcBorders>
            <w:shd w:val="clear" w:color="auto" w:fill="auto"/>
            <w:vAlign w:val="center"/>
            <w:hideMark/>
          </w:tcPr>
          <w:p w14:paraId="41CC10F8"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4" w:space="0" w:color="auto"/>
              <w:right w:val="nil"/>
            </w:tcBorders>
            <w:shd w:val="clear" w:color="auto" w:fill="auto"/>
            <w:vAlign w:val="center"/>
            <w:hideMark/>
          </w:tcPr>
          <w:p w14:paraId="4CB3CF36"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901" w:type="dxa"/>
            <w:tcBorders>
              <w:top w:val="nil"/>
              <w:left w:val="nil"/>
              <w:bottom w:val="single" w:sz="4" w:space="0" w:color="auto"/>
              <w:right w:val="nil"/>
            </w:tcBorders>
            <w:shd w:val="clear" w:color="auto" w:fill="auto"/>
            <w:vAlign w:val="center"/>
            <w:hideMark/>
          </w:tcPr>
          <w:p w14:paraId="292131A5"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prognóza</w:t>
            </w:r>
          </w:p>
        </w:tc>
      </w:tr>
      <w:tr w:rsidR="00E82085" w:rsidRPr="00636410" w14:paraId="4D4B43D7" w14:textId="77777777" w:rsidTr="005B6D7F">
        <w:trPr>
          <w:trHeight w:val="330"/>
        </w:trPr>
        <w:tc>
          <w:tcPr>
            <w:tcW w:w="2200" w:type="dxa"/>
            <w:tcBorders>
              <w:top w:val="nil"/>
              <w:left w:val="nil"/>
              <w:bottom w:val="nil"/>
              <w:right w:val="nil"/>
            </w:tcBorders>
            <w:shd w:val="clear" w:color="auto" w:fill="auto"/>
            <w:noWrap/>
            <w:vAlign w:val="center"/>
            <w:hideMark/>
          </w:tcPr>
          <w:p w14:paraId="65785A7E"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Spotrebiteľská inflácia (CPI)</w:t>
            </w:r>
          </w:p>
        </w:tc>
        <w:tc>
          <w:tcPr>
            <w:tcW w:w="800" w:type="dxa"/>
            <w:tcBorders>
              <w:top w:val="nil"/>
              <w:left w:val="nil"/>
              <w:bottom w:val="nil"/>
              <w:right w:val="nil"/>
            </w:tcBorders>
            <w:shd w:val="clear" w:color="auto" w:fill="auto"/>
            <w:noWrap/>
            <w:vAlign w:val="center"/>
            <w:hideMark/>
          </w:tcPr>
          <w:p w14:paraId="55347DA5"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2,7</w:t>
            </w:r>
          </w:p>
        </w:tc>
        <w:tc>
          <w:tcPr>
            <w:tcW w:w="759" w:type="dxa"/>
            <w:tcBorders>
              <w:top w:val="nil"/>
              <w:left w:val="nil"/>
              <w:bottom w:val="nil"/>
              <w:right w:val="nil"/>
            </w:tcBorders>
            <w:shd w:val="clear" w:color="auto" w:fill="auto"/>
            <w:vAlign w:val="center"/>
            <w:hideMark/>
          </w:tcPr>
          <w:p w14:paraId="59C51608"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1,9</w:t>
            </w:r>
          </w:p>
        </w:tc>
        <w:tc>
          <w:tcPr>
            <w:tcW w:w="759" w:type="dxa"/>
            <w:tcBorders>
              <w:top w:val="nil"/>
              <w:left w:val="nil"/>
              <w:bottom w:val="nil"/>
              <w:right w:val="nil"/>
            </w:tcBorders>
            <w:shd w:val="clear" w:color="auto" w:fill="auto"/>
            <w:vAlign w:val="center"/>
            <w:hideMark/>
          </w:tcPr>
          <w:p w14:paraId="78EB0ABE"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3,2</w:t>
            </w:r>
          </w:p>
        </w:tc>
        <w:tc>
          <w:tcPr>
            <w:tcW w:w="901" w:type="dxa"/>
            <w:tcBorders>
              <w:top w:val="nil"/>
              <w:left w:val="nil"/>
              <w:bottom w:val="nil"/>
              <w:right w:val="nil"/>
            </w:tcBorders>
            <w:shd w:val="clear" w:color="auto" w:fill="auto"/>
            <w:vAlign w:val="center"/>
            <w:hideMark/>
          </w:tcPr>
          <w:p w14:paraId="6C08130E"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12,4</w:t>
            </w:r>
          </w:p>
        </w:tc>
        <w:tc>
          <w:tcPr>
            <w:tcW w:w="759" w:type="dxa"/>
            <w:tcBorders>
              <w:top w:val="nil"/>
              <w:left w:val="nil"/>
              <w:bottom w:val="nil"/>
              <w:right w:val="nil"/>
            </w:tcBorders>
            <w:shd w:val="clear" w:color="auto" w:fill="auto"/>
            <w:vAlign w:val="center"/>
            <w:hideMark/>
          </w:tcPr>
          <w:p w14:paraId="0CCFFFFE"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42" w:type="dxa"/>
            <w:tcBorders>
              <w:top w:val="nil"/>
              <w:left w:val="nil"/>
              <w:bottom w:val="nil"/>
              <w:right w:val="nil"/>
            </w:tcBorders>
            <w:shd w:val="clear" w:color="auto" w:fill="auto"/>
            <w:vAlign w:val="center"/>
            <w:hideMark/>
          </w:tcPr>
          <w:p w14:paraId="229C6926"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nil"/>
              <w:right w:val="nil"/>
            </w:tcBorders>
            <w:shd w:val="clear" w:color="auto" w:fill="auto"/>
            <w:vAlign w:val="center"/>
            <w:hideMark/>
          </w:tcPr>
          <w:p w14:paraId="657AA148"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4,2</w:t>
            </w:r>
          </w:p>
        </w:tc>
        <w:tc>
          <w:tcPr>
            <w:tcW w:w="901" w:type="dxa"/>
            <w:tcBorders>
              <w:top w:val="nil"/>
              <w:left w:val="nil"/>
              <w:bottom w:val="nil"/>
              <w:right w:val="nil"/>
            </w:tcBorders>
            <w:shd w:val="clear" w:color="auto" w:fill="auto"/>
            <w:vAlign w:val="center"/>
            <w:hideMark/>
          </w:tcPr>
          <w:p w14:paraId="2C8A3620"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13,5</w:t>
            </w:r>
          </w:p>
        </w:tc>
      </w:tr>
      <w:tr w:rsidR="00E82085" w:rsidRPr="00636410" w14:paraId="6BD5800B" w14:textId="77777777" w:rsidTr="005B6D7F">
        <w:trPr>
          <w:trHeight w:val="330"/>
        </w:trPr>
        <w:tc>
          <w:tcPr>
            <w:tcW w:w="2200" w:type="dxa"/>
            <w:tcBorders>
              <w:top w:val="nil"/>
              <w:left w:val="nil"/>
              <w:bottom w:val="single" w:sz="8" w:space="0" w:color="auto"/>
              <w:right w:val="nil"/>
            </w:tcBorders>
            <w:shd w:val="clear" w:color="auto" w:fill="auto"/>
            <w:noWrap/>
            <w:vAlign w:val="center"/>
            <w:hideMark/>
          </w:tcPr>
          <w:p w14:paraId="5B765D41" w14:textId="77777777" w:rsidR="00E82085" w:rsidRPr="00636410" w:rsidRDefault="00E82085" w:rsidP="005B6D7F">
            <w:pPr>
              <w:spacing w:after="0" w:line="240" w:lineRule="auto"/>
              <w:jc w:val="left"/>
              <w:rPr>
                <w:rFonts w:eastAsia="Times New Roman" w:cs="Segoe UI"/>
                <w:color w:val="000000"/>
                <w:sz w:val="18"/>
                <w:szCs w:val="18"/>
                <w:lang w:eastAsia="sk-SK"/>
              </w:rPr>
            </w:pPr>
            <w:r w:rsidRPr="00636410">
              <w:rPr>
                <w:rFonts w:eastAsia="Times New Roman" w:cs="Segoe UI"/>
                <w:color w:val="000000"/>
                <w:sz w:val="18"/>
                <w:szCs w:val="18"/>
                <w:lang w:eastAsia="sk-SK"/>
              </w:rPr>
              <w:t>Jadrová inflácia</w:t>
            </w:r>
          </w:p>
        </w:tc>
        <w:tc>
          <w:tcPr>
            <w:tcW w:w="800" w:type="dxa"/>
            <w:tcBorders>
              <w:top w:val="nil"/>
              <w:left w:val="nil"/>
              <w:bottom w:val="single" w:sz="8" w:space="0" w:color="auto"/>
              <w:right w:val="nil"/>
            </w:tcBorders>
            <w:shd w:val="clear" w:color="auto" w:fill="auto"/>
            <w:noWrap/>
            <w:vAlign w:val="center"/>
            <w:hideMark/>
          </w:tcPr>
          <w:p w14:paraId="66E471C2"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2,4</w:t>
            </w:r>
          </w:p>
        </w:tc>
        <w:tc>
          <w:tcPr>
            <w:tcW w:w="759" w:type="dxa"/>
            <w:tcBorders>
              <w:top w:val="nil"/>
              <w:left w:val="nil"/>
              <w:bottom w:val="single" w:sz="8" w:space="0" w:color="auto"/>
              <w:right w:val="nil"/>
            </w:tcBorders>
            <w:shd w:val="clear" w:color="auto" w:fill="auto"/>
            <w:vAlign w:val="center"/>
            <w:hideMark/>
          </w:tcPr>
          <w:p w14:paraId="64ED15F0"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1,7</w:t>
            </w:r>
          </w:p>
        </w:tc>
        <w:tc>
          <w:tcPr>
            <w:tcW w:w="759" w:type="dxa"/>
            <w:tcBorders>
              <w:top w:val="nil"/>
              <w:left w:val="nil"/>
              <w:bottom w:val="single" w:sz="8" w:space="0" w:color="auto"/>
              <w:right w:val="nil"/>
            </w:tcBorders>
            <w:shd w:val="clear" w:color="auto" w:fill="auto"/>
            <w:vAlign w:val="center"/>
            <w:hideMark/>
          </w:tcPr>
          <w:p w14:paraId="766F78B1"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3,6</w:t>
            </w:r>
          </w:p>
        </w:tc>
        <w:tc>
          <w:tcPr>
            <w:tcW w:w="901" w:type="dxa"/>
            <w:tcBorders>
              <w:top w:val="nil"/>
              <w:left w:val="nil"/>
              <w:bottom w:val="single" w:sz="8" w:space="0" w:color="auto"/>
              <w:right w:val="nil"/>
            </w:tcBorders>
            <w:shd w:val="clear" w:color="auto" w:fill="auto"/>
            <w:vAlign w:val="center"/>
            <w:hideMark/>
          </w:tcPr>
          <w:p w14:paraId="2D761CB5"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12,2</w:t>
            </w:r>
          </w:p>
        </w:tc>
        <w:tc>
          <w:tcPr>
            <w:tcW w:w="759" w:type="dxa"/>
            <w:tcBorders>
              <w:top w:val="nil"/>
              <w:left w:val="nil"/>
              <w:bottom w:val="single" w:sz="8" w:space="0" w:color="auto"/>
              <w:right w:val="nil"/>
            </w:tcBorders>
            <w:shd w:val="clear" w:color="auto" w:fill="auto"/>
            <w:vAlign w:val="center"/>
            <w:hideMark/>
          </w:tcPr>
          <w:p w14:paraId="27380FB7"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42" w:type="dxa"/>
            <w:tcBorders>
              <w:top w:val="nil"/>
              <w:left w:val="nil"/>
              <w:bottom w:val="single" w:sz="8" w:space="0" w:color="auto"/>
              <w:right w:val="nil"/>
            </w:tcBorders>
            <w:shd w:val="clear" w:color="auto" w:fill="auto"/>
            <w:vAlign w:val="center"/>
            <w:hideMark/>
          </w:tcPr>
          <w:p w14:paraId="2CBFAFA8"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 </w:t>
            </w:r>
          </w:p>
        </w:tc>
        <w:tc>
          <w:tcPr>
            <w:tcW w:w="759" w:type="dxa"/>
            <w:tcBorders>
              <w:top w:val="nil"/>
              <w:left w:val="nil"/>
              <w:bottom w:val="single" w:sz="8" w:space="0" w:color="auto"/>
              <w:right w:val="nil"/>
            </w:tcBorders>
            <w:shd w:val="clear" w:color="auto" w:fill="auto"/>
            <w:vAlign w:val="center"/>
            <w:hideMark/>
          </w:tcPr>
          <w:p w14:paraId="50C28125"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3,3</w:t>
            </w:r>
          </w:p>
        </w:tc>
        <w:tc>
          <w:tcPr>
            <w:tcW w:w="901" w:type="dxa"/>
            <w:tcBorders>
              <w:top w:val="nil"/>
              <w:left w:val="nil"/>
              <w:bottom w:val="single" w:sz="8" w:space="0" w:color="auto"/>
              <w:right w:val="nil"/>
            </w:tcBorders>
            <w:shd w:val="clear" w:color="auto" w:fill="auto"/>
            <w:vAlign w:val="center"/>
            <w:hideMark/>
          </w:tcPr>
          <w:p w14:paraId="50E13C5C" w14:textId="77777777" w:rsidR="00E82085" w:rsidRPr="00636410" w:rsidRDefault="00E82085" w:rsidP="005B6D7F">
            <w:pPr>
              <w:spacing w:after="0" w:line="240" w:lineRule="auto"/>
              <w:jc w:val="right"/>
              <w:rPr>
                <w:rFonts w:eastAsia="Times New Roman" w:cs="Segoe UI"/>
                <w:color w:val="000000"/>
                <w:sz w:val="18"/>
                <w:szCs w:val="18"/>
                <w:lang w:eastAsia="sk-SK"/>
              </w:rPr>
            </w:pPr>
            <w:r w:rsidRPr="00636410">
              <w:rPr>
                <w:rFonts w:eastAsia="Times New Roman" w:cs="Segoe UI"/>
                <w:color w:val="000000"/>
                <w:sz w:val="18"/>
                <w:szCs w:val="18"/>
                <w:lang w:eastAsia="sk-SK"/>
              </w:rPr>
              <w:t>7,3</w:t>
            </w:r>
          </w:p>
        </w:tc>
      </w:tr>
    </w:tbl>
    <w:p w14:paraId="789E120A" w14:textId="77777777" w:rsidR="00E82085" w:rsidRPr="00E953F4" w:rsidRDefault="00E82085" w:rsidP="00E82085">
      <w:pPr>
        <w:pStyle w:val="Zdroj"/>
        <w:spacing w:after="0"/>
      </w:pPr>
      <w:r w:rsidRPr="00E953F4">
        <w:t>Zdroj: MF SR, Výbor pre makroekonomické prognózy – 14.9.2022</w:t>
      </w:r>
    </w:p>
    <w:p w14:paraId="63270723" w14:textId="77777777" w:rsidR="00E82085" w:rsidRPr="00E953F4" w:rsidRDefault="00E82085" w:rsidP="00E82085">
      <w:pPr>
        <w:pStyle w:val="Zdroj"/>
        <w:spacing w:after="0"/>
      </w:pPr>
      <w:r w:rsidRPr="00E953F4">
        <w:t xml:space="preserve"> * oproti predchádzajúcemu roku</w:t>
      </w:r>
    </w:p>
    <w:p w14:paraId="6B49AD24" w14:textId="77777777" w:rsidR="00E82085" w:rsidRDefault="00E82085" w:rsidP="00E82085">
      <w:pPr>
        <w:pStyle w:val="Zdroj"/>
        <w:spacing w:after="0"/>
      </w:pPr>
      <w:r w:rsidRPr="00E953F4">
        <w:t>** oproti skutočnosti, resp. očakávanej skutočnosti predchádzajúceho roka</w:t>
      </w:r>
    </w:p>
    <w:p w14:paraId="04843FB5" w14:textId="177FDFB4" w:rsidR="00E82085" w:rsidRDefault="00E82085" w:rsidP="00E82085">
      <w:pPr>
        <w:pStyle w:val="Zdroj"/>
      </w:pPr>
      <w:r>
        <w:t>*** oproti očakávane</w:t>
      </w:r>
      <w:r w:rsidR="00106354">
        <w:t>j</w:t>
      </w:r>
      <w:r>
        <w:t xml:space="preserve"> skutočnosti 2022 po započítaní zvýšenej platby za poistencov štátu o 340 mil. eur do výdavkov poistenia</w:t>
      </w:r>
    </w:p>
    <w:p w14:paraId="0B77EA2A" w14:textId="09450F85" w:rsidR="00E216EF" w:rsidRDefault="00E82085" w:rsidP="00E216EF">
      <w:pPr>
        <w:rPr>
          <w:rFonts w:eastAsia="Times New Roman" w:cs="Segoe UI"/>
          <w:lang w:eastAsia="sk-SK"/>
        </w:rPr>
      </w:pPr>
      <w:r>
        <w:rPr>
          <w:szCs w:val="20"/>
        </w:rPr>
        <w:t>Dlhodobé nedofinancovanie ZS</w:t>
      </w:r>
      <w:r w:rsidR="00CB6343">
        <w:rPr>
          <w:szCs w:val="20"/>
        </w:rPr>
        <w:t>,</w:t>
      </w:r>
      <w:r>
        <w:rPr>
          <w:szCs w:val="20"/>
        </w:rPr>
        <w:t xml:space="preserve"> vyplývajúce aj z neplnenia úsporných opatrení a meškajúcich systémových opatrení, sa premieta do zadlžovania zdravotníckych zariadení, ktoré je potom potrebné periodicky nesystémovo oddlžovať.</w:t>
      </w:r>
      <w:r w:rsidR="00B4495E">
        <w:rPr>
          <w:szCs w:val="20"/>
        </w:rPr>
        <w:t xml:space="preserve"> </w:t>
      </w:r>
      <w:r w:rsidRPr="00A01122">
        <w:rPr>
          <w:rFonts w:cs="Segoe UI"/>
          <w:b/>
        </w:rPr>
        <w:t xml:space="preserve">Od roku 2003 sa realizovalo na Slovensku </w:t>
      </w:r>
      <w:r w:rsidR="00970578">
        <w:rPr>
          <w:rFonts w:cs="Segoe UI"/>
          <w:b/>
        </w:rPr>
        <w:t>päť</w:t>
      </w:r>
      <w:r w:rsidRPr="00A01122">
        <w:rPr>
          <w:rFonts w:cs="Segoe UI"/>
          <w:b/>
        </w:rPr>
        <w:t xml:space="preserve"> oddlžení</w:t>
      </w:r>
      <w:r>
        <w:rPr>
          <w:rFonts w:cs="Segoe UI"/>
          <w:b/>
        </w:rPr>
        <w:t xml:space="preserve"> </w:t>
      </w:r>
      <w:r w:rsidRPr="00B4495E">
        <w:rPr>
          <w:rFonts w:cs="Segoe UI"/>
        </w:rPr>
        <w:t>(z toho posledné ešte prebieha)</w:t>
      </w:r>
      <w:r w:rsidR="00970578" w:rsidRPr="00B4495E">
        <w:rPr>
          <w:rFonts w:cs="Segoe UI"/>
        </w:rPr>
        <w:t>,</w:t>
      </w:r>
      <w:r w:rsidRPr="00A01122">
        <w:rPr>
          <w:rFonts w:cs="Segoe UI"/>
          <w:b/>
        </w:rPr>
        <w:t xml:space="preserve"> ale žiadne z nich dlhodobejšie neodstránilo problé</w:t>
      </w:r>
      <w:r w:rsidRPr="00A9575B">
        <w:rPr>
          <w:rFonts w:cs="Segoe UI"/>
          <w:b/>
        </w:rPr>
        <w:t>m</w:t>
      </w:r>
      <w:r>
        <w:rPr>
          <w:rFonts w:cs="Segoe UI"/>
        </w:rPr>
        <w:t xml:space="preserve"> </w:t>
      </w:r>
      <w:r w:rsidRPr="007C571E">
        <w:rPr>
          <w:rFonts w:cs="Segoe UI"/>
          <w:b/>
        </w:rPr>
        <w:t>zadlženos</w:t>
      </w:r>
      <w:r>
        <w:rPr>
          <w:rFonts w:cs="Segoe UI"/>
          <w:b/>
        </w:rPr>
        <w:t>ti</w:t>
      </w:r>
      <w:r w:rsidRPr="007C571E">
        <w:rPr>
          <w:rFonts w:cs="Segoe UI"/>
          <w:b/>
        </w:rPr>
        <w:t xml:space="preserve"> zdravotníckych zariadení</w:t>
      </w:r>
      <w:r>
        <w:rPr>
          <w:rFonts w:cs="Segoe UI"/>
        </w:rPr>
        <w:t xml:space="preserve">. Od roku 2011 oddlženia zahŕňali aj návrhy systémových opatrení na riešenie zadlženosti vrátane </w:t>
      </w:r>
      <w:r w:rsidRPr="000937AF">
        <w:rPr>
          <w:rFonts w:eastAsia="Times New Roman" w:cs="Segoe UI"/>
          <w:lang w:eastAsia="sk-SK"/>
        </w:rPr>
        <w:t xml:space="preserve">zavedenia platby za diagnostickú skupinu (DRG). </w:t>
      </w:r>
      <w:r>
        <w:rPr>
          <w:rFonts w:eastAsia="Times New Roman" w:cs="Segoe UI"/>
          <w:lang w:eastAsia="sk-SK"/>
        </w:rPr>
        <w:t xml:space="preserve">Koncepčné materiály o oddlžení z rokov 2017 a 2020 preberali systémové opatrenia z revízie výdavkov na zdravotníctvo. Napriek tomu zadlžovanie </w:t>
      </w:r>
      <w:r w:rsidR="00970578">
        <w:rPr>
          <w:rFonts w:eastAsia="Times New Roman" w:cs="Segoe UI"/>
          <w:lang w:eastAsia="sk-SK"/>
        </w:rPr>
        <w:t>ZZ</w:t>
      </w:r>
      <w:r>
        <w:rPr>
          <w:rFonts w:eastAsia="Times New Roman" w:cs="Segoe UI"/>
          <w:lang w:eastAsia="sk-SK"/>
        </w:rPr>
        <w:t xml:space="preserve"> pokračovalo.</w:t>
      </w:r>
      <w:r w:rsidR="00E216EF" w:rsidRPr="00E216EF">
        <w:rPr>
          <w:rFonts w:eastAsia="Times New Roman" w:cs="Segoe UI"/>
          <w:lang w:eastAsia="sk-SK"/>
        </w:rPr>
        <w:t xml:space="preserve"> </w:t>
      </w:r>
      <w:r w:rsidR="00E216EF">
        <w:rPr>
          <w:rFonts w:eastAsia="Times New Roman" w:cs="Segoe UI"/>
          <w:lang w:eastAsia="sk-SK"/>
        </w:rPr>
        <w:t>Od roku 2011 boli na jednotlivé oddlženia ZZ vyčlenené finančné prostriedky vo výške 1</w:t>
      </w:r>
      <w:r w:rsidR="00970578">
        <w:rPr>
          <w:rFonts w:eastAsia="Times New Roman" w:cs="Segoe UI"/>
          <w:lang w:eastAsia="sk-SK"/>
        </w:rPr>
        <w:t>,</w:t>
      </w:r>
      <w:r w:rsidR="00E216EF">
        <w:rPr>
          <w:rFonts w:eastAsia="Times New Roman" w:cs="Segoe UI"/>
          <w:lang w:eastAsia="sk-SK"/>
        </w:rPr>
        <w:t>5 ml</w:t>
      </w:r>
      <w:r w:rsidR="00970578">
        <w:rPr>
          <w:rFonts w:eastAsia="Times New Roman" w:cs="Segoe UI"/>
          <w:lang w:eastAsia="sk-SK"/>
        </w:rPr>
        <w:t>d</w:t>
      </w:r>
      <w:r w:rsidR="00E216EF">
        <w:rPr>
          <w:rFonts w:eastAsia="Times New Roman" w:cs="Segoe UI"/>
          <w:lang w:eastAsia="sk-SK"/>
        </w:rPr>
        <w:t>. eur (tabuľka 12).</w:t>
      </w:r>
    </w:p>
    <w:p w14:paraId="125EFCD7" w14:textId="43D5707C" w:rsidR="00E216EF" w:rsidRPr="00970578" w:rsidRDefault="00E216EF" w:rsidP="00970578">
      <w:pPr>
        <w:spacing w:after="0"/>
        <w:rPr>
          <w:b/>
          <w:color w:val="314364" w:themeColor="text2"/>
          <w:szCs w:val="20"/>
        </w:rPr>
      </w:pPr>
      <w:r w:rsidRPr="00970578">
        <w:rPr>
          <w:b/>
          <w:color w:val="314364" w:themeColor="text2"/>
          <w:szCs w:val="20"/>
        </w:rPr>
        <w:t>Tabuľka 12: Sumy oddlžení zdravotníckych zariadení od roku 2011 (v mil. eur)</w:t>
      </w:r>
    </w:p>
    <w:tbl>
      <w:tblPr>
        <w:tblW w:w="5000" w:type="pct"/>
        <w:tblCellMar>
          <w:left w:w="70" w:type="dxa"/>
          <w:right w:w="70" w:type="dxa"/>
        </w:tblCellMar>
        <w:tblLook w:val="04A0" w:firstRow="1" w:lastRow="0" w:firstColumn="1" w:lastColumn="0" w:noHBand="0" w:noVBand="1"/>
      </w:tblPr>
      <w:tblGrid>
        <w:gridCol w:w="5535"/>
        <w:gridCol w:w="1179"/>
        <w:gridCol w:w="1179"/>
        <w:gridCol w:w="1177"/>
      </w:tblGrid>
      <w:tr w:rsidR="00E216EF" w:rsidRPr="00DA6587" w14:paraId="2ADC1BEB" w14:textId="77777777" w:rsidTr="00970578">
        <w:trPr>
          <w:trHeight w:val="312"/>
        </w:trPr>
        <w:tc>
          <w:tcPr>
            <w:tcW w:w="3051" w:type="pct"/>
            <w:tcBorders>
              <w:top w:val="nil"/>
              <w:left w:val="nil"/>
              <w:bottom w:val="nil"/>
              <w:right w:val="nil"/>
            </w:tcBorders>
            <w:shd w:val="clear" w:color="000000" w:fill="314364"/>
            <w:vAlign w:val="center"/>
            <w:hideMark/>
          </w:tcPr>
          <w:p w14:paraId="611684B1" w14:textId="7F37E93A" w:rsidR="00E216EF" w:rsidRPr="00DA6587" w:rsidRDefault="00E216EF" w:rsidP="00806B4A">
            <w:pPr>
              <w:spacing w:after="0" w:line="240" w:lineRule="auto"/>
              <w:jc w:val="left"/>
              <w:rPr>
                <w:rFonts w:eastAsia="Times New Roman" w:cs="Segoe UI"/>
                <w:b/>
                <w:bCs/>
                <w:color w:val="FFFFFF"/>
                <w:sz w:val="18"/>
                <w:szCs w:val="18"/>
                <w:lang w:eastAsia="sk-SK"/>
              </w:rPr>
            </w:pPr>
            <w:r w:rsidRPr="00DA6587">
              <w:rPr>
                <w:rFonts w:eastAsia="Times New Roman" w:cs="Segoe UI"/>
                <w:b/>
                <w:bCs/>
                <w:color w:val="FFFFFF"/>
                <w:sz w:val="18"/>
                <w:szCs w:val="18"/>
                <w:lang w:eastAsia="sk-SK"/>
              </w:rPr>
              <w:t> </w:t>
            </w:r>
            <w:r w:rsidR="00806B4A">
              <w:rPr>
                <w:rFonts w:eastAsia="Times New Roman" w:cs="Segoe UI"/>
                <w:b/>
                <w:bCs/>
                <w:color w:val="FFFFFF"/>
                <w:sz w:val="18"/>
                <w:szCs w:val="18"/>
                <w:lang w:eastAsia="sk-SK"/>
              </w:rPr>
              <w:t>Rok začiatku oddlženia</w:t>
            </w:r>
          </w:p>
        </w:tc>
        <w:tc>
          <w:tcPr>
            <w:tcW w:w="650" w:type="pct"/>
            <w:tcBorders>
              <w:top w:val="nil"/>
              <w:left w:val="nil"/>
              <w:bottom w:val="nil"/>
              <w:right w:val="nil"/>
            </w:tcBorders>
            <w:shd w:val="clear" w:color="000000" w:fill="314364"/>
            <w:vAlign w:val="center"/>
            <w:hideMark/>
          </w:tcPr>
          <w:p w14:paraId="37ED6A2B" w14:textId="77777777" w:rsidR="00E216EF" w:rsidRPr="00DA6587" w:rsidRDefault="00E216EF" w:rsidP="00970578">
            <w:pPr>
              <w:spacing w:after="0" w:line="240" w:lineRule="auto"/>
              <w:jc w:val="right"/>
              <w:rPr>
                <w:rFonts w:eastAsia="Times New Roman" w:cs="Segoe UI"/>
                <w:b/>
                <w:bCs/>
                <w:color w:val="FFFFFF"/>
                <w:sz w:val="18"/>
                <w:szCs w:val="18"/>
                <w:lang w:eastAsia="sk-SK"/>
              </w:rPr>
            </w:pPr>
            <w:r w:rsidRPr="00DA6587">
              <w:rPr>
                <w:rFonts w:eastAsia="Times New Roman" w:cs="Segoe UI"/>
                <w:b/>
                <w:bCs/>
                <w:color w:val="FFFFFF"/>
                <w:sz w:val="18"/>
                <w:szCs w:val="18"/>
                <w:lang w:eastAsia="sk-SK"/>
              </w:rPr>
              <w:t>2011</w:t>
            </w:r>
          </w:p>
        </w:tc>
        <w:tc>
          <w:tcPr>
            <w:tcW w:w="650" w:type="pct"/>
            <w:tcBorders>
              <w:top w:val="nil"/>
              <w:left w:val="nil"/>
              <w:bottom w:val="nil"/>
              <w:right w:val="nil"/>
            </w:tcBorders>
            <w:shd w:val="clear" w:color="000000" w:fill="314364"/>
            <w:vAlign w:val="center"/>
            <w:hideMark/>
          </w:tcPr>
          <w:p w14:paraId="2A0ED4BB" w14:textId="77777777" w:rsidR="00E216EF" w:rsidRPr="00DA6587" w:rsidRDefault="00E216EF" w:rsidP="00970578">
            <w:pPr>
              <w:spacing w:after="0" w:line="240" w:lineRule="auto"/>
              <w:jc w:val="right"/>
              <w:rPr>
                <w:rFonts w:eastAsia="Times New Roman" w:cs="Segoe UI"/>
                <w:b/>
                <w:bCs/>
                <w:color w:val="FFFFFF"/>
                <w:sz w:val="18"/>
                <w:szCs w:val="18"/>
                <w:lang w:eastAsia="sk-SK"/>
              </w:rPr>
            </w:pPr>
            <w:r w:rsidRPr="00DA6587">
              <w:rPr>
                <w:rFonts w:eastAsia="Times New Roman" w:cs="Segoe UI"/>
                <w:b/>
                <w:bCs/>
                <w:color w:val="FFFFFF"/>
                <w:sz w:val="18"/>
                <w:szCs w:val="18"/>
                <w:lang w:eastAsia="sk-SK"/>
              </w:rPr>
              <w:t>2017</w:t>
            </w:r>
          </w:p>
        </w:tc>
        <w:tc>
          <w:tcPr>
            <w:tcW w:w="650" w:type="pct"/>
            <w:tcBorders>
              <w:top w:val="nil"/>
              <w:left w:val="nil"/>
              <w:bottom w:val="nil"/>
              <w:right w:val="nil"/>
            </w:tcBorders>
            <w:shd w:val="clear" w:color="000000" w:fill="314364"/>
            <w:vAlign w:val="center"/>
            <w:hideMark/>
          </w:tcPr>
          <w:p w14:paraId="1603CCFF" w14:textId="77777777" w:rsidR="00E216EF" w:rsidRPr="00DA6587" w:rsidRDefault="00E216EF" w:rsidP="00970578">
            <w:pPr>
              <w:spacing w:after="0" w:line="240" w:lineRule="auto"/>
              <w:jc w:val="right"/>
              <w:rPr>
                <w:rFonts w:eastAsia="Times New Roman" w:cs="Segoe UI"/>
                <w:b/>
                <w:bCs/>
                <w:color w:val="FFFFFF"/>
                <w:sz w:val="18"/>
                <w:szCs w:val="18"/>
                <w:lang w:eastAsia="sk-SK"/>
              </w:rPr>
            </w:pPr>
            <w:r w:rsidRPr="00DA6587">
              <w:rPr>
                <w:rFonts w:eastAsia="Times New Roman" w:cs="Segoe UI"/>
                <w:b/>
                <w:bCs/>
                <w:color w:val="FFFFFF"/>
                <w:sz w:val="18"/>
                <w:szCs w:val="18"/>
                <w:lang w:eastAsia="sk-SK"/>
              </w:rPr>
              <w:t>2020</w:t>
            </w:r>
          </w:p>
        </w:tc>
      </w:tr>
      <w:tr w:rsidR="00E216EF" w:rsidRPr="00DA6587" w14:paraId="707EF7A0" w14:textId="77777777" w:rsidTr="00970578">
        <w:trPr>
          <w:trHeight w:val="315"/>
        </w:trPr>
        <w:tc>
          <w:tcPr>
            <w:tcW w:w="3051" w:type="pct"/>
            <w:tcBorders>
              <w:top w:val="nil"/>
              <w:left w:val="nil"/>
              <w:bottom w:val="nil"/>
              <w:right w:val="nil"/>
            </w:tcBorders>
            <w:shd w:val="clear" w:color="auto" w:fill="auto"/>
            <w:noWrap/>
            <w:vAlign w:val="center"/>
            <w:hideMark/>
          </w:tcPr>
          <w:p w14:paraId="5927D292" w14:textId="77777777" w:rsidR="00E216EF" w:rsidRPr="00DA6587" w:rsidRDefault="00E216EF" w:rsidP="00970578">
            <w:pPr>
              <w:spacing w:after="0" w:line="240" w:lineRule="auto"/>
              <w:jc w:val="left"/>
              <w:rPr>
                <w:rFonts w:eastAsia="Times New Roman" w:cs="Segoe UI"/>
                <w:color w:val="000000"/>
                <w:sz w:val="18"/>
                <w:szCs w:val="18"/>
                <w:lang w:eastAsia="sk-SK"/>
              </w:rPr>
            </w:pPr>
            <w:r w:rsidRPr="00DA6587">
              <w:rPr>
                <w:rFonts w:eastAsia="Times New Roman" w:cs="Segoe UI"/>
                <w:color w:val="000000"/>
                <w:sz w:val="18"/>
                <w:szCs w:val="18"/>
                <w:lang w:eastAsia="sk-SK"/>
              </w:rPr>
              <w:t>Finančné prostriedky vyčlenené na oddlženie ZZ</w:t>
            </w:r>
          </w:p>
        </w:tc>
        <w:tc>
          <w:tcPr>
            <w:tcW w:w="650" w:type="pct"/>
            <w:tcBorders>
              <w:top w:val="nil"/>
              <w:left w:val="nil"/>
              <w:bottom w:val="nil"/>
              <w:right w:val="nil"/>
            </w:tcBorders>
            <w:shd w:val="clear" w:color="auto" w:fill="auto"/>
            <w:noWrap/>
            <w:vAlign w:val="center"/>
            <w:hideMark/>
          </w:tcPr>
          <w:p w14:paraId="67C620D3" w14:textId="77777777" w:rsidR="00E216EF" w:rsidRPr="00DA6587" w:rsidRDefault="00E216EF" w:rsidP="00970578">
            <w:pPr>
              <w:spacing w:after="0" w:line="240" w:lineRule="auto"/>
              <w:jc w:val="right"/>
              <w:rPr>
                <w:rFonts w:eastAsia="Times New Roman" w:cs="Segoe UI"/>
                <w:color w:val="000000"/>
                <w:sz w:val="18"/>
                <w:szCs w:val="18"/>
                <w:lang w:eastAsia="sk-SK"/>
              </w:rPr>
            </w:pPr>
            <w:r w:rsidRPr="00DA6587">
              <w:rPr>
                <w:rFonts w:eastAsia="Times New Roman" w:cs="Segoe UI"/>
                <w:color w:val="000000"/>
                <w:sz w:val="18"/>
                <w:szCs w:val="18"/>
                <w:lang w:eastAsia="sk-SK"/>
              </w:rPr>
              <w:t>350</w:t>
            </w:r>
          </w:p>
        </w:tc>
        <w:tc>
          <w:tcPr>
            <w:tcW w:w="650" w:type="pct"/>
            <w:tcBorders>
              <w:top w:val="nil"/>
              <w:left w:val="nil"/>
              <w:bottom w:val="nil"/>
              <w:right w:val="nil"/>
            </w:tcBorders>
            <w:shd w:val="clear" w:color="auto" w:fill="auto"/>
            <w:noWrap/>
            <w:vAlign w:val="center"/>
            <w:hideMark/>
          </w:tcPr>
          <w:p w14:paraId="36E62D2C" w14:textId="77777777" w:rsidR="00E216EF" w:rsidRPr="00DA6587" w:rsidRDefault="00E216EF" w:rsidP="00970578">
            <w:pPr>
              <w:spacing w:after="0" w:line="240" w:lineRule="auto"/>
              <w:jc w:val="right"/>
              <w:rPr>
                <w:rFonts w:eastAsia="Times New Roman" w:cs="Segoe UI"/>
                <w:color w:val="000000"/>
                <w:sz w:val="18"/>
                <w:szCs w:val="18"/>
                <w:lang w:eastAsia="sk-SK"/>
              </w:rPr>
            </w:pPr>
            <w:r w:rsidRPr="00DA6587">
              <w:rPr>
                <w:rFonts w:eastAsia="Times New Roman" w:cs="Segoe UI"/>
                <w:color w:val="000000"/>
                <w:sz w:val="18"/>
                <w:szCs w:val="18"/>
                <w:lang w:eastAsia="sk-SK"/>
              </w:rPr>
              <w:t>585</w:t>
            </w:r>
          </w:p>
        </w:tc>
        <w:tc>
          <w:tcPr>
            <w:tcW w:w="650" w:type="pct"/>
            <w:tcBorders>
              <w:top w:val="nil"/>
              <w:left w:val="nil"/>
              <w:bottom w:val="nil"/>
              <w:right w:val="nil"/>
            </w:tcBorders>
            <w:shd w:val="clear" w:color="auto" w:fill="auto"/>
            <w:noWrap/>
            <w:vAlign w:val="center"/>
            <w:hideMark/>
          </w:tcPr>
          <w:p w14:paraId="375FC7C1" w14:textId="77777777" w:rsidR="00E216EF" w:rsidRPr="00DA6587" w:rsidRDefault="00E216EF" w:rsidP="00970578">
            <w:pPr>
              <w:spacing w:after="0" w:line="240" w:lineRule="auto"/>
              <w:jc w:val="right"/>
              <w:rPr>
                <w:rFonts w:eastAsia="Times New Roman" w:cs="Segoe UI"/>
                <w:color w:val="000000"/>
                <w:sz w:val="18"/>
                <w:szCs w:val="18"/>
                <w:lang w:eastAsia="sk-SK"/>
              </w:rPr>
            </w:pPr>
            <w:r w:rsidRPr="00DA6587">
              <w:rPr>
                <w:rFonts w:eastAsia="Times New Roman" w:cs="Segoe UI"/>
                <w:color w:val="000000"/>
                <w:sz w:val="18"/>
                <w:szCs w:val="18"/>
                <w:lang w:eastAsia="sk-SK"/>
              </w:rPr>
              <w:t>575</w:t>
            </w:r>
          </w:p>
        </w:tc>
      </w:tr>
      <w:tr w:rsidR="00E216EF" w:rsidRPr="00DA6587" w14:paraId="36458085" w14:textId="77777777" w:rsidTr="00970578">
        <w:trPr>
          <w:trHeight w:val="315"/>
        </w:trPr>
        <w:tc>
          <w:tcPr>
            <w:tcW w:w="3051" w:type="pct"/>
            <w:tcBorders>
              <w:top w:val="nil"/>
              <w:left w:val="nil"/>
              <w:bottom w:val="single" w:sz="4" w:space="0" w:color="auto"/>
              <w:right w:val="nil"/>
            </w:tcBorders>
            <w:shd w:val="clear" w:color="auto" w:fill="auto"/>
            <w:noWrap/>
            <w:vAlign w:val="center"/>
            <w:hideMark/>
          </w:tcPr>
          <w:p w14:paraId="51EE9E06" w14:textId="77777777" w:rsidR="00E216EF" w:rsidRPr="00DA6587" w:rsidRDefault="00E216EF" w:rsidP="00970578">
            <w:pPr>
              <w:spacing w:after="0" w:line="240" w:lineRule="auto"/>
              <w:jc w:val="left"/>
              <w:rPr>
                <w:rFonts w:eastAsia="Times New Roman" w:cs="Segoe UI"/>
                <w:color w:val="000000"/>
                <w:sz w:val="18"/>
                <w:szCs w:val="18"/>
                <w:lang w:eastAsia="sk-SK"/>
              </w:rPr>
            </w:pPr>
            <w:r w:rsidRPr="00DA6587">
              <w:rPr>
                <w:rFonts w:eastAsia="Times New Roman" w:cs="Segoe UI"/>
                <w:color w:val="000000"/>
                <w:sz w:val="18"/>
                <w:szCs w:val="18"/>
                <w:lang w:eastAsia="sk-SK"/>
              </w:rPr>
              <w:t>Oddlžená suma pohľadávok veriteľov spolu</w:t>
            </w:r>
          </w:p>
        </w:tc>
        <w:tc>
          <w:tcPr>
            <w:tcW w:w="650" w:type="pct"/>
            <w:tcBorders>
              <w:top w:val="nil"/>
              <w:left w:val="nil"/>
              <w:bottom w:val="single" w:sz="4" w:space="0" w:color="auto"/>
              <w:right w:val="nil"/>
            </w:tcBorders>
            <w:shd w:val="clear" w:color="auto" w:fill="auto"/>
            <w:noWrap/>
            <w:vAlign w:val="center"/>
            <w:hideMark/>
          </w:tcPr>
          <w:p w14:paraId="4A313168" w14:textId="77777777" w:rsidR="00E216EF" w:rsidRPr="00DA6587" w:rsidRDefault="00E216EF" w:rsidP="00970578">
            <w:pPr>
              <w:spacing w:after="0" w:line="240" w:lineRule="auto"/>
              <w:jc w:val="right"/>
              <w:rPr>
                <w:rFonts w:eastAsia="Times New Roman" w:cs="Segoe UI"/>
                <w:color w:val="000000"/>
                <w:sz w:val="18"/>
                <w:szCs w:val="18"/>
                <w:lang w:eastAsia="sk-SK"/>
              </w:rPr>
            </w:pPr>
            <w:r w:rsidRPr="00DA6587">
              <w:rPr>
                <w:rFonts w:eastAsia="Times New Roman" w:cs="Segoe UI"/>
                <w:color w:val="000000"/>
                <w:sz w:val="18"/>
                <w:szCs w:val="18"/>
                <w:lang w:eastAsia="sk-SK"/>
              </w:rPr>
              <w:t>300,9</w:t>
            </w:r>
          </w:p>
        </w:tc>
        <w:tc>
          <w:tcPr>
            <w:tcW w:w="650" w:type="pct"/>
            <w:tcBorders>
              <w:top w:val="nil"/>
              <w:left w:val="nil"/>
              <w:bottom w:val="single" w:sz="4" w:space="0" w:color="auto"/>
              <w:right w:val="nil"/>
            </w:tcBorders>
            <w:shd w:val="clear" w:color="auto" w:fill="auto"/>
            <w:noWrap/>
            <w:vAlign w:val="center"/>
            <w:hideMark/>
          </w:tcPr>
          <w:p w14:paraId="5C414BD4" w14:textId="77777777" w:rsidR="00E216EF" w:rsidRPr="00DA6587" w:rsidRDefault="00E216EF" w:rsidP="00970578">
            <w:pPr>
              <w:spacing w:after="0" w:line="240" w:lineRule="auto"/>
              <w:jc w:val="right"/>
              <w:rPr>
                <w:rFonts w:eastAsia="Times New Roman" w:cs="Segoe UI"/>
                <w:color w:val="000000"/>
                <w:sz w:val="18"/>
                <w:szCs w:val="18"/>
                <w:lang w:eastAsia="sk-SK"/>
              </w:rPr>
            </w:pPr>
            <w:r w:rsidRPr="00DA6587">
              <w:rPr>
                <w:rFonts w:eastAsia="Times New Roman" w:cs="Segoe UI"/>
                <w:color w:val="000000"/>
                <w:sz w:val="18"/>
                <w:szCs w:val="18"/>
                <w:lang w:eastAsia="sk-SK"/>
              </w:rPr>
              <w:t>584,4</w:t>
            </w:r>
          </w:p>
        </w:tc>
        <w:tc>
          <w:tcPr>
            <w:tcW w:w="650" w:type="pct"/>
            <w:tcBorders>
              <w:top w:val="nil"/>
              <w:left w:val="nil"/>
              <w:bottom w:val="single" w:sz="4" w:space="0" w:color="auto"/>
              <w:right w:val="nil"/>
            </w:tcBorders>
            <w:shd w:val="clear" w:color="auto" w:fill="auto"/>
            <w:vAlign w:val="center"/>
            <w:hideMark/>
          </w:tcPr>
          <w:p w14:paraId="5006F72E" w14:textId="1D4AAFD2" w:rsidR="00E216EF" w:rsidRPr="00DA6587" w:rsidRDefault="00806B4A" w:rsidP="00970578">
            <w:pPr>
              <w:spacing w:after="0" w:line="240" w:lineRule="auto"/>
              <w:jc w:val="right"/>
              <w:rPr>
                <w:rFonts w:eastAsia="Times New Roman" w:cs="Segoe UI"/>
                <w:color w:val="000000"/>
                <w:sz w:val="18"/>
                <w:szCs w:val="18"/>
                <w:lang w:eastAsia="sk-SK"/>
              </w:rPr>
            </w:pPr>
            <w:r>
              <w:rPr>
                <w:rFonts w:eastAsia="Times New Roman" w:cs="Segoe UI"/>
                <w:color w:val="000000"/>
                <w:sz w:val="18"/>
                <w:szCs w:val="18"/>
                <w:lang w:eastAsia="sk-SK"/>
              </w:rPr>
              <w:t>316*</w:t>
            </w:r>
            <w:r w:rsidR="00E216EF" w:rsidRPr="00DA6587">
              <w:rPr>
                <w:rFonts w:eastAsia="Times New Roman" w:cs="Segoe UI"/>
                <w:color w:val="000000"/>
                <w:sz w:val="18"/>
                <w:szCs w:val="18"/>
                <w:lang w:eastAsia="sk-SK"/>
              </w:rPr>
              <w:t> </w:t>
            </w:r>
          </w:p>
        </w:tc>
      </w:tr>
    </w:tbl>
    <w:p w14:paraId="23603BDF" w14:textId="04064BA4" w:rsidR="00E216EF" w:rsidRPr="00970578" w:rsidRDefault="00E216EF" w:rsidP="00970578">
      <w:pPr>
        <w:pStyle w:val="Zdroj"/>
        <w:spacing w:line="276" w:lineRule="auto"/>
      </w:pPr>
      <w:r w:rsidRPr="00970578">
        <w:t>Zdroj: MZ SR</w:t>
      </w:r>
      <w:r w:rsidR="00E76370">
        <w:rPr>
          <w:lang w:val="en-US"/>
        </w:rPr>
        <w:br/>
      </w:r>
      <w:r w:rsidR="00806B4A">
        <w:t>*</w:t>
      </w:r>
      <w:r w:rsidR="00E76370">
        <w:t xml:space="preserve"> </w:t>
      </w:r>
      <w:r w:rsidR="00806B4A">
        <w:t>aktuálny stav k 31.</w:t>
      </w:r>
      <w:r w:rsidR="008F7C1F">
        <w:t xml:space="preserve"> </w:t>
      </w:r>
      <w:r w:rsidR="00806B4A">
        <w:t>10.</w:t>
      </w:r>
      <w:r w:rsidR="008F7C1F">
        <w:t xml:space="preserve"> </w:t>
      </w:r>
      <w:r w:rsidR="00806B4A">
        <w:t>2022</w:t>
      </w:r>
    </w:p>
    <w:p w14:paraId="3E57FA72" w14:textId="2AFC0DA3" w:rsidR="00E82085" w:rsidRDefault="00E82085" w:rsidP="00E82085">
      <w:r w:rsidRPr="00995B3A">
        <w:t xml:space="preserve">V pôsobnosti MZ SR je </w:t>
      </w:r>
      <w:r w:rsidRPr="00995B3A">
        <w:rPr>
          <w:b/>
        </w:rPr>
        <w:t>13 fakultných a univerzitných nemocníc</w:t>
      </w:r>
      <w:r w:rsidRPr="00995B3A">
        <w:t xml:space="preserve">, ktoré uskutočňujú najväčší rozsah finančne náročných výkonov poskytovania </w:t>
      </w:r>
      <w:r>
        <w:t>ZS</w:t>
      </w:r>
      <w:r w:rsidRPr="00995B3A">
        <w:t xml:space="preserve">.  Podľa </w:t>
      </w:r>
      <w:r>
        <w:t>údajov MZ SR k 31. 8. 2022</w:t>
      </w:r>
      <w:r w:rsidRPr="00995B3A">
        <w:t xml:space="preserve"> v týchto nemocniciach celkové zá</w:t>
      </w:r>
      <w:r>
        <w:t xml:space="preserve">väzky dosiahli 933,2 mil. eur </w:t>
      </w:r>
      <w:r w:rsidRPr="00A9575B">
        <w:t xml:space="preserve">(graf </w:t>
      </w:r>
      <w:r>
        <w:t>1</w:t>
      </w:r>
      <w:r w:rsidR="00B836D4">
        <w:t>2</w:t>
      </w:r>
      <w:r>
        <w:t>) a od začiatku roka poklesli o 67,5</w:t>
      </w:r>
      <w:r w:rsidRPr="00995B3A">
        <w:t xml:space="preserve"> mil. eur. Z toho záv</w:t>
      </w:r>
      <w:r>
        <w:t>äzky po lehote splatnosti predstavovali 661,7</w:t>
      </w:r>
      <w:r w:rsidRPr="00995B3A">
        <w:t xml:space="preserve"> mil.</w:t>
      </w:r>
      <w:r>
        <w:t xml:space="preserve"> eur a od začiatku roka klesli o 32,9</w:t>
      </w:r>
      <w:r w:rsidRPr="00995B3A">
        <w:t xml:space="preserve"> mil. eur.</w:t>
      </w:r>
      <w:r w:rsidR="00B4495E">
        <w:t xml:space="preserve"> Na grafe 11</w:t>
      </w:r>
      <w:r>
        <w:t xml:space="preserve"> sú viditeľné efekty oddlžení z rokov 2017 a 2020. Posledné oddlženie by malo v závislosti od adminis</w:t>
      </w:r>
      <w:r w:rsidR="003F4194">
        <w:t>tratívnych procesov pokračovať.</w:t>
      </w:r>
    </w:p>
    <w:p w14:paraId="421608F5" w14:textId="77777777" w:rsidR="004B0540" w:rsidRDefault="004B0540" w:rsidP="004B0540">
      <w:pPr>
        <w:rPr>
          <w:rFonts w:ascii="Calibri" w:hAnsi="Calibri"/>
        </w:rPr>
      </w:pPr>
      <w:r>
        <w:t>Najväčší problém pokračujúceho zadlžovania je, že náklady najväčších fakultných a univerzitných nemocníc nie sú v dostatočnej miere pokryté výnosmi od zdravotných poisťovní. Výnosy zo zdravotných poisťovní dlhodobo nepokrývajú náklady nemocníc na personál, lieky, krv a zdravotnícky materiál. Nemocniciam zvyšujú náklady aj rekonštrukcie investične poddimenzovaných objektov, ako aj náklady na opravu a udržiavanie zastaranej zdravotníckej techniky. Postupná eliminácia zadlžovania nemocníc je možná za predpokladu racionalizácie nákladov a dofinancovania na strane výnosov.</w:t>
      </w:r>
    </w:p>
    <w:p w14:paraId="73D41F5E" w14:textId="77777777" w:rsidR="00ED2EF3" w:rsidRDefault="00ED2EF3" w:rsidP="00ED2EF3">
      <w:pPr>
        <w:pStyle w:val="Popis"/>
        <w:keepNext/>
        <w:rPr>
          <w:color w:val="314364"/>
        </w:rPr>
      </w:pPr>
      <w:r w:rsidRPr="00BC3CA3">
        <w:rPr>
          <w:color w:val="314364"/>
        </w:rPr>
        <w:lastRenderedPageBreak/>
        <w:t xml:space="preserve">Graf </w:t>
      </w:r>
      <w:r>
        <w:rPr>
          <w:color w:val="314364"/>
        </w:rPr>
        <w:t>12</w:t>
      </w:r>
      <w:r w:rsidRPr="00BC3CA3">
        <w:rPr>
          <w:color w:val="314364"/>
        </w:rPr>
        <w:t>:</w:t>
      </w:r>
      <w:r>
        <w:rPr>
          <w:color w:val="314364"/>
        </w:rPr>
        <w:t xml:space="preserve"> </w:t>
      </w:r>
      <w:r w:rsidRPr="00F13426">
        <w:rPr>
          <w:color w:val="314364"/>
        </w:rPr>
        <w:t>Vývoj</w:t>
      </w:r>
      <w:r>
        <w:rPr>
          <w:color w:val="314364"/>
        </w:rPr>
        <w:t xml:space="preserve"> štruktúry záväzkov vo fakultných a univerzitných nemocniciach (v mil. eur)</w:t>
      </w:r>
    </w:p>
    <w:tbl>
      <w:tblPr>
        <w:tblStyle w:val="Mriekatabuky"/>
        <w:tblW w:w="0" w:type="auto"/>
        <w:tblCellMar>
          <w:left w:w="70" w:type="dxa"/>
          <w:right w:w="70" w:type="dxa"/>
        </w:tblCellMar>
        <w:tblLook w:val="04A0" w:firstRow="1" w:lastRow="0" w:firstColumn="1" w:lastColumn="0" w:noHBand="0" w:noVBand="1"/>
      </w:tblPr>
      <w:tblGrid>
        <w:gridCol w:w="9070"/>
      </w:tblGrid>
      <w:tr w:rsidR="00ED2EF3" w14:paraId="264E6753" w14:textId="77777777" w:rsidTr="007170AE">
        <w:trPr>
          <w:trHeight w:val="3685"/>
        </w:trPr>
        <w:tc>
          <w:tcPr>
            <w:tcW w:w="9070" w:type="dxa"/>
            <w:tcBorders>
              <w:top w:val="single" w:sz="4" w:space="0" w:color="314364" w:themeColor="text2"/>
              <w:left w:val="nil"/>
              <w:bottom w:val="single" w:sz="4" w:space="0" w:color="314364" w:themeColor="text2"/>
              <w:right w:val="nil"/>
            </w:tcBorders>
          </w:tcPr>
          <w:p w14:paraId="2BC4571B" w14:textId="77777777" w:rsidR="00ED2EF3" w:rsidRDefault="00ED2EF3" w:rsidP="007170AE">
            <w:pPr>
              <w:spacing w:after="0"/>
            </w:pPr>
            <w:r>
              <w:rPr>
                <w:noProof/>
                <w:lang w:eastAsia="sk-SK"/>
              </w:rPr>
              <w:drawing>
                <wp:inline distT="0" distB="0" distL="0" distR="0" wp14:anchorId="7F544E29" wp14:editId="60478A4E">
                  <wp:extent cx="5759450" cy="23241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28DE9DB1" w14:textId="77777777" w:rsidR="00ED2EF3" w:rsidRDefault="00ED2EF3" w:rsidP="00ED2EF3">
      <w:pPr>
        <w:pStyle w:val="Zdroj"/>
      </w:pPr>
      <w:r w:rsidRPr="006A6B9D">
        <w:t>Zdroj</w:t>
      </w:r>
      <w:r w:rsidRPr="00627D87">
        <w:t xml:space="preserve">: </w:t>
      </w:r>
      <w:r>
        <w:t>MZ SR</w:t>
      </w:r>
      <w:r>
        <w:br/>
        <w:t>* k 31. 8. 2022</w:t>
      </w:r>
    </w:p>
    <w:p w14:paraId="23487AE5" w14:textId="14D12AA7" w:rsidR="00387ED9" w:rsidRDefault="008D4ABD" w:rsidP="00387ED9">
      <w:pPr>
        <w:rPr>
          <w:szCs w:val="20"/>
        </w:rPr>
      </w:pPr>
      <w:r w:rsidRPr="00825127">
        <w:rPr>
          <w:rFonts w:cs="Segoe UI"/>
          <w:b/>
          <w:szCs w:val="20"/>
        </w:rPr>
        <w:t>NKÚ SR dlhodobo a opakovane upozorňuje na to, že nenastáva výraznejší pokrok v systémových opatreniach</w:t>
      </w:r>
      <w:r w:rsidRPr="008D4ABD">
        <w:rPr>
          <w:rFonts w:cs="Segoe UI"/>
          <w:szCs w:val="20"/>
        </w:rPr>
        <w:t xml:space="preserve"> (predovšetkým zavedenie úhradového mechanizmu DRG </w:t>
      </w:r>
      <w:r>
        <w:rPr>
          <w:rFonts w:cs="Segoe UI"/>
          <w:szCs w:val="20"/>
        </w:rPr>
        <w:t xml:space="preserve">a </w:t>
      </w:r>
      <w:r w:rsidRPr="008D4ABD">
        <w:rPr>
          <w:rFonts w:cs="Segoe UI"/>
          <w:szCs w:val="20"/>
        </w:rPr>
        <w:t xml:space="preserve">plná funkcionalita </w:t>
      </w:r>
      <w:proofErr w:type="spellStart"/>
      <w:r w:rsidRPr="008D4ABD">
        <w:rPr>
          <w:rFonts w:cs="Segoe UI"/>
          <w:szCs w:val="20"/>
        </w:rPr>
        <w:t>eZdravia</w:t>
      </w:r>
      <w:proofErr w:type="spellEnd"/>
      <w:r w:rsidRPr="0050732D">
        <w:rPr>
          <w:rFonts w:cs="Segoe UI"/>
          <w:szCs w:val="20"/>
        </w:rPr>
        <w:t>)</w:t>
      </w:r>
      <w:r w:rsidR="00825127" w:rsidRPr="00CB6343">
        <w:rPr>
          <w:rFonts w:cs="Segoe UI"/>
          <w:szCs w:val="20"/>
        </w:rPr>
        <w:t>,</w:t>
      </w:r>
      <w:r w:rsidRPr="00825127">
        <w:rPr>
          <w:rFonts w:cs="Segoe UI"/>
          <w:b/>
          <w:szCs w:val="20"/>
        </w:rPr>
        <w:t xml:space="preserve"> </w:t>
      </w:r>
      <w:r w:rsidR="007170AE" w:rsidRPr="00825127">
        <w:rPr>
          <w:rFonts w:cs="Segoe UI"/>
          <w:b/>
          <w:szCs w:val="20"/>
        </w:rPr>
        <w:t>ktoré</w:t>
      </w:r>
      <w:r w:rsidR="00387ED9" w:rsidRPr="00825127">
        <w:rPr>
          <w:rFonts w:cs="Segoe UI"/>
          <w:b/>
          <w:szCs w:val="20"/>
        </w:rPr>
        <w:t xml:space="preserve"> </w:t>
      </w:r>
      <w:r w:rsidR="00825127" w:rsidRPr="00825127">
        <w:rPr>
          <w:rFonts w:cs="Segoe UI"/>
          <w:b/>
          <w:szCs w:val="20"/>
        </w:rPr>
        <w:t xml:space="preserve">by mali </w:t>
      </w:r>
      <w:r w:rsidR="007170AE" w:rsidRPr="00825127">
        <w:rPr>
          <w:rFonts w:cs="Segoe UI"/>
          <w:b/>
          <w:szCs w:val="20"/>
        </w:rPr>
        <w:t>prispieva</w:t>
      </w:r>
      <w:r w:rsidR="00825127" w:rsidRPr="00825127">
        <w:rPr>
          <w:rFonts w:cs="Segoe UI"/>
          <w:b/>
          <w:szCs w:val="20"/>
        </w:rPr>
        <w:t>ť</w:t>
      </w:r>
      <w:r w:rsidR="007170AE" w:rsidRPr="00825127">
        <w:rPr>
          <w:rFonts w:cs="Segoe UI"/>
          <w:b/>
          <w:szCs w:val="20"/>
        </w:rPr>
        <w:t xml:space="preserve"> k</w:t>
      </w:r>
      <w:r w:rsidR="00387ED9" w:rsidRPr="00825127">
        <w:rPr>
          <w:rFonts w:cs="Segoe UI"/>
          <w:b/>
          <w:szCs w:val="20"/>
        </w:rPr>
        <w:t xml:space="preserve"> znižovani</w:t>
      </w:r>
      <w:r w:rsidR="002957AD">
        <w:rPr>
          <w:rFonts w:cs="Segoe UI"/>
          <w:b/>
          <w:szCs w:val="20"/>
        </w:rPr>
        <w:t>u</w:t>
      </w:r>
      <w:r w:rsidR="00387ED9" w:rsidRPr="00825127">
        <w:rPr>
          <w:rFonts w:cs="Segoe UI"/>
          <w:b/>
          <w:szCs w:val="20"/>
        </w:rPr>
        <w:t xml:space="preserve"> zadlžovania zdravotníckych zariadení</w:t>
      </w:r>
      <w:r w:rsidR="00387ED9" w:rsidRPr="00CB6343">
        <w:rPr>
          <w:rFonts w:cs="Segoe UI"/>
          <w:szCs w:val="20"/>
        </w:rPr>
        <w:t xml:space="preserve">. </w:t>
      </w:r>
      <w:r w:rsidR="00387ED9">
        <w:t>Aj preto v roku 2022 realizoval dve kontroly zamerané na preverenie i</w:t>
      </w:r>
      <w:r w:rsidR="00387ED9" w:rsidRPr="00BE385C">
        <w:t>mplementáci</w:t>
      </w:r>
      <w:r w:rsidR="00387ED9">
        <w:t>e</w:t>
      </w:r>
      <w:r w:rsidR="00387ED9" w:rsidRPr="00BE385C">
        <w:t xml:space="preserve"> klasifikačnéh</w:t>
      </w:r>
      <w:r w:rsidR="00387ED9">
        <w:t xml:space="preserve">o systému DRG (box 4) a využívanie systému </w:t>
      </w:r>
      <w:proofErr w:type="spellStart"/>
      <w:r w:rsidR="00387ED9">
        <w:t>eZdravie</w:t>
      </w:r>
      <w:proofErr w:type="spellEnd"/>
      <w:r w:rsidR="00387ED9">
        <w:t xml:space="preserve"> (box 5)</w:t>
      </w:r>
      <w:r w:rsidR="00387ED9">
        <w:rPr>
          <w:szCs w:val="20"/>
        </w:rPr>
        <w:t>.</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1244BE" w:rsidRPr="00D442FD" w14:paraId="54BA17C5" w14:textId="77777777" w:rsidTr="00D34201">
        <w:tc>
          <w:tcPr>
            <w:tcW w:w="9060" w:type="dxa"/>
            <w:shd w:val="clear" w:color="auto" w:fill="EBF0FB" w:themeFill="background2" w:themeFillTint="33"/>
          </w:tcPr>
          <w:p w14:paraId="785A0323" w14:textId="1612B362" w:rsidR="001244BE" w:rsidRPr="00DA6672" w:rsidRDefault="001244BE" w:rsidP="00D34201">
            <w:pPr>
              <w:spacing w:before="120"/>
              <w:ind w:left="176" w:right="163"/>
              <w:rPr>
                <w:b/>
              </w:rPr>
            </w:pPr>
            <w:r>
              <w:rPr>
                <w:b/>
              </w:rPr>
              <w:t xml:space="preserve">BOX </w:t>
            </w:r>
            <w:r w:rsidR="009211EA">
              <w:rPr>
                <w:b/>
              </w:rPr>
              <w:t>4</w:t>
            </w:r>
            <w:r w:rsidRPr="00DA6672">
              <w:rPr>
                <w:b/>
              </w:rPr>
              <w:t xml:space="preserve">: </w:t>
            </w:r>
            <w:r w:rsidRPr="001244BE">
              <w:rPr>
                <w:b/>
              </w:rPr>
              <w:t>Implementácia klasifikačného systému DRG v podmienkach SR</w:t>
            </w:r>
          </w:p>
          <w:p w14:paraId="6EB13E51" w14:textId="38CD7B7B" w:rsidR="00387ED9" w:rsidRPr="001244BE" w:rsidRDefault="00387ED9" w:rsidP="00387ED9">
            <w:pPr>
              <w:spacing w:before="120"/>
              <w:ind w:left="176" w:right="163"/>
              <w:rPr>
                <w:sz w:val="18"/>
              </w:rPr>
            </w:pPr>
            <w:r w:rsidRPr="001244BE">
              <w:rPr>
                <w:sz w:val="18"/>
              </w:rPr>
              <w:t>Zavedenie mechanizmu DRG v podmienkach SR patrí k zásadným systémovým zmenám v slovenskom zdravotníctve. Cieľom systému DRG je zabezpečenie udržateľného financovania lôžkovej zdravotnej starostlivosti</w:t>
            </w:r>
            <w:r w:rsidR="00B4495E">
              <w:rPr>
                <w:sz w:val="18"/>
              </w:rPr>
              <w:t>,</w:t>
            </w:r>
            <w:r w:rsidRPr="001244BE">
              <w:rPr>
                <w:sz w:val="18"/>
              </w:rPr>
              <w:t xml:space="preserve"> na základe čoho DRG predstavuje základný nástroj na zmiernenie zadlžovania nemocníc.</w:t>
            </w:r>
          </w:p>
          <w:p w14:paraId="20B08A4F" w14:textId="6C94D2C7" w:rsidR="00387ED9" w:rsidRPr="001244BE" w:rsidRDefault="00387ED9" w:rsidP="00387ED9">
            <w:pPr>
              <w:spacing w:before="120"/>
              <w:ind w:left="176" w:right="163"/>
              <w:rPr>
                <w:sz w:val="18"/>
              </w:rPr>
            </w:pPr>
            <w:r w:rsidRPr="001244BE">
              <w:rPr>
                <w:sz w:val="18"/>
              </w:rPr>
              <w:t>Implementácia DRG systému v podmienkach S</w:t>
            </w:r>
            <w:r w:rsidR="00B4495E">
              <w:rPr>
                <w:sz w:val="18"/>
              </w:rPr>
              <w:t>R</w:t>
            </w:r>
            <w:r w:rsidRPr="001244BE">
              <w:rPr>
                <w:sz w:val="18"/>
              </w:rPr>
              <w:t xml:space="preserve"> začala v roku 2011</w:t>
            </w:r>
            <w:r w:rsidR="00B4495E">
              <w:rPr>
                <w:sz w:val="18"/>
              </w:rPr>
              <w:t>.</w:t>
            </w:r>
            <w:r w:rsidRPr="001244BE">
              <w:rPr>
                <w:sz w:val="18"/>
              </w:rPr>
              <w:t xml:space="preserve"> </w:t>
            </w:r>
            <w:r w:rsidR="00B4495E">
              <w:rPr>
                <w:sz w:val="18"/>
              </w:rPr>
              <w:t>Z</w:t>
            </w:r>
            <w:r w:rsidRPr="001244BE">
              <w:rPr>
                <w:sz w:val="18"/>
              </w:rPr>
              <w:t xml:space="preserve">ákladom pre jeho zavedenie sa stal systém implementovaný v Nemecku. V koncepcii schválenej vládou SR sa uvažovalo so spustením ostrej prevádzky systému DRG na Slovensku od začiatku roku 2016. Kontrolou NKÚ SR bolo zistené, že systém DRG nie je v roku 2022 funkčný v plnom rozsahu. Poskytovatelia ústavnej zdravotnej starostlivosti uzatvárajú so zdravotnými poisťovňami zmluvy podľa DRG klasifikačného systému na báze dobrovoľnosti. </w:t>
            </w:r>
          </w:p>
          <w:p w14:paraId="2FB6CD4B" w14:textId="3686B532" w:rsidR="00387ED9" w:rsidRPr="001244BE" w:rsidRDefault="00387ED9" w:rsidP="00387ED9">
            <w:pPr>
              <w:spacing w:before="120"/>
              <w:ind w:left="176" w:right="163"/>
              <w:rPr>
                <w:sz w:val="18"/>
              </w:rPr>
            </w:pPr>
            <w:r w:rsidRPr="001244BE">
              <w:rPr>
                <w:sz w:val="18"/>
              </w:rPr>
              <w:t xml:space="preserve">V rokoch 2011 </w:t>
            </w:r>
            <w:r w:rsidR="00CB6343">
              <w:rPr>
                <w:sz w:val="18"/>
              </w:rPr>
              <w:t>až</w:t>
            </w:r>
            <w:r w:rsidRPr="001244BE">
              <w:rPr>
                <w:sz w:val="18"/>
              </w:rPr>
              <w:t xml:space="preserve"> 2020 boli v súvislosti s implementáciou systému DRG vynaložené finančné prostriedky v celkovej sume 10,13 mil. eur. Z toho boli v rokoch 2016 – 2020 čerpané finančné prostriedky z vlastných zdrojov ÚDZS v celkovej sume 1,29 mil. eur. Výdavky na Centrum pre klasifikačný systém na MZ SR za rok 2021 predstavovali sumu 273 tis. eur.</w:t>
            </w:r>
          </w:p>
          <w:p w14:paraId="30374E0D" w14:textId="17F2BC5C" w:rsidR="001244BE" w:rsidRPr="00D442FD" w:rsidRDefault="00387ED9" w:rsidP="00387ED9">
            <w:pPr>
              <w:spacing w:before="120"/>
              <w:ind w:left="176" w:right="163"/>
              <w:rPr>
                <w:sz w:val="18"/>
              </w:rPr>
            </w:pPr>
            <w:r w:rsidRPr="001244BE">
              <w:rPr>
                <w:sz w:val="18"/>
              </w:rPr>
              <w:t>Kontrolou bolo zistené, že najväčšou prekážkou správneho a včasného zavedenia DRG systému do reálnej praxe je absencia legislatívnej podpory jeho záväzného používania pri uzatváraní zmlúv a úhrade zdravotnej starostlivosti medzi jednotlivými zdravotnými poisťovňami a poskytovateľmi ústavnej zdravotnej starostlivosti</w:t>
            </w:r>
            <w:r>
              <w:rPr>
                <w:sz w:val="18"/>
              </w:rPr>
              <w:t>.</w:t>
            </w:r>
            <w:r w:rsidRPr="001244BE">
              <w:rPr>
                <w:sz w:val="18"/>
              </w:rPr>
              <w:t xml:space="preserve"> </w:t>
            </w:r>
            <w:r>
              <w:rPr>
                <w:sz w:val="18"/>
              </w:rPr>
              <w:t xml:space="preserve">Problematické bolo </w:t>
            </w:r>
            <w:r w:rsidRPr="001244BE">
              <w:rPr>
                <w:sz w:val="18"/>
              </w:rPr>
              <w:t>aj nedostatočné využívanie a plnenie legislatívnych kompetencií a úloh ministerstva ako implementáciou povereného správcu DRG systému vzhľadom na nefunkčnosť kontroly a vymoži</w:t>
            </w:r>
            <w:r>
              <w:rPr>
                <w:sz w:val="18"/>
              </w:rPr>
              <w:t>teľnosť dodržiavania pravidiel.</w:t>
            </w:r>
          </w:p>
        </w:tc>
      </w:tr>
    </w:tbl>
    <w:p w14:paraId="0E042477" w14:textId="2AA59AC0" w:rsidR="007F7533" w:rsidRDefault="007F7533" w:rsidP="007C571E">
      <w:pPr>
        <w:rPr>
          <w:szCs w:val="20"/>
        </w:rPr>
      </w:pPr>
      <w:r>
        <w:rPr>
          <w:szCs w:val="20"/>
        </w:rPr>
        <w:br w:type="page"/>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1244BE" w:rsidRPr="00D442FD" w14:paraId="3934B534" w14:textId="77777777" w:rsidTr="00D34201">
        <w:tc>
          <w:tcPr>
            <w:tcW w:w="9060" w:type="dxa"/>
            <w:shd w:val="clear" w:color="auto" w:fill="EBF0FB" w:themeFill="background2" w:themeFillTint="33"/>
          </w:tcPr>
          <w:p w14:paraId="65684C23" w14:textId="2F77B242" w:rsidR="001244BE" w:rsidRPr="00DA6672" w:rsidRDefault="001244BE" w:rsidP="00D34201">
            <w:pPr>
              <w:spacing w:before="120"/>
              <w:ind w:left="176" w:right="163"/>
              <w:rPr>
                <w:b/>
              </w:rPr>
            </w:pPr>
            <w:r w:rsidRPr="00DA6672">
              <w:rPr>
                <w:b/>
              </w:rPr>
              <w:lastRenderedPageBreak/>
              <w:t xml:space="preserve">BOX </w:t>
            </w:r>
            <w:r w:rsidR="009211EA">
              <w:rPr>
                <w:b/>
              </w:rPr>
              <w:t>5</w:t>
            </w:r>
            <w:r w:rsidRPr="00DA6672">
              <w:rPr>
                <w:b/>
              </w:rPr>
              <w:t xml:space="preserve">: </w:t>
            </w:r>
            <w:r w:rsidRPr="001244BE">
              <w:rPr>
                <w:b/>
              </w:rPr>
              <w:t xml:space="preserve">Využívanie systému </w:t>
            </w:r>
            <w:proofErr w:type="spellStart"/>
            <w:r w:rsidRPr="001244BE">
              <w:rPr>
                <w:b/>
              </w:rPr>
              <w:t>eHealth</w:t>
            </w:r>
            <w:proofErr w:type="spellEnd"/>
            <w:r w:rsidRPr="001244BE">
              <w:rPr>
                <w:b/>
              </w:rPr>
              <w:t>/</w:t>
            </w:r>
            <w:proofErr w:type="spellStart"/>
            <w:r w:rsidRPr="001244BE">
              <w:rPr>
                <w:b/>
              </w:rPr>
              <w:t>eZdravie</w:t>
            </w:r>
            <w:proofErr w:type="spellEnd"/>
          </w:p>
          <w:p w14:paraId="1206AF35" w14:textId="77777777" w:rsidR="00387ED9" w:rsidRPr="001244BE" w:rsidRDefault="00387ED9" w:rsidP="00387ED9">
            <w:pPr>
              <w:spacing w:before="120"/>
              <w:ind w:left="176" w:right="163"/>
              <w:rPr>
                <w:sz w:val="18"/>
              </w:rPr>
            </w:pPr>
            <w:r w:rsidRPr="001244BE">
              <w:rPr>
                <w:sz w:val="18"/>
              </w:rPr>
              <w:t xml:space="preserve">Systém </w:t>
            </w:r>
            <w:proofErr w:type="spellStart"/>
            <w:r w:rsidRPr="001244BE">
              <w:rPr>
                <w:sz w:val="18"/>
              </w:rPr>
              <w:t>eZdravie</w:t>
            </w:r>
            <w:proofErr w:type="spellEnd"/>
            <w:r w:rsidRPr="001244BE">
              <w:rPr>
                <w:sz w:val="18"/>
              </w:rPr>
              <w:t xml:space="preserve"> je centrálnym úložiskom zdravotných záznamov pacienta a je zdrojom dôležitých informácií             o pacientovom zdravotnom stave. Cieľom </w:t>
            </w:r>
            <w:proofErr w:type="spellStart"/>
            <w:r w:rsidRPr="001244BE">
              <w:rPr>
                <w:sz w:val="18"/>
              </w:rPr>
              <w:t>eZdravia</w:t>
            </w:r>
            <w:proofErr w:type="spellEnd"/>
            <w:r w:rsidRPr="001244BE">
              <w:rPr>
                <w:sz w:val="18"/>
              </w:rPr>
              <w:t xml:space="preserve"> je poskytnúť správne informácie v správny čas na správnom mieste vo všetkých etapách a procesoch starostlivosti o zdravie občanov, čo by malo prispieť k zlepšovaniu zdravotnej starostlivosti a znižovaniu nákladov.</w:t>
            </w:r>
          </w:p>
          <w:p w14:paraId="257C4106" w14:textId="329B15A1" w:rsidR="00387ED9" w:rsidRPr="001244BE" w:rsidRDefault="00387ED9" w:rsidP="00387ED9">
            <w:pPr>
              <w:spacing w:before="120"/>
              <w:ind w:left="176" w:right="163"/>
              <w:rPr>
                <w:sz w:val="18"/>
              </w:rPr>
            </w:pPr>
            <w:r w:rsidRPr="001244BE">
              <w:rPr>
                <w:sz w:val="18"/>
              </w:rPr>
              <w:t xml:space="preserve">Kontrolou bolo zistené, že problematika elektronizácie zdravotníctva nebola pokrytá aktuálnymi stratégiami, pričom posledné komplexné strategické materiály boli prijaté v roku 2008 a 2009. Funkcionalita a reálne využívanie systému v lekárskej praxi trpí obmedzeniami a je nedostatočne využívaná. Využívanie elektronickej zdravotnej knižky občanmi sa v roku 2021 pohybovalo na úrovni 0,33 %. Príčinami nedostatočnej funkčnosti a minimálneho využívania systému </w:t>
            </w:r>
            <w:proofErr w:type="spellStart"/>
            <w:r w:rsidRPr="001244BE">
              <w:rPr>
                <w:sz w:val="18"/>
              </w:rPr>
              <w:t>eHealth</w:t>
            </w:r>
            <w:proofErr w:type="spellEnd"/>
            <w:r w:rsidRPr="001244BE">
              <w:rPr>
                <w:sz w:val="18"/>
              </w:rPr>
              <w:t>/</w:t>
            </w:r>
            <w:proofErr w:type="spellStart"/>
            <w:r w:rsidRPr="001244BE">
              <w:rPr>
                <w:sz w:val="18"/>
              </w:rPr>
              <w:t>eZdravie</w:t>
            </w:r>
            <w:proofErr w:type="spellEnd"/>
            <w:r w:rsidRPr="001244BE">
              <w:rPr>
                <w:sz w:val="18"/>
              </w:rPr>
              <w:t xml:space="preserve"> boli absencia riadenia zo strany MZ SR, časté personálne zmeny vo vedení a v organizačnej štruktúre Národného centra zdravotníckych informácií (NCZI), absencia harmonogramu úloh a jeho vyhodnocovania</w:t>
            </w:r>
            <w:r w:rsidR="001C4899">
              <w:rPr>
                <w:sz w:val="18"/>
              </w:rPr>
              <w:t>,</w:t>
            </w:r>
            <w:r w:rsidRPr="001244BE">
              <w:rPr>
                <w:sz w:val="18"/>
              </w:rPr>
              <w:t xml:space="preserve"> ako aj slabá komunikácia k občanom a poskytovateľom zdravotnej starostlivosti. </w:t>
            </w:r>
          </w:p>
          <w:p w14:paraId="2AD74292" w14:textId="184F05CC" w:rsidR="00387ED9" w:rsidRPr="001244BE" w:rsidRDefault="00387ED9" w:rsidP="00387ED9">
            <w:pPr>
              <w:spacing w:before="120"/>
              <w:ind w:left="176" w:right="163"/>
              <w:rPr>
                <w:sz w:val="18"/>
              </w:rPr>
            </w:pPr>
            <w:r w:rsidRPr="001244BE">
              <w:rPr>
                <w:sz w:val="18"/>
              </w:rPr>
              <w:t xml:space="preserve">Najväčšími prekážkami priaznivého rozvoja a využívania projektu </w:t>
            </w:r>
            <w:proofErr w:type="spellStart"/>
            <w:r w:rsidRPr="001244BE">
              <w:rPr>
                <w:sz w:val="18"/>
              </w:rPr>
              <w:t>eZdravie</w:t>
            </w:r>
            <w:proofErr w:type="spellEnd"/>
            <w:r w:rsidRPr="001244BE">
              <w:rPr>
                <w:sz w:val="18"/>
              </w:rPr>
              <w:t xml:space="preserve"> boli systémové nedostatky v riadení a implementácii projektu, ktoré sa prejavovali v zlyhávajúcej komunikácii medzi prevádzkovateľom, zadávateľmi, realizátormi a distributérmi prvkov systému na strane ich tvorcov a na strane používateľov systému v lekárskej praxi a zdravotníckych zariadeniach. Prejavovalo sa to v nedostatočnej komunikácii NCZI s odbornými zložkami zabezpečujúcimi funkčnosť systému, </w:t>
            </w:r>
            <w:r w:rsidR="00CB6343">
              <w:rPr>
                <w:sz w:val="18"/>
              </w:rPr>
              <w:t xml:space="preserve">v </w:t>
            </w:r>
            <w:r w:rsidRPr="001244BE">
              <w:rPr>
                <w:sz w:val="18"/>
              </w:rPr>
              <w:t xml:space="preserve">nedostatočnom zaškoľovaní zdravotníckych pracovníkov, v ťažkopádnosti práce s produktami systému </w:t>
            </w:r>
            <w:proofErr w:type="spellStart"/>
            <w:r w:rsidRPr="001244BE">
              <w:rPr>
                <w:sz w:val="18"/>
              </w:rPr>
              <w:t>eZdravia</w:t>
            </w:r>
            <w:proofErr w:type="spellEnd"/>
            <w:r w:rsidRPr="001244BE">
              <w:rPr>
                <w:sz w:val="18"/>
              </w:rPr>
              <w:t xml:space="preserve">. Vyskytli sa aj  komplikácie prepojenia systému </w:t>
            </w:r>
            <w:proofErr w:type="spellStart"/>
            <w:r w:rsidRPr="001244BE">
              <w:rPr>
                <w:sz w:val="18"/>
              </w:rPr>
              <w:t>eZdravia</w:t>
            </w:r>
            <w:proofErr w:type="spellEnd"/>
            <w:r w:rsidRPr="001244BE">
              <w:rPr>
                <w:sz w:val="18"/>
              </w:rPr>
              <w:t xml:space="preserve"> s nemocničným informačným systémom.</w:t>
            </w:r>
          </w:p>
          <w:p w14:paraId="63BBDDB1" w14:textId="1F53C4D6" w:rsidR="001244BE" w:rsidRPr="00D442FD" w:rsidRDefault="00387ED9" w:rsidP="00387ED9">
            <w:pPr>
              <w:spacing w:before="120"/>
              <w:ind w:left="176" w:right="163"/>
              <w:rPr>
                <w:sz w:val="18"/>
              </w:rPr>
            </w:pPr>
            <w:r w:rsidRPr="001244BE">
              <w:rPr>
                <w:sz w:val="18"/>
              </w:rPr>
              <w:t xml:space="preserve">Zmysel a vysoká efektívnosť elektronizácie v zdravotníctve sa potvrdila v segmente </w:t>
            </w:r>
            <w:proofErr w:type="spellStart"/>
            <w:r w:rsidRPr="001244BE">
              <w:rPr>
                <w:sz w:val="18"/>
              </w:rPr>
              <w:t>eReceptu</w:t>
            </w:r>
            <w:proofErr w:type="spellEnd"/>
            <w:r w:rsidRPr="001244BE">
              <w:rPr>
                <w:sz w:val="18"/>
              </w:rPr>
              <w:t>, a to najmä v období obmedzeného priameho kontaktu pacienta a lekára počas pandémie ochorenia COVID-19.</w:t>
            </w:r>
          </w:p>
        </w:tc>
      </w:tr>
    </w:tbl>
    <w:p w14:paraId="4422F4A8" w14:textId="77777777" w:rsidR="00387ED9" w:rsidRDefault="00387ED9" w:rsidP="00387ED9">
      <w:pPr>
        <w:spacing w:before="120"/>
      </w:pPr>
      <w:r w:rsidRPr="00CA5757">
        <w:t>Vo</w:t>
      </w:r>
      <w:r>
        <w:t xml:space="preserve"> výdavkoch VZP by podľa návrhu RVS na roky 2023 až 2025 mali byť v roku 2023 realizované </w:t>
      </w:r>
      <w:r w:rsidRPr="008C0819">
        <w:rPr>
          <w:b/>
        </w:rPr>
        <w:t>úsporné opatrenia</w:t>
      </w:r>
      <w:r>
        <w:t xml:space="preserve"> vo výške 127 mil. eur, z čoho rozhodujúca časť (67 mil. eur, takmer 53 %) má byť realizovaná </w:t>
      </w:r>
      <w:r w:rsidRPr="00F0189A">
        <w:rPr>
          <w:b/>
        </w:rPr>
        <w:t>v liekovej politike</w:t>
      </w:r>
      <w:r>
        <w:t xml:space="preserve">. Ide o úsporu výdavkov oproti roku 2022. V porovnaní s RVS na roky 2022 až 2024 prichádza v roku 2023 k celkovému medziročnému poklesu úspor na výdavkoch z VZP o 122 mil. eur, z toho v liekovej politike o 62 mil. eur. Predpokladanou príčinou poklesu je neplnenie navrhovaných opatrení uvedených v Revízii výdavkov na zdravotníctvo II. NKÚ SR sa zameral na riziká plnenia úsporných opatrení vo vybraných oblastiach liekovej politiky v roku 2023. </w:t>
      </w:r>
      <w:r w:rsidRPr="00394660">
        <w:t xml:space="preserve">Formulácia rizík vychádza z informácií zdravotných poisťovní Dôvera, </w:t>
      </w:r>
      <w:proofErr w:type="spellStart"/>
      <w:r w:rsidRPr="00394660">
        <w:t>Union</w:t>
      </w:r>
      <w:proofErr w:type="spellEnd"/>
      <w:r w:rsidRPr="00394660">
        <w:t xml:space="preserve">, </w:t>
      </w:r>
      <w:proofErr w:type="spellStart"/>
      <w:r w:rsidRPr="00394660">
        <w:t>VšZP</w:t>
      </w:r>
      <w:proofErr w:type="spellEnd"/>
      <w:r w:rsidRPr="00394660">
        <w:t>, Súhrnnej implementačnej správy za rok 2021</w:t>
      </w:r>
      <w:r>
        <w:rPr>
          <w:rStyle w:val="Odkaznapoznmkupodiarou"/>
        </w:rPr>
        <w:footnoteReference w:id="42"/>
      </w:r>
      <w:r w:rsidRPr="00394660">
        <w:t xml:space="preserve"> a Aktualizácie revízie výdavkov na zdravotníctvo</w:t>
      </w:r>
      <w:r>
        <w:rPr>
          <w:rStyle w:val="Odkaznapoznmkupodiarou"/>
        </w:rPr>
        <w:footnoteReference w:id="43"/>
      </w:r>
      <w:r>
        <w:t xml:space="preserve"> (</w:t>
      </w:r>
      <w:r w:rsidRPr="001244BE">
        <w:t xml:space="preserve">box </w:t>
      </w:r>
      <w:r>
        <w:t xml:space="preserve">6). </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7C571E" w:rsidRPr="00D442FD" w14:paraId="3CC0175C" w14:textId="77777777" w:rsidTr="00D34201">
        <w:tc>
          <w:tcPr>
            <w:tcW w:w="9060" w:type="dxa"/>
            <w:shd w:val="clear" w:color="auto" w:fill="EBF0FB" w:themeFill="background2" w:themeFillTint="33"/>
          </w:tcPr>
          <w:p w14:paraId="6A5FAEE1" w14:textId="2F493185" w:rsidR="007C571E" w:rsidRPr="00DA6672" w:rsidRDefault="007C571E" w:rsidP="00D34201">
            <w:pPr>
              <w:spacing w:before="120"/>
              <w:ind w:left="176" w:right="163"/>
              <w:rPr>
                <w:b/>
              </w:rPr>
            </w:pPr>
            <w:r>
              <w:rPr>
                <w:b/>
              </w:rPr>
              <w:t xml:space="preserve">BOX </w:t>
            </w:r>
            <w:r w:rsidR="00E53E77">
              <w:rPr>
                <w:b/>
              </w:rPr>
              <w:t>6</w:t>
            </w:r>
            <w:r>
              <w:rPr>
                <w:b/>
              </w:rPr>
              <w:t>: Riziká</w:t>
            </w:r>
            <w:r w:rsidRPr="00DA6672">
              <w:rPr>
                <w:b/>
              </w:rPr>
              <w:t xml:space="preserve"> </w:t>
            </w:r>
            <w:r>
              <w:rPr>
                <w:b/>
              </w:rPr>
              <w:t xml:space="preserve">plnenia </w:t>
            </w:r>
            <w:r w:rsidRPr="00DA6672">
              <w:rPr>
                <w:b/>
              </w:rPr>
              <w:t>úsporných opatrení v</w:t>
            </w:r>
            <w:r>
              <w:rPr>
                <w:b/>
              </w:rPr>
              <w:t>o vybraných oblastiach</w:t>
            </w:r>
            <w:r w:rsidRPr="00DA6672">
              <w:rPr>
                <w:b/>
              </w:rPr>
              <w:t> liekovej politik</w:t>
            </w:r>
            <w:r>
              <w:rPr>
                <w:b/>
              </w:rPr>
              <w:t>y</w:t>
            </w:r>
          </w:p>
          <w:p w14:paraId="7718FF3D" w14:textId="77777777" w:rsidR="00387ED9" w:rsidRDefault="00387ED9" w:rsidP="00387ED9">
            <w:pPr>
              <w:spacing w:before="120"/>
              <w:ind w:left="176" w:right="164"/>
              <w:rPr>
                <w:sz w:val="18"/>
                <w:szCs w:val="18"/>
              </w:rPr>
            </w:pPr>
            <w:r>
              <w:rPr>
                <w:sz w:val="18"/>
                <w:szCs w:val="18"/>
              </w:rPr>
              <w:t xml:space="preserve">Na základe aktualizácie revízie výdavkov na zdravotníctvo v rámci liekovej politiky sa rozhodujúci objem úspor (60 mil. eur) navrhuje dosiahnuť v oblastiach nákladovej efektivity liekov, podpory vstupu generík a biosimilárov, liekov na výnimky a aktívneho vynucovania vyrovnávacieho rozdielu. </w:t>
            </w:r>
          </w:p>
          <w:p w14:paraId="7DB1CFF9" w14:textId="1B245DAD" w:rsidR="0001554E" w:rsidRPr="00F0189A" w:rsidRDefault="00387ED9" w:rsidP="0001554E">
            <w:pPr>
              <w:spacing w:before="120"/>
              <w:ind w:left="176" w:right="164"/>
              <w:rPr>
                <w:sz w:val="18"/>
                <w:szCs w:val="18"/>
              </w:rPr>
            </w:pPr>
            <w:r w:rsidRPr="00F0189A">
              <w:rPr>
                <w:sz w:val="18"/>
                <w:szCs w:val="18"/>
              </w:rPr>
              <w:t>Z prostriedkov VZP by mali byť uhrádzané lieky vo výške zodpovedajúcej preukázanému klinickému prínosu</w:t>
            </w:r>
            <w:r>
              <w:rPr>
                <w:sz w:val="18"/>
                <w:szCs w:val="18"/>
              </w:rPr>
              <w:t>,</w:t>
            </w:r>
            <w:r w:rsidRPr="00F0189A">
              <w:rPr>
                <w:sz w:val="18"/>
                <w:szCs w:val="18"/>
              </w:rPr>
              <w:t xml:space="preserve"> aby vynakladanie verejných zdrojov bolo </w:t>
            </w:r>
            <w:r w:rsidRPr="00DA6672">
              <w:rPr>
                <w:rFonts w:cs="Segoe UI"/>
                <w:sz w:val="18"/>
                <w:szCs w:val="18"/>
              </w:rPr>
              <w:t>efektívne</w:t>
            </w:r>
            <w:r w:rsidRPr="00F0189A">
              <w:rPr>
                <w:sz w:val="18"/>
                <w:szCs w:val="18"/>
              </w:rPr>
              <w:t xml:space="preserve"> a účelné. V návrhu </w:t>
            </w:r>
            <w:r>
              <w:rPr>
                <w:sz w:val="18"/>
                <w:szCs w:val="18"/>
              </w:rPr>
              <w:t>RVS na rok 2023</w:t>
            </w:r>
            <w:r w:rsidRPr="00F0189A">
              <w:rPr>
                <w:sz w:val="18"/>
                <w:szCs w:val="18"/>
              </w:rPr>
              <w:t xml:space="preserve"> bol</w:t>
            </w:r>
            <w:r>
              <w:rPr>
                <w:sz w:val="18"/>
                <w:szCs w:val="18"/>
              </w:rPr>
              <w:t xml:space="preserve">i potenciálne úspory na </w:t>
            </w:r>
            <w:r w:rsidRPr="00F0189A">
              <w:rPr>
                <w:sz w:val="18"/>
                <w:szCs w:val="18"/>
              </w:rPr>
              <w:t xml:space="preserve">lieky, ktoré nespĺňajú kritérium </w:t>
            </w:r>
            <w:r w:rsidRPr="00F0189A">
              <w:rPr>
                <w:b/>
                <w:sz w:val="18"/>
                <w:szCs w:val="18"/>
              </w:rPr>
              <w:t>nákladovej efektívnosti</w:t>
            </w:r>
            <w:r w:rsidRPr="00F0189A">
              <w:rPr>
                <w:sz w:val="18"/>
                <w:szCs w:val="18"/>
              </w:rPr>
              <w:t xml:space="preserve"> kvantifikovan</w:t>
            </w:r>
            <w:r>
              <w:rPr>
                <w:sz w:val="18"/>
                <w:szCs w:val="18"/>
              </w:rPr>
              <w:t>é</w:t>
            </w:r>
            <w:r w:rsidRPr="00F0189A">
              <w:rPr>
                <w:sz w:val="18"/>
                <w:szCs w:val="18"/>
              </w:rPr>
              <w:t xml:space="preserve"> sumou </w:t>
            </w:r>
            <w:r>
              <w:rPr>
                <w:sz w:val="18"/>
                <w:szCs w:val="18"/>
              </w:rPr>
              <w:t xml:space="preserve">12 mil. eur (z toho úspory v oblasti nákladovej efektivity liekov okrem </w:t>
            </w:r>
            <w:proofErr w:type="spellStart"/>
            <w:r w:rsidRPr="00394660">
              <w:rPr>
                <w:sz w:val="18"/>
                <w:szCs w:val="18"/>
              </w:rPr>
              <w:t>orphanov</w:t>
            </w:r>
            <w:proofErr w:type="spellEnd"/>
            <w:r>
              <w:rPr>
                <w:rStyle w:val="Odkaznapoznmkupodiarou"/>
                <w:sz w:val="18"/>
                <w:szCs w:val="18"/>
              </w:rPr>
              <w:footnoteReference w:id="44"/>
            </w:r>
            <w:r>
              <w:rPr>
                <w:sz w:val="18"/>
                <w:szCs w:val="18"/>
              </w:rPr>
              <w:t xml:space="preserve"> vo výške 10 mil. eur a nákladovej efektivity zaradených </w:t>
            </w:r>
            <w:proofErr w:type="spellStart"/>
            <w:r>
              <w:rPr>
                <w:sz w:val="18"/>
                <w:szCs w:val="18"/>
              </w:rPr>
              <w:t>orphanov</w:t>
            </w:r>
            <w:proofErr w:type="spellEnd"/>
            <w:r>
              <w:rPr>
                <w:sz w:val="18"/>
                <w:szCs w:val="18"/>
              </w:rPr>
              <w:t xml:space="preserve"> vo výške 2 mil. eur). Plánovaná úspora poklesla medziročne o </w:t>
            </w:r>
            <w:r w:rsidRPr="00537C34">
              <w:rPr>
                <w:sz w:val="18"/>
                <w:szCs w:val="18"/>
              </w:rPr>
              <w:t>24</w:t>
            </w:r>
            <w:r>
              <w:rPr>
                <w:color w:val="FF0000"/>
                <w:sz w:val="18"/>
                <w:szCs w:val="18"/>
              </w:rPr>
              <w:t xml:space="preserve"> </w:t>
            </w:r>
            <w:r w:rsidRPr="00BE5F7F">
              <w:rPr>
                <w:color w:val="FF0000"/>
                <w:sz w:val="18"/>
                <w:szCs w:val="18"/>
              </w:rPr>
              <w:t xml:space="preserve"> </w:t>
            </w:r>
            <w:r>
              <w:rPr>
                <w:sz w:val="18"/>
                <w:szCs w:val="18"/>
              </w:rPr>
              <w:t xml:space="preserve">mil. eur. Napriek rapídnemu medziročnému poklesu úspory </w:t>
            </w:r>
            <w:r w:rsidRPr="00F0189A">
              <w:rPr>
                <w:sz w:val="18"/>
                <w:szCs w:val="18"/>
              </w:rPr>
              <w:t>NKÚ SR upozorňuje</w:t>
            </w:r>
            <w:r>
              <w:rPr>
                <w:sz w:val="18"/>
                <w:szCs w:val="18"/>
              </w:rPr>
              <w:t xml:space="preserve"> na riziko plnenia úspory u liekov v tejto </w:t>
            </w:r>
            <w:r>
              <w:rPr>
                <w:sz w:val="18"/>
                <w:szCs w:val="18"/>
              </w:rPr>
              <w:lastRenderedPageBreak/>
              <w:t xml:space="preserve">oblasti za rok 2023. Podľa údajov zo zdravotných poisťovní (tabuľka </w:t>
            </w:r>
            <w:r w:rsidR="001C4899">
              <w:rPr>
                <w:sz w:val="18"/>
                <w:szCs w:val="18"/>
              </w:rPr>
              <w:t>13</w:t>
            </w:r>
            <w:r>
              <w:rPr>
                <w:sz w:val="18"/>
                <w:szCs w:val="18"/>
              </w:rPr>
              <w:t>) a súhrnnej implementačnej správy za rok 2021 nedošlo v roku 2021 a</w:t>
            </w:r>
            <w:r w:rsidR="001C4899">
              <w:rPr>
                <w:sz w:val="18"/>
                <w:szCs w:val="18"/>
              </w:rPr>
              <w:t>ni</w:t>
            </w:r>
            <w:r>
              <w:rPr>
                <w:sz w:val="18"/>
                <w:szCs w:val="18"/>
              </w:rPr>
              <w:t xml:space="preserve"> v 1. polroku 2022 </w:t>
            </w:r>
            <w:r w:rsidRPr="00F0189A">
              <w:rPr>
                <w:sz w:val="18"/>
                <w:szCs w:val="18"/>
              </w:rPr>
              <w:t>zo strany MZ SR</w:t>
            </w:r>
            <w:r>
              <w:rPr>
                <w:sz w:val="18"/>
                <w:szCs w:val="18"/>
              </w:rPr>
              <w:t xml:space="preserve"> </w:t>
            </w:r>
            <w:r w:rsidRPr="00F0189A">
              <w:rPr>
                <w:sz w:val="18"/>
                <w:szCs w:val="18"/>
              </w:rPr>
              <w:t>k prehodnoteniu nákladovej efektivity potenciálne nákladovo neefektívnych liekov</w:t>
            </w:r>
            <w:r>
              <w:rPr>
                <w:sz w:val="18"/>
                <w:szCs w:val="18"/>
              </w:rPr>
              <w:t xml:space="preserve">. </w:t>
            </w:r>
            <w:r w:rsidRPr="00F0189A">
              <w:rPr>
                <w:sz w:val="18"/>
                <w:szCs w:val="18"/>
              </w:rPr>
              <w:t>MZ SR nepožiadalo ani jedného z držiteľov registrácie</w:t>
            </w:r>
            <w:r>
              <w:rPr>
                <w:sz w:val="18"/>
                <w:szCs w:val="18"/>
              </w:rPr>
              <w:t xml:space="preserve"> týchto liekov</w:t>
            </w:r>
            <w:r w:rsidRPr="00F0189A">
              <w:rPr>
                <w:sz w:val="18"/>
                <w:szCs w:val="18"/>
              </w:rPr>
              <w:t xml:space="preserve"> o vypracovanie </w:t>
            </w:r>
            <w:proofErr w:type="spellStart"/>
            <w:r w:rsidRPr="00A521AD">
              <w:rPr>
                <w:sz w:val="18"/>
                <w:szCs w:val="18"/>
              </w:rPr>
              <w:t>farmako</w:t>
            </w:r>
            <w:proofErr w:type="spellEnd"/>
            <w:r w:rsidRPr="00A521AD">
              <w:rPr>
                <w:sz w:val="18"/>
                <w:szCs w:val="18"/>
              </w:rPr>
              <w:t xml:space="preserve">-ekonomického </w:t>
            </w:r>
            <w:r>
              <w:rPr>
                <w:sz w:val="18"/>
                <w:szCs w:val="18"/>
              </w:rPr>
              <w:t>rozboru</w:t>
            </w:r>
            <w:r w:rsidR="001C4899">
              <w:rPr>
                <w:sz w:val="18"/>
                <w:szCs w:val="18"/>
              </w:rPr>
              <w:t>,</w:t>
            </w:r>
            <w:r w:rsidRPr="00F0189A">
              <w:rPr>
                <w:sz w:val="18"/>
                <w:szCs w:val="18"/>
              </w:rPr>
              <w:t xml:space="preserve"> na základe ktorého by prišlo k zníženiu úhrady alebo vyradeniu lieku z kategorizácie. </w:t>
            </w:r>
            <w:r>
              <w:rPr>
                <w:sz w:val="18"/>
                <w:szCs w:val="18"/>
              </w:rPr>
              <w:t>NKÚ SR už v roku 2021 v komentári „Riziká procesu posudzovania liekov v SR</w:t>
            </w:r>
            <w:r>
              <w:rPr>
                <w:rStyle w:val="Odkaznapoznmkupodiarou"/>
                <w:sz w:val="18"/>
                <w:szCs w:val="18"/>
              </w:rPr>
              <w:footnoteReference w:id="45"/>
            </w:r>
            <w:r>
              <w:rPr>
                <w:sz w:val="18"/>
                <w:szCs w:val="18"/>
              </w:rPr>
              <w:t xml:space="preserve">“ uviedol, že v procese posudzovania liekov </w:t>
            </w:r>
            <w:r w:rsidR="001C4899">
              <w:rPr>
                <w:sz w:val="18"/>
                <w:szCs w:val="18"/>
              </w:rPr>
              <w:t>za roky</w:t>
            </w:r>
            <w:r>
              <w:rPr>
                <w:sz w:val="18"/>
                <w:szCs w:val="18"/>
              </w:rPr>
              <w:t xml:space="preserve"> 2017 až 2020 existovali významné riziká a tento proces nebol optimálne nastavený</w:t>
            </w:r>
            <w:r w:rsidR="001C4899">
              <w:rPr>
                <w:sz w:val="18"/>
                <w:szCs w:val="18"/>
              </w:rPr>
              <w:t>.</w:t>
            </w:r>
            <w:r w:rsidR="0001554E">
              <w:rPr>
                <w:sz w:val="18"/>
                <w:szCs w:val="18"/>
              </w:rPr>
              <w:t xml:space="preserve"> Aj keď od 1. 1. 2022 vznikol Národný inštitút pre hodnotenie zdravotníckych technológií, ktorý je financovaný z ročného prerozdeľovania poistného, pretrváva riziko neefektívneho vynakladania finančných prostriedkov z </w:t>
            </w:r>
            <w:r w:rsidR="00011639">
              <w:rPr>
                <w:sz w:val="18"/>
                <w:szCs w:val="18"/>
              </w:rPr>
              <w:t>VZP</w:t>
            </w:r>
            <w:r w:rsidR="0001554E">
              <w:rPr>
                <w:sz w:val="18"/>
                <w:szCs w:val="18"/>
              </w:rPr>
              <w:t>.</w:t>
            </w:r>
          </w:p>
          <w:p w14:paraId="726F9764" w14:textId="640C50AB" w:rsidR="00387ED9" w:rsidRDefault="00387ED9" w:rsidP="00387ED9">
            <w:pPr>
              <w:spacing w:before="120"/>
              <w:ind w:left="176" w:right="163"/>
              <w:rPr>
                <w:sz w:val="18"/>
                <w:szCs w:val="18"/>
              </w:rPr>
            </w:pPr>
            <w:r w:rsidRPr="00F0189A">
              <w:rPr>
                <w:sz w:val="18"/>
                <w:szCs w:val="18"/>
              </w:rPr>
              <w:t xml:space="preserve">Prehodnotenie úhrad </w:t>
            </w:r>
            <w:r w:rsidRPr="00F0189A">
              <w:rPr>
                <w:b/>
                <w:sz w:val="18"/>
                <w:szCs w:val="18"/>
              </w:rPr>
              <w:t xml:space="preserve">liekov na výnimky </w:t>
            </w:r>
            <w:r w:rsidRPr="00F0189A">
              <w:rPr>
                <w:sz w:val="18"/>
                <w:szCs w:val="18"/>
              </w:rPr>
              <w:t>(hradené z VZP na základe § 88 zákona č. 363/2011 Z. z.) by malo priniesť úsporu verejných fin</w:t>
            </w:r>
            <w:r>
              <w:rPr>
                <w:sz w:val="18"/>
                <w:szCs w:val="18"/>
              </w:rPr>
              <w:t>ancií kvantifikovanú na rok 2023</w:t>
            </w:r>
            <w:r w:rsidRPr="00F0189A">
              <w:rPr>
                <w:sz w:val="18"/>
                <w:szCs w:val="18"/>
              </w:rPr>
              <w:t xml:space="preserve"> vo výške </w:t>
            </w:r>
            <w:r>
              <w:rPr>
                <w:sz w:val="18"/>
                <w:szCs w:val="18"/>
              </w:rPr>
              <w:t>14</w:t>
            </w:r>
            <w:r w:rsidRPr="00F0189A">
              <w:rPr>
                <w:sz w:val="18"/>
                <w:szCs w:val="18"/>
              </w:rPr>
              <w:t xml:space="preserve"> mil. eur.</w:t>
            </w:r>
            <w:r>
              <w:rPr>
                <w:sz w:val="18"/>
                <w:szCs w:val="18"/>
              </w:rPr>
              <w:t xml:space="preserve"> Napriek medziročnému poklesu úspory o 2 mil. eur </w:t>
            </w:r>
            <w:r w:rsidRPr="00F0189A">
              <w:rPr>
                <w:sz w:val="18"/>
                <w:szCs w:val="18"/>
              </w:rPr>
              <w:t xml:space="preserve">NKÚ SR je skeptický </w:t>
            </w:r>
            <w:r w:rsidRPr="002B27DA">
              <w:rPr>
                <w:sz w:val="18"/>
                <w:szCs w:val="18"/>
              </w:rPr>
              <w:t>k</w:t>
            </w:r>
            <w:r>
              <w:rPr>
                <w:sz w:val="18"/>
                <w:szCs w:val="18"/>
              </w:rPr>
              <w:t> </w:t>
            </w:r>
            <w:r w:rsidRPr="002B27DA">
              <w:rPr>
                <w:sz w:val="18"/>
                <w:szCs w:val="18"/>
              </w:rPr>
              <w:t>dosiahnutiu</w:t>
            </w:r>
            <w:r>
              <w:rPr>
                <w:sz w:val="18"/>
                <w:szCs w:val="18"/>
              </w:rPr>
              <w:t xml:space="preserve"> uvedenej </w:t>
            </w:r>
            <w:r w:rsidRPr="002B27DA">
              <w:rPr>
                <w:sz w:val="18"/>
                <w:szCs w:val="18"/>
              </w:rPr>
              <w:t xml:space="preserve">úspory v roku 2023, pretože podľa Súhrnnej implementačnej správy za rok 2021 sa úhrady liekov na výnimky medziročne zvýšili v roku 2020 o 3,7 mil. eur, v roku 2021 o 18,4 mil. eur a podľa údajov zdravotných poisťovní za 1. polrok 2022 medziročne o 11,9 mil. eur. </w:t>
            </w:r>
            <w:r>
              <w:rPr>
                <w:sz w:val="18"/>
                <w:szCs w:val="18"/>
              </w:rPr>
              <w:t>Od 1.</w:t>
            </w:r>
            <w:r w:rsidR="006718AC">
              <w:rPr>
                <w:sz w:val="18"/>
                <w:szCs w:val="18"/>
              </w:rPr>
              <w:t xml:space="preserve"> </w:t>
            </w:r>
            <w:r>
              <w:rPr>
                <w:sz w:val="18"/>
                <w:szCs w:val="18"/>
              </w:rPr>
              <w:t>8.</w:t>
            </w:r>
            <w:r w:rsidR="006718AC">
              <w:rPr>
                <w:sz w:val="18"/>
                <w:szCs w:val="18"/>
              </w:rPr>
              <w:t xml:space="preserve"> </w:t>
            </w:r>
            <w:r>
              <w:rPr>
                <w:sz w:val="18"/>
                <w:szCs w:val="18"/>
              </w:rPr>
              <w:t>2022 nadobudla platnosť novela zákona č. 363/2011 Z. z., na základe ktorej MZ SR navrhlo vyriešiť problematiku úhrad liekov na výnimky uzatváraním zmlúv s neverejnými údajmi o úhrade liekov z VZP priamo medzi MZ SR a vybranými držiteľmi registrácie liekov. Avšak zdravotné poisťovne vetovali hneď prvé štyri takéto zmluvy v súlade v platnou legislatívou, a preto navrhnutý proces uzatvárania</w:t>
            </w:r>
            <w:r w:rsidRPr="004E517D">
              <w:rPr>
                <w:color w:val="FF0000"/>
                <w:sz w:val="18"/>
                <w:szCs w:val="18"/>
              </w:rPr>
              <w:t xml:space="preserve"> </w:t>
            </w:r>
            <w:r>
              <w:rPr>
                <w:sz w:val="18"/>
                <w:szCs w:val="18"/>
              </w:rPr>
              <w:t xml:space="preserve">zmlúv predstavuje významné riziko dosiahnutia navrhovanej úspory z VZP. </w:t>
            </w:r>
          </w:p>
          <w:p w14:paraId="3E0FDEF3" w14:textId="34EB5D61" w:rsidR="00387ED9" w:rsidRPr="00050B84" w:rsidRDefault="00387ED9" w:rsidP="00387ED9">
            <w:pPr>
              <w:spacing w:before="120"/>
              <w:ind w:left="176" w:right="163"/>
              <w:rPr>
                <w:sz w:val="18"/>
                <w:szCs w:val="18"/>
              </w:rPr>
            </w:pPr>
            <w:r>
              <w:rPr>
                <w:sz w:val="18"/>
                <w:szCs w:val="18"/>
              </w:rPr>
              <w:t>Uplatňovanie tzv.</w:t>
            </w:r>
            <w:r w:rsidRPr="00F0189A">
              <w:rPr>
                <w:sz w:val="18"/>
                <w:szCs w:val="18"/>
              </w:rPr>
              <w:t xml:space="preserve"> </w:t>
            </w:r>
            <w:r w:rsidRPr="00F0189A">
              <w:rPr>
                <w:b/>
                <w:sz w:val="18"/>
                <w:szCs w:val="18"/>
              </w:rPr>
              <w:t>vyrovnávacieho rozdielu</w:t>
            </w:r>
            <w:r w:rsidRPr="006718AC">
              <w:rPr>
                <w:rStyle w:val="Odkaznapoznmkupodiarou"/>
                <w:sz w:val="18"/>
                <w:szCs w:val="18"/>
              </w:rPr>
              <w:footnoteReference w:id="46"/>
            </w:r>
            <w:r w:rsidRPr="00F0189A">
              <w:rPr>
                <w:sz w:val="18"/>
                <w:szCs w:val="18"/>
              </w:rPr>
              <w:t xml:space="preserve"> </w:t>
            </w:r>
            <w:r>
              <w:rPr>
                <w:sz w:val="18"/>
                <w:szCs w:val="18"/>
              </w:rPr>
              <w:t>by malo v roku 2023</w:t>
            </w:r>
            <w:r w:rsidRPr="00F0189A">
              <w:rPr>
                <w:sz w:val="18"/>
                <w:szCs w:val="18"/>
              </w:rPr>
              <w:t xml:space="preserve"> </w:t>
            </w:r>
            <w:r>
              <w:rPr>
                <w:sz w:val="18"/>
                <w:szCs w:val="18"/>
              </w:rPr>
              <w:t>priniesť úsporu</w:t>
            </w:r>
            <w:r w:rsidRPr="00F0189A">
              <w:rPr>
                <w:sz w:val="18"/>
                <w:szCs w:val="18"/>
              </w:rPr>
              <w:t xml:space="preserve"> </w:t>
            </w:r>
            <w:r>
              <w:rPr>
                <w:sz w:val="18"/>
                <w:szCs w:val="18"/>
              </w:rPr>
              <w:t>11</w:t>
            </w:r>
            <w:r w:rsidRPr="00007669">
              <w:rPr>
                <w:color w:val="FF0000"/>
                <w:sz w:val="18"/>
                <w:szCs w:val="18"/>
              </w:rPr>
              <w:t xml:space="preserve"> </w:t>
            </w:r>
            <w:r>
              <w:rPr>
                <w:sz w:val="18"/>
                <w:szCs w:val="18"/>
              </w:rPr>
              <w:t xml:space="preserve">mil. eur, ktorá sa medziročne zvýšila o 4 mil. eur. Podľa </w:t>
            </w:r>
            <w:r w:rsidRPr="00F0189A">
              <w:rPr>
                <w:sz w:val="18"/>
                <w:szCs w:val="18"/>
              </w:rPr>
              <w:t>informácií</w:t>
            </w:r>
            <w:r>
              <w:rPr>
                <w:sz w:val="18"/>
                <w:szCs w:val="18"/>
              </w:rPr>
              <w:t xml:space="preserve"> zo zdravotných poisťovní MZ SR v roku 2021 a v 1. polroku 2022</w:t>
            </w:r>
            <w:r>
              <w:rPr>
                <w:color w:val="FF0000"/>
                <w:sz w:val="18"/>
                <w:szCs w:val="18"/>
              </w:rPr>
              <w:t xml:space="preserve"> </w:t>
            </w:r>
            <w:r w:rsidRPr="00F0189A">
              <w:rPr>
                <w:sz w:val="18"/>
                <w:szCs w:val="18"/>
              </w:rPr>
              <w:t>nevypísalo konanie vo veci vrátenia vyrovnávacieho rozdielu na žiad</w:t>
            </w:r>
            <w:r w:rsidR="006718AC">
              <w:rPr>
                <w:sz w:val="18"/>
                <w:szCs w:val="18"/>
              </w:rPr>
              <w:t>e</w:t>
            </w:r>
            <w:r w:rsidRPr="00F0189A">
              <w:rPr>
                <w:sz w:val="18"/>
                <w:szCs w:val="18"/>
              </w:rPr>
              <w:t>n z podmienene kategorizovaných l</w:t>
            </w:r>
            <w:r>
              <w:rPr>
                <w:sz w:val="18"/>
                <w:szCs w:val="18"/>
              </w:rPr>
              <w:t>iekov. MZ SR ani nevyhodnotilo</w:t>
            </w:r>
            <w:r w:rsidR="006718AC">
              <w:rPr>
                <w:sz w:val="18"/>
                <w:szCs w:val="18"/>
              </w:rPr>
              <w:t>,</w:t>
            </w:r>
            <w:r>
              <w:rPr>
                <w:sz w:val="18"/>
                <w:szCs w:val="18"/>
              </w:rPr>
              <w:t xml:space="preserve"> u ktorých z </w:t>
            </w:r>
            <w:r w:rsidRPr="00F0189A">
              <w:rPr>
                <w:sz w:val="18"/>
                <w:szCs w:val="18"/>
              </w:rPr>
              <w:t>podmienene kategorizovaných liekov došlo k prekročeniu výdavkov z VZP oproti stanovenej maximálnej výške úhrady.</w:t>
            </w:r>
            <w:r>
              <w:rPr>
                <w:sz w:val="18"/>
                <w:szCs w:val="18"/>
              </w:rPr>
              <w:t xml:space="preserve"> Riziko plnenia úspory v roku 2023 spočíva </w:t>
            </w:r>
            <w:r w:rsidRPr="0076449C">
              <w:rPr>
                <w:b/>
                <w:sz w:val="18"/>
                <w:szCs w:val="18"/>
              </w:rPr>
              <w:t>v dlhodobej a nezákonnej nečinnosti MZ SR</w:t>
            </w:r>
            <w:r>
              <w:rPr>
                <w:sz w:val="18"/>
                <w:szCs w:val="18"/>
              </w:rPr>
              <w:t xml:space="preserve"> pri plnení si povinnosti rozhodovať o vyrovnávacom rozdiele</w:t>
            </w:r>
            <w:r w:rsidR="006718AC">
              <w:rPr>
                <w:sz w:val="18"/>
                <w:szCs w:val="18"/>
              </w:rPr>
              <w:t xml:space="preserve"> podľa zákona č. 363/2011 Z. z.</w:t>
            </w:r>
          </w:p>
          <w:p w14:paraId="01E8E16E" w14:textId="57822A20" w:rsidR="00387ED9" w:rsidRDefault="00387ED9" w:rsidP="00387ED9">
            <w:pPr>
              <w:spacing w:before="120"/>
              <w:ind w:left="176" w:right="163"/>
              <w:rPr>
                <w:sz w:val="18"/>
                <w:szCs w:val="18"/>
              </w:rPr>
            </w:pPr>
            <w:r w:rsidRPr="00F0189A">
              <w:rPr>
                <w:sz w:val="18"/>
                <w:szCs w:val="18"/>
              </w:rPr>
              <w:t>Úspora vo v</w:t>
            </w:r>
            <w:r>
              <w:rPr>
                <w:sz w:val="18"/>
                <w:szCs w:val="18"/>
              </w:rPr>
              <w:t>ýške 23 mil. eur bola na rok 2023</w:t>
            </w:r>
            <w:r w:rsidRPr="00F0189A">
              <w:rPr>
                <w:sz w:val="18"/>
                <w:szCs w:val="18"/>
              </w:rPr>
              <w:t xml:space="preserve"> navrhnutá v oblasti podpory vstupu </w:t>
            </w:r>
            <w:r w:rsidRPr="00F0189A">
              <w:rPr>
                <w:b/>
                <w:sz w:val="18"/>
                <w:szCs w:val="18"/>
              </w:rPr>
              <w:t>generických liekov a biologicky podobných liekov (biosimilárov</w:t>
            </w:r>
            <w:r w:rsidRPr="006718AC">
              <w:rPr>
                <w:rStyle w:val="Odkaznapoznmkupodiarou"/>
                <w:sz w:val="18"/>
                <w:szCs w:val="18"/>
              </w:rPr>
              <w:footnoteReference w:id="47"/>
            </w:r>
            <w:r w:rsidRPr="00F0189A">
              <w:rPr>
                <w:b/>
                <w:sz w:val="18"/>
                <w:szCs w:val="18"/>
              </w:rPr>
              <w:t>)</w:t>
            </w:r>
            <w:r>
              <w:rPr>
                <w:sz w:val="18"/>
                <w:szCs w:val="18"/>
              </w:rPr>
              <w:t xml:space="preserve"> do kategorizácie. V porovnaní s rokom 2022 sa medziročne zvýšila o 20 mil. eur. P</w:t>
            </w:r>
            <w:r w:rsidRPr="00F0189A">
              <w:rPr>
                <w:sz w:val="18"/>
                <w:szCs w:val="18"/>
              </w:rPr>
              <w:t>odľa údajov</w:t>
            </w:r>
            <w:r>
              <w:rPr>
                <w:sz w:val="18"/>
                <w:szCs w:val="18"/>
              </w:rPr>
              <w:t xml:space="preserve"> zo zdravotných poisťovní boli zo strany MZ SR v 1. polroku 2022</w:t>
            </w:r>
            <w:r w:rsidRPr="00F0189A">
              <w:rPr>
                <w:sz w:val="18"/>
                <w:szCs w:val="18"/>
              </w:rPr>
              <w:t xml:space="preserve"> zaznamenané</w:t>
            </w:r>
            <w:r>
              <w:rPr>
                <w:sz w:val="18"/>
                <w:szCs w:val="18"/>
              </w:rPr>
              <w:t xml:space="preserve"> minimálne</w:t>
            </w:r>
            <w:r w:rsidRPr="00F0189A">
              <w:rPr>
                <w:sz w:val="18"/>
                <w:szCs w:val="18"/>
              </w:rPr>
              <w:t xml:space="preserve"> podporné opatrenia</w:t>
            </w:r>
            <w:r>
              <w:rPr>
                <w:sz w:val="18"/>
                <w:szCs w:val="18"/>
              </w:rPr>
              <w:t xml:space="preserve"> vedúce k úspore výdavkov z VZP. Dosiahnutá výška úspory je nepostačujúca vzhľadom na plnenie výšky úspory uvedenej v návrhu RVS na rok 2022.</w:t>
            </w:r>
            <w:r w:rsidRPr="00F0189A">
              <w:rPr>
                <w:sz w:val="18"/>
                <w:szCs w:val="18"/>
              </w:rPr>
              <w:t xml:space="preserve"> Legislatíva súvisiaca so vstupom generík a biosimilárov sa</w:t>
            </w:r>
            <w:r>
              <w:rPr>
                <w:sz w:val="18"/>
                <w:szCs w:val="18"/>
              </w:rPr>
              <w:t xml:space="preserve"> síce</w:t>
            </w:r>
            <w:r w:rsidRPr="00F0189A">
              <w:rPr>
                <w:sz w:val="18"/>
                <w:szCs w:val="18"/>
              </w:rPr>
              <w:t xml:space="preserve"> </w:t>
            </w:r>
            <w:r>
              <w:rPr>
                <w:sz w:val="18"/>
                <w:szCs w:val="18"/>
              </w:rPr>
              <w:t>upravila s účinnosťou od 1. 8. 2022, avšak neboli vyriešené ďalšie problémy ovplyvňujúce vstup tejto skupiny liekov do systému VZP. Z uvedeného dôvodu považujeme plnenie navrhnutej úspory za rizikové v roku 2023.</w:t>
            </w:r>
          </w:p>
          <w:p w14:paraId="5E1CE192" w14:textId="34195884" w:rsidR="00387ED9" w:rsidRPr="00F0189A" w:rsidRDefault="00387ED9" w:rsidP="00387ED9">
            <w:pPr>
              <w:pStyle w:val="Popis"/>
              <w:keepNext/>
              <w:spacing w:before="240"/>
              <w:rPr>
                <w:sz w:val="18"/>
              </w:rPr>
            </w:pPr>
            <w:r>
              <w:rPr>
                <w:sz w:val="18"/>
              </w:rPr>
              <w:t>Tabuľka 1</w:t>
            </w:r>
            <w:r w:rsidR="001C4899">
              <w:rPr>
                <w:sz w:val="18"/>
              </w:rPr>
              <w:t>3</w:t>
            </w:r>
            <w:r>
              <w:rPr>
                <w:sz w:val="18"/>
              </w:rPr>
              <w:t>: Úspora finančných prostriedkov</w:t>
            </w:r>
            <w:r w:rsidRPr="00F0189A">
              <w:rPr>
                <w:sz w:val="18"/>
              </w:rPr>
              <w:t xml:space="preserve"> z VZP vo vybraných oblastiach liekovej politiky (v tis. eur)</w:t>
            </w:r>
          </w:p>
          <w:tbl>
            <w:tblPr>
              <w:tblW w:w="5000" w:type="pct"/>
              <w:tblCellMar>
                <w:left w:w="70" w:type="dxa"/>
                <w:right w:w="70" w:type="dxa"/>
              </w:tblCellMar>
              <w:tblLook w:val="04A0" w:firstRow="1" w:lastRow="0" w:firstColumn="1" w:lastColumn="0" w:noHBand="0" w:noVBand="1"/>
            </w:tblPr>
            <w:tblGrid>
              <w:gridCol w:w="4168"/>
              <w:gridCol w:w="1056"/>
              <w:gridCol w:w="1054"/>
              <w:gridCol w:w="856"/>
              <w:gridCol w:w="856"/>
              <w:gridCol w:w="854"/>
            </w:tblGrid>
            <w:tr w:rsidR="00387ED9" w:rsidRPr="00F55F91" w14:paraId="76076D05" w14:textId="77777777" w:rsidTr="005B6D7F">
              <w:trPr>
                <w:trHeight w:val="480"/>
              </w:trPr>
              <w:tc>
                <w:tcPr>
                  <w:tcW w:w="2356" w:type="pct"/>
                  <w:tcBorders>
                    <w:top w:val="nil"/>
                    <w:left w:val="nil"/>
                    <w:bottom w:val="nil"/>
                    <w:right w:val="nil"/>
                  </w:tcBorders>
                  <w:shd w:val="clear" w:color="000000" w:fill="314364"/>
                  <w:vAlign w:val="center"/>
                  <w:hideMark/>
                </w:tcPr>
                <w:p w14:paraId="1506891E" w14:textId="77777777" w:rsidR="00387ED9" w:rsidRPr="00F55F91" w:rsidRDefault="00387ED9" w:rsidP="00387ED9">
                  <w:pPr>
                    <w:spacing w:after="0" w:line="240" w:lineRule="auto"/>
                    <w:jc w:val="center"/>
                    <w:rPr>
                      <w:rFonts w:eastAsia="Times New Roman" w:cs="Segoe UI"/>
                      <w:b/>
                      <w:bCs/>
                      <w:color w:val="FFFFFF"/>
                      <w:sz w:val="18"/>
                      <w:szCs w:val="18"/>
                      <w:lang w:eastAsia="sk-SK"/>
                    </w:rPr>
                  </w:pPr>
                  <w:r w:rsidRPr="00F55F91">
                    <w:rPr>
                      <w:rFonts w:eastAsia="Times New Roman" w:cs="Segoe UI"/>
                      <w:b/>
                      <w:bCs/>
                      <w:color w:val="FFFFFF"/>
                      <w:sz w:val="18"/>
                      <w:szCs w:val="18"/>
                      <w:lang w:eastAsia="sk-SK"/>
                    </w:rPr>
                    <w:t>Ukazovateľ</w:t>
                  </w:r>
                </w:p>
              </w:tc>
              <w:tc>
                <w:tcPr>
                  <w:tcW w:w="597" w:type="pct"/>
                  <w:tcBorders>
                    <w:top w:val="nil"/>
                    <w:left w:val="nil"/>
                    <w:bottom w:val="nil"/>
                    <w:right w:val="nil"/>
                  </w:tcBorders>
                  <w:shd w:val="clear" w:color="000000" w:fill="314364"/>
                  <w:vAlign w:val="center"/>
                  <w:hideMark/>
                </w:tcPr>
                <w:p w14:paraId="36C6FDAB" w14:textId="77777777" w:rsidR="00387ED9" w:rsidRPr="00F55F91" w:rsidRDefault="00387ED9" w:rsidP="00387ED9">
                  <w:pPr>
                    <w:spacing w:after="0" w:line="240" w:lineRule="auto"/>
                    <w:jc w:val="center"/>
                    <w:rPr>
                      <w:rFonts w:eastAsia="Times New Roman" w:cs="Segoe UI"/>
                      <w:b/>
                      <w:bCs/>
                      <w:color w:val="FFFFFF"/>
                      <w:sz w:val="18"/>
                      <w:szCs w:val="18"/>
                      <w:lang w:eastAsia="sk-SK"/>
                    </w:rPr>
                  </w:pPr>
                  <w:r w:rsidRPr="00F55F91">
                    <w:rPr>
                      <w:rFonts w:eastAsia="Times New Roman" w:cs="Segoe UI"/>
                      <w:b/>
                      <w:bCs/>
                      <w:color w:val="FFFFFF"/>
                      <w:sz w:val="18"/>
                      <w:szCs w:val="18"/>
                      <w:lang w:eastAsia="sk-SK"/>
                    </w:rPr>
                    <w:t>1-6 2021 S</w:t>
                  </w:r>
                </w:p>
              </w:tc>
              <w:tc>
                <w:tcPr>
                  <w:tcW w:w="596" w:type="pct"/>
                  <w:tcBorders>
                    <w:top w:val="nil"/>
                    <w:left w:val="nil"/>
                    <w:bottom w:val="nil"/>
                    <w:right w:val="nil"/>
                  </w:tcBorders>
                  <w:shd w:val="clear" w:color="000000" w:fill="314364"/>
                  <w:vAlign w:val="center"/>
                  <w:hideMark/>
                </w:tcPr>
                <w:p w14:paraId="0AFE64B0" w14:textId="77777777" w:rsidR="00387ED9" w:rsidRPr="00F55F91" w:rsidRDefault="00387ED9" w:rsidP="00387ED9">
                  <w:pPr>
                    <w:spacing w:after="0" w:line="240" w:lineRule="auto"/>
                    <w:jc w:val="center"/>
                    <w:rPr>
                      <w:rFonts w:eastAsia="Times New Roman" w:cs="Segoe UI"/>
                      <w:b/>
                      <w:bCs/>
                      <w:color w:val="FFFFFF"/>
                      <w:sz w:val="18"/>
                      <w:szCs w:val="18"/>
                      <w:lang w:eastAsia="sk-SK"/>
                    </w:rPr>
                  </w:pPr>
                  <w:r w:rsidRPr="00F55F91">
                    <w:rPr>
                      <w:rFonts w:eastAsia="Times New Roman" w:cs="Segoe UI"/>
                      <w:b/>
                      <w:bCs/>
                      <w:color w:val="FFFFFF"/>
                      <w:sz w:val="18"/>
                      <w:szCs w:val="18"/>
                      <w:lang w:eastAsia="sk-SK"/>
                    </w:rPr>
                    <w:t>1-6 2022 S</w:t>
                  </w:r>
                </w:p>
              </w:tc>
              <w:tc>
                <w:tcPr>
                  <w:tcW w:w="484" w:type="pct"/>
                  <w:tcBorders>
                    <w:top w:val="nil"/>
                    <w:left w:val="nil"/>
                    <w:bottom w:val="nil"/>
                    <w:right w:val="nil"/>
                  </w:tcBorders>
                  <w:shd w:val="clear" w:color="000000" w:fill="314364"/>
                  <w:vAlign w:val="center"/>
                  <w:hideMark/>
                </w:tcPr>
                <w:p w14:paraId="5C696610" w14:textId="77777777" w:rsidR="00387ED9" w:rsidRPr="00F55F91" w:rsidRDefault="00387ED9" w:rsidP="00387ED9">
                  <w:pPr>
                    <w:spacing w:after="0" w:line="240" w:lineRule="auto"/>
                    <w:jc w:val="center"/>
                    <w:rPr>
                      <w:rFonts w:eastAsia="Times New Roman" w:cs="Segoe UI"/>
                      <w:b/>
                      <w:bCs/>
                      <w:color w:val="FFFFFF"/>
                      <w:sz w:val="18"/>
                      <w:szCs w:val="18"/>
                      <w:lang w:eastAsia="sk-SK"/>
                    </w:rPr>
                  </w:pPr>
                  <w:r w:rsidRPr="00F55F91">
                    <w:rPr>
                      <w:rFonts w:eastAsia="Times New Roman" w:cs="Segoe UI"/>
                      <w:b/>
                      <w:bCs/>
                      <w:color w:val="FFFFFF"/>
                      <w:sz w:val="18"/>
                      <w:szCs w:val="18"/>
                      <w:lang w:eastAsia="sk-SK"/>
                    </w:rPr>
                    <w:t>2022 Ú*</w:t>
                  </w:r>
                </w:p>
              </w:tc>
              <w:tc>
                <w:tcPr>
                  <w:tcW w:w="484" w:type="pct"/>
                  <w:tcBorders>
                    <w:top w:val="nil"/>
                    <w:left w:val="nil"/>
                    <w:bottom w:val="nil"/>
                    <w:right w:val="nil"/>
                  </w:tcBorders>
                  <w:shd w:val="clear" w:color="000000" w:fill="314364"/>
                  <w:vAlign w:val="center"/>
                  <w:hideMark/>
                </w:tcPr>
                <w:p w14:paraId="527D6182" w14:textId="77777777" w:rsidR="00387ED9" w:rsidRPr="00F55F91" w:rsidRDefault="00387ED9" w:rsidP="00387ED9">
                  <w:pPr>
                    <w:spacing w:after="0" w:line="240" w:lineRule="auto"/>
                    <w:rPr>
                      <w:rFonts w:eastAsia="Times New Roman" w:cs="Segoe UI"/>
                      <w:b/>
                      <w:bCs/>
                      <w:color w:val="FFFFFF"/>
                      <w:sz w:val="18"/>
                      <w:szCs w:val="18"/>
                      <w:lang w:eastAsia="sk-SK"/>
                    </w:rPr>
                  </w:pPr>
                  <w:r>
                    <w:rPr>
                      <w:rFonts w:eastAsia="Times New Roman" w:cs="Segoe UI"/>
                      <w:b/>
                      <w:bCs/>
                      <w:color w:val="FFFFFF"/>
                      <w:sz w:val="18"/>
                      <w:szCs w:val="18"/>
                      <w:lang w:eastAsia="sk-SK"/>
                    </w:rPr>
                    <w:t>2023</w:t>
                  </w:r>
                  <w:r w:rsidRPr="00F55F91">
                    <w:rPr>
                      <w:rFonts w:eastAsia="Times New Roman" w:cs="Segoe UI"/>
                      <w:b/>
                      <w:bCs/>
                      <w:color w:val="FFFFFF"/>
                      <w:sz w:val="18"/>
                      <w:szCs w:val="18"/>
                      <w:lang w:eastAsia="sk-SK"/>
                    </w:rPr>
                    <w:t>Ú**</w:t>
                  </w:r>
                </w:p>
              </w:tc>
              <w:tc>
                <w:tcPr>
                  <w:tcW w:w="483" w:type="pct"/>
                  <w:tcBorders>
                    <w:top w:val="nil"/>
                    <w:left w:val="nil"/>
                    <w:bottom w:val="nil"/>
                    <w:right w:val="nil"/>
                  </w:tcBorders>
                  <w:shd w:val="clear" w:color="000000" w:fill="314364"/>
                  <w:vAlign w:val="center"/>
                  <w:hideMark/>
                </w:tcPr>
                <w:p w14:paraId="2F128F12" w14:textId="77777777" w:rsidR="00387ED9" w:rsidRPr="00F55F91" w:rsidRDefault="00387ED9" w:rsidP="00387ED9">
                  <w:pPr>
                    <w:spacing w:after="0" w:line="240" w:lineRule="auto"/>
                    <w:jc w:val="center"/>
                    <w:rPr>
                      <w:rFonts w:eastAsia="Times New Roman" w:cs="Segoe UI"/>
                      <w:b/>
                      <w:bCs/>
                      <w:color w:val="FFFFFF"/>
                      <w:sz w:val="18"/>
                      <w:szCs w:val="18"/>
                      <w:lang w:eastAsia="sk-SK"/>
                    </w:rPr>
                  </w:pPr>
                  <w:r w:rsidRPr="00F55F91">
                    <w:rPr>
                      <w:rFonts w:eastAsia="Times New Roman" w:cs="Segoe UI"/>
                      <w:b/>
                      <w:bCs/>
                      <w:color w:val="FFFFFF"/>
                      <w:sz w:val="18"/>
                      <w:szCs w:val="18"/>
                      <w:lang w:eastAsia="sk-SK"/>
                    </w:rPr>
                    <w:t>Rozdiel          Ú 23-22</w:t>
                  </w:r>
                </w:p>
              </w:tc>
            </w:tr>
            <w:tr w:rsidR="00387ED9" w:rsidRPr="00F55F91" w14:paraId="04C2541D" w14:textId="77777777" w:rsidTr="005B6D7F">
              <w:trPr>
                <w:trHeight w:val="750"/>
              </w:trPr>
              <w:tc>
                <w:tcPr>
                  <w:tcW w:w="2356" w:type="pct"/>
                  <w:tcBorders>
                    <w:top w:val="nil"/>
                    <w:left w:val="nil"/>
                    <w:bottom w:val="nil"/>
                    <w:right w:val="nil"/>
                  </w:tcBorders>
                  <w:shd w:val="clear" w:color="auto" w:fill="auto"/>
                  <w:vAlign w:val="center"/>
                  <w:hideMark/>
                </w:tcPr>
                <w:p w14:paraId="15EE3D99" w14:textId="1645109B" w:rsidR="00387ED9" w:rsidRPr="00F55F91" w:rsidRDefault="00387ED9" w:rsidP="001C4899">
                  <w:pPr>
                    <w:spacing w:after="0" w:line="240" w:lineRule="auto"/>
                    <w:jc w:val="left"/>
                    <w:rPr>
                      <w:rFonts w:eastAsia="Times New Roman" w:cs="Segoe UI"/>
                      <w:color w:val="000000"/>
                      <w:sz w:val="18"/>
                      <w:szCs w:val="18"/>
                      <w:lang w:eastAsia="sk-SK"/>
                    </w:rPr>
                  </w:pPr>
                  <w:r w:rsidRPr="00F55F91">
                    <w:rPr>
                      <w:rFonts w:eastAsia="Times New Roman" w:cs="Segoe UI"/>
                      <w:color w:val="000000"/>
                      <w:sz w:val="18"/>
                      <w:szCs w:val="18"/>
                      <w:lang w:eastAsia="sk-SK"/>
                    </w:rPr>
                    <w:t>Úspora prostredníctvom prehodnotenia nákladovej efektivity liekov zo strany MZ SR u zaradených liekov v kategorizačnom zozname</w:t>
                  </w:r>
                </w:p>
              </w:tc>
              <w:tc>
                <w:tcPr>
                  <w:tcW w:w="597" w:type="pct"/>
                  <w:tcBorders>
                    <w:top w:val="nil"/>
                    <w:left w:val="nil"/>
                    <w:bottom w:val="nil"/>
                    <w:right w:val="nil"/>
                  </w:tcBorders>
                  <w:shd w:val="clear" w:color="auto" w:fill="auto"/>
                  <w:vAlign w:val="center"/>
                  <w:hideMark/>
                </w:tcPr>
                <w:p w14:paraId="6FBDD5E5"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0</w:t>
                  </w:r>
                </w:p>
              </w:tc>
              <w:tc>
                <w:tcPr>
                  <w:tcW w:w="596" w:type="pct"/>
                  <w:tcBorders>
                    <w:top w:val="nil"/>
                    <w:left w:val="nil"/>
                    <w:bottom w:val="nil"/>
                    <w:right w:val="nil"/>
                  </w:tcBorders>
                  <w:shd w:val="clear" w:color="auto" w:fill="auto"/>
                  <w:vAlign w:val="center"/>
                  <w:hideMark/>
                </w:tcPr>
                <w:p w14:paraId="60C39EB0"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0</w:t>
                  </w:r>
                </w:p>
              </w:tc>
              <w:tc>
                <w:tcPr>
                  <w:tcW w:w="484" w:type="pct"/>
                  <w:tcBorders>
                    <w:top w:val="nil"/>
                    <w:left w:val="nil"/>
                    <w:bottom w:val="nil"/>
                    <w:right w:val="nil"/>
                  </w:tcBorders>
                  <w:shd w:val="clear" w:color="auto" w:fill="auto"/>
                  <w:vAlign w:val="center"/>
                  <w:hideMark/>
                </w:tcPr>
                <w:p w14:paraId="4BABA060"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36 000</w:t>
                  </w:r>
                </w:p>
              </w:tc>
              <w:tc>
                <w:tcPr>
                  <w:tcW w:w="484" w:type="pct"/>
                  <w:tcBorders>
                    <w:top w:val="nil"/>
                    <w:left w:val="nil"/>
                    <w:bottom w:val="nil"/>
                    <w:right w:val="nil"/>
                  </w:tcBorders>
                  <w:shd w:val="clear" w:color="auto" w:fill="auto"/>
                  <w:vAlign w:val="center"/>
                  <w:hideMark/>
                </w:tcPr>
                <w:p w14:paraId="123465EF"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12 000</w:t>
                  </w:r>
                </w:p>
              </w:tc>
              <w:tc>
                <w:tcPr>
                  <w:tcW w:w="483" w:type="pct"/>
                  <w:tcBorders>
                    <w:top w:val="nil"/>
                    <w:left w:val="nil"/>
                    <w:bottom w:val="nil"/>
                    <w:right w:val="nil"/>
                  </w:tcBorders>
                  <w:shd w:val="clear" w:color="auto" w:fill="auto"/>
                  <w:vAlign w:val="center"/>
                  <w:hideMark/>
                </w:tcPr>
                <w:p w14:paraId="7F373A3E"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-24 000</w:t>
                  </w:r>
                </w:p>
              </w:tc>
            </w:tr>
            <w:tr w:rsidR="00387ED9" w:rsidRPr="00F55F91" w14:paraId="27748082" w14:textId="77777777" w:rsidTr="005B6D7F">
              <w:trPr>
                <w:trHeight w:val="495"/>
              </w:trPr>
              <w:tc>
                <w:tcPr>
                  <w:tcW w:w="2356" w:type="pct"/>
                  <w:tcBorders>
                    <w:top w:val="single" w:sz="4" w:space="0" w:color="auto"/>
                    <w:left w:val="nil"/>
                    <w:bottom w:val="single" w:sz="4" w:space="0" w:color="auto"/>
                    <w:right w:val="nil"/>
                  </w:tcBorders>
                  <w:shd w:val="clear" w:color="auto" w:fill="auto"/>
                  <w:vAlign w:val="center"/>
                  <w:hideMark/>
                </w:tcPr>
                <w:p w14:paraId="2E218C1E" w14:textId="7C6D027A" w:rsidR="00387ED9" w:rsidRPr="00F55F91" w:rsidRDefault="00387ED9" w:rsidP="001C4899">
                  <w:pPr>
                    <w:spacing w:after="0" w:line="240" w:lineRule="auto"/>
                    <w:jc w:val="left"/>
                    <w:rPr>
                      <w:rFonts w:eastAsia="Times New Roman" w:cs="Segoe UI"/>
                      <w:color w:val="000000"/>
                      <w:sz w:val="18"/>
                      <w:szCs w:val="18"/>
                      <w:lang w:eastAsia="sk-SK"/>
                    </w:rPr>
                  </w:pPr>
                  <w:r w:rsidRPr="00F55F91">
                    <w:rPr>
                      <w:rFonts w:eastAsia="Times New Roman" w:cs="Segoe UI"/>
                      <w:color w:val="000000"/>
                      <w:sz w:val="18"/>
                      <w:szCs w:val="18"/>
                      <w:lang w:eastAsia="sk-SK"/>
                    </w:rPr>
                    <w:t>Úspora z podpory vstupu generík a biosimilárov zo strany MZ SR</w:t>
                  </w:r>
                </w:p>
              </w:tc>
              <w:tc>
                <w:tcPr>
                  <w:tcW w:w="597" w:type="pct"/>
                  <w:tcBorders>
                    <w:top w:val="single" w:sz="4" w:space="0" w:color="auto"/>
                    <w:left w:val="nil"/>
                    <w:bottom w:val="single" w:sz="4" w:space="0" w:color="auto"/>
                    <w:right w:val="nil"/>
                  </w:tcBorders>
                  <w:shd w:val="clear" w:color="auto" w:fill="auto"/>
                  <w:vAlign w:val="center"/>
                  <w:hideMark/>
                </w:tcPr>
                <w:p w14:paraId="58091B7C"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129</w:t>
                  </w:r>
                </w:p>
              </w:tc>
              <w:tc>
                <w:tcPr>
                  <w:tcW w:w="596" w:type="pct"/>
                  <w:tcBorders>
                    <w:top w:val="single" w:sz="4" w:space="0" w:color="auto"/>
                    <w:left w:val="nil"/>
                    <w:bottom w:val="single" w:sz="4" w:space="0" w:color="auto"/>
                    <w:right w:val="nil"/>
                  </w:tcBorders>
                  <w:shd w:val="clear" w:color="auto" w:fill="auto"/>
                  <w:vAlign w:val="center"/>
                  <w:hideMark/>
                </w:tcPr>
                <w:p w14:paraId="707053EA"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188</w:t>
                  </w:r>
                </w:p>
              </w:tc>
              <w:tc>
                <w:tcPr>
                  <w:tcW w:w="484" w:type="pct"/>
                  <w:tcBorders>
                    <w:top w:val="single" w:sz="4" w:space="0" w:color="auto"/>
                    <w:left w:val="nil"/>
                    <w:bottom w:val="single" w:sz="4" w:space="0" w:color="auto"/>
                    <w:right w:val="nil"/>
                  </w:tcBorders>
                  <w:shd w:val="clear" w:color="auto" w:fill="auto"/>
                  <w:vAlign w:val="center"/>
                  <w:hideMark/>
                </w:tcPr>
                <w:p w14:paraId="2050191E"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3 000</w:t>
                  </w:r>
                </w:p>
              </w:tc>
              <w:tc>
                <w:tcPr>
                  <w:tcW w:w="484" w:type="pct"/>
                  <w:tcBorders>
                    <w:top w:val="single" w:sz="4" w:space="0" w:color="auto"/>
                    <w:left w:val="nil"/>
                    <w:bottom w:val="single" w:sz="4" w:space="0" w:color="auto"/>
                    <w:right w:val="nil"/>
                  </w:tcBorders>
                  <w:shd w:val="clear" w:color="auto" w:fill="auto"/>
                  <w:vAlign w:val="center"/>
                  <w:hideMark/>
                </w:tcPr>
                <w:p w14:paraId="3BE056F6"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23 000</w:t>
                  </w:r>
                </w:p>
              </w:tc>
              <w:tc>
                <w:tcPr>
                  <w:tcW w:w="483" w:type="pct"/>
                  <w:tcBorders>
                    <w:top w:val="single" w:sz="4" w:space="0" w:color="auto"/>
                    <w:left w:val="nil"/>
                    <w:bottom w:val="single" w:sz="4" w:space="0" w:color="auto"/>
                    <w:right w:val="nil"/>
                  </w:tcBorders>
                  <w:shd w:val="clear" w:color="auto" w:fill="auto"/>
                  <w:vAlign w:val="center"/>
                  <w:hideMark/>
                </w:tcPr>
                <w:p w14:paraId="2874E4A6"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20 000</w:t>
                  </w:r>
                </w:p>
              </w:tc>
            </w:tr>
            <w:tr w:rsidR="00387ED9" w:rsidRPr="00F55F91" w14:paraId="30B85170" w14:textId="77777777" w:rsidTr="005B6D7F">
              <w:trPr>
                <w:trHeight w:val="330"/>
              </w:trPr>
              <w:tc>
                <w:tcPr>
                  <w:tcW w:w="2356" w:type="pct"/>
                  <w:tcBorders>
                    <w:top w:val="nil"/>
                    <w:left w:val="nil"/>
                    <w:bottom w:val="single" w:sz="4" w:space="0" w:color="auto"/>
                    <w:right w:val="nil"/>
                  </w:tcBorders>
                  <w:shd w:val="clear" w:color="auto" w:fill="auto"/>
                  <w:vAlign w:val="center"/>
                  <w:hideMark/>
                </w:tcPr>
                <w:p w14:paraId="3B72CAA7" w14:textId="77777777" w:rsidR="00387ED9" w:rsidRPr="00F55F91" w:rsidRDefault="00387ED9" w:rsidP="00387ED9">
                  <w:pPr>
                    <w:spacing w:after="0" w:line="240" w:lineRule="auto"/>
                    <w:jc w:val="left"/>
                    <w:rPr>
                      <w:rFonts w:eastAsia="Times New Roman" w:cs="Segoe UI"/>
                      <w:color w:val="000000"/>
                      <w:sz w:val="18"/>
                      <w:szCs w:val="18"/>
                      <w:lang w:eastAsia="sk-SK"/>
                    </w:rPr>
                  </w:pPr>
                  <w:r w:rsidRPr="00F55F91">
                    <w:rPr>
                      <w:rFonts w:eastAsia="Times New Roman" w:cs="Segoe UI"/>
                      <w:color w:val="000000"/>
                      <w:sz w:val="18"/>
                      <w:szCs w:val="18"/>
                      <w:lang w:eastAsia="sk-SK"/>
                    </w:rPr>
                    <w:lastRenderedPageBreak/>
                    <w:t>Výdavky na lieky hradené z VZP na výnimky</w:t>
                  </w:r>
                </w:p>
              </w:tc>
              <w:tc>
                <w:tcPr>
                  <w:tcW w:w="597" w:type="pct"/>
                  <w:tcBorders>
                    <w:top w:val="nil"/>
                    <w:left w:val="nil"/>
                    <w:bottom w:val="single" w:sz="4" w:space="0" w:color="auto"/>
                    <w:right w:val="nil"/>
                  </w:tcBorders>
                  <w:shd w:val="clear" w:color="auto" w:fill="auto"/>
                  <w:vAlign w:val="center"/>
                  <w:hideMark/>
                </w:tcPr>
                <w:p w14:paraId="3DD530D3"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34 768</w:t>
                  </w:r>
                </w:p>
              </w:tc>
              <w:tc>
                <w:tcPr>
                  <w:tcW w:w="596" w:type="pct"/>
                  <w:tcBorders>
                    <w:top w:val="nil"/>
                    <w:left w:val="nil"/>
                    <w:bottom w:val="single" w:sz="4" w:space="0" w:color="auto"/>
                    <w:right w:val="nil"/>
                  </w:tcBorders>
                  <w:shd w:val="clear" w:color="auto" w:fill="auto"/>
                  <w:vAlign w:val="center"/>
                  <w:hideMark/>
                </w:tcPr>
                <w:p w14:paraId="36BEE56C"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46 679</w:t>
                  </w:r>
                </w:p>
              </w:tc>
              <w:tc>
                <w:tcPr>
                  <w:tcW w:w="484" w:type="pct"/>
                  <w:tcBorders>
                    <w:top w:val="nil"/>
                    <w:left w:val="nil"/>
                    <w:bottom w:val="single" w:sz="4" w:space="0" w:color="auto"/>
                    <w:right w:val="nil"/>
                  </w:tcBorders>
                  <w:shd w:val="clear" w:color="auto" w:fill="auto"/>
                  <w:vAlign w:val="center"/>
                  <w:hideMark/>
                </w:tcPr>
                <w:p w14:paraId="547420BF"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16 000</w:t>
                  </w:r>
                </w:p>
              </w:tc>
              <w:tc>
                <w:tcPr>
                  <w:tcW w:w="484" w:type="pct"/>
                  <w:tcBorders>
                    <w:top w:val="nil"/>
                    <w:left w:val="nil"/>
                    <w:bottom w:val="single" w:sz="4" w:space="0" w:color="auto"/>
                    <w:right w:val="nil"/>
                  </w:tcBorders>
                  <w:shd w:val="clear" w:color="auto" w:fill="auto"/>
                  <w:vAlign w:val="center"/>
                  <w:hideMark/>
                </w:tcPr>
                <w:p w14:paraId="0619284A"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14 000</w:t>
                  </w:r>
                </w:p>
              </w:tc>
              <w:tc>
                <w:tcPr>
                  <w:tcW w:w="483" w:type="pct"/>
                  <w:tcBorders>
                    <w:top w:val="nil"/>
                    <w:left w:val="nil"/>
                    <w:bottom w:val="single" w:sz="4" w:space="0" w:color="auto"/>
                    <w:right w:val="nil"/>
                  </w:tcBorders>
                  <w:shd w:val="clear" w:color="auto" w:fill="auto"/>
                  <w:vAlign w:val="center"/>
                  <w:hideMark/>
                </w:tcPr>
                <w:p w14:paraId="0E2B5DC0"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-2 000</w:t>
                  </w:r>
                </w:p>
              </w:tc>
            </w:tr>
            <w:tr w:rsidR="00387ED9" w:rsidRPr="00F55F91" w14:paraId="21EBA18E" w14:textId="77777777" w:rsidTr="005B6D7F">
              <w:trPr>
                <w:trHeight w:val="510"/>
              </w:trPr>
              <w:tc>
                <w:tcPr>
                  <w:tcW w:w="2356" w:type="pct"/>
                  <w:tcBorders>
                    <w:top w:val="nil"/>
                    <w:left w:val="nil"/>
                    <w:bottom w:val="single" w:sz="8" w:space="0" w:color="auto"/>
                    <w:right w:val="nil"/>
                  </w:tcBorders>
                  <w:shd w:val="clear" w:color="auto" w:fill="auto"/>
                  <w:vAlign w:val="center"/>
                  <w:hideMark/>
                </w:tcPr>
                <w:p w14:paraId="2A19027E" w14:textId="51616685" w:rsidR="00387ED9" w:rsidRPr="00F55F91" w:rsidRDefault="00387ED9" w:rsidP="001C4899">
                  <w:pPr>
                    <w:spacing w:after="0" w:line="240" w:lineRule="auto"/>
                    <w:jc w:val="left"/>
                    <w:rPr>
                      <w:rFonts w:eastAsia="Times New Roman" w:cs="Segoe UI"/>
                      <w:color w:val="000000"/>
                      <w:sz w:val="18"/>
                      <w:szCs w:val="18"/>
                      <w:lang w:eastAsia="sk-SK"/>
                    </w:rPr>
                  </w:pPr>
                  <w:r w:rsidRPr="00F55F91">
                    <w:rPr>
                      <w:rFonts w:eastAsia="Times New Roman" w:cs="Segoe UI"/>
                      <w:color w:val="000000"/>
                      <w:sz w:val="18"/>
                      <w:szCs w:val="18"/>
                      <w:lang w:eastAsia="sk-SK"/>
                    </w:rPr>
                    <w:t>Úspora prostrední</w:t>
                  </w:r>
                  <w:r>
                    <w:rPr>
                      <w:rFonts w:eastAsia="Times New Roman" w:cs="Segoe UI"/>
                      <w:color w:val="000000"/>
                      <w:sz w:val="18"/>
                      <w:szCs w:val="18"/>
                      <w:lang w:eastAsia="sk-SK"/>
                    </w:rPr>
                    <w:t xml:space="preserve">ctvom vyrovnávacieho rozdielu </w:t>
                  </w:r>
                  <w:r w:rsidRPr="00F55F91">
                    <w:rPr>
                      <w:rFonts w:eastAsia="Times New Roman" w:cs="Segoe UI"/>
                      <w:color w:val="000000"/>
                      <w:sz w:val="18"/>
                      <w:szCs w:val="18"/>
                      <w:lang w:eastAsia="sk-SK"/>
                    </w:rPr>
                    <w:t>u kategorizovaných liekov</w:t>
                  </w:r>
                </w:p>
              </w:tc>
              <w:tc>
                <w:tcPr>
                  <w:tcW w:w="597" w:type="pct"/>
                  <w:tcBorders>
                    <w:top w:val="nil"/>
                    <w:left w:val="nil"/>
                    <w:bottom w:val="single" w:sz="8" w:space="0" w:color="auto"/>
                    <w:right w:val="nil"/>
                  </w:tcBorders>
                  <w:shd w:val="clear" w:color="auto" w:fill="auto"/>
                  <w:vAlign w:val="center"/>
                  <w:hideMark/>
                </w:tcPr>
                <w:p w14:paraId="1C815638"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0</w:t>
                  </w:r>
                </w:p>
              </w:tc>
              <w:tc>
                <w:tcPr>
                  <w:tcW w:w="596" w:type="pct"/>
                  <w:tcBorders>
                    <w:top w:val="nil"/>
                    <w:left w:val="nil"/>
                    <w:bottom w:val="single" w:sz="8" w:space="0" w:color="auto"/>
                    <w:right w:val="nil"/>
                  </w:tcBorders>
                  <w:shd w:val="clear" w:color="auto" w:fill="auto"/>
                  <w:vAlign w:val="center"/>
                  <w:hideMark/>
                </w:tcPr>
                <w:p w14:paraId="28D56FE5"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0</w:t>
                  </w:r>
                </w:p>
              </w:tc>
              <w:tc>
                <w:tcPr>
                  <w:tcW w:w="484" w:type="pct"/>
                  <w:tcBorders>
                    <w:top w:val="nil"/>
                    <w:left w:val="nil"/>
                    <w:bottom w:val="single" w:sz="8" w:space="0" w:color="auto"/>
                    <w:right w:val="nil"/>
                  </w:tcBorders>
                  <w:shd w:val="clear" w:color="auto" w:fill="auto"/>
                  <w:vAlign w:val="center"/>
                  <w:hideMark/>
                </w:tcPr>
                <w:p w14:paraId="1F327DF5"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7 000</w:t>
                  </w:r>
                </w:p>
              </w:tc>
              <w:tc>
                <w:tcPr>
                  <w:tcW w:w="484" w:type="pct"/>
                  <w:tcBorders>
                    <w:top w:val="nil"/>
                    <w:left w:val="nil"/>
                    <w:bottom w:val="single" w:sz="8" w:space="0" w:color="auto"/>
                    <w:right w:val="nil"/>
                  </w:tcBorders>
                  <w:shd w:val="clear" w:color="auto" w:fill="auto"/>
                  <w:vAlign w:val="center"/>
                  <w:hideMark/>
                </w:tcPr>
                <w:p w14:paraId="6F16EAB4"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11 000</w:t>
                  </w:r>
                </w:p>
              </w:tc>
              <w:tc>
                <w:tcPr>
                  <w:tcW w:w="483" w:type="pct"/>
                  <w:tcBorders>
                    <w:top w:val="nil"/>
                    <w:left w:val="nil"/>
                    <w:bottom w:val="single" w:sz="8" w:space="0" w:color="auto"/>
                    <w:right w:val="nil"/>
                  </w:tcBorders>
                  <w:shd w:val="clear" w:color="auto" w:fill="auto"/>
                  <w:vAlign w:val="center"/>
                  <w:hideMark/>
                </w:tcPr>
                <w:p w14:paraId="5D36FF43" w14:textId="77777777" w:rsidR="00387ED9" w:rsidRPr="00F55F91" w:rsidRDefault="00387ED9" w:rsidP="00387ED9">
                  <w:pPr>
                    <w:spacing w:after="0" w:line="240" w:lineRule="auto"/>
                    <w:jc w:val="right"/>
                    <w:rPr>
                      <w:rFonts w:eastAsia="Times New Roman" w:cs="Segoe UI"/>
                      <w:color w:val="000000"/>
                      <w:sz w:val="18"/>
                      <w:szCs w:val="18"/>
                      <w:lang w:eastAsia="sk-SK"/>
                    </w:rPr>
                  </w:pPr>
                  <w:r w:rsidRPr="00F55F91">
                    <w:rPr>
                      <w:rFonts w:eastAsia="Times New Roman" w:cs="Segoe UI"/>
                      <w:color w:val="000000"/>
                      <w:sz w:val="18"/>
                      <w:szCs w:val="18"/>
                      <w:lang w:eastAsia="sk-SK"/>
                    </w:rPr>
                    <w:t>4 000</w:t>
                  </w:r>
                </w:p>
              </w:tc>
            </w:tr>
          </w:tbl>
          <w:p w14:paraId="009DB1F1" w14:textId="10CB8AD3" w:rsidR="007C571E" w:rsidRPr="00F25F2C" w:rsidRDefault="00387ED9" w:rsidP="00B44E57">
            <w:pPr>
              <w:ind w:right="163"/>
              <w:jc w:val="left"/>
              <w:rPr>
                <w:i/>
                <w:sz w:val="16"/>
                <w:szCs w:val="18"/>
              </w:rPr>
            </w:pPr>
            <w:r w:rsidRPr="00DA6672">
              <w:rPr>
                <w:i/>
                <w:sz w:val="16"/>
                <w:szCs w:val="18"/>
              </w:rPr>
              <w:t>Zdroj:</w:t>
            </w:r>
            <w:r>
              <w:rPr>
                <w:i/>
                <w:sz w:val="16"/>
                <w:szCs w:val="18"/>
              </w:rPr>
              <w:t xml:space="preserve"> </w:t>
            </w:r>
            <w:proofErr w:type="spellStart"/>
            <w:r>
              <w:rPr>
                <w:i/>
                <w:sz w:val="16"/>
                <w:szCs w:val="18"/>
              </w:rPr>
              <w:t>VšZP</w:t>
            </w:r>
            <w:proofErr w:type="spellEnd"/>
            <w:r>
              <w:rPr>
                <w:i/>
                <w:sz w:val="16"/>
                <w:szCs w:val="18"/>
              </w:rPr>
              <w:t xml:space="preserve">, </w:t>
            </w:r>
            <w:r w:rsidRPr="00DA6672">
              <w:rPr>
                <w:i/>
                <w:sz w:val="16"/>
                <w:szCs w:val="18"/>
              </w:rPr>
              <w:t xml:space="preserve">ZP Dôvera, ZP </w:t>
            </w:r>
            <w:proofErr w:type="spellStart"/>
            <w:r w:rsidRPr="00DA6672">
              <w:rPr>
                <w:i/>
                <w:sz w:val="16"/>
                <w:szCs w:val="18"/>
              </w:rPr>
              <w:t>Union</w:t>
            </w:r>
            <w:proofErr w:type="spellEnd"/>
            <w:r w:rsidR="00B702F4">
              <w:rPr>
                <w:i/>
                <w:sz w:val="16"/>
                <w:szCs w:val="18"/>
              </w:rPr>
              <w:br/>
            </w:r>
            <w:r w:rsidRPr="00DA6672">
              <w:rPr>
                <w:i/>
                <w:sz w:val="16"/>
                <w:szCs w:val="18"/>
              </w:rPr>
              <w:t>* Úspora kvantifikovaná v </w:t>
            </w:r>
            <w:r w:rsidRPr="00DA6672">
              <w:rPr>
                <w:sz w:val="16"/>
                <w:szCs w:val="18"/>
              </w:rPr>
              <w:t>návrhu</w:t>
            </w:r>
            <w:r w:rsidRPr="00DA6672">
              <w:rPr>
                <w:i/>
                <w:sz w:val="16"/>
                <w:szCs w:val="18"/>
              </w:rPr>
              <w:t xml:space="preserve"> </w:t>
            </w:r>
            <w:r>
              <w:rPr>
                <w:i/>
                <w:sz w:val="16"/>
                <w:szCs w:val="18"/>
              </w:rPr>
              <w:t>RVS</w:t>
            </w:r>
            <w:r w:rsidRPr="00DA6672">
              <w:rPr>
                <w:i/>
                <w:sz w:val="16"/>
                <w:szCs w:val="18"/>
              </w:rPr>
              <w:t xml:space="preserve"> na roky 2022 až 2024</w:t>
            </w:r>
            <w:r w:rsidR="00B44E57">
              <w:rPr>
                <w:i/>
                <w:sz w:val="16"/>
                <w:szCs w:val="18"/>
              </w:rPr>
              <w:t>.</w:t>
            </w:r>
            <w:r w:rsidR="00B702F4">
              <w:rPr>
                <w:i/>
                <w:sz w:val="16"/>
                <w:szCs w:val="18"/>
              </w:rPr>
              <w:br/>
            </w:r>
            <w:r>
              <w:rPr>
                <w:i/>
                <w:sz w:val="16"/>
                <w:szCs w:val="18"/>
              </w:rPr>
              <w:t xml:space="preserve">** Úspora kvantifikovaná v návrhu RVS na roky 2023 až </w:t>
            </w:r>
            <w:r w:rsidRPr="00CA5757">
              <w:rPr>
                <w:i/>
                <w:sz w:val="16"/>
                <w:szCs w:val="18"/>
              </w:rPr>
              <w:t xml:space="preserve">2025 </w:t>
            </w:r>
            <w:r w:rsidR="00B44E57">
              <w:rPr>
                <w:i/>
                <w:sz w:val="16"/>
                <w:szCs w:val="18"/>
              </w:rPr>
              <w:t xml:space="preserve">– </w:t>
            </w:r>
            <w:r w:rsidRPr="00CA5757">
              <w:rPr>
                <w:i/>
                <w:sz w:val="16"/>
                <w:szCs w:val="18"/>
              </w:rPr>
              <w:t xml:space="preserve">úspora 12 mil. eur pri nákladovej efektivite liekov je súčtom úspory nákladovej efektivity liekov (okrem </w:t>
            </w:r>
            <w:proofErr w:type="spellStart"/>
            <w:r w:rsidRPr="00CA5757">
              <w:rPr>
                <w:i/>
                <w:sz w:val="16"/>
                <w:szCs w:val="18"/>
              </w:rPr>
              <w:t>orphanov</w:t>
            </w:r>
            <w:proofErr w:type="spellEnd"/>
            <w:r w:rsidR="00B44E57">
              <w:rPr>
                <w:i/>
                <w:sz w:val="16"/>
                <w:szCs w:val="18"/>
              </w:rPr>
              <w:t xml:space="preserve"> vo výške</w:t>
            </w:r>
            <w:r w:rsidRPr="00CA5757">
              <w:rPr>
                <w:i/>
                <w:sz w:val="16"/>
                <w:szCs w:val="18"/>
              </w:rPr>
              <w:t>)</w:t>
            </w:r>
            <w:r w:rsidR="00B44E57">
              <w:rPr>
                <w:i/>
                <w:sz w:val="16"/>
                <w:szCs w:val="18"/>
              </w:rPr>
              <w:t xml:space="preserve"> </w:t>
            </w:r>
            <w:r w:rsidRPr="00CA5757">
              <w:rPr>
                <w:i/>
                <w:sz w:val="16"/>
                <w:szCs w:val="18"/>
              </w:rPr>
              <w:t xml:space="preserve">10 mil. eur a úspory nákladovej efektivity zaradených </w:t>
            </w:r>
            <w:proofErr w:type="spellStart"/>
            <w:r w:rsidRPr="00CA5757">
              <w:rPr>
                <w:i/>
                <w:sz w:val="16"/>
                <w:szCs w:val="18"/>
              </w:rPr>
              <w:t>orphanov</w:t>
            </w:r>
            <w:proofErr w:type="spellEnd"/>
            <w:r w:rsidRPr="00CA5757">
              <w:rPr>
                <w:i/>
                <w:sz w:val="16"/>
                <w:szCs w:val="18"/>
              </w:rPr>
              <w:t xml:space="preserve"> vo výške 2 mil. eur</w:t>
            </w:r>
            <w:r w:rsidR="00CB6343">
              <w:rPr>
                <w:i/>
                <w:sz w:val="16"/>
                <w:szCs w:val="18"/>
              </w:rPr>
              <w:t>)</w:t>
            </w:r>
            <w:r w:rsidRPr="00CA5757">
              <w:rPr>
                <w:i/>
                <w:sz w:val="16"/>
                <w:szCs w:val="18"/>
              </w:rPr>
              <w:t>.</w:t>
            </w:r>
          </w:p>
        </w:tc>
      </w:tr>
    </w:tbl>
    <w:p w14:paraId="7E94B143" w14:textId="6F87E297" w:rsidR="004A7AEC" w:rsidRPr="00432AD8" w:rsidRDefault="004A7AEC" w:rsidP="004A7AEC">
      <w:pPr>
        <w:pStyle w:val="Nadpis2"/>
      </w:pPr>
      <w:bookmarkStart w:id="22" w:name="_Toc119482912"/>
      <w:r>
        <w:lastRenderedPageBreak/>
        <w:t>Vzdelávanie, výskum a vývoj</w:t>
      </w:r>
      <w:bookmarkEnd w:id="22"/>
    </w:p>
    <w:p w14:paraId="52662A18" w14:textId="2423F8C8" w:rsidR="006A7E56" w:rsidRPr="006A7E56" w:rsidRDefault="00B075BB" w:rsidP="006A7E56">
      <w:r>
        <w:t>N</w:t>
      </w:r>
      <w:r w:rsidRPr="00402CC2">
        <w:t>avrhované celkové výdavky</w:t>
      </w:r>
      <w:r>
        <w:t xml:space="preserve"> na vzdelávanie, vedu, výskum a šport v sume 4,49</w:t>
      </w:r>
      <w:r w:rsidRPr="00402CC2">
        <w:t xml:space="preserve"> mld</w:t>
      </w:r>
      <w:r>
        <w:t xml:space="preserve">. eur predstavujú v porovnaní s tohtoročným </w:t>
      </w:r>
      <w:r w:rsidR="00142E40">
        <w:t xml:space="preserve">schváleným </w:t>
      </w:r>
      <w:r>
        <w:t xml:space="preserve">rozpočtom nárast o 12 %. Oproti očakávanej skutočnosti je </w:t>
      </w:r>
      <w:r w:rsidR="000A6AE0">
        <w:t xml:space="preserve">to </w:t>
      </w:r>
      <w:r>
        <w:t xml:space="preserve">však nárast iba </w:t>
      </w:r>
      <w:r w:rsidR="001A7BA2">
        <w:t xml:space="preserve">o </w:t>
      </w:r>
      <w:r>
        <w:t xml:space="preserve">3 %. </w:t>
      </w:r>
      <w:r w:rsidR="00DE5A38">
        <w:t xml:space="preserve">Výdavky rastú najmä z dôvodu valorizácie platov zamestnancov v regionálnom a vysokom školstve. </w:t>
      </w:r>
      <w:r w:rsidR="00763F13">
        <w:t>Objem prostriedkov na šport má klesnúť oproti očakávanej skutočnosti aj rozpočtu. Rovnako majú byť nižšie aj výdavky na vedu a techniku (pokles o 7 % oproti očakávanej skutočnosti za rok 2022).</w:t>
      </w:r>
      <w:r w:rsidR="00763F13" w:rsidRPr="006A7E56">
        <w:t xml:space="preserve"> </w:t>
      </w:r>
      <w:r w:rsidR="006A7E56">
        <w:t xml:space="preserve">Z pohľadu programovej štruktúry pôjde najviac prostriedkov na </w:t>
      </w:r>
      <w:r w:rsidR="000A6863">
        <w:t>výchov</w:t>
      </w:r>
      <w:r w:rsidR="006A7E56" w:rsidRPr="006A7E56">
        <w:t>u, vzdelávanie a mládež</w:t>
      </w:r>
      <w:r w:rsidR="009169FD">
        <w:t>, pričom za výrazným nárastom od roku 2022 je zjednotenie financovania regionálneho školstva.</w:t>
      </w:r>
      <w:r w:rsidR="006A7E56" w:rsidRPr="006A7E56">
        <w:t xml:space="preserve"> Oproti tohtoročnému rozpočtu majú narásť výdavky na všetky </w:t>
      </w:r>
      <w:r w:rsidR="006A7E56">
        <w:t xml:space="preserve">tri </w:t>
      </w:r>
      <w:r w:rsidR="006A7E56" w:rsidRPr="006A7E56">
        <w:t>hlavné programy (graf 1</w:t>
      </w:r>
      <w:r w:rsidR="00B836D4">
        <w:t>3</w:t>
      </w:r>
      <w:r w:rsidR="006A7E56" w:rsidRPr="006A7E56">
        <w:t>).</w:t>
      </w:r>
    </w:p>
    <w:p w14:paraId="70C71CF1" w14:textId="16F774EC" w:rsidR="009169FD" w:rsidRPr="00BC3CA3" w:rsidRDefault="009169FD" w:rsidP="009169FD">
      <w:pPr>
        <w:pStyle w:val="Popis"/>
        <w:keepNext/>
        <w:rPr>
          <w:color w:val="314364"/>
        </w:rPr>
      </w:pPr>
      <w:r w:rsidRPr="006A7E56">
        <w:rPr>
          <w:color w:val="314364"/>
        </w:rPr>
        <w:t>Graf 1</w:t>
      </w:r>
      <w:r w:rsidR="0031270C">
        <w:rPr>
          <w:color w:val="314364"/>
        </w:rPr>
        <w:t>3</w:t>
      </w:r>
      <w:r w:rsidRPr="006A7E56">
        <w:rPr>
          <w:color w:val="314364"/>
        </w:rPr>
        <w:t>:  Výdavky</w:t>
      </w:r>
      <w:r>
        <w:rPr>
          <w:color w:val="314364"/>
        </w:rPr>
        <w:t xml:space="preserve"> kapitoly MŠVVaŠ SR na hlavné programy (v mil. eur)</w:t>
      </w:r>
    </w:p>
    <w:tbl>
      <w:tblPr>
        <w:tblStyle w:val="Mriekatabuky"/>
        <w:tblW w:w="48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9169FD" w:rsidRPr="00C75134" w14:paraId="31F4F50A" w14:textId="77777777" w:rsidTr="00B702F4">
        <w:trPr>
          <w:trHeight w:val="3402"/>
        </w:trPr>
        <w:tc>
          <w:tcPr>
            <w:tcW w:w="8812" w:type="dxa"/>
            <w:tcBorders>
              <w:top w:val="single" w:sz="4" w:space="0" w:color="314364"/>
              <w:bottom w:val="single" w:sz="4" w:space="0" w:color="314364"/>
            </w:tcBorders>
            <w:vAlign w:val="center"/>
          </w:tcPr>
          <w:p w14:paraId="21AE2CAF" w14:textId="77777777" w:rsidR="009169FD" w:rsidRPr="00C75134" w:rsidRDefault="009169FD" w:rsidP="007B3F1F">
            <w:pPr>
              <w:spacing w:after="0"/>
              <w:jc w:val="left"/>
              <w:rPr>
                <w:b/>
                <w:color w:val="576431"/>
              </w:rPr>
            </w:pPr>
            <w:r>
              <w:rPr>
                <w:noProof/>
                <w:lang w:eastAsia="sk-SK"/>
              </w:rPr>
              <w:drawing>
                <wp:inline distT="0" distB="0" distL="0" distR="0" wp14:anchorId="6CE34F96" wp14:editId="6ADAC02D">
                  <wp:extent cx="5759450" cy="214122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1D6954B4" w14:textId="77777777" w:rsidR="009169FD" w:rsidRDefault="009169FD" w:rsidP="009169FD">
      <w:pPr>
        <w:pStyle w:val="Zdroj"/>
      </w:pPr>
      <w:r w:rsidRPr="00627D87">
        <w:t xml:space="preserve">Zdroj: </w:t>
      </w:r>
      <w:r>
        <w:t>RIS</w:t>
      </w:r>
    </w:p>
    <w:p w14:paraId="4D3570B0" w14:textId="21B87ED6" w:rsidR="00B075BB" w:rsidRDefault="00B075BB" w:rsidP="00B075BB">
      <w:r>
        <w:t>V PVV sa</w:t>
      </w:r>
      <w:r w:rsidRPr="0031105F">
        <w:t xml:space="preserve"> vláda zaviazala k zabezpečeniu adekvátneho ohodnotenia pedagogických a odborných zamestnancov a k vytvoreniu podmienok na kontinuálny rast ich platov</w:t>
      </w:r>
      <w:r>
        <w:t>. Valorizácia platov v tomto</w:t>
      </w:r>
      <w:r>
        <w:rPr>
          <w:rStyle w:val="Odkaznapoznmkupodiarou"/>
        </w:rPr>
        <w:footnoteReference w:id="48"/>
      </w:r>
      <w:r>
        <w:t xml:space="preserve"> a budúcom</w:t>
      </w:r>
      <w:r>
        <w:rPr>
          <w:rStyle w:val="Odkaznapoznmkupodiarou"/>
        </w:rPr>
        <w:footnoteReference w:id="49"/>
      </w:r>
      <w:r>
        <w:t xml:space="preserve"> roku však pri vysokej inflácii nezabráni poklesu reálnych miezd zamestnancov v regionálnom školstve, ktoré dlhodobo </w:t>
      </w:r>
      <w:r w:rsidRPr="00E23F80">
        <w:t>bojuje s nízkou atraktivitou učiteľského povolania</w:t>
      </w:r>
      <w:r>
        <w:t>. Na túto skutočnosť NKÚ SR upozornil už v minuloročnom stanovisku</w:t>
      </w:r>
      <w:r w:rsidR="00E23F80">
        <w:t xml:space="preserve"> k návrhu </w:t>
      </w:r>
      <w:r w:rsidR="0014391C">
        <w:t>ŠR</w:t>
      </w:r>
      <w:r w:rsidR="00AC3D1E">
        <w:t>.</w:t>
      </w:r>
      <w:r>
        <w:rPr>
          <w:rStyle w:val="Odkaznapoznmkupodiarou"/>
        </w:rPr>
        <w:footnoteReference w:id="50"/>
      </w:r>
      <w:r w:rsidR="00BF22C2" w:rsidRPr="00BF22C2">
        <w:t xml:space="preserve"> </w:t>
      </w:r>
      <w:r w:rsidR="00BF22C2">
        <w:t xml:space="preserve">V tomto roku sa </w:t>
      </w:r>
      <w:r w:rsidR="00BF22C2" w:rsidRPr="009D4C7E">
        <w:t>za celé hospodá</w:t>
      </w:r>
      <w:r w:rsidR="00BF22C2">
        <w:t>rstvo očakáva takmer dvojnásobne vyššie</w:t>
      </w:r>
      <w:r w:rsidR="00BF22C2" w:rsidRPr="009D4C7E">
        <w:t xml:space="preserve"> tempo rastu prie</w:t>
      </w:r>
      <w:r w:rsidR="00BF22C2">
        <w:t xml:space="preserve">mernej mzdy </w:t>
      </w:r>
      <w:r w:rsidR="00CB6343">
        <w:t>než</w:t>
      </w:r>
      <w:r w:rsidR="00BF22C2">
        <w:t xml:space="preserve"> v regionálnom školstve (8,3 % oproti 4,3 %</w:t>
      </w:r>
      <w:r w:rsidR="00BF22C2">
        <w:rPr>
          <w:rStyle w:val="Odkaznapoznmkupodiarou"/>
        </w:rPr>
        <w:footnoteReference w:id="51"/>
      </w:r>
      <w:r w:rsidR="00BF22C2">
        <w:t xml:space="preserve">). Preto aj napriek mierne vyššiemu rastu v budúcom roku </w:t>
      </w:r>
      <w:r w:rsidR="00BF22C2" w:rsidRPr="006C218D">
        <w:rPr>
          <w:b/>
        </w:rPr>
        <w:t>bude nárast priemernej mzdy pedagogických a odborných zamestnancov za obdobie 2021 – 2023 pod úrovňou</w:t>
      </w:r>
      <w:r w:rsidR="000A6863">
        <w:rPr>
          <w:b/>
        </w:rPr>
        <w:t xml:space="preserve"> priemernej mzdy</w:t>
      </w:r>
      <w:r w:rsidR="00BF22C2" w:rsidRPr="006C218D">
        <w:rPr>
          <w:b/>
        </w:rPr>
        <w:t xml:space="preserve"> za celé hospodárstvo</w:t>
      </w:r>
      <w:r w:rsidR="00BF22C2">
        <w:t xml:space="preserve">. </w:t>
      </w:r>
      <w:r w:rsidRPr="0031105F">
        <w:t>Navyše</w:t>
      </w:r>
      <w:r w:rsidR="00AC0874">
        <w:t>,</w:t>
      </w:r>
      <w:r w:rsidRPr="0031105F">
        <w:t xml:space="preserve"> </w:t>
      </w:r>
      <w:r w:rsidRPr="0031105F">
        <w:rPr>
          <w:b/>
        </w:rPr>
        <w:t xml:space="preserve">v dôsledku vysokej inflácie v tomto a budúcom roku bude priemerná </w:t>
      </w:r>
      <w:r w:rsidR="000B39F4">
        <w:rPr>
          <w:b/>
        </w:rPr>
        <w:t xml:space="preserve">reálna </w:t>
      </w:r>
      <w:r w:rsidRPr="0031105F">
        <w:rPr>
          <w:b/>
        </w:rPr>
        <w:t xml:space="preserve">mzda pedagogických a odborných zamestnancov o 9 % </w:t>
      </w:r>
      <w:r w:rsidRPr="0031105F">
        <w:rPr>
          <w:b/>
        </w:rPr>
        <w:lastRenderedPageBreak/>
        <w:t>nižšia ako v roku 2021</w:t>
      </w:r>
      <w:r>
        <w:rPr>
          <w:b/>
        </w:rPr>
        <w:t xml:space="preserve"> </w:t>
      </w:r>
      <w:r w:rsidRPr="00E53E77">
        <w:t>(graf</w:t>
      </w:r>
      <w:r w:rsidR="00D03FE5">
        <w:t>y</w:t>
      </w:r>
      <w:r w:rsidR="00E53E77" w:rsidRPr="00E53E77">
        <w:t xml:space="preserve"> 1</w:t>
      </w:r>
      <w:r w:rsidR="00B836D4">
        <w:t>4</w:t>
      </w:r>
      <w:r w:rsidR="00D03FE5">
        <w:t xml:space="preserve"> a 1</w:t>
      </w:r>
      <w:r w:rsidR="00B836D4">
        <w:t>5</w:t>
      </w:r>
      <w:r w:rsidRPr="00E53E77">
        <w:t>).</w:t>
      </w:r>
      <w:r w:rsidRPr="009D4C7E">
        <w:t xml:space="preserve"> </w:t>
      </w:r>
      <w:r>
        <w:t>Pokles reálnych príjmov (</w:t>
      </w:r>
      <w:r w:rsidR="00DE1013">
        <w:t>dokonca</w:t>
      </w:r>
      <w:r>
        <w:t xml:space="preserve"> vyšší </w:t>
      </w:r>
      <w:r w:rsidR="005A30D1">
        <w:t>než</w:t>
      </w:r>
      <w:r>
        <w:t xml:space="preserve"> v iných povolaniach) bude mať za následok </w:t>
      </w:r>
      <w:r w:rsidRPr="0031105F">
        <w:rPr>
          <w:b/>
        </w:rPr>
        <w:t>zníženie už v súčasnosti nízkej atraktivity učiteľského povolania</w:t>
      </w:r>
      <w:r w:rsidRPr="00184E58">
        <w:t>.</w:t>
      </w:r>
      <w:r>
        <w:t xml:space="preserve"> </w:t>
      </w:r>
      <w:r w:rsidRPr="009D4C7E">
        <w:t xml:space="preserve">Na to, aby sa reálne príjmy pedagogických a odborných zamestnancov dostali v roku 2025 nad úroveň z roku 2021, bude potrebné v rokoch 2024 a 2025 každoročne valorizovať platy o 10 %. Pri takomto scenári by reálne príjmy pedagogických a odborných zamestnancov narástli </w:t>
      </w:r>
      <w:r w:rsidR="00D2614D">
        <w:t xml:space="preserve">za obdobie 2021 – 2025 </w:t>
      </w:r>
      <w:r w:rsidRPr="009D4C7E">
        <w:t>o n</w:t>
      </w:r>
      <w:r>
        <w:t>ecelé 3 %.</w:t>
      </w:r>
    </w:p>
    <w:tbl>
      <w:tblPr>
        <w:tblStyle w:val="Mriekatabuky3"/>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BF22C2" w:rsidRPr="00D40AB4" w14:paraId="4CA090A8" w14:textId="77777777" w:rsidTr="004A308C">
        <w:trPr>
          <w:trHeight w:val="189"/>
        </w:trPr>
        <w:tc>
          <w:tcPr>
            <w:tcW w:w="4535" w:type="dxa"/>
            <w:tcBorders>
              <w:bottom w:val="single" w:sz="4" w:space="0" w:color="314364"/>
            </w:tcBorders>
            <w:shd w:val="clear" w:color="auto" w:fill="auto"/>
          </w:tcPr>
          <w:p w14:paraId="013A6DF8" w14:textId="254C108A" w:rsidR="00BF22C2" w:rsidRPr="00D40AB4" w:rsidRDefault="00BF22C2" w:rsidP="009169FD">
            <w:pPr>
              <w:pStyle w:val="Popis"/>
              <w:keepNext/>
              <w:ind w:right="-108"/>
              <w:jc w:val="left"/>
              <w:rPr>
                <w:color w:val="314364"/>
              </w:rPr>
            </w:pPr>
            <w:r w:rsidRPr="00D40AB4">
              <w:rPr>
                <w:color w:val="314364"/>
              </w:rPr>
              <w:t>Graf</w:t>
            </w:r>
            <w:r>
              <w:rPr>
                <w:color w:val="314364"/>
              </w:rPr>
              <w:t xml:space="preserve"> 1</w:t>
            </w:r>
            <w:r w:rsidR="0031270C">
              <w:rPr>
                <w:color w:val="314364"/>
              </w:rPr>
              <w:t>4</w:t>
            </w:r>
            <w:r w:rsidRPr="00D40AB4">
              <w:rPr>
                <w:color w:val="314364"/>
              </w:rPr>
              <w:t xml:space="preserve">: </w:t>
            </w:r>
            <w:r w:rsidRPr="0034735E">
              <w:rPr>
                <w:rFonts w:eastAsia="Calibri" w:cs="Times New Roman"/>
                <w:color w:val="314364"/>
              </w:rPr>
              <w:t>Prognózovaný</w:t>
            </w:r>
            <w:r>
              <w:rPr>
                <w:rFonts w:eastAsia="Calibri" w:cs="Times New Roman"/>
                <w:color w:val="314364"/>
              </w:rPr>
              <w:t xml:space="preserve"> vývoj priemerných  nom</w:t>
            </w:r>
            <w:r w:rsidR="008244A9">
              <w:rPr>
                <w:rFonts w:eastAsia="Calibri" w:cs="Times New Roman"/>
                <w:color w:val="314364"/>
              </w:rPr>
              <w:t>inálnych</w:t>
            </w:r>
            <w:r>
              <w:rPr>
                <w:rFonts w:eastAsia="Calibri" w:cs="Times New Roman"/>
                <w:color w:val="314364"/>
              </w:rPr>
              <w:t xml:space="preserve"> miezd v reg. školstve (2021=100)</w:t>
            </w:r>
          </w:p>
        </w:tc>
        <w:tc>
          <w:tcPr>
            <w:tcW w:w="4535" w:type="dxa"/>
            <w:tcBorders>
              <w:bottom w:val="single" w:sz="4" w:space="0" w:color="314364"/>
            </w:tcBorders>
            <w:shd w:val="clear" w:color="auto" w:fill="auto"/>
          </w:tcPr>
          <w:p w14:paraId="39996410" w14:textId="72233DBF" w:rsidR="00BF22C2" w:rsidRPr="00D40AB4" w:rsidRDefault="00BF22C2" w:rsidP="00B836D4">
            <w:pPr>
              <w:pStyle w:val="Popis"/>
              <w:keepNext/>
              <w:ind w:left="8"/>
              <w:jc w:val="left"/>
              <w:rPr>
                <w:color w:val="314364"/>
              </w:rPr>
            </w:pPr>
            <w:r w:rsidRPr="00D40AB4">
              <w:rPr>
                <w:color w:val="314364"/>
              </w:rPr>
              <w:t xml:space="preserve">Graf </w:t>
            </w:r>
            <w:r>
              <w:rPr>
                <w:color w:val="314364"/>
              </w:rPr>
              <w:t>1</w:t>
            </w:r>
            <w:r w:rsidR="0031270C">
              <w:rPr>
                <w:color w:val="314364"/>
              </w:rPr>
              <w:t>5</w:t>
            </w:r>
            <w:r>
              <w:rPr>
                <w:color w:val="314364"/>
              </w:rPr>
              <w:t xml:space="preserve">: </w:t>
            </w:r>
            <w:r w:rsidRPr="0034735E">
              <w:rPr>
                <w:rFonts w:eastAsia="Calibri" w:cs="Times New Roman"/>
                <w:color w:val="314364"/>
              </w:rPr>
              <w:t>Prognózovaný</w:t>
            </w:r>
            <w:r>
              <w:rPr>
                <w:rFonts w:eastAsia="Calibri" w:cs="Times New Roman"/>
                <w:color w:val="314364"/>
              </w:rPr>
              <w:t xml:space="preserve"> vývoj priemerných reálnych miezd v reg. školstve (2021=100)</w:t>
            </w:r>
          </w:p>
        </w:tc>
      </w:tr>
      <w:tr w:rsidR="00BF22C2" w:rsidRPr="00402675" w14:paraId="33785706" w14:textId="77777777" w:rsidTr="004A308C">
        <w:tblPrEx>
          <w:tblCellMar>
            <w:left w:w="70" w:type="dxa"/>
            <w:right w:w="70" w:type="dxa"/>
          </w:tblCellMar>
        </w:tblPrEx>
        <w:trPr>
          <w:trHeight w:val="3402"/>
        </w:trPr>
        <w:tc>
          <w:tcPr>
            <w:tcW w:w="4535" w:type="dxa"/>
            <w:tcBorders>
              <w:top w:val="single" w:sz="4" w:space="0" w:color="314364"/>
              <w:bottom w:val="single" w:sz="4" w:space="0" w:color="314364"/>
            </w:tcBorders>
            <w:vAlign w:val="center"/>
          </w:tcPr>
          <w:p w14:paraId="46DA4FFA" w14:textId="77777777" w:rsidR="00BF22C2" w:rsidRPr="00402675" w:rsidRDefault="00BF22C2" w:rsidP="004A308C">
            <w:pPr>
              <w:spacing w:after="0"/>
              <w:jc w:val="left"/>
              <w:rPr>
                <w:rFonts w:cs="Segoe UI"/>
                <w:b/>
                <w:szCs w:val="20"/>
              </w:rPr>
            </w:pPr>
            <w:r>
              <w:rPr>
                <w:noProof/>
                <w:lang w:eastAsia="sk-SK"/>
              </w:rPr>
              <w:drawing>
                <wp:inline distT="0" distB="0" distL="0" distR="0" wp14:anchorId="731C1A0F" wp14:editId="046E462C">
                  <wp:extent cx="2880000" cy="21600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535" w:type="dxa"/>
            <w:tcBorders>
              <w:top w:val="single" w:sz="4" w:space="0" w:color="314364"/>
              <w:bottom w:val="single" w:sz="4" w:space="0" w:color="314364"/>
            </w:tcBorders>
            <w:vAlign w:val="center"/>
          </w:tcPr>
          <w:p w14:paraId="403B0695" w14:textId="77777777" w:rsidR="00BF22C2" w:rsidRPr="00402675" w:rsidRDefault="00BF22C2" w:rsidP="004A308C">
            <w:pPr>
              <w:spacing w:after="0"/>
              <w:jc w:val="left"/>
              <w:rPr>
                <w:rFonts w:cs="Segoe UI"/>
                <w:b/>
                <w:szCs w:val="20"/>
              </w:rPr>
            </w:pPr>
            <w:r>
              <w:rPr>
                <w:noProof/>
                <w:lang w:eastAsia="sk-SK"/>
              </w:rPr>
              <w:drawing>
                <wp:inline distT="0" distB="0" distL="0" distR="0" wp14:anchorId="3785F9D9" wp14:editId="5B70A34E">
                  <wp:extent cx="2880000" cy="21600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2AAF534D" w14:textId="77777777" w:rsidR="00BF22C2" w:rsidRDefault="00BF22C2" w:rsidP="00BF22C2">
      <w:pPr>
        <w:pStyle w:val="Zdroj"/>
        <w:spacing w:after="0"/>
      </w:pPr>
      <w:r>
        <w:t>Zdroj: MF SR; výpočty a spracovanie NKÚ SR.</w:t>
      </w:r>
    </w:p>
    <w:p w14:paraId="231B8DD0" w14:textId="65D83EC1" w:rsidR="00BF22C2" w:rsidRDefault="00BF22C2" w:rsidP="00BF22C2">
      <w:pPr>
        <w:pStyle w:val="Zdroj"/>
      </w:pPr>
      <w:r>
        <w:t>Poznámka: Pracujeme s hodnotami z prognózy VpMP zo septembra 2022.</w:t>
      </w:r>
    </w:p>
    <w:p w14:paraId="5AD117AB" w14:textId="1461E407" w:rsidR="000D05F7" w:rsidRDefault="00BF5BF5" w:rsidP="00432AD8">
      <w:pPr>
        <w:pStyle w:val="Nadpis2"/>
      </w:pPr>
      <w:bookmarkStart w:id="23" w:name="_Toc86396381"/>
      <w:bookmarkStart w:id="24" w:name="_Toc119482913"/>
      <w:r>
        <w:t>S</w:t>
      </w:r>
      <w:r w:rsidR="003567A1">
        <w:t>ociálne politiky</w:t>
      </w:r>
      <w:bookmarkEnd w:id="23"/>
      <w:bookmarkEnd w:id="24"/>
    </w:p>
    <w:p w14:paraId="7BEF917B" w14:textId="4D04AA64" w:rsidR="00D1721D" w:rsidRPr="00F779A5" w:rsidRDefault="00D1721D" w:rsidP="00D1721D">
      <w:pPr>
        <w:rPr>
          <w:rFonts w:cs="Segoe UI"/>
          <w:b/>
          <w:szCs w:val="20"/>
        </w:rPr>
      </w:pPr>
      <w:r>
        <w:rPr>
          <w:rFonts w:cs="Segoe UI"/>
          <w:szCs w:val="20"/>
        </w:rPr>
        <w:t xml:space="preserve">V návrhu rozpočtu kapitoly MPSVR SR </w:t>
      </w:r>
      <w:r w:rsidR="006718AC">
        <w:rPr>
          <w:rFonts w:cs="Segoe UI"/>
          <w:szCs w:val="20"/>
        </w:rPr>
        <w:t xml:space="preserve">je </w:t>
      </w:r>
      <w:r>
        <w:rPr>
          <w:rFonts w:cs="Segoe UI"/>
          <w:szCs w:val="20"/>
        </w:rPr>
        <w:t>z celkovej sumy 5</w:t>
      </w:r>
      <w:r w:rsidR="00D02D74">
        <w:rPr>
          <w:rFonts w:cs="Segoe UI"/>
          <w:szCs w:val="20"/>
        </w:rPr>
        <w:t>,</w:t>
      </w:r>
      <w:r>
        <w:rPr>
          <w:rFonts w:cs="Segoe UI"/>
          <w:szCs w:val="20"/>
        </w:rPr>
        <w:t>1 ml</w:t>
      </w:r>
      <w:r w:rsidR="00D02D74">
        <w:rPr>
          <w:rFonts w:cs="Segoe UI"/>
          <w:szCs w:val="20"/>
        </w:rPr>
        <w:t>d</w:t>
      </w:r>
      <w:r>
        <w:rPr>
          <w:rFonts w:cs="Segoe UI"/>
          <w:szCs w:val="20"/>
        </w:rPr>
        <w:t>. eur, ktorá vzrástla o 48 % oproti rozpočtu 2022, najväčší objem výdavkov určený na tri hlavné programy</w:t>
      </w:r>
      <w:r w:rsidR="00D02D74">
        <w:rPr>
          <w:rFonts w:cs="Segoe UI"/>
          <w:szCs w:val="20"/>
        </w:rPr>
        <w:t>:</w:t>
      </w:r>
      <w:r>
        <w:rPr>
          <w:rFonts w:cs="Segoe UI"/>
          <w:szCs w:val="20"/>
        </w:rPr>
        <w:t xml:space="preserve"> Sociálna inklúzia (66,2 %), Tvorba a implementácia politík (21,7 %) a Ľudské zdroje (11,6 %). </w:t>
      </w:r>
      <w:r w:rsidR="00157B21">
        <w:rPr>
          <w:rFonts w:cs="Segoe UI"/>
          <w:szCs w:val="20"/>
        </w:rPr>
        <w:t>Medziročne vzrástli všetky tri programy, najviac však</w:t>
      </w:r>
      <w:r>
        <w:rPr>
          <w:rFonts w:cs="Segoe UI"/>
          <w:szCs w:val="20"/>
        </w:rPr>
        <w:t xml:space="preserve"> Tvorba a implementácia politík</w:t>
      </w:r>
      <w:r w:rsidR="00D03FE5">
        <w:rPr>
          <w:rFonts w:cs="Segoe UI"/>
          <w:szCs w:val="20"/>
        </w:rPr>
        <w:t xml:space="preserve"> (graf 1</w:t>
      </w:r>
      <w:r w:rsidR="00B836D4">
        <w:rPr>
          <w:rFonts w:cs="Segoe UI"/>
          <w:szCs w:val="20"/>
        </w:rPr>
        <w:t>6</w:t>
      </w:r>
      <w:r w:rsidR="00D03FE5">
        <w:rPr>
          <w:rFonts w:cs="Segoe UI"/>
          <w:szCs w:val="20"/>
        </w:rPr>
        <w:t>)</w:t>
      </w:r>
      <w:r w:rsidR="00672111">
        <w:rPr>
          <w:rFonts w:cs="Segoe UI"/>
          <w:szCs w:val="20"/>
        </w:rPr>
        <w:t>.</w:t>
      </w:r>
    </w:p>
    <w:p w14:paraId="44817CCF" w14:textId="4709AEA5" w:rsidR="00FB7690" w:rsidRPr="00BC3CA3" w:rsidRDefault="00FB7690" w:rsidP="00FB7690">
      <w:pPr>
        <w:pStyle w:val="Popis"/>
        <w:keepNext/>
        <w:rPr>
          <w:color w:val="314364"/>
        </w:rPr>
      </w:pPr>
      <w:r w:rsidRPr="00BC3CA3">
        <w:rPr>
          <w:color w:val="314364"/>
        </w:rPr>
        <w:t xml:space="preserve">Graf </w:t>
      </w:r>
      <w:r w:rsidR="00D03FE5">
        <w:rPr>
          <w:color w:val="314364"/>
        </w:rPr>
        <w:t>1</w:t>
      </w:r>
      <w:r w:rsidR="0031270C">
        <w:rPr>
          <w:color w:val="314364"/>
        </w:rPr>
        <w:t>6</w:t>
      </w:r>
      <w:r w:rsidRPr="00BC3CA3">
        <w:rPr>
          <w:color w:val="314364"/>
        </w:rPr>
        <w:t>:</w:t>
      </w:r>
      <w:r>
        <w:rPr>
          <w:color w:val="314364"/>
        </w:rPr>
        <w:t xml:space="preserve">  Výdavky kapitoly MPSVR SR na </w:t>
      </w:r>
      <w:r w:rsidR="00DE5A38">
        <w:rPr>
          <w:color w:val="314364"/>
        </w:rPr>
        <w:t xml:space="preserve">hlavné </w:t>
      </w:r>
      <w:r>
        <w:rPr>
          <w:color w:val="314364"/>
        </w:rPr>
        <w:t>programy (</w:t>
      </w:r>
      <w:r w:rsidR="00000222">
        <w:rPr>
          <w:color w:val="314364"/>
        </w:rPr>
        <w:t xml:space="preserve">v </w:t>
      </w:r>
      <w:r>
        <w:rPr>
          <w:color w:val="314364"/>
        </w:rPr>
        <w:t>mil. eur)</w:t>
      </w:r>
    </w:p>
    <w:tbl>
      <w:tblPr>
        <w:tblStyle w:val="Mriekatabuky"/>
        <w:tblW w:w="48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996"/>
      </w:tblGrid>
      <w:tr w:rsidR="00FB7690" w:rsidRPr="00C75134" w14:paraId="6417E740" w14:textId="77777777" w:rsidTr="009169FD">
        <w:trPr>
          <w:trHeight w:val="3402"/>
        </w:trPr>
        <w:tc>
          <w:tcPr>
            <w:tcW w:w="8815" w:type="dxa"/>
            <w:tcBorders>
              <w:top w:val="single" w:sz="4" w:space="0" w:color="314364"/>
              <w:bottom w:val="single" w:sz="4" w:space="0" w:color="314364"/>
            </w:tcBorders>
            <w:vAlign w:val="center"/>
          </w:tcPr>
          <w:p w14:paraId="369DF049" w14:textId="77777777" w:rsidR="00FB7690" w:rsidRPr="00C75134" w:rsidRDefault="00FB7690" w:rsidP="009169FD">
            <w:pPr>
              <w:spacing w:after="0"/>
              <w:rPr>
                <w:b/>
                <w:color w:val="576431"/>
              </w:rPr>
            </w:pPr>
            <w:r>
              <w:rPr>
                <w:noProof/>
                <w:lang w:eastAsia="sk-SK"/>
              </w:rPr>
              <w:drawing>
                <wp:inline distT="0" distB="0" distL="0" distR="0" wp14:anchorId="6D521429" wp14:editId="3E1495D2">
                  <wp:extent cx="5623560" cy="2125980"/>
                  <wp:effectExtent l="0" t="0" r="0" b="762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040F6E13" w14:textId="77777777" w:rsidR="00FB7690" w:rsidRDefault="00FB7690" w:rsidP="00FB7690">
      <w:pPr>
        <w:pStyle w:val="Zdroj"/>
      </w:pPr>
      <w:r w:rsidRPr="00627D87">
        <w:t xml:space="preserve">Zdroj: </w:t>
      </w:r>
      <w:r>
        <w:t>RIS</w:t>
      </w:r>
    </w:p>
    <w:p w14:paraId="3CFF0E87" w14:textId="4E0168B7" w:rsidR="00672111" w:rsidRPr="00270220" w:rsidRDefault="00672111" w:rsidP="00672111">
      <w:pPr>
        <w:rPr>
          <w:rFonts w:cs="Segoe UI"/>
          <w:szCs w:val="20"/>
        </w:rPr>
      </w:pPr>
      <w:r w:rsidRPr="003C1702">
        <w:rPr>
          <w:rFonts w:cs="Segoe UI"/>
          <w:b/>
          <w:szCs w:val="20"/>
        </w:rPr>
        <w:t>Príčinou je rozhodnutie MF SR o zaradení výdavkov určených na kompenzačné opatrenia v súvislosti</w:t>
      </w:r>
      <w:r w:rsidRPr="00016FD0">
        <w:rPr>
          <w:rFonts w:cs="Segoe UI"/>
          <w:b/>
          <w:szCs w:val="20"/>
        </w:rPr>
        <w:t xml:space="preserve"> </w:t>
      </w:r>
      <w:r w:rsidRPr="003C1702">
        <w:rPr>
          <w:rFonts w:cs="Segoe UI"/>
          <w:b/>
          <w:szCs w:val="20"/>
        </w:rPr>
        <w:t xml:space="preserve">s rastom cien energií v sume 900 mil. eur </w:t>
      </w:r>
      <w:r w:rsidR="005A30D1">
        <w:rPr>
          <w:rFonts w:cs="Segoe UI"/>
          <w:b/>
          <w:szCs w:val="20"/>
        </w:rPr>
        <w:t>do</w:t>
      </w:r>
      <w:r w:rsidRPr="003C1702">
        <w:rPr>
          <w:rFonts w:cs="Segoe UI"/>
          <w:b/>
          <w:szCs w:val="20"/>
        </w:rPr>
        <w:t xml:space="preserve"> prvk</w:t>
      </w:r>
      <w:r w:rsidR="005A30D1">
        <w:rPr>
          <w:rFonts w:cs="Segoe UI"/>
          <w:b/>
          <w:szCs w:val="20"/>
        </w:rPr>
        <w:t>u</w:t>
      </w:r>
      <w:r w:rsidRPr="003C1702">
        <w:rPr>
          <w:rFonts w:cs="Segoe UI"/>
          <w:b/>
          <w:szCs w:val="20"/>
        </w:rPr>
        <w:t xml:space="preserve"> Aparát ministerstva</w:t>
      </w:r>
      <w:r w:rsidRPr="006718AC">
        <w:rPr>
          <w:rFonts w:cs="Segoe UI"/>
          <w:szCs w:val="20"/>
        </w:rPr>
        <w:t xml:space="preserve">, </w:t>
      </w:r>
      <w:r>
        <w:rPr>
          <w:rFonts w:cs="Segoe UI"/>
          <w:szCs w:val="20"/>
        </w:rPr>
        <w:t xml:space="preserve">ktoré spôsobilo medziročný nárast výdavkov programu z 184,3 mil. eur na 1,1 mld. eur. </w:t>
      </w:r>
      <w:r w:rsidRPr="00F779A5">
        <w:rPr>
          <w:rFonts w:cs="Segoe UI"/>
          <w:b/>
          <w:szCs w:val="20"/>
        </w:rPr>
        <w:t xml:space="preserve">NKÚ SR upozorňuje na ich nesprávne zaradenie </w:t>
      </w:r>
      <w:r>
        <w:rPr>
          <w:rFonts w:cs="Segoe UI"/>
          <w:b/>
          <w:szCs w:val="20"/>
        </w:rPr>
        <w:t>v </w:t>
      </w:r>
      <w:r w:rsidR="00DE1013">
        <w:rPr>
          <w:rFonts w:cs="Segoe UI"/>
          <w:b/>
          <w:szCs w:val="20"/>
        </w:rPr>
        <w:t>štruktúre</w:t>
      </w:r>
      <w:r>
        <w:rPr>
          <w:rFonts w:cs="Segoe UI"/>
          <w:b/>
          <w:szCs w:val="20"/>
        </w:rPr>
        <w:t xml:space="preserve"> programového rozpočtovania </w:t>
      </w:r>
      <w:r w:rsidRPr="00F779A5">
        <w:rPr>
          <w:rFonts w:cs="Segoe UI"/>
          <w:b/>
          <w:szCs w:val="20"/>
        </w:rPr>
        <w:t xml:space="preserve">a chýbajúce presné zadefinovanie ich použitia. </w:t>
      </w:r>
      <w:r w:rsidR="00270220" w:rsidRPr="00270220">
        <w:rPr>
          <w:rFonts w:cs="Segoe UI"/>
          <w:szCs w:val="20"/>
        </w:rPr>
        <w:t>A to aj</w:t>
      </w:r>
      <w:r w:rsidR="00270220">
        <w:rPr>
          <w:rFonts w:cs="Segoe UI"/>
          <w:b/>
          <w:szCs w:val="20"/>
        </w:rPr>
        <w:t xml:space="preserve"> </w:t>
      </w:r>
      <w:r w:rsidR="00270220" w:rsidRPr="00270220">
        <w:rPr>
          <w:rFonts w:cs="Segoe UI"/>
          <w:szCs w:val="20"/>
        </w:rPr>
        <w:t>preto, že tieto prostriedky sú určené pre domácnosti na zmiernenie dopadov zvýšených cien energií, nie pre zariadenia a organizácie ministerstva.</w:t>
      </w:r>
    </w:p>
    <w:p w14:paraId="5EFE90FD" w14:textId="4678A4DD" w:rsidR="00FB7690" w:rsidRPr="00672111" w:rsidRDefault="00FB7690" w:rsidP="00FB7690">
      <w:pPr>
        <w:rPr>
          <w:rFonts w:cs="Segoe UI"/>
          <w:b/>
          <w:szCs w:val="20"/>
        </w:rPr>
      </w:pPr>
      <w:r>
        <w:rPr>
          <w:rFonts w:cs="Segoe UI"/>
          <w:szCs w:val="20"/>
        </w:rPr>
        <w:lastRenderedPageBreak/>
        <w:t>V sociálnych polit</w:t>
      </w:r>
      <w:r w:rsidR="00D1721D">
        <w:rPr>
          <w:rFonts w:cs="Segoe UI"/>
          <w:szCs w:val="20"/>
        </w:rPr>
        <w:t>i</w:t>
      </w:r>
      <w:r>
        <w:rPr>
          <w:rFonts w:cs="Segoe UI"/>
          <w:szCs w:val="20"/>
        </w:rPr>
        <w:t>k</w:t>
      </w:r>
      <w:r w:rsidR="00D1721D">
        <w:rPr>
          <w:rFonts w:cs="Segoe UI"/>
          <w:szCs w:val="20"/>
        </w:rPr>
        <w:t>ách</w:t>
      </w:r>
      <w:r>
        <w:rPr>
          <w:rFonts w:cs="Segoe UI"/>
          <w:szCs w:val="20"/>
        </w:rPr>
        <w:t xml:space="preserve"> sa vláda </w:t>
      </w:r>
      <w:r w:rsidR="00C81CC2">
        <w:rPr>
          <w:rFonts w:cs="Segoe UI"/>
          <w:szCs w:val="20"/>
        </w:rPr>
        <w:t xml:space="preserve">v PVV </w:t>
      </w:r>
      <w:r>
        <w:rPr>
          <w:rFonts w:cs="Segoe UI"/>
          <w:szCs w:val="20"/>
        </w:rPr>
        <w:t>zaviazala zlepšiť situáciu v oblastiach rodin</w:t>
      </w:r>
      <w:r w:rsidR="00C81CC2">
        <w:rPr>
          <w:rFonts w:cs="Segoe UI"/>
          <w:szCs w:val="20"/>
        </w:rPr>
        <w:t>y</w:t>
      </w:r>
      <w:r>
        <w:rPr>
          <w:rFonts w:cs="Segoe UI"/>
          <w:szCs w:val="20"/>
        </w:rPr>
        <w:t>, dôchodk</w:t>
      </w:r>
      <w:r w:rsidR="00C81CC2">
        <w:rPr>
          <w:rFonts w:cs="Segoe UI"/>
          <w:szCs w:val="20"/>
        </w:rPr>
        <w:t>ov</w:t>
      </w:r>
      <w:r>
        <w:rPr>
          <w:rFonts w:cs="Segoe UI"/>
          <w:szCs w:val="20"/>
        </w:rPr>
        <w:t xml:space="preserve"> a sociálne</w:t>
      </w:r>
      <w:r w:rsidR="00C81CC2">
        <w:rPr>
          <w:rFonts w:cs="Segoe UI"/>
          <w:szCs w:val="20"/>
        </w:rPr>
        <w:t>ho poistenia</w:t>
      </w:r>
      <w:r>
        <w:rPr>
          <w:rFonts w:cs="Segoe UI"/>
          <w:szCs w:val="20"/>
        </w:rPr>
        <w:t>, zamestnano</w:t>
      </w:r>
      <w:r w:rsidR="00C81CC2">
        <w:rPr>
          <w:rFonts w:cs="Segoe UI"/>
          <w:szCs w:val="20"/>
        </w:rPr>
        <w:t>sti</w:t>
      </w:r>
      <w:r>
        <w:rPr>
          <w:rFonts w:cs="Segoe UI"/>
          <w:szCs w:val="20"/>
        </w:rPr>
        <w:t xml:space="preserve"> a sociáln</w:t>
      </w:r>
      <w:r w:rsidR="00C81CC2">
        <w:rPr>
          <w:rFonts w:cs="Segoe UI"/>
          <w:szCs w:val="20"/>
        </w:rPr>
        <w:t>ych</w:t>
      </w:r>
      <w:r>
        <w:rPr>
          <w:rFonts w:cs="Segoe UI"/>
          <w:szCs w:val="20"/>
        </w:rPr>
        <w:t xml:space="preserve"> služ</w:t>
      </w:r>
      <w:r w:rsidR="00C81CC2">
        <w:rPr>
          <w:rFonts w:cs="Segoe UI"/>
          <w:szCs w:val="20"/>
        </w:rPr>
        <w:t>ie</w:t>
      </w:r>
      <w:r>
        <w:rPr>
          <w:rFonts w:cs="Segoe UI"/>
          <w:szCs w:val="20"/>
        </w:rPr>
        <w:t xml:space="preserve">b. </w:t>
      </w:r>
      <w:r w:rsidR="00672111">
        <w:rPr>
          <w:rFonts w:cs="Segoe UI"/>
          <w:szCs w:val="20"/>
        </w:rPr>
        <w:t>V</w:t>
      </w:r>
      <w:r>
        <w:rPr>
          <w:rFonts w:cs="Segoe UI"/>
          <w:szCs w:val="20"/>
        </w:rPr>
        <w:t xml:space="preserve"> PVV </w:t>
      </w:r>
      <w:r w:rsidR="00672111">
        <w:rPr>
          <w:rFonts w:cs="Segoe UI"/>
          <w:szCs w:val="20"/>
        </w:rPr>
        <w:t xml:space="preserve">síce </w:t>
      </w:r>
      <w:r>
        <w:rPr>
          <w:rFonts w:cs="Segoe UI"/>
          <w:szCs w:val="20"/>
        </w:rPr>
        <w:t>nie sú stanovené ukazovatele, ktorými by sa meral dosiahnutý pokrok v</w:t>
      </w:r>
      <w:r w:rsidR="006718AC">
        <w:rPr>
          <w:rFonts w:cs="Segoe UI"/>
          <w:szCs w:val="20"/>
        </w:rPr>
        <w:t xml:space="preserve"> týchto</w:t>
      </w:r>
      <w:r>
        <w:rPr>
          <w:rFonts w:cs="Segoe UI"/>
          <w:szCs w:val="20"/>
        </w:rPr>
        <w:t xml:space="preserve"> oblasti</w:t>
      </w:r>
      <w:r w:rsidR="006718AC">
        <w:rPr>
          <w:rFonts w:cs="Segoe UI"/>
          <w:szCs w:val="20"/>
        </w:rPr>
        <w:t>ach</w:t>
      </w:r>
      <w:r w:rsidR="00672111">
        <w:rPr>
          <w:rFonts w:cs="Segoe UI"/>
          <w:szCs w:val="20"/>
        </w:rPr>
        <w:t xml:space="preserve">, ale </w:t>
      </w:r>
      <w:r>
        <w:rPr>
          <w:rFonts w:cs="Segoe UI"/>
          <w:szCs w:val="20"/>
        </w:rPr>
        <w:t xml:space="preserve">sú </w:t>
      </w:r>
      <w:r w:rsidR="00672111">
        <w:rPr>
          <w:rFonts w:cs="Segoe UI"/>
          <w:szCs w:val="20"/>
        </w:rPr>
        <w:t>s</w:t>
      </w:r>
      <w:r>
        <w:rPr>
          <w:rFonts w:cs="Segoe UI"/>
          <w:szCs w:val="20"/>
        </w:rPr>
        <w:t>tanovené v návrhu RVS na roky 2023 až 2025 (11 ukazovateľov) a v NPR SR 2022 (</w:t>
      </w:r>
      <w:r w:rsidR="00157B21">
        <w:rPr>
          <w:rFonts w:cs="Segoe UI"/>
          <w:szCs w:val="20"/>
        </w:rPr>
        <w:t>päť</w:t>
      </w:r>
      <w:r>
        <w:rPr>
          <w:rFonts w:cs="Segoe UI"/>
          <w:szCs w:val="20"/>
        </w:rPr>
        <w:t xml:space="preserve"> ukazovateľov). Na </w:t>
      </w:r>
      <w:r w:rsidR="00157B21">
        <w:rPr>
          <w:rFonts w:cs="Segoe UI"/>
          <w:szCs w:val="20"/>
        </w:rPr>
        <w:t xml:space="preserve">úrovni </w:t>
      </w:r>
      <w:r>
        <w:rPr>
          <w:rFonts w:cs="Segoe UI"/>
          <w:szCs w:val="20"/>
        </w:rPr>
        <w:t>EÚ sú pre S</w:t>
      </w:r>
      <w:r w:rsidR="00672111">
        <w:rPr>
          <w:rFonts w:cs="Segoe UI"/>
          <w:szCs w:val="20"/>
        </w:rPr>
        <w:t>R</w:t>
      </w:r>
      <w:r>
        <w:rPr>
          <w:rFonts w:cs="Segoe UI"/>
          <w:szCs w:val="20"/>
        </w:rPr>
        <w:t xml:space="preserve"> záväzné tri ukazovatele určené v Akčnom pláne na realizáciu EPSP do roku 2030</w:t>
      </w:r>
      <w:r w:rsidR="00AC3D1E">
        <w:rPr>
          <w:rFonts w:cs="Segoe UI"/>
          <w:szCs w:val="20"/>
        </w:rPr>
        <w:t>.</w:t>
      </w:r>
      <w:r>
        <w:rPr>
          <w:rStyle w:val="Odkaznapoznmkupodiarou"/>
          <w:rFonts w:cs="Segoe UI"/>
          <w:szCs w:val="20"/>
        </w:rPr>
        <w:footnoteReference w:id="52"/>
      </w:r>
      <w:r w:rsidR="00C81CC2">
        <w:rPr>
          <w:rFonts w:cs="Segoe UI"/>
          <w:szCs w:val="20"/>
        </w:rPr>
        <w:t xml:space="preserve"> Z indikátorov uvedených vo</w:t>
      </w:r>
      <w:r>
        <w:rPr>
          <w:rFonts w:cs="Segoe UI"/>
          <w:szCs w:val="20"/>
        </w:rPr>
        <w:t xml:space="preserve"> všetkých dokumento</w:t>
      </w:r>
      <w:r w:rsidR="00C81CC2">
        <w:rPr>
          <w:rFonts w:cs="Segoe UI"/>
          <w:szCs w:val="20"/>
        </w:rPr>
        <w:t>ch</w:t>
      </w:r>
      <w:r>
        <w:rPr>
          <w:rFonts w:cs="Segoe UI"/>
          <w:szCs w:val="20"/>
        </w:rPr>
        <w:t xml:space="preserve"> sa prelínajú </w:t>
      </w:r>
      <w:r w:rsidR="00C81CC2">
        <w:rPr>
          <w:rFonts w:cs="Segoe UI"/>
          <w:szCs w:val="20"/>
        </w:rPr>
        <w:t>iba</w:t>
      </w:r>
      <w:r>
        <w:rPr>
          <w:rFonts w:cs="Segoe UI"/>
          <w:szCs w:val="20"/>
        </w:rPr>
        <w:t> dv</w:t>
      </w:r>
      <w:r w:rsidR="00C81CC2">
        <w:rPr>
          <w:rFonts w:cs="Segoe UI"/>
          <w:szCs w:val="20"/>
        </w:rPr>
        <w:t>a</w:t>
      </w:r>
      <w:r>
        <w:rPr>
          <w:rFonts w:cs="Segoe UI"/>
          <w:szCs w:val="20"/>
        </w:rPr>
        <w:t>: miera zamestnanosti (skupina 20 – 64 rokov) a miera rizika chudoby alebo sociálneho vylúčenia (po transferoch). Priazniv</w:t>
      </w:r>
      <w:r w:rsidR="00C81CC2">
        <w:rPr>
          <w:rFonts w:cs="Segoe UI"/>
          <w:szCs w:val="20"/>
        </w:rPr>
        <w:t>o sa vyvíja</w:t>
      </w:r>
      <w:r>
        <w:rPr>
          <w:rFonts w:cs="Segoe UI"/>
          <w:szCs w:val="20"/>
        </w:rPr>
        <w:t> mier</w:t>
      </w:r>
      <w:r w:rsidR="00C81CC2">
        <w:rPr>
          <w:rFonts w:cs="Segoe UI"/>
          <w:szCs w:val="20"/>
        </w:rPr>
        <w:t>a</w:t>
      </w:r>
      <w:r>
        <w:rPr>
          <w:rFonts w:cs="Segoe UI"/>
          <w:szCs w:val="20"/>
        </w:rPr>
        <w:t xml:space="preserve"> zamestnanosti, ktorá je nad priemerom EÚ27</w:t>
      </w:r>
      <w:r w:rsidR="00265217">
        <w:rPr>
          <w:rFonts w:cs="Segoe UI"/>
          <w:szCs w:val="20"/>
        </w:rPr>
        <w:t xml:space="preserve"> (graf 1</w:t>
      </w:r>
      <w:r w:rsidR="00B836D4">
        <w:rPr>
          <w:rFonts w:cs="Segoe UI"/>
          <w:szCs w:val="20"/>
        </w:rPr>
        <w:t>7</w:t>
      </w:r>
      <w:r w:rsidR="00265217">
        <w:rPr>
          <w:rFonts w:cs="Segoe UI"/>
          <w:szCs w:val="20"/>
        </w:rPr>
        <w:t>)</w:t>
      </w:r>
      <w:r>
        <w:rPr>
          <w:rFonts w:cs="Segoe UI"/>
          <w:szCs w:val="20"/>
        </w:rPr>
        <w:t xml:space="preserve">. </w:t>
      </w:r>
      <w:r w:rsidR="00C81CC2">
        <w:rPr>
          <w:rFonts w:cs="Segoe UI"/>
          <w:szCs w:val="20"/>
        </w:rPr>
        <w:t>Mi</w:t>
      </w:r>
      <w:r>
        <w:rPr>
          <w:rFonts w:cs="Segoe UI"/>
          <w:szCs w:val="20"/>
        </w:rPr>
        <w:t>era rizika chudoby alebo sociálneho vylúčenia sa v roku 2021 zvýšila o 1,8 p.</w:t>
      </w:r>
      <w:r w:rsidR="00226656">
        <w:rPr>
          <w:rFonts w:cs="Segoe UI"/>
          <w:szCs w:val="20"/>
        </w:rPr>
        <w:t xml:space="preserve"> </w:t>
      </w:r>
      <w:r>
        <w:rPr>
          <w:rFonts w:cs="Segoe UI"/>
          <w:szCs w:val="20"/>
        </w:rPr>
        <w:t>b. na 15,6 %</w:t>
      </w:r>
      <w:r w:rsidR="00672111">
        <w:rPr>
          <w:rFonts w:cs="Segoe UI"/>
          <w:szCs w:val="20"/>
        </w:rPr>
        <w:t xml:space="preserve"> (graf 1</w:t>
      </w:r>
      <w:r w:rsidR="00B836D4">
        <w:rPr>
          <w:rFonts w:cs="Segoe UI"/>
          <w:szCs w:val="20"/>
        </w:rPr>
        <w:t>8</w:t>
      </w:r>
      <w:r w:rsidR="00672111">
        <w:rPr>
          <w:rFonts w:cs="Segoe UI"/>
          <w:szCs w:val="20"/>
        </w:rPr>
        <w:t>),</w:t>
      </w:r>
      <w:r>
        <w:rPr>
          <w:rFonts w:cs="Segoe UI"/>
          <w:szCs w:val="20"/>
        </w:rPr>
        <w:t xml:space="preserve"> aj keď je zaradená medzi najnižšie v EÚ. </w:t>
      </w:r>
      <w:r w:rsidRPr="00F779A5">
        <w:rPr>
          <w:rFonts w:cs="Segoe UI"/>
          <w:b/>
          <w:szCs w:val="20"/>
        </w:rPr>
        <w:t>NKÚ SR odporúča, aby vláda venovala viac pozornosti sociálnej politike,</w:t>
      </w:r>
      <w:r>
        <w:rPr>
          <w:rFonts w:cs="Segoe UI"/>
          <w:szCs w:val="20"/>
        </w:rPr>
        <w:t xml:space="preserve"> </w:t>
      </w:r>
      <w:r w:rsidR="005A30D1" w:rsidRPr="005A30D1">
        <w:rPr>
          <w:rFonts w:cs="Segoe UI"/>
          <w:b/>
          <w:szCs w:val="20"/>
        </w:rPr>
        <w:t>pretože</w:t>
      </w:r>
      <w:r w:rsidRPr="009357D0">
        <w:rPr>
          <w:rFonts w:cs="Segoe UI"/>
          <w:b/>
          <w:szCs w:val="20"/>
        </w:rPr>
        <w:t xml:space="preserve"> </w:t>
      </w:r>
      <w:r w:rsidR="00E373B2">
        <w:rPr>
          <w:rFonts w:cs="Segoe UI"/>
          <w:b/>
          <w:szCs w:val="20"/>
        </w:rPr>
        <w:t xml:space="preserve">sa </w:t>
      </w:r>
      <w:r w:rsidRPr="009357D0">
        <w:rPr>
          <w:rFonts w:cs="Segoe UI"/>
          <w:b/>
          <w:szCs w:val="20"/>
        </w:rPr>
        <w:t xml:space="preserve">v roku 2021 medziročne </w:t>
      </w:r>
      <w:r w:rsidR="00672111">
        <w:rPr>
          <w:rFonts w:cs="Segoe UI"/>
          <w:b/>
          <w:szCs w:val="20"/>
        </w:rPr>
        <w:t>zvýšil</w:t>
      </w:r>
      <w:r w:rsidR="00672111" w:rsidRPr="009357D0">
        <w:rPr>
          <w:rFonts w:cs="Segoe UI"/>
          <w:b/>
          <w:szCs w:val="20"/>
        </w:rPr>
        <w:t> </w:t>
      </w:r>
      <w:r w:rsidRPr="009357D0">
        <w:rPr>
          <w:rFonts w:cs="Segoe UI"/>
          <w:b/>
          <w:szCs w:val="20"/>
        </w:rPr>
        <w:t>počet obyvateľov v riziku chudoby alebo sociálneho vylúčenia o 98 tis</w:t>
      </w:r>
      <w:r w:rsidR="00226656">
        <w:rPr>
          <w:rFonts w:cs="Segoe UI"/>
          <w:b/>
          <w:szCs w:val="20"/>
        </w:rPr>
        <w:t>.</w:t>
      </w:r>
      <w:r w:rsidRPr="009357D0">
        <w:rPr>
          <w:rFonts w:cs="Segoe UI"/>
          <w:b/>
          <w:szCs w:val="20"/>
        </w:rPr>
        <w:t xml:space="preserve"> osôb</w:t>
      </w:r>
      <w:r w:rsidRPr="00672111">
        <w:rPr>
          <w:rFonts w:cs="Segoe UI"/>
          <w:b/>
          <w:szCs w:val="20"/>
        </w:rPr>
        <w:t>.</w:t>
      </w:r>
    </w:p>
    <w:tbl>
      <w:tblPr>
        <w:tblStyle w:val="Mriekatabuky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434"/>
      </w:tblGrid>
      <w:tr w:rsidR="008E05D6" w:rsidRPr="00D40AB4" w14:paraId="0C15A70A" w14:textId="77777777" w:rsidTr="007F7533">
        <w:trPr>
          <w:trHeight w:val="189"/>
        </w:trPr>
        <w:tc>
          <w:tcPr>
            <w:tcW w:w="2432" w:type="pct"/>
            <w:tcBorders>
              <w:bottom w:val="single" w:sz="4" w:space="0" w:color="314364"/>
            </w:tcBorders>
          </w:tcPr>
          <w:p w14:paraId="64A07D65" w14:textId="0E0435D9" w:rsidR="008E05D6" w:rsidRPr="00D40AB4" w:rsidRDefault="008E05D6" w:rsidP="005A30D1">
            <w:pPr>
              <w:pStyle w:val="Popis"/>
              <w:keepNext/>
              <w:jc w:val="left"/>
              <w:rPr>
                <w:color w:val="314364"/>
              </w:rPr>
            </w:pPr>
            <w:r w:rsidRPr="00D40AB4">
              <w:rPr>
                <w:color w:val="314364"/>
              </w:rPr>
              <w:t xml:space="preserve">Graf </w:t>
            </w:r>
            <w:r>
              <w:rPr>
                <w:color w:val="314364"/>
              </w:rPr>
              <w:t>1</w:t>
            </w:r>
            <w:r w:rsidR="0031270C">
              <w:rPr>
                <w:color w:val="314364"/>
              </w:rPr>
              <w:t>7</w:t>
            </w:r>
            <w:r w:rsidRPr="00D40AB4">
              <w:rPr>
                <w:color w:val="314364"/>
              </w:rPr>
              <w:t xml:space="preserve">: </w:t>
            </w:r>
            <w:r>
              <w:rPr>
                <w:color w:val="314364"/>
              </w:rPr>
              <w:t xml:space="preserve">Miera zamestnanosti </w:t>
            </w:r>
            <w:r w:rsidR="003E2E1A">
              <w:rPr>
                <w:color w:val="314364"/>
              </w:rPr>
              <w:br/>
            </w:r>
            <w:r w:rsidRPr="00D40AB4">
              <w:rPr>
                <w:color w:val="314364"/>
              </w:rPr>
              <w:t>(</w:t>
            </w:r>
            <w:r>
              <w:rPr>
                <w:color w:val="314364"/>
              </w:rPr>
              <w:t>%, 20</w:t>
            </w:r>
            <w:r w:rsidR="005A30D1">
              <w:rPr>
                <w:color w:val="314364"/>
              </w:rPr>
              <w:t xml:space="preserve"> – </w:t>
            </w:r>
            <w:r>
              <w:rPr>
                <w:color w:val="314364"/>
              </w:rPr>
              <w:t>64 rokov</w:t>
            </w:r>
            <w:r w:rsidRPr="00D40AB4">
              <w:rPr>
                <w:color w:val="314364"/>
              </w:rPr>
              <w:t>)</w:t>
            </w:r>
          </w:p>
        </w:tc>
        <w:tc>
          <w:tcPr>
            <w:tcW w:w="2568" w:type="pct"/>
            <w:tcBorders>
              <w:bottom w:val="single" w:sz="4" w:space="0" w:color="314364"/>
            </w:tcBorders>
            <w:shd w:val="clear" w:color="auto" w:fill="auto"/>
          </w:tcPr>
          <w:p w14:paraId="670D1BB1" w14:textId="5D0DD0BE" w:rsidR="008E05D6" w:rsidRPr="00D40AB4" w:rsidRDefault="008E05D6" w:rsidP="009169FD">
            <w:pPr>
              <w:pStyle w:val="Popis"/>
              <w:keepNext/>
              <w:jc w:val="left"/>
              <w:rPr>
                <w:color w:val="314364"/>
              </w:rPr>
            </w:pPr>
            <w:r w:rsidRPr="00D40AB4">
              <w:rPr>
                <w:color w:val="314364"/>
              </w:rPr>
              <w:t>Graf</w:t>
            </w:r>
            <w:r>
              <w:rPr>
                <w:color w:val="314364"/>
              </w:rPr>
              <w:t xml:space="preserve"> 1</w:t>
            </w:r>
            <w:r w:rsidR="0031270C">
              <w:rPr>
                <w:color w:val="314364"/>
              </w:rPr>
              <w:t>8</w:t>
            </w:r>
            <w:r w:rsidRPr="00D40AB4">
              <w:rPr>
                <w:color w:val="314364"/>
              </w:rPr>
              <w:t xml:space="preserve">: </w:t>
            </w:r>
            <w:r>
              <w:rPr>
                <w:color w:val="314364"/>
              </w:rPr>
              <w:t>Miera rizika chudoby alebo soc</w:t>
            </w:r>
            <w:r w:rsidR="003E2E1A">
              <w:rPr>
                <w:color w:val="314364"/>
              </w:rPr>
              <w:t>.</w:t>
            </w:r>
            <w:r>
              <w:rPr>
                <w:color w:val="314364"/>
              </w:rPr>
              <w:t xml:space="preserve"> vylúčenia</w:t>
            </w:r>
            <w:r w:rsidRPr="00D40AB4">
              <w:rPr>
                <w:color w:val="314364"/>
              </w:rPr>
              <w:t xml:space="preserve"> (</w:t>
            </w:r>
            <w:r>
              <w:rPr>
                <w:color w:val="314364"/>
              </w:rPr>
              <w:t>po transferoch, % populácie</w:t>
            </w:r>
            <w:r w:rsidRPr="00D40AB4">
              <w:rPr>
                <w:color w:val="314364"/>
              </w:rPr>
              <w:t xml:space="preserve">) </w:t>
            </w:r>
          </w:p>
        </w:tc>
      </w:tr>
      <w:tr w:rsidR="008E05D6" w:rsidRPr="00402675" w14:paraId="74165BBA" w14:textId="77777777" w:rsidTr="007F7533">
        <w:tblPrEx>
          <w:tblCellMar>
            <w:left w:w="70" w:type="dxa"/>
            <w:right w:w="70" w:type="dxa"/>
          </w:tblCellMar>
        </w:tblPrEx>
        <w:trPr>
          <w:trHeight w:val="3402"/>
        </w:trPr>
        <w:tc>
          <w:tcPr>
            <w:tcW w:w="2432" w:type="pct"/>
            <w:tcBorders>
              <w:top w:val="single" w:sz="4" w:space="0" w:color="314364"/>
              <w:bottom w:val="single" w:sz="4" w:space="0" w:color="314364"/>
            </w:tcBorders>
            <w:vAlign w:val="center"/>
          </w:tcPr>
          <w:p w14:paraId="5E3B15DA" w14:textId="2DC21F59" w:rsidR="008E05D6" w:rsidRDefault="008E05D6" w:rsidP="009169FD">
            <w:pPr>
              <w:spacing w:after="0"/>
              <w:rPr>
                <w:noProof/>
                <w:lang w:eastAsia="sk-SK"/>
              </w:rPr>
            </w:pPr>
            <w:r>
              <w:rPr>
                <w:noProof/>
                <w:lang w:eastAsia="sk-SK"/>
              </w:rPr>
              <w:drawing>
                <wp:inline distT="0" distB="0" distL="0" distR="0" wp14:anchorId="0B3962EA" wp14:editId="63EBC4A4">
                  <wp:extent cx="2887980" cy="2125980"/>
                  <wp:effectExtent l="0" t="0" r="7620" b="762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2568" w:type="pct"/>
            <w:tcBorders>
              <w:top w:val="single" w:sz="4" w:space="0" w:color="314364"/>
              <w:bottom w:val="single" w:sz="4" w:space="0" w:color="314364"/>
            </w:tcBorders>
            <w:vAlign w:val="center"/>
          </w:tcPr>
          <w:p w14:paraId="35B5D3EB" w14:textId="49DE7E92" w:rsidR="008E05D6" w:rsidRPr="00402675" w:rsidRDefault="008E05D6" w:rsidP="009169FD">
            <w:pPr>
              <w:spacing w:after="0"/>
              <w:rPr>
                <w:rFonts w:cs="Segoe UI"/>
                <w:b/>
                <w:szCs w:val="20"/>
              </w:rPr>
            </w:pPr>
            <w:r>
              <w:rPr>
                <w:noProof/>
                <w:lang w:eastAsia="sk-SK"/>
              </w:rPr>
              <w:drawing>
                <wp:inline distT="0" distB="0" distL="0" distR="0" wp14:anchorId="200F748E" wp14:editId="1F03C7BA">
                  <wp:extent cx="2766060" cy="2125980"/>
                  <wp:effectExtent l="0" t="0" r="0" b="762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18C9D693" w14:textId="77777777" w:rsidR="00FB7690" w:rsidRPr="00D40AB4" w:rsidRDefault="00FB7690" w:rsidP="00FB7690">
      <w:pPr>
        <w:pStyle w:val="Zdroj"/>
      </w:pPr>
      <w:r>
        <w:t>Zdroj: Eurostat</w:t>
      </w:r>
    </w:p>
    <w:p w14:paraId="428B99A7" w14:textId="7350475A" w:rsidR="00FB7690" w:rsidRDefault="00FB7690" w:rsidP="00D1721D">
      <w:pPr>
        <w:rPr>
          <w:rFonts w:cs="Segoe UI"/>
          <w:szCs w:val="20"/>
        </w:rPr>
      </w:pPr>
      <w:r>
        <w:rPr>
          <w:rFonts w:cs="Segoe UI"/>
          <w:szCs w:val="20"/>
        </w:rPr>
        <w:t>Z hľadiska významnosti položiek rozpočtu a uskutočnených legislatívnych zmien je najväčšia pozornosť venovaná podpor</w:t>
      </w:r>
      <w:r w:rsidR="00265217">
        <w:rPr>
          <w:rFonts w:cs="Segoe UI"/>
          <w:szCs w:val="20"/>
        </w:rPr>
        <w:t>e rodiny a dôchodkovej reforme.</w:t>
      </w:r>
      <w:r w:rsidR="006718AC">
        <w:rPr>
          <w:rFonts w:cs="Segoe UI"/>
          <w:szCs w:val="20"/>
        </w:rPr>
        <w:t xml:space="preserve"> </w:t>
      </w:r>
      <w:r>
        <w:rPr>
          <w:rFonts w:cs="Segoe UI"/>
          <w:szCs w:val="20"/>
        </w:rPr>
        <w:t xml:space="preserve">Vláda sa zaviazala podporovať rodinu ako základnú bunku spoločnosti; podarilo sa zaviesť inštitút otcovskej dovolenky pri narodení dieťaťa, zvýšiť rodinné prídavky a daňový bonus, valorizovať dávky, ktoré sú naviazané na výšku životného minima a pod. </w:t>
      </w:r>
      <w:r w:rsidRPr="00F779A5">
        <w:rPr>
          <w:rFonts w:cs="Segoe UI"/>
          <w:b/>
          <w:szCs w:val="20"/>
        </w:rPr>
        <w:t xml:space="preserve">Celkové výdavky na podporu rodiny vrátane štátom plateného poistného </w:t>
      </w:r>
      <w:r w:rsidRPr="006718AC">
        <w:rPr>
          <w:rFonts w:cs="Segoe UI"/>
          <w:szCs w:val="20"/>
        </w:rPr>
        <w:t>(460,8 mil. eur)</w:t>
      </w:r>
      <w:r w:rsidRPr="00F779A5">
        <w:rPr>
          <w:rFonts w:cs="Segoe UI"/>
          <w:b/>
          <w:szCs w:val="20"/>
        </w:rPr>
        <w:t xml:space="preserve"> sú rozpočtované v historicky najvyššej sume 1,7 mld. eur</w:t>
      </w:r>
      <w:r w:rsidRPr="005A30D1">
        <w:rPr>
          <w:rFonts w:cs="Segoe UI"/>
          <w:szCs w:val="20"/>
        </w:rPr>
        <w:t>.</w:t>
      </w:r>
      <w:r>
        <w:rPr>
          <w:rFonts w:cs="Segoe UI"/>
          <w:szCs w:val="20"/>
        </w:rPr>
        <w:t xml:space="preserve"> Objemovo najväčšími položkami sú valorizovaný rodičovský príspevok (649 mil. eur) a zvýšený prídavok na dieťa (536,1 mil. eur).</w:t>
      </w:r>
      <w:r w:rsidR="009C6D23" w:rsidRPr="009C6D23">
        <w:rPr>
          <w:rFonts w:cs="Segoe UI"/>
          <w:szCs w:val="20"/>
        </w:rPr>
        <w:t xml:space="preserve"> </w:t>
      </w:r>
      <w:r w:rsidR="009C6D23">
        <w:rPr>
          <w:rFonts w:cs="Segoe UI"/>
          <w:szCs w:val="20"/>
        </w:rPr>
        <w:t xml:space="preserve">V návrhu rozpočtu kapitoly sa nepočíta so zmenami, prijatými NR SR v novembri 2022 (zvýšenie prídavku na dieťa na 60 eur/mesiac a opätovné zavedenie jednorazového zvýšenia prídavku na dieťa pri nástupe do 1. ročníka základnej školy na 110 eur). </w:t>
      </w:r>
      <w:r w:rsidR="009C6D23" w:rsidRPr="009C6D23">
        <w:rPr>
          <w:rFonts w:cs="Segoe UI"/>
          <w:b/>
          <w:szCs w:val="20"/>
        </w:rPr>
        <w:t>NKÚ SR upozorňuje na riziko chýbajúceho rozpočtového krytia nových výdavkov na rodinnú politiku.</w:t>
      </w:r>
    </w:p>
    <w:p w14:paraId="213DC717" w14:textId="1EEF1667" w:rsidR="00EE121E" w:rsidRDefault="00FB7690" w:rsidP="00EE121E">
      <w:pPr>
        <w:rPr>
          <w:rFonts w:cs="Segoe UI"/>
          <w:szCs w:val="20"/>
        </w:rPr>
      </w:pPr>
      <w:r>
        <w:rPr>
          <w:rFonts w:cs="Segoe UI"/>
          <w:szCs w:val="20"/>
        </w:rPr>
        <w:t xml:space="preserve">V oblasti dôchodkov je hlavnou témou dlhodobá udržateľnosť dôchodkového systému. </w:t>
      </w:r>
      <w:r w:rsidRPr="00CF0571">
        <w:rPr>
          <w:rFonts w:cs="Segoe UI"/>
          <w:b/>
          <w:szCs w:val="20"/>
        </w:rPr>
        <w:t xml:space="preserve">Vláda SR presadila dôchodkovú reformu s viacerými opatreniami v I. pilieri, ktoré budú platiť v nasledujúcom roku </w:t>
      </w:r>
      <w:r w:rsidRPr="00265217">
        <w:rPr>
          <w:rFonts w:cs="Segoe UI"/>
          <w:szCs w:val="20"/>
        </w:rPr>
        <w:t xml:space="preserve">(rodičovský bonus, rast dôchodkového veku v závislosti od strednej dĺžky života, zníženie rastu aktuálnej dôchodkovej hodnoty na 95 % rastu priemernej mzdy v hospodárstve, </w:t>
      </w:r>
      <w:r w:rsidRPr="00265217">
        <w:rPr>
          <w:rFonts w:cs="Segoe UI"/>
          <w:szCs w:val="20"/>
        </w:rPr>
        <w:lastRenderedPageBreak/>
        <w:t>predčasný dôchodok po odpracovaní 40 rokov).</w:t>
      </w:r>
      <w:r>
        <w:rPr>
          <w:rFonts w:cs="Segoe UI"/>
          <w:szCs w:val="20"/>
        </w:rPr>
        <w:t xml:space="preserve"> </w:t>
      </w:r>
      <w:r w:rsidR="00297931" w:rsidRPr="00297931">
        <w:rPr>
          <w:rFonts w:cs="Segoe UI"/>
          <w:szCs w:val="20"/>
        </w:rPr>
        <w:t>V II. pilieri došlo k dočasnému zmrazeniu sadzieb odvodov na starobné dôchodkové sporenie, ktoré zostanú nasledujúce dva roky v rovnakej výške 5,5 %</w:t>
      </w:r>
      <w:r w:rsidR="00630B37">
        <w:rPr>
          <w:rFonts w:cs="Segoe UI"/>
          <w:szCs w:val="20"/>
        </w:rPr>
        <w:t>.</w:t>
      </w:r>
      <w:r w:rsidR="00297931" w:rsidRPr="00297931">
        <w:rPr>
          <w:rFonts w:cs="Segoe UI"/>
          <w:szCs w:val="20"/>
        </w:rPr>
        <w:t xml:space="preserve"> </w:t>
      </w:r>
      <w:r w:rsidR="00630B37">
        <w:rPr>
          <w:rFonts w:cs="Segoe UI"/>
          <w:szCs w:val="20"/>
        </w:rPr>
        <w:t>N</w:t>
      </w:r>
      <w:r w:rsidR="00297931" w:rsidRPr="00297931">
        <w:rPr>
          <w:rFonts w:cs="Segoe UI"/>
          <w:szCs w:val="20"/>
        </w:rPr>
        <w:t>a úroveň 6 % sa dostanú až v roku 2027.</w:t>
      </w:r>
      <w:r w:rsidR="00297931" w:rsidRPr="00297931">
        <w:rPr>
          <w:rStyle w:val="Odkaznapoznmkupodiarou"/>
          <w:rFonts w:cs="Segoe UI"/>
          <w:szCs w:val="20"/>
        </w:rPr>
        <w:footnoteReference w:id="53"/>
      </w:r>
      <w:r w:rsidR="00297931">
        <w:rPr>
          <w:rFonts w:cs="Segoe UI"/>
          <w:szCs w:val="20"/>
        </w:rPr>
        <w:t xml:space="preserve"> </w:t>
      </w:r>
      <w:r w:rsidR="00EE121E">
        <w:rPr>
          <w:rFonts w:cs="Segoe UI"/>
          <w:szCs w:val="20"/>
        </w:rPr>
        <w:t>Druhá časť dôchodkovej reformy, prijatá novelou zákona o starobnom dôchodkovom sporení, prináša zmeny, ktoré budú mať zásadný vplyv na výšku dôchodkov z II. piliera</w:t>
      </w:r>
      <w:r w:rsidR="00630B37">
        <w:rPr>
          <w:rFonts w:cs="Segoe UI"/>
          <w:szCs w:val="20"/>
        </w:rPr>
        <w:t>.</w:t>
      </w:r>
      <w:r w:rsidR="00630B37">
        <w:rPr>
          <w:rStyle w:val="Odkaznapoznmkupodiarou"/>
          <w:rFonts w:cs="Segoe UI"/>
          <w:szCs w:val="20"/>
        </w:rPr>
        <w:footnoteReference w:id="54"/>
      </w:r>
    </w:p>
    <w:p w14:paraId="009263FA" w14:textId="0F8C319B" w:rsidR="00FB7690" w:rsidRPr="00D1702B" w:rsidRDefault="00FB7690" w:rsidP="00D1721D">
      <w:pPr>
        <w:rPr>
          <w:rFonts w:cs="Segoe UI"/>
          <w:szCs w:val="20"/>
        </w:rPr>
      </w:pPr>
      <w:r>
        <w:rPr>
          <w:rFonts w:cs="Segoe UI"/>
          <w:szCs w:val="20"/>
        </w:rPr>
        <w:t>NKÚ SR v tejto súvislosti upozorňuje, že podmienkou pre predlžovanie veku odchodu do dôchodku je, aby sa občania mohli zamestnať a byť produktívni aj vo vyššom veku, čo predpokladá prístup k celoživotnému vzdelávaniu a kvalitnej zdravotnej starostlivosti. Na</w:t>
      </w:r>
      <w:r w:rsidR="00E373B2">
        <w:rPr>
          <w:rFonts w:cs="Segoe UI"/>
          <w:szCs w:val="20"/>
        </w:rPr>
        <w:t xml:space="preserve"> druhej strane</w:t>
      </w:r>
      <w:r>
        <w:rPr>
          <w:rFonts w:cs="Segoe UI"/>
          <w:szCs w:val="20"/>
        </w:rPr>
        <w:t>, v</w:t>
      </w:r>
      <w:r w:rsidRPr="00D1702B">
        <w:rPr>
          <w:rFonts w:cs="Segoe UI"/>
          <w:szCs w:val="20"/>
        </w:rPr>
        <w:t>zhľadom na súčasnú energetickú krízu</w:t>
      </w:r>
      <w:r>
        <w:rPr>
          <w:rFonts w:cs="Segoe UI"/>
          <w:szCs w:val="20"/>
        </w:rPr>
        <w:t xml:space="preserve"> a</w:t>
      </w:r>
      <w:r w:rsidRPr="00D1702B">
        <w:rPr>
          <w:rFonts w:cs="Segoe UI"/>
          <w:szCs w:val="20"/>
        </w:rPr>
        <w:t xml:space="preserve"> vysokú infláciu</w:t>
      </w:r>
      <w:r>
        <w:rPr>
          <w:rFonts w:cs="Segoe UI"/>
          <w:szCs w:val="20"/>
        </w:rPr>
        <w:t>,</w:t>
      </w:r>
      <w:r w:rsidRPr="00D1702B">
        <w:rPr>
          <w:rFonts w:cs="Segoe UI"/>
          <w:szCs w:val="20"/>
        </w:rPr>
        <w:t xml:space="preserve"> rast dôchodkov </w:t>
      </w:r>
      <w:r>
        <w:rPr>
          <w:rFonts w:cs="Segoe UI"/>
          <w:szCs w:val="20"/>
        </w:rPr>
        <w:t>pravdepodobne</w:t>
      </w:r>
      <w:r w:rsidRPr="00D1702B">
        <w:rPr>
          <w:rFonts w:cs="Segoe UI"/>
          <w:szCs w:val="20"/>
        </w:rPr>
        <w:t> nedokáže pokryť náklady domácnost</w:t>
      </w:r>
      <w:r w:rsidR="00265217">
        <w:rPr>
          <w:rFonts w:cs="Segoe UI"/>
          <w:szCs w:val="20"/>
        </w:rPr>
        <w:t>í</w:t>
      </w:r>
      <w:r w:rsidRPr="00D1702B">
        <w:rPr>
          <w:rFonts w:cs="Segoe UI"/>
          <w:szCs w:val="20"/>
        </w:rPr>
        <w:t xml:space="preserve"> dôchodcov.  Zmierniť by to mohol 13. dôchodok, s ktorým sa ráta v rozpočte aj na budúci</w:t>
      </w:r>
      <w:r>
        <w:rPr>
          <w:rFonts w:cs="Segoe UI"/>
          <w:szCs w:val="20"/>
        </w:rPr>
        <w:t xml:space="preserve"> rok v sume 310 mil. eur</w:t>
      </w:r>
      <w:r w:rsidRPr="00D1702B">
        <w:rPr>
          <w:rFonts w:cs="Segoe UI"/>
          <w:szCs w:val="20"/>
        </w:rPr>
        <w:t>.</w:t>
      </w:r>
    </w:p>
    <w:p w14:paraId="0B122C2A" w14:textId="13BFD05F" w:rsidR="00FB7690" w:rsidRDefault="00FB7690" w:rsidP="00D1721D">
      <w:pPr>
        <w:pStyle w:val="Normlnywebov"/>
        <w:spacing w:before="0" w:beforeAutospacing="0" w:after="120" w:afterAutospacing="0" w:line="276" w:lineRule="auto"/>
        <w:jc w:val="both"/>
        <w:textAlignment w:val="baseline"/>
        <w:rPr>
          <w:rFonts w:ascii="Segoe UI" w:hAnsi="Segoe UI" w:cs="Segoe UI"/>
          <w:b/>
          <w:sz w:val="20"/>
          <w:szCs w:val="20"/>
        </w:rPr>
      </w:pPr>
      <w:r>
        <w:rPr>
          <w:rFonts w:ascii="Segoe UI" w:hAnsi="Segoe UI" w:cs="Segoe UI"/>
          <w:sz w:val="20"/>
          <w:szCs w:val="20"/>
        </w:rPr>
        <w:t>V sociálnom poistení sa počíta s rastom príjmov</w:t>
      </w:r>
      <w:r w:rsidRPr="003E1FDF">
        <w:rPr>
          <w:rFonts w:ascii="Segoe UI" w:hAnsi="Segoe UI" w:cs="Segoe UI"/>
          <w:sz w:val="20"/>
          <w:szCs w:val="20"/>
        </w:rPr>
        <w:t xml:space="preserve"> </w:t>
      </w:r>
      <w:r>
        <w:rPr>
          <w:rFonts w:ascii="Segoe UI" w:hAnsi="Segoe UI" w:cs="Segoe UI"/>
          <w:sz w:val="20"/>
          <w:szCs w:val="20"/>
        </w:rPr>
        <w:t xml:space="preserve">SP </w:t>
      </w:r>
      <w:r w:rsidRPr="003E1FDF">
        <w:rPr>
          <w:rFonts w:ascii="Segoe UI" w:hAnsi="Segoe UI" w:cs="Segoe UI"/>
          <w:sz w:val="20"/>
          <w:szCs w:val="20"/>
        </w:rPr>
        <w:t>o</w:t>
      </w:r>
      <w:r>
        <w:rPr>
          <w:rFonts w:ascii="Segoe UI" w:hAnsi="Segoe UI" w:cs="Segoe UI"/>
          <w:sz w:val="20"/>
          <w:szCs w:val="20"/>
        </w:rPr>
        <w:t> 14,2 % oproti predchádzajúcemu roku (</w:t>
      </w:r>
      <w:r w:rsidRPr="003E1FDF">
        <w:rPr>
          <w:rFonts w:ascii="Segoe UI" w:hAnsi="Segoe UI" w:cs="Segoe UI"/>
          <w:sz w:val="20"/>
          <w:szCs w:val="20"/>
        </w:rPr>
        <w:t>1</w:t>
      </w:r>
      <w:r>
        <w:rPr>
          <w:rFonts w:ascii="Segoe UI" w:hAnsi="Segoe UI" w:cs="Segoe UI"/>
          <w:sz w:val="20"/>
          <w:szCs w:val="20"/>
        </w:rPr>
        <w:t>1</w:t>
      </w:r>
      <w:r w:rsidRPr="003E1FDF">
        <w:rPr>
          <w:rFonts w:ascii="Segoe UI" w:hAnsi="Segoe UI" w:cs="Segoe UI"/>
          <w:sz w:val="20"/>
          <w:szCs w:val="20"/>
        </w:rPr>
        <w:t>,</w:t>
      </w:r>
      <w:r>
        <w:rPr>
          <w:rFonts w:ascii="Segoe UI" w:hAnsi="Segoe UI" w:cs="Segoe UI"/>
          <w:sz w:val="20"/>
          <w:szCs w:val="20"/>
        </w:rPr>
        <w:t>9</w:t>
      </w:r>
      <w:r w:rsidRPr="003E1FDF">
        <w:rPr>
          <w:rFonts w:ascii="Segoe UI" w:hAnsi="Segoe UI" w:cs="Segoe UI"/>
          <w:sz w:val="20"/>
          <w:szCs w:val="20"/>
        </w:rPr>
        <w:t xml:space="preserve"> mld. eur</w:t>
      </w:r>
      <w:r>
        <w:rPr>
          <w:rFonts w:ascii="Segoe UI" w:hAnsi="Segoe UI" w:cs="Segoe UI"/>
          <w:sz w:val="20"/>
          <w:szCs w:val="20"/>
        </w:rPr>
        <w:t>), z nich až 85 %</w:t>
      </w:r>
      <w:r w:rsidRPr="003E1FDF">
        <w:rPr>
          <w:rFonts w:ascii="Segoe UI" w:hAnsi="Segoe UI" w:cs="Segoe UI"/>
          <w:sz w:val="20"/>
          <w:szCs w:val="20"/>
        </w:rPr>
        <w:t xml:space="preserve"> </w:t>
      </w:r>
      <w:r>
        <w:rPr>
          <w:rFonts w:ascii="Segoe UI" w:hAnsi="Segoe UI" w:cs="Segoe UI"/>
          <w:sz w:val="20"/>
          <w:szCs w:val="20"/>
        </w:rPr>
        <w:t>budú tvoriť</w:t>
      </w:r>
      <w:r w:rsidRPr="003E1FDF">
        <w:rPr>
          <w:rFonts w:ascii="Segoe UI" w:hAnsi="Segoe UI" w:cs="Segoe UI"/>
          <w:sz w:val="20"/>
          <w:szCs w:val="20"/>
        </w:rPr>
        <w:t xml:space="preserve"> príjmy z poistného od ekonomicky </w:t>
      </w:r>
      <w:r>
        <w:rPr>
          <w:rFonts w:ascii="Segoe UI" w:hAnsi="Segoe UI" w:cs="Segoe UI"/>
          <w:sz w:val="20"/>
          <w:szCs w:val="20"/>
        </w:rPr>
        <w:t>aktívneho obyvateľstva (</w:t>
      </w:r>
      <w:r w:rsidRPr="003E1FDF">
        <w:rPr>
          <w:rFonts w:ascii="Segoe UI" w:hAnsi="Segoe UI" w:cs="Segoe UI"/>
          <w:sz w:val="20"/>
          <w:szCs w:val="20"/>
        </w:rPr>
        <w:t>10,1 mld. eur</w:t>
      </w:r>
      <w:r>
        <w:rPr>
          <w:rFonts w:ascii="Segoe UI" w:hAnsi="Segoe UI" w:cs="Segoe UI"/>
          <w:sz w:val="20"/>
          <w:szCs w:val="20"/>
        </w:rPr>
        <w:t>)</w:t>
      </w:r>
      <w:r w:rsidRPr="003E1FDF">
        <w:rPr>
          <w:rFonts w:ascii="Segoe UI" w:hAnsi="Segoe UI" w:cs="Segoe UI"/>
          <w:sz w:val="20"/>
          <w:szCs w:val="20"/>
        </w:rPr>
        <w:t>.</w:t>
      </w:r>
      <w:r>
        <w:rPr>
          <w:rFonts w:ascii="Segoe UI" w:hAnsi="Segoe UI" w:cs="Segoe UI"/>
          <w:sz w:val="20"/>
          <w:szCs w:val="20"/>
        </w:rPr>
        <w:t xml:space="preserve"> V</w:t>
      </w:r>
      <w:r w:rsidRPr="003E1FDF">
        <w:rPr>
          <w:rFonts w:ascii="Segoe UI" w:hAnsi="Segoe UI" w:cs="Segoe UI"/>
          <w:sz w:val="20"/>
          <w:szCs w:val="20"/>
        </w:rPr>
        <w:t xml:space="preserve">ýdavky SP </w:t>
      </w:r>
      <w:r>
        <w:rPr>
          <w:rFonts w:ascii="Segoe UI" w:hAnsi="Segoe UI" w:cs="Segoe UI"/>
          <w:sz w:val="20"/>
          <w:szCs w:val="20"/>
        </w:rPr>
        <w:t>m</w:t>
      </w:r>
      <w:r w:rsidRPr="003E1FDF">
        <w:rPr>
          <w:rFonts w:ascii="Segoe UI" w:hAnsi="Segoe UI" w:cs="Segoe UI"/>
          <w:sz w:val="20"/>
          <w:szCs w:val="20"/>
        </w:rPr>
        <w:t xml:space="preserve">edziročne </w:t>
      </w:r>
      <w:r>
        <w:rPr>
          <w:rFonts w:ascii="Segoe UI" w:hAnsi="Segoe UI" w:cs="Segoe UI"/>
          <w:sz w:val="20"/>
          <w:szCs w:val="20"/>
        </w:rPr>
        <w:t xml:space="preserve">vrastú </w:t>
      </w:r>
      <w:r w:rsidRPr="003E1FDF">
        <w:rPr>
          <w:rFonts w:ascii="Segoe UI" w:hAnsi="Segoe UI" w:cs="Segoe UI"/>
          <w:sz w:val="20"/>
          <w:szCs w:val="20"/>
        </w:rPr>
        <w:t>o</w:t>
      </w:r>
      <w:r>
        <w:rPr>
          <w:rFonts w:ascii="Segoe UI" w:hAnsi="Segoe UI" w:cs="Segoe UI"/>
          <w:sz w:val="20"/>
          <w:szCs w:val="20"/>
        </w:rPr>
        <w:t> 11,9 % (</w:t>
      </w:r>
      <w:r w:rsidRPr="003E1FDF">
        <w:rPr>
          <w:rFonts w:ascii="Segoe UI" w:hAnsi="Segoe UI" w:cs="Segoe UI"/>
          <w:sz w:val="20"/>
          <w:szCs w:val="20"/>
        </w:rPr>
        <w:t>11,1 mld. eur</w:t>
      </w:r>
      <w:r>
        <w:rPr>
          <w:rFonts w:ascii="Segoe UI" w:hAnsi="Segoe UI" w:cs="Segoe UI"/>
          <w:sz w:val="20"/>
          <w:szCs w:val="20"/>
        </w:rPr>
        <w:t>)</w:t>
      </w:r>
      <w:r w:rsidRPr="003E1FDF">
        <w:rPr>
          <w:rFonts w:ascii="Segoe UI" w:hAnsi="Segoe UI" w:cs="Segoe UI"/>
          <w:sz w:val="20"/>
          <w:szCs w:val="20"/>
        </w:rPr>
        <w:t xml:space="preserve">, </w:t>
      </w:r>
      <w:r>
        <w:rPr>
          <w:rFonts w:ascii="Segoe UI" w:hAnsi="Segoe UI" w:cs="Segoe UI"/>
          <w:sz w:val="20"/>
          <w:szCs w:val="20"/>
        </w:rPr>
        <w:t>rozhodujúcu časť</w:t>
      </w:r>
      <w:r w:rsidR="0045165B">
        <w:rPr>
          <w:rFonts w:ascii="Segoe UI" w:hAnsi="Segoe UI" w:cs="Segoe UI"/>
          <w:sz w:val="20"/>
          <w:szCs w:val="20"/>
        </w:rPr>
        <w:t>,</w:t>
      </w:r>
      <w:r>
        <w:rPr>
          <w:rFonts w:ascii="Segoe UI" w:hAnsi="Segoe UI" w:cs="Segoe UI"/>
          <w:sz w:val="20"/>
          <w:szCs w:val="20"/>
        </w:rPr>
        <w:t xml:space="preserve"> až 97,7 %</w:t>
      </w:r>
      <w:r w:rsidR="0045165B">
        <w:rPr>
          <w:rFonts w:ascii="Segoe UI" w:hAnsi="Segoe UI" w:cs="Segoe UI"/>
          <w:sz w:val="20"/>
          <w:szCs w:val="20"/>
        </w:rPr>
        <w:t>,</w:t>
      </w:r>
      <w:r>
        <w:rPr>
          <w:rFonts w:ascii="Segoe UI" w:hAnsi="Segoe UI" w:cs="Segoe UI"/>
          <w:sz w:val="20"/>
          <w:szCs w:val="20"/>
        </w:rPr>
        <w:t xml:space="preserve"> budú tvoriť </w:t>
      </w:r>
      <w:r w:rsidRPr="003E1FDF">
        <w:rPr>
          <w:rFonts w:ascii="Segoe UI" w:hAnsi="Segoe UI" w:cs="Segoe UI"/>
          <w:sz w:val="20"/>
          <w:szCs w:val="20"/>
        </w:rPr>
        <w:t xml:space="preserve">výdavky na poistenie </w:t>
      </w:r>
      <w:r>
        <w:rPr>
          <w:rFonts w:ascii="Segoe UI" w:hAnsi="Segoe UI" w:cs="Segoe UI"/>
          <w:sz w:val="20"/>
          <w:szCs w:val="20"/>
        </w:rPr>
        <w:t>(10,8 mld. eur). V budúcoročnom rozpočte sa počíta s</w:t>
      </w:r>
      <w:r w:rsidRPr="003E1FDF">
        <w:rPr>
          <w:rFonts w:ascii="Segoe UI" w:hAnsi="Segoe UI" w:cs="Segoe UI"/>
          <w:sz w:val="20"/>
          <w:szCs w:val="20"/>
        </w:rPr>
        <w:t xml:space="preserve"> nižš</w:t>
      </w:r>
      <w:r>
        <w:rPr>
          <w:rFonts w:ascii="Segoe UI" w:hAnsi="Segoe UI" w:cs="Segoe UI"/>
          <w:sz w:val="20"/>
          <w:szCs w:val="20"/>
        </w:rPr>
        <w:t>ím</w:t>
      </w:r>
      <w:r w:rsidRPr="003E1FDF">
        <w:rPr>
          <w:rFonts w:ascii="Segoe UI" w:hAnsi="Segoe UI" w:cs="Segoe UI"/>
          <w:sz w:val="20"/>
          <w:szCs w:val="20"/>
        </w:rPr>
        <w:t xml:space="preserve"> čerpan</w:t>
      </w:r>
      <w:r>
        <w:rPr>
          <w:rFonts w:ascii="Segoe UI" w:hAnsi="Segoe UI" w:cs="Segoe UI"/>
          <w:sz w:val="20"/>
          <w:szCs w:val="20"/>
        </w:rPr>
        <w:t>ím</w:t>
      </w:r>
      <w:r w:rsidRPr="003E1FDF">
        <w:rPr>
          <w:rFonts w:ascii="Segoe UI" w:hAnsi="Segoe UI" w:cs="Segoe UI"/>
          <w:sz w:val="20"/>
          <w:szCs w:val="20"/>
        </w:rPr>
        <w:t xml:space="preserve">  výdavkov na poistenie v nezamestnanosti </w:t>
      </w:r>
      <w:r w:rsidR="00265217">
        <w:rPr>
          <w:rFonts w:ascii="Segoe UI" w:hAnsi="Segoe UI" w:cs="Segoe UI"/>
          <w:sz w:val="20"/>
          <w:szCs w:val="20"/>
        </w:rPr>
        <w:t>kvôli priaznivej situácii</w:t>
      </w:r>
      <w:r>
        <w:rPr>
          <w:rFonts w:ascii="Segoe UI" w:hAnsi="Segoe UI" w:cs="Segoe UI"/>
          <w:sz w:val="20"/>
          <w:szCs w:val="20"/>
        </w:rPr>
        <w:t xml:space="preserve"> na trhu práce. Výdavky na tzv. </w:t>
      </w:r>
      <w:proofErr w:type="spellStart"/>
      <w:r>
        <w:rPr>
          <w:rFonts w:ascii="Segoe UI" w:hAnsi="Segoe UI" w:cs="Segoe UI"/>
          <w:sz w:val="20"/>
          <w:szCs w:val="20"/>
        </w:rPr>
        <w:t>kurzarbeit</w:t>
      </w:r>
      <w:proofErr w:type="spellEnd"/>
      <w:r>
        <w:rPr>
          <w:rFonts w:ascii="Segoe UI" w:hAnsi="Segoe UI" w:cs="Segoe UI"/>
          <w:sz w:val="20"/>
          <w:szCs w:val="20"/>
        </w:rPr>
        <w:t xml:space="preserve">, plánované v sume 20 mil. eur, sa ukazujú už dnes ako nedostatočné. Pandemické dávky nemocenské a ošetrovné sa poskytovať nebudú. V dôchodkových dávkach je premietnuté ich zvýšenie o 11,8 % (oproti 1,3 % v minulom roku) naviazané na medziročný rast spotrebiteľských cien domácností dôchodcov. </w:t>
      </w:r>
      <w:r w:rsidR="00265217" w:rsidRPr="008A269E">
        <w:rPr>
          <w:rFonts w:ascii="Segoe UI" w:hAnsi="Segoe UI" w:cs="Segoe UI"/>
          <w:sz w:val="20"/>
          <w:szCs w:val="20"/>
        </w:rPr>
        <w:t>Z dôvodu očakávaného vyššieho výberu poistného nie je po</w:t>
      </w:r>
      <w:r w:rsidRPr="008A269E">
        <w:rPr>
          <w:rFonts w:ascii="Segoe UI" w:hAnsi="Segoe UI" w:cs="Segoe UI"/>
          <w:sz w:val="20"/>
          <w:szCs w:val="20"/>
        </w:rPr>
        <w:t xml:space="preserve"> niekoľkých rokoch v rozpočte SP plánovaný transfer zo ŠR na krytie defici</w:t>
      </w:r>
      <w:r w:rsidR="00016FD0" w:rsidRPr="008A269E">
        <w:rPr>
          <w:rFonts w:ascii="Segoe UI" w:hAnsi="Segoe UI" w:cs="Segoe UI"/>
          <w:sz w:val="20"/>
          <w:szCs w:val="20"/>
        </w:rPr>
        <w:t>tu účtu dôchodkového poistenia.</w:t>
      </w:r>
      <w:r w:rsidR="008A269E" w:rsidRPr="008A269E">
        <w:t xml:space="preserve"> </w:t>
      </w:r>
      <w:r w:rsidR="008A269E" w:rsidRPr="008A269E">
        <w:rPr>
          <w:rFonts w:ascii="Segoe UI" w:hAnsi="Segoe UI" w:cs="Segoe UI"/>
          <w:b/>
          <w:sz w:val="20"/>
          <w:szCs w:val="20"/>
        </w:rPr>
        <w:t xml:space="preserve">I napriek prebytkovému hospodáreniu SP </w:t>
      </w:r>
      <w:r w:rsidR="008A269E">
        <w:rPr>
          <w:rFonts w:ascii="Segoe UI" w:hAnsi="Segoe UI" w:cs="Segoe UI"/>
          <w:b/>
          <w:sz w:val="20"/>
          <w:szCs w:val="20"/>
        </w:rPr>
        <w:t>upoz</w:t>
      </w:r>
      <w:r w:rsidR="008A269E" w:rsidRPr="008A269E">
        <w:rPr>
          <w:rFonts w:ascii="Segoe UI" w:hAnsi="Segoe UI" w:cs="Segoe UI"/>
          <w:b/>
          <w:sz w:val="20"/>
          <w:szCs w:val="20"/>
        </w:rPr>
        <w:t>orňuje NKÚ SR už dlhodobo na nesystémové presúvanie finančných zdrojov medzi fondmi sociálneho a nemocenského poistenia.</w:t>
      </w:r>
    </w:p>
    <w:p w14:paraId="3DE1B090" w14:textId="77777777" w:rsidR="002C141E" w:rsidRPr="00265217" w:rsidRDefault="002C141E" w:rsidP="002C141E">
      <w:pPr>
        <w:pStyle w:val="Normlnywebov"/>
        <w:spacing w:before="0" w:beforeAutospacing="0" w:after="120" w:afterAutospacing="0" w:line="276" w:lineRule="auto"/>
        <w:jc w:val="both"/>
        <w:textAlignment w:val="baseline"/>
        <w:rPr>
          <w:rFonts w:ascii="Segoe UI" w:hAnsi="Segoe UI" w:cs="Segoe UI"/>
          <w:b/>
          <w:sz w:val="16"/>
          <w:szCs w:val="20"/>
        </w:rPr>
      </w:pPr>
      <w:r w:rsidRPr="00265217">
        <w:rPr>
          <w:rFonts w:ascii="Segoe UI" w:hAnsi="Segoe UI" w:cs="Segoe UI"/>
          <w:sz w:val="20"/>
          <w:szCs w:val="20"/>
        </w:rPr>
        <w:t xml:space="preserve">Aj napriek dôležitosti opatrení v dôchodkovom systéme, priemerná výška starobných sólo dôchodkov v SR je nedostatočná. </w:t>
      </w:r>
      <w:r w:rsidRPr="00265217">
        <w:rPr>
          <w:rFonts w:ascii="Segoe UI" w:hAnsi="Segoe UI" w:cs="Segoe UI"/>
          <w:b/>
          <w:sz w:val="20"/>
          <w:szCs w:val="20"/>
        </w:rPr>
        <w:t>O tom, že výška starobných dôchodkov v SR je naozaj nízka, hovorí historicky najnižší po</w:t>
      </w:r>
      <w:r>
        <w:rPr>
          <w:rFonts w:ascii="Segoe UI" w:hAnsi="Segoe UI" w:cs="Segoe UI"/>
          <w:b/>
          <w:sz w:val="20"/>
          <w:szCs w:val="20"/>
        </w:rPr>
        <w:t>mer</w:t>
      </w:r>
      <w:r w:rsidRPr="00265217">
        <w:rPr>
          <w:rFonts w:ascii="Segoe UI" w:hAnsi="Segoe UI" w:cs="Segoe UI"/>
          <w:b/>
          <w:sz w:val="20"/>
          <w:szCs w:val="20"/>
        </w:rPr>
        <w:t xml:space="preserve"> priemernej výšky vyplácaného starobného sólo dôchodku k priemernej mesačnej mzde v hospodárstve SR vo výške 41,8 %</w:t>
      </w:r>
      <w:r w:rsidRPr="00265217">
        <w:rPr>
          <w:rStyle w:val="Odkaznapoznmkupodiarou"/>
          <w:rFonts w:ascii="Segoe UI" w:hAnsi="Segoe UI" w:cs="Segoe UI"/>
          <w:b/>
          <w:sz w:val="20"/>
          <w:szCs w:val="20"/>
        </w:rPr>
        <w:footnoteReference w:id="55"/>
      </w:r>
      <w:r w:rsidRPr="00265217">
        <w:rPr>
          <w:rFonts w:ascii="Segoe UI" w:hAnsi="Segoe UI" w:cs="Segoe UI"/>
          <w:b/>
          <w:sz w:val="20"/>
          <w:szCs w:val="20"/>
        </w:rPr>
        <w:t xml:space="preserve"> od roku 1991 </w:t>
      </w:r>
      <w:r w:rsidRPr="00265217">
        <w:rPr>
          <w:rFonts w:ascii="Segoe UI" w:hAnsi="Segoe UI" w:cs="Segoe UI"/>
          <w:sz w:val="20"/>
          <w:szCs w:val="20"/>
        </w:rPr>
        <w:t>(graf 1</w:t>
      </w:r>
      <w:r>
        <w:rPr>
          <w:rFonts w:ascii="Segoe UI" w:hAnsi="Segoe UI" w:cs="Segoe UI"/>
          <w:sz w:val="20"/>
          <w:szCs w:val="20"/>
        </w:rPr>
        <w:t>9</w:t>
      </w:r>
      <w:r w:rsidRPr="00265217">
        <w:rPr>
          <w:rFonts w:ascii="Segoe UI" w:hAnsi="Segoe UI" w:cs="Segoe UI"/>
          <w:sz w:val="20"/>
          <w:szCs w:val="20"/>
        </w:rPr>
        <w:t>)</w:t>
      </w:r>
      <w:r w:rsidRPr="005A30D1">
        <w:rPr>
          <w:rFonts w:ascii="Segoe UI" w:hAnsi="Segoe UI" w:cs="Segoe UI"/>
          <w:b/>
          <w:sz w:val="20"/>
          <w:szCs w:val="20"/>
        </w:rPr>
        <w:t>.</w:t>
      </w:r>
    </w:p>
    <w:p w14:paraId="64936EE2" w14:textId="77777777" w:rsidR="00D75456" w:rsidRPr="00BC3CA3" w:rsidRDefault="00D75456" w:rsidP="00D75456">
      <w:pPr>
        <w:pStyle w:val="Popis"/>
        <w:keepNext/>
        <w:rPr>
          <w:color w:val="314364"/>
        </w:rPr>
      </w:pPr>
      <w:r w:rsidRPr="00BC3CA3">
        <w:rPr>
          <w:color w:val="314364"/>
        </w:rPr>
        <w:t xml:space="preserve">Graf </w:t>
      </w:r>
      <w:r>
        <w:rPr>
          <w:color w:val="314364"/>
        </w:rPr>
        <w:t>19</w:t>
      </w:r>
      <w:r w:rsidRPr="00BC3CA3">
        <w:rPr>
          <w:color w:val="314364"/>
        </w:rPr>
        <w:t>:</w:t>
      </w:r>
      <w:r>
        <w:rPr>
          <w:color w:val="314364"/>
        </w:rPr>
        <w:t xml:space="preserve">  Pomer priemernej výšky starobného sólo dôchodku k priemernej mesačnej mzde (v %)</w:t>
      </w:r>
    </w:p>
    <w:tbl>
      <w:tblPr>
        <w:tblStyle w:val="Mriekatabuky"/>
        <w:tblW w:w="49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20"/>
      </w:tblGrid>
      <w:tr w:rsidR="00D75456" w:rsidRPr="00C75134" w14:paraId="4F13A826" w14:textId="77777777" w:rsidTr="007F7533">
        <w:trPr>
          <w:trHeight w:val="2551"/>
        </w:trPr>
        <w:tc>
          <w:tcPr>
            <w:tcW w:w="8939" w:type="dxa"/>
            <w:tcBorders>
              <w:top w:val="single" w:sz="4" w:space="0" w:color="314364"/>
              <w:bottom w:val="single" w:sz="4" w:space="0" w:color="314364"/>
            </w:tcBorders>
            <w:vAlign w:val="center"/>
          </w:tcPr>
          <w:p w14:paraId="0711C087" w14:textId="77777777" w:rsidR="00D75456" w:rsidRPr="00C75134" w:rsidRDefault="00D75456" w:rsidP="002B1C07">
            <w:pPr>
              <w:spacing w:after="0"/>
              <w:rPr>
                <w:b/>
                <w:color w:val="576431"/>
              </w:rPr>
            </w:pPr>
            <w:r>
              <w:rPr>
                <w:noProof/>
                <w:lang w:eastAsia="sk-SK"/>
              </w:rPr>
              <w:drawing>
                <wp:inline distT="0" distB="0" distL="0" distR="0" wp14:anchorId="24FA9B98" wp14:editId="0848BC2E">
                  <wp:extent cx="5631180" cy="1592580"/>
                  <wp:effectExtent l="0" t="0" r="7620" b="762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4026A0FB" w14:textId="4B6DA3E0" w:rsidR="00D75456" w:rsidRDefault="00D75456" w:rsidP="00D75456">
      <w:pPr>
        <w:pStyle w:val="Zdroj"/>
      </w:pPr>
      <w:r w:rsidRPr="00627D87">
        <w:t xml:space="preserve">Zdroj: </w:t>
      </w:r>
      <w:r>
        <w:t>S</w:t>
      </w:r>
      <w:r w:rsidR="002C141E">
        <w:t>P</w:t>
      </w:r>
    </w:p>
    <w:p w14:paraId="52E7BC56" w14:textId="06B919EC" w:rsidR="00AE01AE" w:rsidRDefault="006D5E21" w:rsidP="00432AD8">
      <w:pPr>
        <w:pStyle w:val="Nadpis2"/>
      </w:pPr>
      <w:bookmarkStart w:id="25" w:name="_Toc86396382"/>
      <w:bookmarkStart w:id="26" w:name="_Toc119482914"/>
      <w:r>
        <w:lastRenderedPageBreak/>
        <w:t>Environmentálna udržateľnosť</w:t>
      </w:r>
      <w:bookmarkEnd w:id="25"/>
      <w:bookmarkEnd w:id="26"/>
    </w:p>
    <w:p w14:paraId="6F79ECDC" w14:textId="54DC8DE0" w:rsidR="003E2E1A" w:rsidRDefault="00805BE8" w:rsidP="00805BE8">
      <w:pPr>
        <w:pStyle w:val="Normlnywebov"/>
        <w:shd w:val="clear" w:color="auto" w:fill="FFFFFF"/>
        <w:spacing w:before="0" w:beforeAutospacing="0" w:after="120" w:afterAutospacing="0" w:line="276" w:lineRule="auto"/>
        <w:jc w:val="both"/>
        <w:textAlignment w:val="baseline"/>
        <w:rPr>
          <w:rFonts w:ascii="Segoe UI" w:eastAsiaTheme="minorHAnsi" w:hAnsi="Segoe UI" w:cstheme="minorBidi"/>
          <w:sz w:val="20"/>
          <w:szCs w:val="20"/>
          <w:lang w:eastAsia="en-US"/>
        </w:rPr>
      </w:pPr>
      <w:r w:rsidRPr="008B489B">
        <w:rPr>
          <w:rFonts w:ascii="Segoe UI" w:eastAsiaTheme="minorHAnsi" w:hAnsi="Segoe UI" w:cstheme="minorBidi"/>
          <w:sz w:val="20"/>
          <w:szCs w:val="20"/>
          <w:lang w:eastAsia="en-US"/>
        </w:rPr>
        <w:t xml:space="preserve">Výdavky do </w:t>
      </w:r>
      <w:r w:rsidR="00636D10">
        <w:rPr>
          <w:rFonts w:ascii="Segoe UI" w:eastAsiaTheme="minorHAnsi" w:hAnsi="Segoe UI" w:cstheme="minorBidi"/>
          <w:sz w:val="20"/>
          <w:szCs w:val="20"/>
          <w:lang w:eastAsia="en-US"/>
        </w:rPr>
        <w:t xml:space="preserve">oblasti </w:t>
      </w:r>
      <w:r w:rsidRPr="008B489B">
        <w:rPr>
          <w:rFonts w:ascii="Segoe UI" w:eastAsiaTheme="minorHAnsi" w:hAnsi="Segoe UI" w:cstheme="minorBidi"/>
          <w:sz w:val="20"/>
          <w:szCs w:val="20"/>
          <w:lang w:eastAsia="en-US"/>
        </w:rPr>
        <w:t>životného prostredia by mali v budúcom roku predstavovať spolu 2,2 mld. eur. </w:t>
      </w:r>
      <w:r w:rsidRPr="008B489B">
        <w:rPr>
          <w:rFonts w:ascii="Segoe UI" w:eastAsiaTheme="minorHAnsi" w:hAnsi="Segoe UI" w:cstheme="minorBidi"/>
          <w:b/>
          <w:sz w:val="20"/>
          <w:szCs w:val="20"/>
          <w:lang w:eastAsia="en-US"/>
        </w:rPr>
        <w:t>Rozpočtované výdavky sú oproti schválenému rozpočtu na rok 2022 vyššie o 72 %.</w:t>
      </w:r>
      <w:r>
        <w:rPr>
          <w:rFonts w:ascii="Segoe UI" w:eastAsiaTheme="minorHAnsi" w:hAnsi="Segoe UI" w:cstheme="minorBidi"/>
          <w:sz w:val="20"/>
          <w:szCs w:val="20"/>
          <w:lang w:eastAsia="en-US"/>
        </w:rPr>
        <w:t xml:space="preserve"> </w:t>
      </w:r>
      <w:r w:rsidR="0043240A">
        <w:rPr>
          <w:rFonts w:ascii="Segoe UI" w:eastAsiaTheme="minorHAnsi" w:hAnsi="Segoe UI" w:cstheme="minorBidi"/>
          <w:sz w:val="20"/>
          <w:szCs w:val="20"/>
          <w:lang w:eastAsia="en-US"/>
        </w:rPr>
        <w:t>Väčšina výdavkov (</w:t>
      </w:r>
      <w:r w:rsidR="0043240A" w:rsidRPr="008B489B">
        <w:rPr>
          <w:rFonts w:ascii="Segoe UI" w:eastAsiaTheme="minorHAnsi" w:hAnsi="Segoe UI" w:cstheme="minorBidi"/>
          <w:sz w:val="20"/>
          <w:szCs w:val="20"/>
          <w:lang w:eastAsia="en-US"/>
        </w:rPr>
        <w:t>1,7 mld. eur</w:t>
      </w:r>
      <w:r w:rsidR="0043240A">
        <w:rPr>
          <w:rFonts w:ascii="Segoe UI" w:eastAsiaTheme="minorHAnsi" w:hAnsi="Segoe UI" w:cstheme="minorBidi"/>
          <w:sz w:val="20"/>
          <w:szCs w:val="20"/>
          <w:lang w:eastAsia="en-US"/>
        </w:rPr>
        <w:t xml:space="preserve">) má ísť do kapitoly </w:t>
      </w:r>
      <w:r w:rsidRPr="008B489B">
        <w:rPr>
          <w:rFonts w:ascii="Segoe UI" w:eastAsiaTheme="minorHAnsi" w:hAnsi="Segoe UI" w:cstheme="minorBidi"/>
          <w:sz w:val="20"/>
          <w:szCs w:val="20"/>
          <w:lang w:eastAsia="en-US"/>
        </w:rPr>
        <w:t>MŽP SR. Dôvodom nárastu je alokácia výdavkov z POO (621 mil. eur), zdrojov EÚ (cca 978 mil. eur</w:t>
      </w:r>
      <w:r w:rsidR="0043240A" w:rsidRPr="0043240A">
        <w:rPr>
          <w:rFonts w:ascii="Segoe UI" w:eastAsiaTheme="minorHAnsi" w:hAnsi="Segoe UI" w:cstheme="minorBidi"/>
          <w:sz w:val="20"/>
          <w:szCs w:val="20"/>
          <w:lang w:eastAsia="en-US"/>
        </w:rPr>
        <w:t xml:space="preserve"> </w:t>
      </w:r>
      <w:r w:rsidR="0043240A" w:rsidRPr="008B489B">
        <w:rPr>
          <w:rFonts w:ascii="Segoe UI" w:eastAsiaTheme="minorHAnsi" w:hAnsi="Segoe UI" w:cstheme="minorBidi"/>
          <w:sz w:val="20"/>
          <w:szCs w:val="20"/>
          <w:lang w:eastAsia="en-US"/>
        </w:rPr>
        <w:t>vrátane spolufinancovania</w:t>
      </w:r>
      <w:r w:rsidRPr="008B489B">
        <w:rPr>
          <w:rFonts w:ascii="Segoe UI" w:eastAsiaTheme="minorHAnsi" w:hAnsi="Segoe UI" w:cstheme="minorBidi"/>
          <w:sz w:val="20"/>
          <w:szCs w:val="20"/>
          <w:lang w:eastAsia="en-US"/>
        </w:rPr>
        <w:t>), výdavkov z prostriedkov EF (cca 308 mil. eur) a každoročné dofinancovanie prevádzky SHMÚ (3,5 mil. eur). Štyri najväčšie oblasti spolu predstavujú 84 % celkových výdavkov kapitoly rozpočtovaných na rok 2023 (</w:t>
      </w:r>
      <w:r w:rsidR="00BA2FEB">
        <w:rPr>
          <w:rFonts w:ascii="Segoe UI" w:eastAsiaTheme="minorHAnsi" w:hAnsi="Segoe UI" w:cstheme="minorBidi"/>
          <w:sz w:val="20"/>
          <w:szCs w:val="20"/>
          <w:lang w:eastAsia="en-US"/>
        </w:rPr>
        <w:t>g</w:t>
      </w:r>
      <w:r w:rsidRPr="008B489B">
        <w:rPr>
          <w:rFonts w:ascii="Segoe UI" w:eastAsiaTheme="minorHAnsi" w:hAnsi="Segoe UI" w:cstheme="minorBidi"/>
          <w:sz w:val="20"/>
          <w:szCs w:val="20"/>
          <w:lang w:eastAsia="en-US"/>
        </w:rPr>
        <w:t xml:space="preserve">raf </w:t>
      </w:r>
      <w:r w:rsidR="00B836D4">
        <w:rPr>
          <w:rFonts w:ascii="Segoe UI" w:eastAsiaTheme="minorHAnsi" w:hAnsi="Segoe UI" w:cstheme="minorBidi"/>
          <w:sz w:val="20"/>
          <w:szCs w:val="20"/>
          <w:lang w:eastAsia="en-US"/>
        </w:rPr>
        <w:t>20</w:t>
      </w:r>
      <w:r w:rsidR="00636D10">
        <w:rPr>
          <w:rFonts w:ascii="Segoe UI" w:eastAsiaTheme="minorHAnsi" w:hAnsi="Segoe UI" w:cstheme="minorBidi"/>
          <w:sz w:val="20"/>
          <w:szCs w:val="20"/>
          <w:lang w:eastAsia="en-US"/>
        </w:rPr>
        <w:t>).</w:t>
      </w:r>
    </w:p>
    <w:p w14:paraId="0426AA75" w14:textId="0A57525B" w:rsidR="00636D10" w:rsidRDefault="00636D10" w:rsidP="00636D10">
      <w:pPr>
        <w:spacing w:after="0"/>
        <w:rPr>
          <w:rFonts w:cs="Segoe UI"/>
          <w:b/>
          <w:bCs/>
          <w:color w:val="304363"/>
          <w:szCs w:val="20"/>
        </w:rPr>
      </w:pPr>
      <w:r w:rsidRPr="00B93F00">
        <w:rPr>
          <w:rFonts w:cs="Segoe UI"/>
          <w:b/>
          <w:bCs/>
          <w:color w:val="304363"/>
          <w:szCs w:val="20"/>
        </w:rPr>
        <w:t xml:space="preserve">Graf </w:t>
      </w:r>
      <w:r>
        <w:rPr>
          <w:rFonts w:cs="Segoe UI"/>
          <w:b/>
          <w:bCs/>
          <w:color w:val="304363"/>
          <w:szCs w:val="20"/>
        </w:rPr>
        <w:t>20</w:t>
      </w:r>
      <w:r w:rsidRPr="00B93F00">
        <w:rPr>
          <w:rFonts w:cs="Segoe UI"/>
          <w:b/>
          <w:bCs/>
          <w:color w:val="304363"/>
          <w:szCs w:val="20"/>
        </w:rPr>
        <w:t xml:space="preserve">: Výdavky kapitoly MŽP SR na jednotlivé oblasti (v </w:t>
      </w:r>
      <w:r w:rsidR="00CE11CC">
        <w:rPr>
          <w:rFonts w:cs="Segoe UI"/>
          <w:b/>
          <w:bCs/>
          <w:color w:val="304363"/>
          <w:szCs w:val="20"/>
        </w:rPr>
        <w:t>mil</w:t>
      </w:r>
      <w:r w:rsidRPr="00B93F00">
        <w:rPr>
          <w:rFonts w:cs="Segoe UI"/>
          <w:b/>
          <w:bCs/>
          <w:color w:val="304363"/>
          <w:szCs w:val="20"/>
        </w:rPr>
        <w:t>. eur)</w:t>
      </w:r>
    </w:p>
    <w:tbl>
      <w:tblPr>
        <w:tblStyle w:val="Mriekatabuky"/>
        <w:tblW w:w="0" w:type="auto"/>
        <w:tblLook w:val="04A0" w:firstRow="1" w:lastRow="0" w:firstColumn="1" w:lastColumn="0" w:noHBand="0" w:noVBand="1"/>
      </w:tblPr>
      <w:tblGrid>
        <w:gridCol w:w="9070"/>
      </w:tblGrid>
      <w:tr w:rsidR="00636D10" w14:paraId="13F5ED11" w14:textId="77777777" w:rsidTr="00916FF1">
        <w:trPr>
          <w:trHeight w:val="3402"/>
        </w:trPr>
        <w:tc>
          <w:tcPr>
            <w:tcW w:w="9070" w:type="dxa"/>
            <w:tcBorders>
              <w:top w:val="single" w:sz="4" w:space="0" w:color="314364" w:themeColor="text2"/>
              <w:left w:val="nil"/>
              <w:bottom w:val="single" w:sz="4" w:space="0" w:color="314364" w:themeColor="text2"/>
              <w:right w:val="nil"/>
            </w:tcBorders>
          </w:tcPr>
          <w:p w14:paraId="5A65F1B1" w14:textId="77777777" w:rsidR="00636D10" w:rsidRDefault="00636D10" w:rsidP="00A0186A">
            <w:pPr>
              <w:spacing w:after="0"/>
              <w:rPr>
                <w:rFonts w:cs="Segoe UI"/>
                <w:b/>
                <w:bCs/>
                <w:color w:val="304363"/>
                <w:szCs w:val="20"/>
              </w:rPr>
            </w:pPr>
            <w:r>
              <w:rPr>
                <w:noProof/>
                <w:lang w:eastAsia="sk-SK"/>
              </w:rPr>
              <w:drawing>
                <wp:inline distT="0" distB="0" distL="0" distR="0" wp14:anchorId="4594E840" wp14:editId="7C9EAD19">
                  <wp:extent cx="5715000" cy="21717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7E747ED7" w14:textId="4FF487AD" w:rsidR="00916FF1" w:rsidRDefault="00916FF1" w:rsidP="00916FF1">
      <w:pPr>
        <w:pStyle w:val="Zdroj"/>
      </w:pPr>
      <w:r>
        <w:t xml:space="preserve">Zdroj: </w:t>
      </w:r>
      <w:r w:rsidRPr="009E36A8">
        <w:t>Návrh RVS na roky 2023 až 2025</w:t>
      </w:r>
    </w:p>
    <w:p w14:paraId="0965D0EE" w14:textId="23002F1F" w:rsidR="00805BE8" w:rsidRDefault="00805BE8" w:rsidP="00805BE8">
      <w:pPr>
        <w:autoSpaceDE w:val="0"/>
        <w:autoSpaceDN w:val="0"/>
        <w:adjustRightInd w:val="0"/>
        <w:rPr>
          <w:b/>
        </w:rPr>
      </w:pPr>
      <w:r>
        <w:rPr>
          <w:rFonts w:cs="Segoe UI"/>
          <w:szCs w:val="20"/>
        </w:rPr>
        <w:t xml:space="preserve">Historicky </w:t>
      </w:r>
      <w:r w:rsidRPr="001B1D22">
        <w:rPr>
          <w:rFonts w:cs="Segoe UI"/>
          <w:szCs w:val="20"/>
        </w:rPr>
        <w:t>významn</w:t>
      </w:r>
      <w:r>
        <w:rPr>
          <w:rFonts w:cs="Segoe UI"/>
          <w:szCs w:val="20"/>
        </w:rPr>
        <w:t>e</w:t>
      </w:r>
      <w:r w:rsidRPr="001B1D22">
        <w:rPr>
          <w:rFonts w:cs="Segoe UI"/>
          <w:szCs w:val="20"/>
        </w:rPr>
        <w:t xml:space="preserve"> </w:t>
      </w:r>
      <w:r>
        <w:rPr>
          <w:rFonts w:cs="Segoe UI"/>
          <w:szCs w:val="20"/>
        </w:rPr>
        <w:t>navýšené o</w:t>
      </w:r>
      <w:r w:rsidRPr="001B1D22">
        <w:rPr>
          <w:rFonts w:cs="Segoe UI"/>
          <w:szCs w:val="20"/>
        </w:rPr>
        <w:t>bjem</w:t>
      </w:r>
      <w:r>
        <w:rPr>
          <w:rFonts w:cs="Segoe UI"/>
          <w:szCs w:val="20"/>
        </w:rPr>
        <w:t>y</w:t>
      </w:r>
      <w:r w:rsidRPr="001B1D22">
        <w:rPr>
          <w:rFonts w:cs="Segoe UI"/>
          <w:szCs w:val="20"/>
        </w:rPr>
        <w:t xml:space="preserve"> </w:t>
      </w:r>
      <w:r>
        <w:rPr>
          <w:rFonts w:cs="Segoe UI"/>
          <w:szCs w:val="20"/>
        </w:rPr>
        <w:t>finančných zdrojov</w:t>
      </w:r>
      <w:r w:rsidRPr="001B1D22">
        <w:rPr>
          <w:rStyle w:val="Odkaznapoznmkupodiarou"/>
          <w:rFonts w:cs="Segoe UI"/>
          <w:szCs w:val="20"/>
        </w:rPr>
        <w:footnoteReference w:id="56"/>
      </w:r>
      <w:r w:rsidRPr="001B1D22">
        <w:rPr>
          <w:rFonts w:cs="Segoe UI"/>
          <w:szCs w:val="20"/>
        </w:rPr>
        <w:t xml:space="preserve"> by mal</w:t>
      </w:r>
      <w:r>
        <w:rPr>
          <w:rFonts w:cs="Segoe UI"/>
          <w:szCs w:val="20"/>
        </w:rPr>
        <w:t>i</w:t>
      </w:r>
      <w:r w:rsidRPr="001B1D22">
        <w:rPr>
          <w:rFonts w:cs="Segoe UI"/>
          <w:szCs w:val="20"/>
        </w:rPr>
        <w:t xml:space="preserve"> byť v synergii s kľúčovými dokumentmi v</w:t>
      </w:r>
      <w:r>
        <w:rPr>
          <w:rFonts w:cs="Segoe UI"/>
          <w:szCs w:val="20"/>
        </w:rPr>
        <w:t> </w:t>
      </w:r>
      <w:r w:rsidRPr="001B1D22">
        <w:rPr>
          <w:rFonts w:cs="Segoe UI"/>
          <w:szCs w:val="20"/>
        </w:rPr>
        <w:t>rezorte</w:t>
      </w:r>
      <w:r>
        <w:rPr>
          <w:rFonts w:cs="Segoe UI"/>
          <w:szCs w:val="20"/>
        </w:rPr>
        <w:t>.</w:t>
      </w:r>
      <w:r w:rsidRPr="001B1D22">
        <w:rPr>
          <w:rStyle w:val="Odkaznapoznmkupodiarou"/>
          <w:rFonts w:cs="Segoe UI"/>
          <w:szCs w:val="20"/>
        </w:rPr>
        <w:footnoteReference w:id="57"/>
      </w:r>
      <w:r w:rsidRPr="001B1D22">
        <w:rPr>
          <w:rFonts w:cs="Segoe UI"/>
          <w:szCs w:val="20"/>
        </w:rPr>
        <w:t xml:space="preserve"> </w:t>
      </w:r>
      <w:r w:rsidRPr="00996E34">
        <w:rPr>
          <w:b/>
        </w:rPr>
        <w:t xml:space="preserve">Medzi najvýznamnejšie riziká rozpočtu v oblasti environmentálnej udržateľnosti možno zaradiť nespracovanú revíziu investičného dlhu v rezorte, naďalej chýbajúci implementačný plán </w:t>
      </w:r>
      <w:proofErr w:type="spellStart"/>
      <w:r w:rsidRPr="00996E34">
        <w:rPr>
          <w:b/>
        </w:rPr>
        <w:t>Envirostratégie</w:t>
      </w:r>
      <w:proofErr w:type="spellEnd"/>
      <w:r w:rsidRPr="00996E34">
        <w:rPr>
          <w:b/>
        </w:rPr>
        <w:t xml:space="preserve"> 2030 spolu s chýbajúcim ročným odpočtom jednotlivých merateľných ukazovateľov jej plnenia a chýbajúcu stratégiu riadenia rizika sucha</w:t>
      </w:r>
      <w:r>
        <w:rPr>
          <w:b/>
        </w:rPr>
        <w:t xml:space="preserve"> </w:t>
      </w:r>
      <w:r>
        <w:t>(box 7).</w:t>
      </w:r>
      <w:r w:rsidRPr="0064182A">
        <w:t xml:space="preserve"> </w:t>
      </w:r>
      <w:r w:rsidR="00FA62F3" w:rsidRPr="00BA2FEB">
        <w:rPr>
          <w:rFonts w:cs="Segoe UI"/>
        </w:rPr>
        <w:t>Tieto nedostatky sa prejavujú najmä v zúčtovateľnosti plánovaných a vynaložených finančných prostriedkov v rezorte.</w:t>
      </w:r>
    </w:p>
    <w:tbl>
      <w:tblPr>
        <w:tblStyle w:val="Mriekatabuky"/>
        <w:tblpPr w:leftFromText="141" w:rightFromText="141" w:vertAnchor="text" w:horzAnchor="margin" w:tblpY="-19"/>
        <w:tblW w:w="5000" w:type="pct"/>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805BE8" w:rsidRPr="00D442FD" w14:paraId="3FD6D9ED" w14:textId="77777777" w:rsidTr="000E7CF9">
        <w:trPr>
          <w:trHeight w:val="1975"/>
        </w:trPr>
        <w:tc>
          <w:tcPr>
            <w:tcW w:w="5000" w:type="pct"/>
            <w:shd w:val="clear" w:color="auto" w:fill="EBF0FB" w:themeFill="background2" w:themeFillTint="33"/>
          </w:tcPr>
          <w:p w14:paraId="220CF50F" w14:textId="77777777" w:rsidR="00805BE8" w:rsidRDefault="00805BE8" w:rsidP="000E7CF9">
            <w:pPr>
              <w:spacing w:before="120"/>
              <w:ind w:left="176" w:right="163"/>
              <w:rPr>
                <w:b/>
              </w:rPr>
            </w:pPr>
            <w:r w:rsidRPr="00DA6672">
              <w:rPr>
                <w:b/>
              </w:rPr>
              <w:t xml:space="preserve">BOX </w:t>
            </w:r>
            <w:r>
              <w:rPr>
                <w:b/>
              </w:rPr>
              <w:t>7: Riadenie sucha v SR</w:t>
            </w:r>
          </w:p>
          <w:p w14:paraId="6621F592" w14:textId="153AD79E" w:rsidR="00805BE8" w:rsidRPr="00D442FD" w:rsidRDefault="00805BE8" w:rsidP="005A30D1">
            <w:pPr>
              <w:spacing w:before="120"/>
              <w:ind w:left="176" w:right="163"/>
              <w:rPr>
                <w:sz w:val="18"/>
              </w:rPr>
            </w:pPr>
            <w:r w:rsidRPr="003D269E">
              <w:rPr>
                <w:sz w:val="18"/>
              </w:rPr>
              <w:t>NKÚ SR v roku 2021 vykonal kontrolu „Pripravenosť SR na riešenie sucha“</w:t>
            </w:r>
            <w:r>
              <w:rPr>
                <w:rStyle w:val="Odkaznapoznmkupodiarou"/>
                <w:sz w:val="18"/>
              </w:rPr>
              <w:footnoteReference w:id="58"/>
            </w:r>
            <w:r w:rsidRPr="003D269E">
              <w:rPr>
                <w:sz w:val="18"/>
              </w:rPr>
              <w:t xml:space="preserve"> v rámci ktorej o</w:t>
            </w:r>
            <w:r w:rsidR="005A30D1">
              <w:rPr>
                <w:sz w:val="18"/>
              </w:rPr>
              <w:t>krem iného</w:t>
            </w:r>
            <w:r w:rsidRPr="003D269E">
              <w:rPr>
                <w:sz w:val="18"/>
              </w:rPr>
              <w:t xml:space="preserve"> konštatoval, že je potrebné </w:t>
            </w:r>
            <w:r w:rsidRPr="00713B3E">
              <w:rPr>
                <w:b/>
                <w:sz w:val="18"/>
              </w:rPr>
              <w:t>zmeniť prístup od krízového riadenia sucha k riadeniu rizika sucha</w:t>
            </w:r>
            <w:r w:rsidRPr="003D269E">
              <w:rPr>
                <w:sz w:val="18"/>
              </w:rPr>
              <w:t xml:space="preserve">. Zároveň konštatoval, že </w:t>
            </w:r>
            <w:r w:rsidRPr="002E6E2A">
              <w:rPr>
                <w:b/>
                <w:sz w:val="18"/>
              </w:rPr>
              <w:t>SR nemá v súčasnosti pre manažment sucha vytvorenú žiadnu stratégiu</w:t>
            </w:r>
            <w:r w:rsidRPr="003D269E">
              <w:rPr>
                <w:sz w:val="18"/>
              </w:rPr>
              <w:t>, opatrenia nemali stanovené zodpovednosti, ani ďalšie ukazovatele, na základe ktorých by bolo možné vyhodnotiť ich prínos. MŽP SR nevyhodnocovalo prijaté opatrenia z hľadiska ich dopadu na sucho a nemalo prehľad o</w:t>
            </w:r>
            <w:r>
              <w:rPr>
                <w:sz w:val="18"/>
              </w:rPr>
              <w:t> </w:t>
            </w:r>
            <w:r w:rsidRPr="003D269E">
              <w:rPr>
                <w:sz w:val="18"/>
              </w:rPr>
              <w:t>ich</w:t>
            </w:r>
            <w:r>
              <w:rPr>
                <w:sz w:val="18"/>
              </w:rPr>
              <w:t xml:space="preserve"> </w:t>
            </w:r>
            <w:r w:rsidRPr="000824C1">
              <w:rPr>
                <w:sz w:val="18"/>
              </w:rPr>
              <w:t>financovaní</w:t>
            </w:r>
            <w:r>
              <w:rPr>
                <w:sz w:val="18"/>
              </w:rPr>
              <w:t>.</w:t>
            </w:r>
          </w:p>
        </w:tc>
      </w:tr>
    </w:tbl>
    <w:p w14:paraId="62766EC3" w14:textId="050F0734" w:rsidR="00BA2FEB" w:rsidRPr="000D73EA" w:rsidRDefault="00BA2FEB" w:rsidP="00805BE8">
      <w:pPr>
        <w:pStyle w:val="Default"/>
        <w:spacing w:before="120" w:after="120" w:line="276" w:lineRule="auto"/>
        <w:jc w:val="both"/>
        <w:rPr>
          <w:rFonts w:ascii="Segoe UI" w:hAnsi="Segoe UI" w:cs="Segoe UI"/>
          <w:color w:val="auto"/>
          <w:sz w:val="20"/>
          <w:szCs w:val="20"/>
        </w:rPr>
      </w:pPr>
      <w:r w:rsidRPr="00BA2FEB">
        <w:rPr>
          <w:rFonts w:ascii="Segoe UI" w:hAnsi="Segoe UI" w:cs="Segoe UI"/>
          <w:sz w:val="20"/>
        </w:rPr>
        <w:t>Problémom je aj to, že hodnoty pre kľúčové ukazovatele v oblasti životného prostredia za rok 2021 (okrem oblasti odpadového hospodárstva) chýbajú. Dlhodobé riziká sa javia aj v dosahovaní záväzkov SR v oblasti vôd (zásobovanie pitnou vodou, odvádzanie a čistenie odpadových vôd, dosiahnutie dobrého</w:t>
      </w:r>
      <w:r w:rsidR="0075636D">
        <w:rPr>
          <w:rFonts w:ascii="Segoe UI" w:hAnsi="Segoe UI" w:cs="Segoe UI"/>
          <w:sz w:val="20"/>
        </w:rPr>
        <w:t xml:space="preserve"> stavu vôd, ochrana kvality vôd</w:t>
      </w:r>
      <w:r w:rsidRPr="00BA2FEB">
        <w:rPr>
          <w:rFonts w:ascii="Segoe UI" w:hAnsi="Segoe UI" w:cs="Segoe UI"/>
          <w:sz w:val="20"/>
        </w:rPr>
        <w:t xml:space="preserve"> atď.), v miere recyklácie komunálneho odpadu, odstraňovaní environmentálnych záťaží, nedostatočnej kvalite ovzdušia, ako aj </w:t>
      </w:r>
      <w:r>
        <w:rPr>
          <w:rFonts w:ascii="Segoe UI" w:hAnsi="Segoe UI" w:cs="Segoe UI"/>
          <w:sz w:val="20"/>
        </w:rPr>
        <w:t xml:space="preserve">v </w:t>
      </w:r>
      <w:r w:rsidRPr="00BA2FEB">
        <w:rPr>
          <w:rFonts w:ascii="Segoe UI" w:hAnsi="Segoe UI" w:cs="Segoe UI"/>
          <w:sz w:val="20"/>
        </w:rPr>
        <w:t xml:space="preserve">plnení reformných ambícií z PVV </w:t>
      </w:r>
      <w:r w:rsidRPr="00BA2FEB">
        <w:rPr>
          <w:rFonts w:ascii="Segoe UI" w:hAnsi="Segoe UI" w:cs="Segoe UI"/>
          <w:sz w:val="20"/>
        </w:rPr>
        <w:lastRenderedPageBreak/>
        <w:t xml:space="preserve">(najmä v oblasti zefektívňovania výkonu štátnej správy, reformy kľúčových podnikov a rezortných inštitúcií atď.). </w:t>
      </w:r>
      <w:r>
        <w:rPr>
          <w:rFonts w:ascii="Segoe UI" w:hAnsi="Segoe UI" w:cs="Segoe UI"/>
          <w:sz w:val="20"/>
        </w:rPr>
        <w:t>NKÚ SR</w:t>
      </w:r>
      <w:r w:rsidRPr="00BA2FEB">
        <w:rPr>
          <w:rFonts w:ascii="Segoe UI" w:hAnsi="Segoe UI" w:cs="Segoe UI"/>
          <w:b/>
          <w:sz w:val="20"/>
        </w:rPr>
        <w:t xml:space="preserve"> odporúča priebežn</w:t>
      </w:r>
      <w:r w:rsidR="0075636D">
        <w:rPr>
          <w:rFonts w:ascii="Segoe UI" w:hAnsi="Segoe UI" w:cs="Segoe UI"/>
          <w:b/>
          <w:sz w:val="20"/>
        </w:rPr>
        <w:t>e</w:t>
      </w:r>
      <w:r w:rsidRPr="00BA2FEB">
        <w:rPr>
          <w:rFonts w:ascii="Segoe UI" w:hAnsi="Segoe UI" w:cs="Segoe UI"/>
          <w:b/>
          <w:sz w:val="20"/>
        </w:rPr>
        <w:t xml:space="preserve"> </w:t>
      </w:r>
      <w:r w:rsidR="0075636D">
        <w:rPr>
          <w:rFonts w:ascii="Segoe UI" w:hAnsi="Segoe UI" w:cs="Segoe UI"/>
          <w:b/>
          <w:sz w:val="20"/>
        </w:rPr>
        <w:t xml:space="preserve">sledovať vývoj výsledkových indikátorov vo väzbe na </w:t>
      </w:r>
      <w:r w:rsidRPr="000D73EA">
        <w:rPr>
          <w:rFonts w:ascii="Segoe UI" w:hAnsi="Segoe UI" w:cs="Segoe UI"/>
          <w:b/>
          <w:sz w:val="20"/>
          <w:szCs w:val="20"/>
        </w:rPr>
        <w:t>vynaložen</w:t>
      </w:r>
      <w:r w:rsidR="0075636D" w:rsidRPr="000D73EA">
        <w:rPr>
          <w:rFonts w:ascii="Segoe UI" w:hAnsi="Segoe UI" w:cs="Segoe UI"/>
          <w:b/>
          <w:sz w:val="20"/>
          <w:szCs w:val="20"/>
        </w:rPr>
        <w:t>é</w:t>
      </w:r>
      <w:r w:rsidRPr="000D73EA">
        <w:rPr>
          <w:rFonts w:ascii="Segoe UI" w:hAnsi="Segoe UI" w:cs="Segoe UI"/>
          <w:b/>
          <w:sz w:val="20"/>
          <w:szCs w:val="20"/>
        </w:rPr>
        <w:t xml:space="preserve"> finančn</w:t>
      </w:r>
      <w:r w:rsidR="0075636D" w:rsidRPr="000D73EA">
        <w:rPr>
          <w:rFonts w:ascii="Segoe UI" w:hAnsi="Segoe UI" w:cs="Segoe UI"/>
          <w:b/>
          <w:sz w:val="20"/>
          <w:szCs w:val="20"/>
        </w:rPr>
        <w:t>é</w:t>
      </w:r>
      <w:r w:rsidRPr="000D73EA">
        <w:rPr>
          <w:rFonts w:ascii="Segoe UI" w:hAnsi="Segoe UI" w:cs="Segoe UI"/>
          <w:b/>
          <w:sz w:val="20"/>
          <w:szCs w:val="20"/>
        </w:rPr>
        <w:t xml:space="preserve"> prostriedk</w:t>
      </w:r>
      <w:r w:rsidR="0075636D" w:rsidRPr="000D73EA">
        <w:rPr>
          <w:rFonts w:ascii="Segoe UI" w:hAnsi="Segoe UI" w:cs="Segoe UI"/>
          <w:b/>
          <w:sz w:val="20"/>
          <w:szCs w:val="20"/>
        </w:rPr>
        <w:t>y</w:t>
      </w:r>
      <w:r w:rsidRPr="000D73EA">
        <w:rPr>
          <w:rFonts w:ascii="Segoe UI" w:hAnsi="Segoe UI" w:cs="Segoe UI"/>
          <w:b/>
          <w:sz w:val="20"/>
          <w:szCs w:val="20"/>
        </w:rPr>
        <w:t xml:space="preserve"> v jednotlivých oblastiach na webovom sídle MŽP SR.</w:t>
      </w:r>
      <w:r w:rsidR="00764F23" w:rsidRPr="000D73EA">
        <w:rPr>
          <w:rFonts w:ascii="Segoe UI" w:hAnsi="Segoe UI" w:cs="Segoe UI"/>
          <w:sz w:val="20"/>
          <w:szCs w:val="20"/>
        </w:rPr>
        <w:t xml:space="preserve"> </w:t>
      </w:r>
      <w:r w:rsidR="000D73EA" w:rsidRPr="000D73EA">
        <w:rPr>
          <w:rFonts w:ascii="Segoe UI" w:hAnsi="Segoe UI" w:cs="Segoe UI"/>
          <w:sz w:val="20"/>
          <w:szCs w:val="20"/>
        </w:rPr>
        <w:t>Vzhľadom na</w:t>
      </w:r>
      <w:r w:rsidR="000D73EA">
        <w:rPr>
          <w:rFonts w:ascii="Segoe UI" w:hAnsi="Segoe UI" w:cs="Segoe UI"/>
          <w:sz w:val="20"/>
          <w:szCs w:val="20"/>
        </w:rPr>
        <w:t xml:space="preserve"> dopad stavu životného prostredia na fungovanie celej spoločnosti si riešenie problémov v tejto oblasti vyžaduje spoluprácu viacerých rezortov. </w:t>
      </w:r>
      <w:r w:rsidR="00764F23" w:rsidRPr="000D73EA">
        <w:rPr>
          <w:rFonts w:ascii="Segoe UI" w:hAnsi="Segoe UI" w:cs="Segoe UI"/>
          <w:b/>
          <w:sz w:val="20"/>
          <w:szCs w:val="20"/>
        </w:rPr>
        <w:t xml:space="preserve">NKÚ SR odporúča využívať na účely znižovania investičného dlhu </w:t>
      </w:r>
      <w:r w:rsidR="000D73EA">
        <w:rPr>
          <w:rFonts w:ascii="Segoe UI" w:hAnsi="Segoe UI" w:cs="Segoe UI"/>
          <w:b/>
          <w:sz w:val="20"/>
          <w:szCs w:val="20"/>
        </w:rPr>
        <w:t xml:space="preserve">aj </w:t>
      </w:r>
      <w:r w:rsidR="00764F23" w:rsidRPr="000D73EA">
        <w:rPr>
          <w:rFonts w:ascii="Segoe UI" w:hAnsi="Segoe UI" w:cs="Segoe UI"/>
          <w:b/>
          <w:sz w:val="20"/>
          <w:szCs w:val="20"/>
        </w:rPr>
        <w:t>medzirezortné rozpočtové programy.</w:t>
      </w:r>
    </w:p>
    <w:p w14:paraId="56066557" w14:textId="4B450995" w:rsidR="007E39D7" w:rsidRDefault="007E39D7" w:rsidP="00805BE8">
      <w:pPr>
        <w:pStyle w:val="Default"/>
        <w:spacing w:before="120" w:after="120" w:line="276" w:lineRule="auto"/>
        <w:jc w:val="both"/>
        <w:rPr>
          <w:rFonts w:ascii="Segoe UI" w:hAnsi="Segoe UI" w:cs="Segoe UI"/>
          <w:color w:val="auto"/>
          <w:sz w:val="20"/>
          <w:szCs w:val="20"/>
        </w:rPr>
      </w:pPr>
      <w:r w:rsidRPr="007E39D7">
        <w:rPr>
          <w:rFonts w:ascii="Segoe UI" w:hAnsi="Segoe UI" w:cs="Segoe UI"/>
          <w:color w:val="auto"/>
          <w:sz w:val="20"/>
          <w:szCs w:val="20"/>
        </w:rPr>
        <w:t xml:space="preserve">Najväčší objem výdavkov je rozpočtovaný do oblasti </w:t>
      </w:r>
      <w:r w:rsidRPr="007E39D7">
        <w:rPr>
          <w:rFonts w:ascii="Segoe UI" w:hAnsi="Segoe UI" w:cs="Segoe UI"/>
          <w:b/>
          <w:color w:val="auto"/>
          <w:sz w:val="20"/>
          <w:szCs w:val="20"/>
        </w:rPr>
        <w:t>vodného hospodárstva</w:t>
      </w:r>
      <w:r w:rsidRPr="007E39D7">
        <w:rPr>
          <w:rFonts w:ascii="Segoe UI" w:hAnsi="Segoe UI" w:cs="Segoe UI"/>
          <w:color w:val="auto"/>
          <w:sz w:val="20"/>
          <w:szCs w:val="20"/>
        </w:rPr>
        <w:t xml:space="preserve"> (1,01 mld. eur). Investície sa plánujú najmä na konkrétne projekty budovania a rekonštrukcie infraštruktúry vodného hospodárstva, na starostlivosť o vodné toky, </w:t>
      </w:r>
      <w:proofErr w:type="spellStart"/>
      <w:r w:rsidRPr="007E39D7">
        <w:rPr>
          <w:rFonts w:ascii="Segoe UI" w:hAnsi="Segoe UI" w:cs="Segoe UI"/>
          <w:color w:val="auto"/>
          <w:sz w:val="20"/>
          <w:szCs w:val="20"/>
        </w:rPr>
        <w:t>renaturáciu</w:t>
      </w:r>
      <w:proofErr w:type="spellEnd"/>
      <w:r w:rsidR="00775CC3">
        <w:rPr>
          <w:rFonts w:ascii="Segoe UI" w:hAnsi="Segoe UI" w:cs="Segoe UI"/>
          <w:color w:val="auto"/>
          <w:sz w:val="20"/>
          <w:szCs w:val="20"/>
        </w:rPr>
        <w:t xml:space="preserve"> (obnovu)</w:t>
      </w:r>
      <w:r w:rsidRPr="007E39D7">
        <w:rPr>
          <w:rFonts w:ascii="Segoe UI" w:hAnsi="Segoe UI" w:cs="Segoe UI"/>
          <w:color w:val="auto"/>
          <w:sz w:val="20"/>
          <w:szCs w:val="20"/>
        </w:rPr>
        <w:t xml:space="preserve"> vodných tokov a mokradí atď. Zdroje pochádzajú predovšetkým z fondov EÚ (cca 657,6 mil. eur vrátane spolufinancovania), POO (cca 71 mil. eur), EF (cca 128 mil. eur), SVP, š. p.  (cca 145 mil. eur). SVP, š. p. patrí k strategickým podnikom štátu. Dlhodobým problémom je však jeho finančná </w:t>
      </w:r>
      <w:proofErr w:type="spellStart"/>
      <w:r w:rsidRPr="007E39D7">
        <w:rPr>
          <w:rFonts w:ascii="Segoe UI" w:hAnsi="Segoe UI" w:cs="Segoe UI"/>
          <w:color w:val="auto"/>
          <w:sz w:val="20"/>
          <w:szCs w:val="20"/>
        </w:rPr>
        <w:t>poddimenzovanosť</w:t>
      </w:r>
      <w:proofErr w:type="spellEnd"/>
      <w:r w:rsidRPr="007E39D7">
        <w:rPr>
          <w:rFonts w:ascii="Segoe UI" w:hAnsi="Segoe UI" w:cs="Segoe UI"/>
          <w:color w:val="auto"/>
          <w:sz w:val="20"/>
          <w:szCs w:val="20"/>
        </w:rPr>
        <w:t xml:space="preserve">, ktorá negatívne ovplyvňuje možnosti korektne definovať, plánovať a realizovať činnosti a výdavky. Hlavným zdrojom financovania jeho zákonom stanovených úloh sú takzvané neregulované platby naviazané na štátny rozpočet.  Za rok 2021 podnik </w:t>
      </w:r>
      <w:r w:rsidR="00775CC3">
        <w:rPr>
          <w:rFonts w:ascii="Segoe UI" w:hAnsi="Segoe UI" w:cs="Segoe UI"/>
          <w:color w:val="auto"/>
          <w:sz w:val="20"/>
          <w:szCs w:val="20"/>
        </w:rPr>
        <w:t>žiadal od</w:t>
      </w:r>
      <w:r w:rsidRPr="007E39D7">
        <w:rPr>
          <w:rFonts w:ascii="Segoe UI" w:hAnsi="Segoe UI" w:cs="Segoe UI"/>
          <w:color w:val="auto"/>
          <w:sz w:val="20"/>
          <w:szCs w:val="20"/>
        </w:rPr>
        <w:t xml:space="preserve"> štátu na neregulované platby </w:t>
      </w:r>
      <w:r w:rsidR="00775CC3">
        <w:rPr>
          <w:rFonts w:ascii="Segoe UI" w:hAnsi="Segoe UI" w:cs="Segoe UI"/>
          <w:color w:val="auto"/>
          <w:sz w:val="20"/>
          <w:szCs w:val="20"/>
        </w:rPr>
        <w:t>(najmä udržiavanie splavnosti vodných ciest</w:t>
      </w:r>
      <w:r w:rsidR="007E4912">
        <w:rPr>
          <w:rFonts w:ascii="Segoe UI" w:hAnsi="Segoe UI" w:cs="Segoe UI"/>
          <w:color w:val="auto"/>
          <w:sz w:val="20"/>
          <w:szCs w:val="20"/>
        </w:rPr>
        <w:t xml:space="preserve"> a protipovodňová ochrana</w:t>
      </w:r>
      <w:r w:rsidR="00775CC3">
        <w:rPr>
          <w:rFonts w:ascii="Segoe UI" w:hAnsi="Segoe UI" w:cs="Segoe UI"/>
          <w:color w:val="auto"/>
          <w:sz w:val="20"/>
          <w:szCs w:val="20"/>
        </w:rPr>
        <w:t>)</w:t>
      </w:r>
      <w:r w:rsidR="00775CC3" w:rsidRPr="007E39D7">
        <w:rPr>
          <w:rFonts w:ascii="Segoe UI" w:hAnsi="Segoe UI" w:cs="Segoe UI"/>
          <w:color w:val="auto"/>
          <w:sz w:val="20"/>
          <w:szCs w:val="20"/>
        </w:rPr>
        <w:t xml:space="preserve"> </w:t>
      </w:r>
      <w:r w:rsidR="00775CC3">
        <w:rPr>
          <w:rFonts w:ascii="Segoe UI" w:hAnsi="Segoe UI" w:cs="Segoe UI"/>
          <w:color w:val="auto"/>
          <w:sz w:val="20"/>
          <w:szCs w:val="20"/>
        </w:rPr>
        <w:t xml:space="preserve">sumu </w:t>
      </w:r>
      <w:r w:rsidRPr="007E39D7">
        <w:rPr>
          <w:rFonts w:ascii="Segoe UI" w:hAnsi="Segoe UI" w:cs="Segoe UI"/>
          <w:color w:val="auto"/>
          <w:sz w:val="20"/>
          <w:szCs w:val="20"/>
        </w:rPr>
        <w:t>vo výške 58,6 mil. eur, pričom mu bolo poskytnutých len 8 mil. eur (13,65 %). V rámci návrhu rozpočtu na rok 2023 sú len čiastočne zabezpečené výdavky na neregulované platby. Výraznou zmenou bola aktualizácia normatívu opráv a</w:t>
      </w:r>
      <w:r w:rsidR="00775CC3">
        <w:rPr>
          <w:rFonts w:ascii="Segoe UI" w:hAnsi="Segoe UI" w:cs="Segoe UI"/>
          <w:color w:val="auto"/>
          <w:sz w:val="20"/>
          <w:szCs w:val="20"/>
        </w:rPr>
        <w:t> </w:t>
      </w:r>
      <w:r w:rsidRPr="007E39D7">
        <w:rPr>
          <w:rFonts w:ascii="Segoe UI" w:hAnsi="Segoe UI" w:cs="Segoe UI"/>
          <w:color w:val="auto"/>
          <w:sz w:val="20"/>
          <w:szCs w:val="20"/>
        </w:rPr>
        <w:t>údržby</w:t>
      </w:r>
      <w:r w:rsidR="00775CC3">
        <w:rPr>
          <w:rFonts w:ascii="Segoe UI" w:hAnsi="Segoe UI" w:cs="Segoe UI"/>
          <w:color w:val="auto"/>
          <w:sz w:val="20"/>
          <w:szCs w:val="20"/>
        </w:rPr>
        <w:t xml:space="preserve"> hmotného majetku</w:t>
      </w:r>
      <w:r w:rsidRPr="007E39D7">
        <w:rPr>
          <w:rFonts w:ascii="Segoe UI" w:hAnsi="Segoe UI" w:cs="Segoe UI"/>
          <w:color w:val="auto"/>
          <w:sz w:val="20"/>
          <w:szCs w:val="20"/>
        </w:rPr>
        <w:t xml:space="preserve">. Za rok 2021 sa výšku stanovenú aktualizovaným normatívom (108,4 mil. eur) nepodarilo dosiahnuť a plnenie opráv a údržby dosiahlo len 30,62 % v dôsledku nedostatočného pokrytia zdrojov v štátnom rozpočte. SVP, š. p. dlhodobo vykazoval v rámci výsledkov hospodárenia výraznú stratu. Posledné dva roky </w:t>
      </w:r>
      <w:r w:rsidR="00775CC3">
        <w:rPr>
          <w:rFonts w:ascii="Segoe UI" w:hAnsi="Segoe UI" w:cs="Segoe UI"/>
          <w:color w:val="auto"/>
          <w:sz w:val="20"/>
          <w:szCs w:val="20"/>
        </w:rPr>
        <w:t>podnik</w:t>
      </w:r>
      <w:r w:rsidRPr="007E39D7">
        <w:rPr>
          <w:rFonts w:ascii="Segoe UI" w:hAnsi="Segoe UI" w:cs="Segoe UI"/>
          <w:color w:val="auto"/>
          <w:sz w:val="20"/>
          <w:szCs w:val="20"/>
        </w:rPr>
        <w:t xml:space="preserve"> hospodáril s miernym ziskom a rovnako sa znížilo </w:t>
      </w:r>
      <w:r w:rsidR="00775CC3">
        <w:rPr>
          <w:rFonts w:ascii="Segoe UI" w:hAnsi="Segoe UI" w:cs="Segoe UI"/>
          <w:color w:val="auto"/>
          <w:sz w:val="20"/>
          <w:szCs w:val="20"/>
        </w:rPr>
        <w:t>jeho úverové zaťaženie</w:t>
      </w:r>
      <w:r w:rsidRPr="007E39D7">
        <w:rPr>
          <w:rFonts w:ascii="Segoe UI" w:hAnsi="Segoe UI" w:cs="Segoe UI"/>
          <w:color w:val="auto"/>
          <w:sz w:val="20"/>
          <w:szCs w:val="20"/>
        </w:rPr>
        <w:t>.</w:t>
      </w:r>
    </w:p>
    <w:p w14:paraId="4C4E0BB1" w14:textId="437124B5" w:rsidR="00805BE8" w:rsidRPr="00985051" w:rsidRDefault="00805BE8" w:rsidP="00805BE8">
      <w:pPr>
        <w:rPr>
          <w:rFonts w:eastAsia="Times New Roman" w:cs="Segoe UI"/>
          <w:color w:val="333333"/>
          <w:szCs w:val="20"/>
          <w:lang w:eastAsia="sk-SK"/>
        </w:rPr>
      </w:pPr>
      <w:r w:rsidRPr="00985051">
        <w:rPr>
          <w:rFonts w:cs="Segoe UI"/>
          <w:szCs w:val="20"/>
        </w:rPr>
        <w:t xml:space="preserve">Napriek nárastu finančných prostriedkov </w:t>
      </w:r>
      <w:r w:rsidR="00775CC3">
        <w:rPr>
          <w:rFonts w:cs="Segoe UI"/>
          <w:szCs w:val="20"/>
        </w:rPr>
        <w:t xml:space="preserve">pre rok 2023 </w:t>
      </w:r>
      <w:r w:rsidRPr="00985051">
        <w:rPr>
          <w:rFonts w:cs="Segoe UI"/>
          <w:szCs w:val="20"/>
        </w:rPr>
        <w:t>výška investičného dlhu v rámci infraštruktúry vodného hospodárstva predstavovala v roku 2022 cca 2 mld. eur.</w:t>
      </w:r>
      <w:r w:rsidRPr="00985051">
        <w:rPr>
          <w:rFonts w:cs="Segoe UI"/>
          <w:szCs w:val="20"/>
          <w:vertAlign w:val="superscript"/>
        </w:rPr>
        <w:footnoteReference w:id="59"/>
      </w:r>
      <w:r w:rsidRPr="00985051">
        <w:rPr>
          <w:rFonts w:cs="Segoe UI"/>
          <w:szCs w:val="20"/>
        </w:rPr>
        <w:t xml:space="preserve"> </w:t>
      </w:r>
      <w:r w:rsidRPr="00A837B8">
        <w:rPr>
          <w:rFonts w:cs="Segoe UI"/>
          <w:b/>
          <w:szCs w:val="20"/>
        </w:rPr>
        <w:t>EK upozornila</w:t>
      </w:r>
      <w:r w:rsidR="00EB2A3B">
        <w:rPr>
          <w:rFonts w:cs="Segoe UI"/>
          <w:b/>
          <w:szCs w:val="20"/>
        </w:rPr>
        <w:t xml:space="preserve"> SR</w:t>
      </w:r>
      <w:r w:rsidRPr="00A837B8">
        <w:rPr>
          <w:rFonts w:cs="Segoe UI"/>
          <w:b/>
          <w:szCs w:val="20"/>
        </w:rPr>
        <w:t xml:space="preserve"> na porušovanie pravidiel v oblasti protipovodňovej ochrany a</w:t>
      </w:r>
      <w:r w:rsidR="005A30D1">
        <w:rPr>
          <w:rFonts w:cs="Segoe UI"/>
          <w:b/>
          <w:szCs w:val="20"/>
        </w:rPr>
        <w:t xml:space="preserve"> vo </w:t>
      </w:r>
      <w:r w:rsidRPr="00A837B8">
        <w:rPr>
          <w:rFonts w:cs="Segoe UI"/>
          <w:b/>
          <w:szCs w:val="20"/>
        </w:rPr>
        <w:t>využívaní hydroenergetického potenciálu</w:t>
      </w:r>
      <w:r w:rsidRPr="00985051">
        <w:rPr>
          <w:rFonts w:cs="Segoe UI"/>
          <w:szCs w:val="20"/>
        </w:rPr>
        <w:t>.</w:t>
      </w:r>
      <w:r w:rsidRPr="00985051">
        <w:rPr>
          <w:rStyle w:val="Odkaznapoznmkupodiarou"/>
          <w:rFonts w:eastAsia="Times New Roman" w:cs="Segoe UI"/>
          <w:color w:val="333333"/>
          <w:szCs w:val="20"/>
          <w:lang w:eastAsia="sk-SK"/>
        </w:rPr>
        <w:footnoteReference w:id="60"/>
      </w:r>
      <w:r w:rsidRPr="00985051">
        <w:rPr>
          <w:rFonts w:eastAsia="Times New Roman" w:cs="Segoe UI"/>
          <w:color w:val="333333"/>
          <w:szCs w:val="20"/>
          <w:lang w:eastAsia="sk-SK"/>
        </w:rPr>
        <w:t xml:space="preserve"> </w:t>
      </w:r>
    </w:p>
    <w:p w14:paraId="6923504D" w14:textId="5A2B9892" w:rsidR="00805BE8" w:rsidRDefault="00805BE8" w:rsidP="00805BE8">
      <w:pPr>
        <w:rPr>
          <w:rFonts w:cs="Segoe UI"/>
          <w:szCs w:val="20"/>
        </w:rPr>
      </w:pPr>
      <w:r w:rsidRPr="00430AA6">
        <w:t xml:space="preserve">V oblasti </w:t>
      </w:r>
      <w:r>
        <w:rPr>
          <w:b/>
        </w:rPr>
        <w:t>o</w:t>
      </w:r>
      <w:r w:rsidRPr="00A837B8">
        <w:rPr>
          <w:b/>
        </w:rPr>
        <w:t>chrana ovzdušia</w:t>
      </w:r>
      <w:r w:rsidRPr="00430AA6">
        <w:t xml:space="preserve"> sú alokované výdavky v objeme 381 mil. eur a zahŕňajú sledovanie a hodnotenie kvality ovzdušia. V sume sú zahrnuté najmä výdavky z POO (329 mil. eur), ktoré budú smerovať na nákladovo-efektívnu podporu dekarbonizácie priemyslu (</w:t>
      </w:r>
      <w:proofErr w:type="spellStart"/>
      <w:r w:rsidRPr="00430AA6">
        <w:t>mitigačné</w:t>
      </w:r>
      <w:proofErr w:type="spellEnd"/>
      <w:r w:rsidRPr="00430AA6">
        <w:t xml:space="preserve"> opatrenia) na základe schémy štátnej pomoci. Významný nárast výdavkov je aj z EF (43 mil. eur), čo predstavuje nárast</w:t>
      </w:r>
      <w:r>
        <w:t xml:space="preserve"> oproti roku 2022 o 116 %. </w:t>
      </w:r>
      <w:r w:rsidRPr="00A837B8">
        <w:rPr>
          <w:rFonts w:cs="Segoe UI"/>
          <w:szCs w:val="20"/>
        </w:rPr>
        <w:t>SR kvalitu ovzdušia dlhodobo neriešila.</w:t>
      </w:r>
      <w:r w:rsidRPr="00D14A4D">
        <w:rPr>
          <w:rStyle w:val="Odkaznapoznmkupodiarou"/>
          <w:rFonts w:cs="Segoe UI"/>
          <w:szCs w:val="20"/>
        </w:rPr>
        <w:footnoteReference w:id="61"/>
      </w:r>
      <w:r w:rsidRPr="00622267">
        <w:rPr>
          <w:rFonts w:cs="Segoe UI"/>
          <w:szCs w:val="20"/>
        </w:rPr>
        <w:t xml:space="preserve"> </w:t>
      </w:r>
      <w:r w:rsidRPr="00622267">
        <w:rPr>
          <w:rFonts w:cs="Segoe UI"/>
          <w:b/>
          <w:szCs w:val="20"/>
        </w:rPr>
        <w:t>Za dlhoročné prekračovanie denných limitov koncentrácií tuhých častíc v ovzduší a </w:t>
      </w:r>
      <w:r w:rsidRPr="004A7AE1">
        <w:rPr>
          <w:rFonts w:cs="Segoe UI"/>
          <w:b/>
          <w:szCs w:val="20"/>
        </w:rPr>
        <w:t>za neprijatie adekvátnych opatrení na zlepšenie situácie</w:t>
      </w:r>
      <w:r>
        <w:rPr>
          <w:rFonts w:cs="Segoe UI"/>
          <w:b/>
          <w:szCs w:val="20"/>
        </w:rPr>
        <w:t xml:space="preserve"> </w:t>
      </w:r>
      <w:r w:rsidRPr="004A7AE1">
        <w:rPr>
          <w:rFonts w:cs="Segoe UI"/>
          <w:b/>
          <w:szCs w:val="20"/>
        </w:rPr>
        <w:t>EK minulý rok zažalovala SR na Súdnom dvore EÚ.</w:t>
      </w:r>
      <w:r w:rsidRPr="004A7AE1">
        <w:rPr>
          <w:rFonts w:cs="Segoe UI"/>
          <w:szCs w:val="20"/>
        </w:rPr>
        <w:t xml:space="preserve"> Rovnako tak hrozia sankcie za neplnenie bilancovania emisií a </w:t>
      </w:r>
      <w:proofErr w:type="spellStart"/>
      <w:r w:rsidRPr="004A7AE1">
        <w:rPr>
          <w:rFonts w:cs="Segoe UI"/>
          <w:szCs w:val="20"/>
        </w:rPr>
        <w:t>mitigačných</w:t>
      </w:r>
      <w:proofErr w:type="spellEnd"/>
      <w:r w:rsidRPr="004A7AE1">
        <w:rPr>
          <w:rFonts w:cs="Segoe UI"/>
          <w:szCs w:val="20"/>
        </w:rPr>
        <w:t xml:space="preserve"> cieľov S</w:t>
      </w:r>
      <w:r w:rsidR="00D14A4D">
        <w:rPr>
          <w:rFonts w:cs="Segoe UI"/>
          <w:szCs w:val="20"/>
        </w:rPr>
        <w:t>R</w:t>
      </w:r>
      <w:r w:rsidRPr="004A7AE1">
        <w:rPr>
          <w:rFonts w:cs="Segoe UI"/>
          <w:szCs w:val="20"/>
        </w:rPr>
        <w:t xml:space="preserve"> (Parížska dohoda), ako aj </w:t>
      </w:r>
      <w:r w:rsidR="00524ADE">
        <w:rPr>
          <w:rFonts w:cs="Segoe UI"/>
          <w:szCs w:val="20"/>
        </w:rPr>
        <w:t xml:space="preserve">za nezlepšenie </w:t>
      </w:r>
      <w:r w:rsidRPr="004A7AE1">
        <w:rPr>
          <w:rFonts w:cs="Segoe UI"/>
          <w:szCs w:val="20"/>
        </w:rPr>
        <w:t xml:space="preserve">analýz </w:t>
      </w:r>
      <w:r w:rsidR="00524ADE">
        <w:rPr>
          <w:rFonts w:cs="Segoe UI"/>
          <w:szCs w:val="20"/>
        </w:rPr>
        <w:t xml:space="preserve">monitorovania </w:t>
      </w:r>
      <w:r w:rsidRPr="004A7AE1">
        <w:rPr>
          <w:rFonts w:cs="Segoe UI"/>
          <w:szCs w:val="20"/>
        </w:rPr>
        <w:t>kvality ovzdušia.</w:t>
      </w:r>
      <w:r>
        <w:rPr>
          <w:rFonts w:cs="Segoe UI"/>
          <w:szCs w:val="20"/>
        </w:rPr>
        <w:t xml:space="preserve"> </w:t>
      </w:r>
      <w:r w:rsidRPr="00622267">
        <w:rPr>
          <w:rFonts w:cs="Segoe UI"/>
          <w:szCs w:val="20"/>
        </w:rPr>
        <w:t>Environmentálne poplatky súvisiace so znečistením ovzdušia by mohli podporiť efektívne využívanie zdrojov. Oxidy dusíka sú zodpovedné za tvorbu smogu a pevných častíc, no príslušná daň nebola upravená od roku 2008.</w:t>
      </w:r>
      <w:r>
        <w:rPr>
          <w:rFonts w:cs="Segoe UI"/>
          <w:szCs w:val="20"/>
        </w:rPr>
        <w:t xml:space="preserve"> </w:t>
      </w:r>
    </w:p>
    <w:p w14:paraId="0ACC935C" w14:textId="7838BF98" w:rsidR="00805BE8" w:rsidRDefault="00805BE8" w:rsidP="00805BE8">
      <w:pPr>
        <w:rPr>
          <w:szCs w:val="20"/>
        </w:rPr>
      </w:pPr>
      <w:r w:rsidRPr="00A837B8">
        <w:rPr>
          <w:rFonts w:cs="Segoe UI"/>
          <w:szCs w:val="20"/>
        </w:rPr>
        <w:t xml:space="preserve">Výdavky smerujúce do oblasti </w:t>
      </w:r>
      <w:proofErr w:type="spellStart"/>
      <w:r w:rsidRPr="00A837B8">
        <w:rPr>
          <w:rFonts w:cs="Segoe UI"/>
          <w:b/>
          <w:szCs w:val="20"/>
        </w:rPr>
        <w:t>nízkouhlíkové</w:t>
      </w:r>
      <w:r w:rsidR="00EB2A3B">
        <w:rPr>
          <w:rFonts w:cs="Segoe UI"/>
          <w:b/>
          <w:szCs w:val="20"/>
        </w:rPr>
        <w:t>ho</w:t>
      </w:r>
      <w:proofErr w:type="spellEnd"/>
      <w:r w:rsidRPr="00A837B8">
        <w:rPr>
          <w:rFonts w:cs="Segoe UI"/>
          <w:b/>
          <w:szCs w:val="20"/>
        </w:rPr>
        <w:t xml:space="preserve"> hospodárstv</w:t>
      </w:r>
      <w:r w:rsidR="00EB2A3B">
        <w:rPr>
          <w:rFonts w:cs="Segoe UI"/>
          <w:b/>
          <w:szCs w:val="20"/>
        </w:rPr>
        <w:t>a</w:t>
      </w:r>
      <w:r w:rsidRPr="00A837B8">
        <w:rPr>
          <w:rFonts w:cs="Segoe UI"/>
          <w:szCs w:val="20"/>
        </w:rPr>
        <w:t xml:space="preserve"> predstavujú 226 mil. eur a tvoria ich iba prostriedky EÚ a spolufinancovani</w:t>
      </w:r>
      <w:r>
        <w:rPr>
          <w:rFonts w:cs="Segoe UI"/>
          <w:szCs w:val="20"/>
        </w:rPr>
        <w:t>e</w:t>
      </w:r>
      <w:r w:rsidRPr="00A837B8">
        <w:rPr>
          <w:rFonts w:cs="Segoe UI"/>
          <w:szCs w:val="20"/>
        </w:rPr>
        <w:t xml:space="preserve">. </w:t>
      </w:r>
      <w:r w:rsidRPr="00A837B8">
        <w:rPr>
          <w:rFonts w:cs="Segoe UI"/>
        </w:rPr>
        <w:t xml:space="preserve">Energetická náročnosť krajiny bola v roku 2020 o 70 % vyššia ako priemer EÚ a SR je </w:t>
      </w:r>
      <w:r w:rsidRPr="00A837B8">
        <w:t>naďalej výrazne závislá od dovozu fosílnych palív</w:t>
      </w:r>
      <w:r w:rsidRPr="00A837B8">
        <w:rPr>
          <w:rFonts w:cs="Segoe UI"/>
        </w:rPr>
        <w:t xml:space="preserve">. </w:t>
      </w:r>
      <w:r w:rsidRPr="00A837B8">
        <w:t xml:space="preserve">Slovensko v POO vyčleňuje 43 % výdavkov na klimatické ciele a načrtáva kľúčové reformy a investície na podporu prechodu na </w:t>
      </w:r>
      <w:r w:rsidRPr="00A837B8">
        <w:lastRenderedPageBreak/>
        <w:t xml:space="preserve">udržateľnejšie, </w:t>
      </w:r>
      <w:proofErr w:type="spellStart"/>
      <w:r w:rsidRPr="00A837B8">
        <w:t>nízkouhlíkové</w:t>
      </w:r>
      <w:proofErr w:type="spellEnd"/>
      <w:r w:rsidRPr="00A837B8">
        <w:t xml:space="preserve"> hospodárstvo odolné voči zmene klímy.</w:t>
      </w:r>
      <w:r w:rsidRPr="00A837B8">
        <w:rPr>
          <w:rStyle w:val="Odkaznapoznmkupodiarou"/>
        </w:rPr>
        <w:footnoteReference w:id="62"/>
      </w:r>
      <w:r w:rsidRPr="00A837B8">
        <w:t xml:space="preserve"> </w:t>
      </w:r>
      <w:r w:rsidRPr="0040115A">
        <w:rPr>
          <w:b/>
          <w:szCs w:val="20"/>
        </w:rPr>
        <w:t xml:space="preserve">Národný energetický a klimatický plán Slovenska (NEKP) si bude vyžadovať aktualizáciu vzhľadom na zvýšené klimatické ambície EÚ do roku 2030 </w:t>
      </w:r>
      <w:r w:rsidRPr="00A837B8">
        <w:rPr>
          <w:szCs w:val="20"/>
        </w:rPr>
        <w:t>a vývoj súvisiaci s inváziou na Ukrajinu.</w:t>
      </w:r>
      <w:r w:rsidRPr="00A837B8">
        <w:rPr>
          <w:rStyle w:val="Odkaznapoznmkupodiarou"/>
          <w:szCs w:val="20"/>
        </w:rPr>
        <w:footnoteReference w:id="63"/>
      </w:r>
      <w:r w:rsidRPr="00A837B8">
        <w:rPr>
          <w:szCs w:val="20"/>
        </w:rPr>
        <w:t xml:space="preserve"> </w:t>
      </w:r>
      <w:r w:rsidRPr="00A837B8">
        <w:rPr>
          <w:rFonts w:cs="Segoe UI"/>
        </w:rPr>
        <w:t>Pre celkovú dekarbonizáciu ekonomiky SR bude potrebné investovať do roku 203</w:t>
      </w:r>
      <w:r w:rsidR="00775CC3">
        <w:rPr>
          <w:rFonts w:cs="Segoe UI"/>
        </w:rPr>
        <w:t>0</w:t>
      </w:r>
      <w:r w:rsidRPr="00A837B8">
        <w:rPr>
          <w:rFonts w:cs="Segoe UI"/>
        </w:rPr>
        <w:t xml:space="preserve"> približne 8 mld. eur navyše oproti referenčnému scenáru s existujúcimi opatreniami.</w:t>
      </w:r>
      <w:r w:rsidRPr="00A837B8">
        <w:rPr>
          <w:rStyle w:val="Odkaznapoznmkupodiarou"/>
          <w:rFonts w:cs="Segoe UI"/>
        </w:rPr>
        <w:footnoteReference w:id="64"/>
      </w:r>
      <w:r w:rsidRPr="00A837B8">
        <w:t xml:space="preserve"> </w:t>
      </w:r>
      <w:r>
        <w:rPr>
          <w:szCs w:val="20"/>
        </w:rPr>
        <w:t>Kľúčové bude efektívne využíva</w:t>
      </w:r>
      <w:r w:rsidR="005A30D1">
        <w:rPr>
          <w:szCs w:val="20"/>
        </w:rPr>
        <w:t>nie</w:t>
      </w:r>
      <w:r>
        <w:rPr>
          <w:szCs w:val="20"/>
        </w:rPr>
        <w:t xml:space="preserve"> všetk</w:t>
      </w:r>
      <w:r w:rsidR="005A30D1">
        <w:rPr>
          <w:szCs w:val="20"/>
        </w:rPr>
        <w:t>ých</w:t>
      </w:r>
      <w:r>
        <w:rPr>
          <w:szCs w:val="20"/>
        </w:rPr>
        <w:t xml:space="preserve"> zdroj</w:t>
      </w:r>
      <w:r w:rsidR="005A30D1">
        <w:rPr>
          <w:szCs w:val="20"/>
        </w:rPr>
        <w:t>ov</w:t>
      </w:r>
      <w:r>
        <w:rPr>
          <w:szCs w:val="20"/>
        </w:rPr>
        <w:t xml:space="preserve"> a možnost</w:t>
      </w:r>
      <w:r w:rsidR="005A30D1">
        <w:rPr>
          <w:szCs w:val="20"/>
        </w:rPr>
        <w:t>í</w:t>
      </w:r>
      <w:r>
        <w:rPr>
          <w:szCs w:val="20"/>
        </w:rPr>
        <w:t xml:space="preserve"> v rámci EÚ</w:t>
      </w:r>
      <w:r w:rsidR="005A30D1">
        <w:rPr>
          <w:szCs w:val="20"/>
        </w:rPr>
        <w:t>,</w:t>
      </w:r>
      <w:r>
        <w:rPr>
          <w:szCs w:val="20"/>
        </w:rPr>
        <w:t xml:space="preserve"> potrebných na dekarbonizáciu SR a v rámci programového rozpočtovania zabezpeč</w:t>
      </w:r>
      <w:r w:rsidR="005A30D1">
        <w:rPr>
          <w:szCs w:val="20"/>
        </w:rPr>
        <w:t>enie</w:t>
      </w:r>
      <w:r>
        <w:rPr>
          <w:szCs w:val="20"/>
        </w:rPr>
        <w:t xml:space="preserve"> finančné</w:t>
      </w:r>
      <w:r w:rsidR="005A30D1">
        <w:rPr>
          <w:szCs w:val="20"/>
        </w:rPr>
        <w:t>ho</w:t>
      </w:r>
      <w:r>
        <w:rPr>
          <w:szCs w:val="20"/>
        </w:rPr>
        <w:t xml:space="preserve"> kryti</w:t>
      </w:r>
      <w:r w:rsidR="005A30D1">
        <w:rPr>
          <w:szCs w:val="20"/>
        </w:rPr>
        <w:t>a</w:t>
      </w:r>
      <w:r>
        <w:rPr>
          <w:szCs w:val="20"/>
        </w:rPr>
        <w:t>.</w:t>
      </w:r>
    </w:p>
    <w:p w14:paraId="4BA3C87B" w14:textId="5631FA11" w:rsidR="00775CC3" w:rsidRDefault="00805BE8" w:rsidP="00775CC3">
      <w:r w:rsidRPr="00F71C2E">
        <w:rPr>
          <w:rFonts w:cs="Segoe UI"/>
        </w:rPr>
        <w:t xml:space="preserve">Pre oblasť </w:t>
      </w:r>
      <w:r w:rsidRPr="00F71C2E">
        <w:rPr>
          <w:rFonts w:cs="Segoe UI"/>
          <w:b/>
        </w:rPr>
        <w:t>odpadové hospodárstvo</w:t>
      </w:r>
      <w:r w:rsidRPr="00F71C2E">
        <w:rPr>
          <w:rFonts w:cs="Segoe UI"/>
        </w:rPr>
        <w:t xml:space="preserve"> sa rozpočtujú výdavky zo zdrojov EÚ a spolufinancovania v objeme 2,27 mil. eur a v EF v objeme 35,7 mil. eur. </w:t>
      </w:r>
      <w:r w:rsidRPr="00A520F4">
        <w:rPr>
          <w:rFonts w:cs="Segoe UI"/>
        </w:rPr>
        <w:t>Miera recyklácie komunálneho odpadu sa postupne zvyšuje, stále však nedosahuje úroveň európskeho priemeru.</w:t>
      </w:r>
      <w:r>
        <w:rPr>
          <w:sz w:val="23"/>
          <w:szCs w:val="23"/>
        </w:rPr>
        <w:t xml:space="preserve"> </w:t>
      </w:r>
      <w:r w:rsidRPr="0060326C">
        <w:rPr>
          <w:rFonts w:cs="Segoe UI"/>
          <w:b/>
        </w:rPr>
        <w:t>Plánované zdroje sa javia ako nedostatočné</w:t>
      </w:r>
      <w:r>
        <w:rPr>
          <w:rFonts w:cs="Segoe UI"/>
        </w:rPr>
        <w:t xml:space="preserve"> s ohľadom na i</w:t>
      </w:r>
      <w:r w:rsidRPr="00F71C2E">
        <w:rPr>
          <w:rFonts w:cs="Segoe UI"/>
        </w:rPr>
        <w:t xml:space="preserve">nvestície </w:t>
      </w:r>
      <w:r>
        <w:rPr>
          <w:rFonts w:cs="Segoe UI"/>
        </w:rPr>
        <w:t>potrebné</w:t>
      </w:r>
      <w:r w:rsidRPr="00F71C2E">
        <w:rPr>
          <w:rFonts w:cs="Segoe UI"/>
        </w:rPr>
        <w:t xml:space="preserve"> </w:t>
      </w:r>
      <w:r>
        <w:rPr>
          <w:rFonts w:cs="Segoe UI"/>
        </w:rPr>
        <w:t xml:space="preserve">na </w:t>
      </w:r>
      <w:r w:rsidRPr="00F71C2E">
        <w:rPr>
          <w:rFonts w:cs="Segoe UI"/>
        </w:rPr>
        <w:t>zriadenie efektívneho odpadového hospodárstva</w:t>
      </w:r>
      <w:r>
        <w:rPr>
          <w:rFonts w:cs="Segoe UI"/>
        </w:rPr>
        <w:t>, ktoré</w:t>
      </w:r>
      <w:r w:rsidRPr="00F71C2E">
        <w:rPr>
          <w:rFonts w:cs="Segoe UI"/>
        </w:rPr>
        <w:t xml:space="preserve"> sú značné</w:t>
      </w:r>
      <w:r w:rsidRPr="004A7AE1">
        <w:t>.</w:t>
      </w:r>
      <w:r w:rsidRPr="004A7AE1">
        <w:rPr>
          <w:rStyle w:val="Odkaznapoznmkupodiarou"/>
        </w:rPr>
        <w:footnoteReference w:id="65"/>
      </w:r>
      <w:r w:rsidRPr="004A7AE1">
        <w:t xml:space="preserve"> </w:t>
      </w:r>
      <w:r>
        <w:t xml:space="preserve">Len </w:t>
      </w:r>
      <w:r w:rsidRPr="00A520F4">
        <w:rPr>
          <w:b/>
        </w:rPr>
        <w:t>i</w:t>
      </w:r>
      <w:r w:rsidRPr="004A7AE1">
        <w:rPr>
          <w:b/>
        </w:rPr>
        <w:t xml:space="preserve">nvestičné potreby na elimináciu následkov, sanáciu a rekultiváciu 314 potvrdených lokalít </w:t>
      </w:r>
      <w:proofErr w:type="spellStart"/>
      <w:r w:rsidRPr="004A7AE1">
        <w:rPr>
          <w:b/>
        </w:rPr>
        <w:t>envirozáťaží</w:t>
      </w:r>
      <w:proofErr w:type="spellEnd"/>
      <w:r w:rsidRPr="004A7AE1">
        <w:rPr>
          <w:b/>
        </w:rPr>
        <w:t xml:space="preserve"> sú vypočítan</w:t>
      </w:r>
      <w:r w:rsidR="005A30D1">
        <w:rPr>
          <w:b/>
        </w:rPr>
        <w:t>é</w:t>
      </w:r>
      <w:r w:rsidRPr="004A7AE1">
        <w:rPr>
          <w:b/>
        </w:rPr>
        <w:t xml:space="preserve"> na približne 2 mld. eur.</w:t>
      </w:r>
      <w:r w:rsidRPr="0040115A">
        <w:rPr>
          <w:rStyle w:val="Odkaznapoznmkupodiarou"/>
        </w:rPr>
        <w:footnoteReference w:id="66"/>
      </w:r>
      <w:r w:rsidRPr="0040115A">
        <w:t xml:space="preserve"> </w:t>
      </w:r>
      <w:r w:rsidR="00775CC3">
        <w:t xml:space="preserve">Zároveň </w:t>
      </w:r>
      <w:r w:rsidR="00775CC3" w:rsidRPr="0040115A">
        <w:t>EK</w:t>
      </w:r>
      <w:r w:rsidR="00775CC3">
        <w:t xml:space="preserve"> </w:t>
      </w:r>
      <w:r w:rsidR="00775CC3" w:rsidRPr="0040115A">
        <w:t>konštatuje nesprávnu implementáciu smernice Rady</w:t>
      </w:r>
      <w:r w:rsidR="00775CC3">
        <w:t xml:space="preserve"> 1999/31/ES o skládkach odpadov, ktoré sa týkajú 11 lokalít v</w:t>
      </w:r>
      <w:r w:rsidR="00AC3D1E">
        <w:t> </w:t>
      </w:r>
      <w:r w:rsidR="00775CC3">
        <w:t>SR</w:t>
      </w:r>
      <w:r w:rsidR="00AC3D1E">
        <w:t>.</w:t>
      </w:r>
      <w:r w:rsidR="00775CC3">
        <w:rPr>
          <w:rStyle w:val="Odkaznapoznmkupodiarou"/>
        </w:rPr>
        <w:footnoteReference w:id="67"/>
      </w:r>
    </w:p>
    <w:p w14:paraId="054D5EC8" w14:textId="43D7D58A" w:rsidR="005F5F9D" w:rsidRPr="005F5F9D" w:rsidRDefault="00805BE8" w:rsidP="00805BE8">
      <w:pPr>
        <w:rPr>
          <w:rFonts w:cs="Segoe UI"/>
          <w:szCs w:val="20"/>
        </w:rPr>
      </w:pPr>
      <w:r w:rsidRPr="00A65DB5">
        <w:t xml:space="preserve">V oblasti </w:t>
      </w:r>
      <w:r>
        <w:rPr>
          <w:b/>
        </w:rPr>
        <w:t>o</w:t>
      </w:r>
      <w:r w:rsidRPr="00A65DB5">
        <w:rPr>
          <w:b/>
        </w:rPr>
        <w:t>chrana prírody</w:t>
      </w:r>
      <w:r w:rsidR="005F5F9D">
        <w:rPr>
          <w:b/>
        </w:rPr>
        <w:t xml:space="preserve"> a</w:t>
      </w:r>
      <w:r w:rsidRPr="00A65DB5">
        <w:rPr>
          <w:b/>
        </w:rPr>
        <w:t xml:space="preserve"> krajiny</w:t>
      </w:r>
      <w:r w:rsidRPr="00A65DB5">
        <w:t xml:space="preserve"> sú </w:t>
      </w:r>
      <w:r w:rsidRPr="00F71C2E">
        <w:t xml:space="preserve">alokované výdavky na úrovni 109 mil. eur. </w:t>
      </w:r>
      <w:r w:rsidR="005F5F9D">
        <w:t>Väčšina výdavkov je z</w:t>
      </w:r>
      <w:r w:rsidRPr="00F71C2E">
        <w:t xml:space="preserve"> POO </w:t>
      </w:r>
      <w:r w:rsidR="005F5F9D">
        <w:t>(</w:t>
      </w:r>
      <w:r w:rsidRPr="00F71C2E">
        <w:t xml:space="preserve">cca 68 %), ktoré </w:t>
      </w:r>
      <w:r w:rsidR="00B31388">
        <w:t>majú byť</w:t>
      </w:r>
      <w:r w:rsidRPr="00F71C2E">
        <w:t xml:space="preserve"> použité na mapovanie a hodnotenie ekosystémových služieb, prehodnotenie chránených území, dobudovanie národnej sústavy chránených území a tiež komplexné zmapovanie biotopov a druho</w:t>
      </w:r>
      <w:r w:rsidR="005F5F9D">
        <w:t>v európskeho významu</w:t>
      </w:r>
      <w:r w:rsidR="005F5F9D" w:rsidRPr="005F5F9D">
        <w:t>.</w:t>
      </w:r>
      <w:r w:rsidR="005F5F9D" w:rsidRPr="005F5F9D">
        <w:rPr>
          <w:rFonts w:cs="Segoe UI"/>
          <w:b/>
          <w:szCs w:val="20"/>
        </w:rPr>
        <w:t xml:space="preserve"> NKÚ SR identifikoval riziko pri dobudovaní národnej sústavy chránených území</w:t>
      </w:r>
      <w:r w:rsidR="005F5F9D" w:rsidRPr="005F5F9D">
        <w:rPr>
          <w:rFonts w:cs="Segoe UI"/>
          <w:szCs w:val="20"/>
        </w:rPr>
        <w:t>, lebo len na výkup pozemkov je potrebných 77,5 mil. eur. Zvýšené finančné prostriedky budú potrebné aj na zriadenie správ deviatich národných parkov.</w:t>
      </w:r>
      <w:r w:rsidR="005F5F9D" w:rsidRPr="005F5F9D">
        <w:rPr>
          <w:rStyle w:val="Odkaznapoznmkupodiarou"/>
          <w:rFonts w:cs="Segoe UI"/>
          <w:szCs w:val="20"/>
        </w:rPr>
        <w:footnoteReference w:id="68"/>
      </w:r>
      <w:r w:rsidR="005F5F9D" w:rsidRPr="005F5F9D">
        <w:rPr>
          <w:rFonts w:cs="Segoe UI"/>
          <w:szCs w:val="20"/>
        </w:rPr>
        <w:t xml:space="preserve"> Zmena správcu územia bude znamenať zvýšenie počtu zamestnancov o 240 na celkovo 690.</w:t>
      </w:r>
      <w:r w:rsidR="005F5F9D" w:rsidRPr="005F5F9D">
        <w:rPr>
          <w:rStyle w:val="Odkaznapoznmkupodiarou"/>
          <w:rFonts w:cs="Segoe UI"/>
          <w:szCs w:val="20"/>
        </w:rPr>
        <w:footnoteReference w:id="69"/>
      </w:r>
      <w:r w:rsidR="005F5F9D" w:rsidRPr="005F5F9D">
        <w:rPr>
          <w:rFonts w:cs="Segoe UI"/>
          <w:szCs w:val="20"/>
        </w:rPr>
        <w:t xml:space="preserve">  Z návrhu rozpočtu nie je jasné, či bude dostatok prostriedkov na ich financovanie.</w:t>
      </w:r>
      <w:r w:rsidR="005F5F9D">
        <w:rPr>
          <w:rFonts w:cs="Segoe UI"/>
          <w:szCs w:val="20"/>
        </w:rPr>
        <w:t xml:space="preserve"> </w:t>
      </w:r>
      <w:r w:rsidR="00917D7F">
        <w:rPr>
          <w:rFonts w:cs="Segoe UI"/>
          <w:szCs w:val="20"/>
        </w:rPr>
        <w:t xml:space="preserve">Riziko dodatočných výdavkov hrozí aj z možnej pokuty (rádovo v mil. eur), ktorú bude musieť SR zaplatiť, ak neprijme zásadné opatrenia v oblasti ochrany hlucháňa hôrneho.  </w:t>
      </w:r>
      <w:r w:rsidR="00917D7F" w:rsidRPr="006928B4">
        <w:rPr>
          <w:rFonts w:cs="Segoe UI"/>
          <w:szCs w:val="20"/>
        </w:rPr>
        <w:t xml:space="preserve">SR </w:t>
      </w:r>
      <w:r w:rsidR="00917D7F">
        <w:rPr>
          <w:rFonts w:cs="Segoe UI"/>
          <w:szCs w:val="20"/>
        </w:rPr>
        <w:t xml:space="preserve">totiž </w:t>
      </w:r>
      <w:r w:rsidR="00917D7F" w:rsidRPr="006928B4">
        <w:rPr>
          <w:rFonts w:cs="Segoe UI"/>
          <w:szCs w:val="20"/>
        </w:rPr>
        <w:t>prehrala súdny spor s EK za nedostatočnú ochranu</w:t>
      </w:r>
      <w:r w:rsidR="00917D7F">
        <w:rPr>
          <w:rFonts w:cs="Segoe UI"/>
          <w:szCs w:val="20"/>
        </w:rPr>
        <w:t xml:space="preserve"> tohto živočícha.</w:t>
      </w:r>
    </w:p>
    <w:p w14:paraId="4C1DF492" w14:textId="77777777" w:rsidR="005F5F9D" w:rsidRDefault="005F5F9D" w:rsidP="00805BE8"/>
    <w:p w14:paraId="682E7FF6" w14:textId="03319E88" w:rsidR="000D05F7" w:rsidRDefault="00C30CC5" w:rsidP="00393658">
      <w:pPr>
        <w:pStyle w:val="Nadpis1"/>
      </w:pPr>
      <w:bookmarkStart w:id="27" w:name="_Toc86396384"/>
      <w:bookmarkStart w:id="28" w:name="_Toc119482915"/>
      <w:r>
        <w:lastRenderedPageBreak/>
        <w:t>Rozpočt</w:t>
      </w:r>
      <w:r w:rsidR="00100936">
        <w:t>ové vzťahy</w:t>
      </w:r>
      <w:r w:rsidR="0013594B">
        <w:t xml:space="preserve"> samosprávy a štátu</w:t>
      </w:r>
      <w:bookmarkEnd w:id="27"/>
      <w:bookmarkEnd w:id="28"/>
    </w:p>
    <w:p w14:paraId="0FEDC5A2" w14:textId="345AAAFA" w:rsidR="00D84CB0" w:rsidRDefault="00D84CB0" w:rsidP="00D84CB0">
      <w:bookmarkStart w:id="29" w:name="_Toc86396386"/>
      <w:r>
        <w:t>O </w:t>
      </w:r>
      <w:r w:rsidR="00A20626">
        <w:t>dôležitosti</w:t>
      </w:r>
      <w:r>
        <w:t xml:space="preserve"> postavenia obcí, miest a VÚC svedčí aj fakt, že slovo </w:t>
      </w:r>
      <w:r w:rsidR="00A20626">
        <w:t>„</w:t>
      </w:r>
      <w:r>
        <w:t>samospráva</w:t>
      </w:r>
      <w:r w:rsidR="00A20626">
        <w:t>“</w:t>
      </w:r>
      <w:r>
        <w:t xml:space="preserve"> sa v aktuálnom </w:t>
      </w:r>
      <w:r w:rsidR="00833079">
        <w:t>PVV</w:t>
      </w:r>
      <w:r>
        <w:t xml:space="preserve"> vyskytuje až 50 krát. V rámci dokumentu sa </w:t>
      </w:r>
      <w:r w:rsidR="00833079">
        <w:t xml:space="preserve">vláda </w:t>
      </w:r>
      <w:r>
        <w:t xml:space="preserve">zaväzuje splniť viacero vytýčených cieľov v samospráve. Väčšina týchto sľubov zostala doposiaľ nenaplnená a z návrhu RVS na roky 2023 – 2025 sa zdá, že ani v budúcom roku nedôjde k zásadným zmenám. Týka sa to najmä oblasti kompetencií a financovania samosprávy, kde si vláda vytýčila za cieľ </w:t>
      </w:r>
      <w:r w:rsidRPr="00A573A5">
        <w:rPr>
          <w:b/>
        </w:rPr>
        <w:t>vytvoriť komisiu, ktorá zrealizuje audit a navrhne nový a efektívny model usporiadania a</w:t>
      </w:r>
      <w:r w:rsidR="00833079">
        <w:rPr>
          <w:b/>
        </w:rPr>
        <w:t> </w:t>
      </w:r>
      <w:r w:rsidRPr="00A573A5">
        <w:rPr>
          <w:b/>
        </w:rPr>
        <w:t>financovania</w:t>
      </w:r>
      <w:r w:rsidR="00833079">
        <w:rPr>
          <w:b/>
        </w:rPr>
        <w:t xml:space="preserve"> samosprávy</w:t>
      </w:r>
      <w:r w:rsidRPr="005A30D1">
        <w:t>.</w:t>
      </w:r>
      <w:r>
        <w:t xml:space="preserve"> Potreba zmeny modelu financovania sa spomína aj v ďalšej časti PVV. V nej sa vláda zaviazala, že zváži zmenu, aby obce a územné celky dostávali podiel z celkového daňového výberu, nie iba z </w:t>
      </w:r>
      <w:r w:rsidR="007C160D">
        <w:t>DPFO</w:t>
      </w:r>
      <w:r>
        <w:t>. Z návrhu RVS vyplýva, že ani v budúcom roku k zmene nedôjde, naopak, vplyvom novoprijatých legislatívnych zmien sa znižuje objem prostriedkov, ktoré sú určené pre samosprávu. Konkrétne ide o zvýšenie súm daňového bonusu na 100 eur od 1. 1. 2023</w:t>
      </w:r>
      <w:r>
        <w:rPr>
          <w:rStyle w:val="Odkaznapoznmkupodiarou"/>
        </w:rPr>
        <w:footnoteReference w:id="70"/>
      </w:r>
      <w:r>
        <w:t xml:space="preserve"> </w:t>
      </w:r>
      <w:r w:rsidR="00C14033">
        <w:t>(</w:t>
      </w:r>
      <w:r w:rsidR="00C14033" w:rsidRPr="008500DA">
        <w:t>čiastočne</w:t>
      </w:r>
      <w:r w:rsidR="00C14033">
        <w:t xml:space="preserve"> poklesne</w:t>
      </w:r>
      <w:r w:rsidR="00C14033" w:rsidRPr="008500DA">
        <w:t xml:space="preserve"> základ pre daň z</w:t>
      </w:r>
      <w:r w:rsidR="00C14033">
        <w:t> </w:t>
      </w:r>
      <w:r w:rsidR="00C14033" w:rsidRPr="008500DA">
        <w:t>príjmov</w:t>
      </w:r>
      <w:r w:rsidR="00C14033">
        <w:t xml:space="preserve">), </w:t>
      </w:r>
      <w:r>
        <w:t>čím sa zníži výška pr</w:t>
      </w:r>
      <w:r w:rsidR="00C14033">
        <w:t>íjmov z</w:t>
      </w:r>
      <w:r>
        <w:t xml:space="preserve"> DPFO, ktorá smeruje do rozpočtov obcí a VÚC. </w:t>
      </w:r>
      <w:r w:rsidRPr="00A573A5">
        <w:rPr>
          <w:b/>
        </w:rPr>
        <w:t>V praxi tak obce a VÚC dostanú v roku 2023 približne o 596 mil. eur menej</w:t>
      </w:r>
      <w:r w:rsidR="00833079">
        <w:t>, než</w:t>
      </w:r>
      <w:r>
        <w:t xml:space="preserve"> by dostali pred zavedením tejto novinky</w:t>
      </w:r>
      <w:r w:rsidR="00AC3D1E">
        <w:t>.</w:t>
      </w:r>
      <w:r>
        <w:rPr>
          <w:rStyle w:val="Odkaznapoznmkupodiarou"/>
        </w:rPr>
        <w:footnoteReference w:id="71"/>
      </w:r>
      <w:r>
        <w:t xml:space="preserve"> </w:t>
      </w:r>
      <w:r w:rsidR="00C14033">
        <w:t xml:space="preserve">To sa odráža aj na dynamike rastu daňových príjmov. Tie síce oproti rozpočtu na rok 2022 vzrastú, v obciach o 8,6 % a vo VÚC o 9,3 %, ale v porovnaní so 17,1 % nárastom daňových príjmov na úrovni štátu je toto tempo rastu nízke. </w:t>
      </w:r>
      <w:r>
        <w:t xml:space="preserve">Rozpočty samospráv ohrozujú aj ďalšie legislatívne zmeny v oblasti daňových príjmov </w:t>
      </w:r>
      <w:r w:rsidR="00833079">
        <w:t xml:space="preserve">a to daňové výdavky – položky znižujúce základ </w:t>
      </w:r>
      <w:r w:rsidR="007C160D">
        <w:t>DPFO</w:t>
      </w:r>
      <w:r>
        <w:t>.</w:t>
      </w:r>
      <w:r w:rsidR="002414F1">
        <w:t xml:space="preserve"> Samospráva prichádza o časť príjmov aj kvôli existencii fiktívnych živnostníkov (box 8).</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41674F" w:rsidRPr="00D442FD" w14:paraId="184FB256" w14:textId="77777777" w:rsidTr="0041674F">
        <w:tc>
          <w:tcPr>
            <w:tcW w:w="9060" w:type="dxa"/>
            <w:shd w:val="clear" w:color="auto" w:fill="EBF0FB" w:themeFill="background2" w:themeFillTint="33"/>
          </w:tcPr>
          <w:p w14:paraId="157BFC9F" w14:textId="4AB3BF49" w:rsidR="0041674F" w:rsidRPr="00965AC7" w:rsidRDefault="00D14A4D" w:rsidP="0041674F">
            <w:pPr>
              <w:spacing w:before="120"/>
              <w:ind w:left="176" w:right="163"/>
              <w:rPr>
                <w:b/>
                <w:szCs w:val="18"/>
              </w:rPr>
            </w:pPr>
            <w:r>
              <w:rPr>
                <w:b/>
                <w:szCs w:val="18"/>
              </w:rPr>
              <w:t>BOX 8: Fiktívni živnostníc</w:t>
            </w:r>
            <w:r w:rsidRPr="00965AC7">
              <w:rPr>
                <w:b/>
                <w:szCs w:val="18"/>
              </w:rPr>
              <w:t>i</w:t>
            </w:r>
          </w:p>
          <w:p w14:paraId="79E318DC" w14:textId="4BD6F23E" w:rsidR="0041674F" w:rsidRPr="00965AC7" w:rsidRDefault="0041674F" w:rsidP="00EF1A84">
            <w:pPr>
              <w:ind w:left="176" w:right="163"/>
              <w:rPr>
                <w:rFonts w:cs="Segoe UI"/>
                <w:sz w:val="18"/>
                <w:szCs w:val="18"/>
              </w:rPr>
            </w:pPr>
            <w:r w:rsidRPr="00965AC7">
              <w:rPr>
                <w:rFonts w:cs="Segoe UI"/>
                <w:sz w:val="18"/>
                <w:szCs w:val="18"/>
              </w:rPr>
              <w:t>SR je v medzinárodnom porovnaní</w:t>
            </w:r>
            <w:r w:rsidRPr="00965AC7">
              <w:rPr>
                <w:rStyle w:val="Odkaznapoznmkupodiarou"/>
                <w:rFonts w:cs="Segoe UI"/>
                <w:sz w:val="18"/>
                <w:szCs w:val="18"/>
              </w:rPr>
              <w:footnoteReference w:id="72"/>
            </w:r>
            <w:r w:rsidRPr="00965AC7">
              <w:rPr>
                <w:rFonts w:cs="Segoe UI"/>
                <w:sz w:val="18"/>
                <w:szCs w:val="18"/>
              </w:rPr>
              <w:t xml:space="preserve"> krajinou s najvyšším podielom fiktívnych živnostníkov. </w:t>
            </w:r>
            <w:r w:rsidR="00F70777" w:rsidRPr="00A065A8">
              <w:rPr>
                <w:rFonts w:cs="Segoe UI"/>
                <w:sz w:val="18"/>
                <w:szCs w:val="18"/>
              </w:rPr>
              <w:t>K fiktívnej živnosti dochádza vtedy, keď osoba, ktorej práca spĺňa všetky kritériá, ktoré sa podľa práva a praxe používajú na charakterizovanie pracovného pomeru, je registrovaná ako živnostník namiesto zamestnanca. Robí to s cieľom vyhnúť sa povinnostiam vyplývajúcim z právnych predpisov a praxe platných pre zamestnancov, ako sú pracovné predpisy a platenie daní alebo príspevkov na sociálne zabezpečenie.</w:t>
            </w:r>
            <w:r w:rsidR="00F70777">
              <w:rPr>
                <w:rStyle w:val="Odkaznapoznmkupodiarou"/>
                <w:rFonts w:cs="Segoe UI"/>
                <w:sz w:val="18"/>
                <w:szCs w:val="18"/>
              </w:rPr>
              <w:footnoteReference w:id="73"/>
            </w:r>
            <w:r w:rsidR="00F70777" w:rsidRPr="00965AC7">
              <w:rPr>
                <w:rFonts w:cs="Segoe UI"/>
                <w:sz w:val="18"/>
                <w:szCs w:val="18"/>
              </w:rPr>
              <w:t xml:space="preserve"> </w:t>
            </w:r>
            <w:r w:rsidRPr="00965AC7">
              <w:rPr>
                <w:rFonts w:cs="Segoe UI"/>
                <w:sz w:val="18"/>
                <w:szCs w:val="18"/>
              </w:rPr>
              <w:t xml:space="preserve">Fiktívni živnostníci predstavujú problém z troch dôvodov: </w:t>
            </w:r>
            <w:r w:rsidR="00EF1A84">
              <w:rPr>
                <w:rFonts w:cs="Segoe UI"/>
                <w:sz w:val="18"/>
                <w:szCs w:val="18"/>
              </w:rPr>
              <w:t>m</w:t>
            </w:r>
            <w:r w:rsidRPr="00965AC7">
              <w:rPr>
                <w:rFonts w:cs="Segoe UI"/>
                <w:sz w:val="18"/>
                <w:szCs w:val="18"/>
              </w:rPr>
              <w:t>ajú zníženú sociálnu ochranu, kariérne príležitosti či pracovné istoty</w:t>
            </w:r>
            <w:r w:rsidR="00EF1A84">
              <w:rPr>
                <w:rFonts w:cs="Segoe UI"/>
                <w:sz w:val="18"/>
                <w:szCs w:val="18"/>
                <w:lang w:val="en-US"/>
              </w:rPr>
              <w:t>;</w:t>
            </w:r>
            <w:r w:rsidRPr="00965AC7">
              <w:rPr>
                <w:rFonts w:cs="Segoe UI"/>
                <w:sz w:val="18"/>
                <w:szCs w:val="18"/>
              </w:rPr>
              <w:t xml:space="preserve"> </w:t>
            </w:r>
            <w:r w:rsidR="00EF1A84">
              <w:rPr>
                <w:rFonts w:cs="Segoe UI"/>
                <w:sz w:val="18"/>
                <w:szCs w:val="18"/>
              </w:rPr>
              <w:t>p</w:t>
            </w:r>
            <w:r w:rsidRPr="00965AC7">
              <w:rPr>
                <w:rFonts w:cs="Segoe UI"/>
                <w:sz w:val="18"/>
                <w:szCs w:val="18"/>
              </w:rPr>
              <w:t>oškodzujú verejné financie, keďže v porovnaní so zamestnancami platia minimálne alebo žiadne dane a</w:t>
            </w:r>
            <w:r w:rsidR="00EF1A84">
              <w:rPr>
                <w:rFonts w:cs="Segoe UI"/>
                <w:sz w:val="18"/>
                <w:szCs w:val="18"/>
              </w:rPr>
              <w:t> </w:t>
            </w:r>
            <w:r w:rsidRPr="00965AC7">
              <w:rPr>
                <w:rFonts w:cs="Segoe UI"/>
                <w:sz w:val="18"/>
                <w:szCs w:val="18"/>
              </w:rPr>
              <w:t>odvody</w:t>
            </w:r>
            <w:r w:rsidR="00EF1A84">
              <w:rPr>
                <w:rFonts w:cs="Segoe UI"/>
                <w:sz w:val="18"/>
                <w:szCs w:val="18"/>
              </w:rPr>
              <w:t>; v</w:t>
            </w:r>
            <w:r w:rsidRPr="00965AC7">
              <w:rPr>
                <w:rFonts w:cs="Segoe UI"/>
                <w:sz w:val="18"/>
                <w:szCs w:val="18"/>
              </w:rPr>
              <w:t>zhľadom na nižšie náklady na fiktívnych živnostníkov môžu spoločnosti poskytovať lacnejšie služby, čím sa vytvára nekalá konkurencia.</w:t>
            </w:r>
          </w:p>
          <w:p w14:paraId="183D96CD" w14:textId="00239945" w:rsidR="0041674F" w:rsidRPr="00965AC7" w:rsidRDefault="0041674F" w:rsidP="0041674F">
            <w:pPr>
              <w:ind w:left="176" w:right="163"/>
              <w:rPr>
                <w:rFonts w:cs="Segoe UI"/>
                <w:sz w:val="18"/>
                <w:szCs w:val="18"/>
              </w:rPr>
            </w:pPr>
            <w:r w:rsidRPr="00965AC7">
              <w:rPr>
                <w:rFonts w:cs="Segoe UI"/>
                <w:sz w:val="18"/>
                <w:szCs w:val="18"/>
              </w:rPr>
              <w:t>Dáta ŠÚ SR a analýza IFP (2021) naznačujú, že legislatívna zmena</w:t>
            </w:r>
            <w:r>
              <w:rPr>
                <w:rStyle w:val="Odkaznapoznmkupodiarou"/>
                <w:rFonts w:cs="Segoe UI"/>
                <w:sz w:val="18"/>
                <w:szCs w:val="18"/>
              </w:rPr>
              <w:footnoteReference w:id="74"/>
            </w:r>
            <w:r w:rsidRPr="00965AC7">
              <w:rPr>
                <w:rFonts w:cs="Segoe UI"/>
                <w:sz w:val="18"/>
                <w:szCs w:val="18"/>
              </w:rPr>
              <w:t xml:space="preserve"> znižujúca od roku 2017 daňové zaťaženie SZČO mala za následok nárast počtu fiktívnych živnostníkov. Okrem domácej zamestnanosti je zaujímavé pozrieť sa aj na vyslaných pracovníkov</w:t>
            </w:r>
            <w:r w:rsidR="00AC3D1E">
              <w:rPr>
                <w:rFonts w:cs="Segoe UI"/>
                <w:sz w:val="18"/>
                <w:szCs w:val="18"/>
              </w:rPr>
              <w:t>.</w:t>
            </w:r>
            <w:r>
              <w:rPr>
                <w:rStyle w:val="Odkaznapoznmkupodiarou"/>
                <w:rFonts w:cs="Segoe UI"/>
                <w:sz w:val="18"/>
                <w:szCs w:val="18"/>
              </w:rPr>
              <w:footnoteReference w:id="75"/>
            </w:r>
            <w:r w:rsidRPr="00965AC7">
              <w:rPr>
                <w:rFonts w:cs="Segoe UI"/>
                <w:sz w:val="18"/>
                <w:szCs w:val="18"/>
              </w:rPr>
              <w:t xml:space="preserve"> Tí nie sú súčasťou VZPS a ani neboli predmetom analýzy IFP. </w:t>
            </w:r>
            <w:r w:rsidRPr="00965AC7">
              <w:rPr>
                <w:rFonts w:cs="Segoe UI"/>
                <w:sz w:val="18"/>
                <w:szCs w:val="18"/>
              </w:rPr>
              <w:lastRenderedPageBreak/>
              <w:t>Z pohľadu príjmov VS však ide o relevantnú skupinu osôb, keďže rovnako ako domáci zamestnanci a SZČO platia dane a odvody na Slovensku.</w:t>
            </w:r>
          </w:p>
          <w:p w14:paraId="583686D3" w14:textId="7FA19520" w:rsidR="0041674F" w:rsidRPr="00B61F29" w:rsidRDefault="0041674F" w:rsidP="00B61F29">
            <w:pPr>
              <w:ind w:left="176" w:right="163"/>
              <w:rPr>
                <w:rFonts w:cs="Segoe UI"/>
                <w:sz w:val="18"/>
                <w:szCs w:val="18"/>
              </w:rPr>
            </w:pPr>
            <w:r w:rsidRPr="00965AC7">
              <w:rPr>
                <w:rFonts w:cs="Segoe UI"/>
                <w:sz w:val="18"/>
                <w:szCs w:val="18"/>
              </w:rPr>
              <w:t>Po legislatívnej zmene, aj keď s určitým oneskorením, začal rásť podiel SZČO na celko</w:t>
            </w:r>
            <w:r>
              <w:rPr>
                <w:rFonts w:cs="Segoe UI"/>
                <w:sz w:val="18"/>
                <w:szCs w:val="18"/>
              </w:rPr>
              <w:t>vo</w:t>
            </w:r>
            <w:r w:rsidR="00B61F29">
              <w:rPr>
                <w:rFonts w:cs="Segoe UI"/>
                <w:sz w:val="18"/>
                <w:szCs w:val="18"/>
              </w:rPr>
              <w:t>m počte vyslaných osôb (graf 21</w:t>
            </w:r>
            <w:r w:rsidRPr="00965AC7">
              <w:rPr>
                <w:rFonts w:cs="Segoe UI"/>
                <w:sz w:val="18"/>
                <w:szCs w:val="18"/>
              </w:rPr>
              <w:t xml:space="preserve">). Dôvodom je stagnácia počtu vyslaných zamestnancov, ktorý dovtedy rástol rýchlejšie ako počet vyslaných SZČO (graf </w:t>
            </w:r>
            <w:r w:rsidR="00B836D4">
              <w:rPr>
                <w:rFonts w:cs="Segoe UI"/>
                <w:sz w:val="18"/>
                <w:szCs w:val="18"/>
              </w:rPr>
              <w:t>22</w:t>
            </w:r>
            <w:r w:rsidRPr="00965AC7">
              <w:rPr>
                <w:rFonts w:cs="Segoe UI"/>
                <w:sz w:val="18"/>
                <w:szCs w:val="18"/>
              </w:rPr>
              <w:t>). Keďže naša analýza</w:t>
            </w:r>
            <w:r w:rsidRPr="00965AC7">
              <w:rPr>
                <w:rStyle w:val="Odkaznapoznmkupodiarou"/>
                <w:rFonts w:cs="Segoe UI"/>
                <w:sz w:val="18"/>
                <w:szCs w:val="18"/>
              </w:rPr>
              <w:footnoteReference w:id="76"/>
            </w:r>
            <w:r w:rsidRPr="00965AC7">
              <w:rPr>
                <w:rFonts w:cs="Segoe UI"/>
                <w:sz w:val="18"/>
                <w:szCs w:val="18"/>
              </w:rPr>
              <w:t xml:space="preserve"> ukázala, že zníženie daňového zaťaženia SZČO neviedlo k zmenám statusu vyslaných pracovníkov, pozorovaný vývoj bude pravdepodobne dôsledkom vyššej pravdepodobnosti byť po legislatívnej zmene vyslaný ako SZČO. Predpokladáme, že značnú časť tohto nárastu predstavujú fiktívni živnostníci </w:t>
            </w:r>
            <w:r w:rsidR="00D14A4D" w:rsidRPr="00965AC7">
              <w:rPr>
                <w:rFonts w:cs="Segoe UI"/>
                <w:sz w:val="18"/>
                <w:szCs w:val="18"/>
              </w:rPr>
              <w:t>(osoby, ktoré by bez legislatívnej zmeny boli vyslaní ako zamestnanci).</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22"/>
              <w:gridCol w:w="4422"/>
            </w:tblGrid>
            <w:tr w:rsidR="006A6B05" w:rsidRPr="00965AC7" w14:paraId="4646102B" w14:textId="77777777" w:rsidTr="0054590C">
              <w:trPr>
                <w:trHeight w:val="283"/>
              </w:trPr>
              <w:tc>
                <w:tcPr>
                  <w:tcW w:w="8844" w:type="dxa"/>
                  <w:gridSpan w:val="2"/>
                  <w:tcBorders>
                    <w:bottom w:val="single" w:sz="4" w:space="0" w:color="314364"/>
                  </w:tcBorders>
                  <w:vAlign w:val="center"/>
                </w:tcPr>
                <w:p w14:paraId="79DD9FBD" w14:textId="5B65A2E6" w:rsidR="006A6B05" w:rsidRPr="00965AC7" w:rsidRDefault="006A6B05" w:rsidP="00B61F29">
                  <w:pPr>
                    <w:spacing w:after="0"/>
                    <w:jc w:val="left"/>
                    <w:rPr>
                      <w:rFonts w:cs="Segoe UI"/>
                      <w:noProof/>
                      <w:sz w:val="18"/>
                      <w:szCs w:val="18"/>
                      <w:lang w:eastAsia="sk-SK"/>
                    </w:rPr>
                  </w:pPr>
                  <w:r w:rsidRPr="00965AC7">
                    <w:rPr>
                      <w:rFonts w:eastAsia="Calibri" w:cs="Segoe UI"/>
                      <w:b/>
                      <w:iCs/>
                      <w:color w:val="314364"/>
                      <w:sz w:val="18"/>
                      <w:szCs w:val="18"/>
                    </w:rPr>
                    <w:t>Graf</w:t>
                  </w:r>
                  <w:r>
                    <w:rPr>
                      <w:rFonts w:eastAsia="Calibri" w:cs="Segoe UI"/>
                      <w:b/>
                      <w:iCs/>
                      <w:color w:val="314364"/>
                      <w:sz w:val="18"/>
                      <w:szCs w:val="18"/>
                    </w:rPr>
                    <w:t xml:space="preserve"> 21 a 22</w:t>
                  </w:r>
                  <w:r w:rsidRPr="00965AC7">
                    <w:rPr>
                      <w:rFonts w:eastAsia="Calibri" w:cs="Segoe UI"/>
                      <w:b/>
                      <w:iCs/>
                      <w:color w:val="314364"/>
                      <w:sz w:val="18"/>
                      <w:szCs w:val="18"/>
                    </w:rPr>
                    <w:t>: Počet a štruktúra vyslaných pracovníkov</w:t>
                  </w:r>
                </w:p>
              </w:tc>
            </w:tr>
            <w:tr w:rsidR="0041674F" w:rsidRPr="00965AC7" w14:paraId="612C039F" w14:textId="77777777" w:rsidTr="006A6B05">
              <w:trPr>
                <w:trHeight w:val="3685"/>
              </w:trPr>
              <w:tc>
                <w:tcPr>
                  <w:tcW w:w="4422" w:type="dxa"/>
                  <w:tcBorders>
                    <w:top w:val="single" w:sz="4" w:space="0" w:color="314364"/>
                    <w:bottom w:val="single" w:sz="4" w:space="0" w:color="314364"/>
                  </w:tcBorders>
                  <w:vAlign w:val="center"/>
                </w:tcPr>
                <w:p w14:paraId="3EDF3195" w14:textId="77777777" w:rsidR="0041674F" w:rsidRPr="00965AC7" w:rsidRDefault="0041674F" w:rsidP="0041674F">
                  <w:pPr>
                    <w:spacing w:after="0"/>
                    <w:jc w:val="left"/>
                    <w:rPr>
                      <w:rFonts w:cs="Segoe UI"/>
                      <w:b/>
                      <w:sz w:val="18"/>
                      <w:szCs w:val="18"/>
                    </w:rPr>
                  </w:pPr>
                  <w:r w:rsidRPr="00965AC7">
                    <w:rPr>
                      <w:rFonts w:cs="Segoe UI"/>
                      <w:noProof/>
                      <w:sz w:val="18"/>
                      <w:szCs w:val="18"/>
                      <w:lang w:eastAsia="sk-SK"/>
                    </w:rPr>
                    <w:drawing>
                      <wp:inline distT="0" distB="0" distL="0" distR="0" wp14:anchorId="7E385C08" wp14:editId="1A081377">
                        <wp:extent cx="2771775" cy="2316480"/>
                        <wp:effectExtent l="0" t="0" r="0" b="762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422" w:type="dxa"/>
                  <w:tcBorders>
                    <w:top w:val="single" w:sz="4" w:space="0" w:color="314364"/>
                    <w:bottom w:val="single" w:sz="4" w:space="0" w:color="314364"/>
                  </w:tcBorders>
                  <w:vAlign w:val="center"/>
                </w:tcPr>
                <w:p w14:paraId="137DEE4F" w14:textId="77777777" w:rsidR="0041674F" w:rsidRPr="00965AC7" w:rsidRDefault="0041674F" w:rsidP="0041674F">
                  <w:pPr>
                    <w:spacing w:after="0"/>
                    <w:jc w:val="left"/>
                    <w:rPr>
                      <w:rFonts w:cs="Segoe UI"/>
                      <w:b/>
                      <w:sz w:val="18"/>
                      <w:szCs w:val="18"/>
                    </w:rPr>
                  </w:pPr>
                  <w:r w:rsidRPr="00965AC7">
                    <w:rPr>
                      <w:rFonts w:cs="Segoe UI"/>
                      <w:noProof/>
                      <w:sz w:val="18"/>
                      <w:szCs w:val="18"/>
                      <w:lang w:eastAsia="sk-SK"/>
                    </w:rPr>
                    <w:drawing>
                      <wp:inline distT="0" distB="0" distL="0" distR="0" wp14:anchorId="67114ECF" wp14:editId="501B9A7D">
                        <wp:extent cx="2771775" cy="2301240"/>
                        <wp:effectExtent l="0" t="0" r="0" b="381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7093CA11" w14:textId="77777777" w:rsidR="0041674F" w:rsidRPr="00965AC7" w:rsidRDefault="0041674F" w:rsidP="0041674F">
            <w:pPr>
              <w:pStyle w:val="Zdroj"/>
            </w:pPr>
            <w:r w:rsidRPr="00965AC7">
              <w:t xml:space="preserve">Zdroj: Sociálna poisťovňa; </w:t>
            </w:r>
            <w:r w:rsidRPr="009169FD">
              <w:t>výpočty</w:t>
            </w:r>
            <w:r w:rsidRPr="00965AC7">
              <w:t xml:space="preserve"> a spracovanie NKÚ SR.</w:t>
            </w:r>
          </w:p>
          <w:p w14:paraId="70BBF02C" w14:textId="250D0BB1" w:rsidR="0041674F" w:rsidRPr="0041674F" w:rsidRDefault="0041674F" w:rsidP="0041674F">
            <w:pPr>
              <w:ind w:left="176" w:right="163"/>
              <w:rPr>
                <w:rFonts w:cs="Segoe UI"/>
                <w:b/>
                <w:sz w:val="18"/>
                <w:szCs w:val="18"/>
              </w:rPr>
            </w:pPr>
            <w:r w:rsidRPr="00965AC7">
              <w:rPr>
                <w:rFonts w:cs="Segoe UI"/>
                <w:sz w:val="18"/>
                <w:szCs w:val="18"/>
              </w:rPr>
              <w:t>Analýza na úrovni jednotlivých sektorov (graf</w:t>
            </w:r>
            <w:r>
              <w:rPr>
                <w:rFonts w:cs="Segoe UI"/>
                <w:sz w:val="18"/>
                <w:szCs w:val="18"/>
              </w:rPr>
              <w:t xml:space="preserve"> 2</w:t>
            </w:r>
            <w:r w:rsidR="00283EF9">
              <w:rPr>
                <w:rFonts w:cs="Segoe UI"/>
                <w:sz w:val="18"/>
                <w:szCs w:val="18"/>
              </w:rPr>
              <w:t>3</w:t>
            </w:r>
            <w:r w:rsidRPr="00965AC7">
              <w:rPr>
                <w:rFonts w:cs="Segoe UI"/>
                <w:sz w:val="18"/>
                <w:szCs w:val="18"/>
              </w:rPr>
              <w:t>) ukazuje, že pozorovaný rast podielu SZČO na celkovom počte vyslaných osôb je ťahaný vývojom v sektoroch stavebníctva a (čiastočne) priemyslu. V iných sektoroch nárast podielu SZČO na celkom počte vyslaných osôb nepozorujeme. Ak predpokladáme, že štruktúra vyslaných osôb (podiel SŽCO na ich celkovom počte) v roku 2016 (teda pred legislatívnou zmenou) bola prirodzená, tak v roku 2021 bolo v stavebníctve približne 2 000 fiktívnych živnostníkov (nad rámec tých, ktorí boli fiktívni už pred legislatívnou zmenou).</w:t>
            </w:r>
            <w:r>
              <w:rPr>
                <w:rFonts w:cs="Segoe UI"/>
                <w:sz w:val="18"/>
                <w:szCs w:val="18"/>
              </w:rPr>
              <w:t xml:space="preserve"> </w:t>
            </w:r>
            <w:r w:rsidRPr="0041674F">
              <w:rPr>
                <w:rFonts w:cs="Segoe UI"/>
                <w:b/>
                <w:sz w:val="18"/>
                <w:szCs w:val="18"/>
              </w:rPr>
              <w:t>To by za tento rok predstavovalo stratu na daňových a odvodových príjmoch približne 11,5 – 16,3 mil. eur.</w:t>
            </w:r>
          </w:p>
          <w:p w14:paraId="74F9CDE1" w14:textId="6731A82B" w:rsidR="0041674F" w:rsidRPr="00965AC7" w:rsidRDefault="0041674F" w:rsidP="0041674F">
            <w:pPr>
              <w:spacing w:after="0"/>
              <w:rPr>
                <w:rFonts w:eastAsia="Calibri" w:cs="Segoe UI"/>
                <w:b/>
                <w:iCs/>
                <w:color w:val="314364"/>
                <w:sz w:val="18"/>
                <w:szCs w:val="18"/>
              </w:rPr>
            </w:pPr>
            <w:r w:rsidRPr="00965AC7">
              <w:rPr>
                <w:rFonts w:eastAsia="Calibri" w:cs="Segoe UI"/>
                <w:b/>
                <w:iCs/>
                <w:color w:val="314364"/>
                <w:sz w:val="18"/>
                <w:szCs w:val="18"/>
              </w:rPr>
              <w:t>Graf</w:t>
            </w:r>
            <w:r>
              <w:rPr>
                <w:rFonts w:eastAsia="Calibri" w:cs="Segoe UI"/>
                <w:b/>
                <w:iCs/>
                <w:color w:val="314364"/>
                <w:sz w:val="18"/>
                <w:szCs w:val="18"/>
              </w:rPr>
              <w:t xml:space="preserve"> 2</w:t>
            </w:r>
            <w:r w:rsidR="00B61F29">
              <w:rPr>
                <w:rFonts w:eastAsia="Calibri" w:cs="Segoe UI"/>
                <w:b/>
                <w:iCs/>
                <w:color w:val="314364"/>
                <w:sz w:val="18"/>
                <w:szCs w:val="18"/>
              </w:rPr>
              <w:t>3</w:t>
            </w:r>
            <w:r w:rsidRPr="00965AC7">
              <w:rPr>
                <w:rFonts w:eastAsia="Calibri" w:cs="Segoe UI"/>
                <w:b/>
                <w:iCs/>
                <w:color w:val="314364"/>
                <w:sz w:val="18"/>
                <w:szCs w:val="18"/>
              </w:rPr>
              <w:t>: Štruktúra vyslaných pracovníkov v sektoroch stavebníctva a priemyslu</w:t>
            </w:r>
          </w:p>
          <w:tbl>
            <w:tblPr>
              <w:tblStyle w:val="Mriekatabuky"/>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905"/>
            </w:tblGrid>
            <w:tr w:rsidR="0041674F" w:rsidRPr="00965AC7" w14:paraId="1F787A33" w14:textId="77777777" w:rsidTr="0041674F">
              <w:trPr>
                <w:trHeight w:val="2768"/>
              </w:trPr>
              <w:tc>
                <w:tcPr>
                  <w:tcW w:w="8905" w:type="dxa"/>
                  <w:tcBorders>
                    <w:top w:val="single" w:sz="4" w:space="0" w:color="314364"/>
                    <w:bottom w:val="single" w:sz="4" w:space="0" w:color="314364"/>
                  </w:tcBorders>
                  <w:vAlign w:val="center"/>
                </w:tcPr>
                <w:p w14:paraId="2E5C215B" w14:textId="77777777" w:rsidR="0041674F" w:rsidRPr="00965AC7" w:rsidRDefault="0041674F" w:rsidP="0041674F">
                  <w:pPr>
                    <w:spacing w:after="0"/>
                    <w:jc w:val="left"/>
                    <w:rPr>
                      <w:rFonts w:cs="Segoe UI"/>
                      <w:b/>
                      <w:sz w:val="18"/>
                      <w:szCs w:val="18"/>
                    </w:rPr>
                  </w:pPr>
                  <w:r>
                    <w:rPr>
                      <w:noProof/>
                      <w:lang w:eastAsia="sk-SK"/>
                    </w:rPr>
                    <w:drawing>
                      <wp:inline distT="0" distB="0" distL="0" distR="0" wp14:anchorId="63C8A0D8" wp14:editId="0A124231">
                        <wp:extent cx="5400675" cy="226695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2DBF2087" w14:textId="73BB24CD" w:rsidR="0041674F" w:rsidRPr="00965AC7" w:rsidRDefault="0041674F" w:rsidP="0041674F">
            <w:pPr>
              <w:pStyle w:val="Zdroj"/>
            </w:pPr>
            <w:r w:rsidRPr="00965AC7">
              <w:t>Zdroj: Sociálna poisťovňa; výpočty a spracovanie NKÚ SR.</w:t>
            </w:r>
          </w:p>
        </w:tc>
      </w:tr>
    </w:tbl>
    <w:p w14:paraId="7BED7D56" w14:textId="041150EA" w:rsidR="00DD0FBA" w:rsidRDefault="00D84CB0" w:rsidP="00DD0FBA">
      <w:pPr>
        <w:spacing w:before="120"/>
      </w:pPr>
      <w:r>
        <w:lastRenderedPageBreak/>
        <w:t>Kombináciou nerealizovania opatrení súvisiacich so zlepšením financovania, spolu so znížením výnosu</w:t>
      </w:r>
      <w:r w:rsidR="00833079">
        <w:t xml:space="preserve"> z </w:t>
      </w:r>
      <w:r>
        <w:t xml:space="preserve">DPFO vplyvom legislatívnych zmien a pridávaním nových kompetencií bez dostatočného navýšenia výdavkov, budú rozpočty samospráv v roku 2023 pod veľkým tlakom. </w:t>
      </w:r>
      <w:r w:rsidRPr="00E30674">
        <w:rPr>
          <w:b/>
        </w:rPr>
        <w:t xml:space="preserve">Výsledkom je plánovaný najvyšší schodok obcí aj VÚC </w:t>
      </w:r>
      <w:r w:rsidRPr="00833079">
        <w:t>(v metodike ESA 2010)</w:t>
      </w:r>
      <w:r w:rsidRPr="00E30674">
        <w:rPr>
          <w:b/>
        </w:rPr>
        <w:t xml:space="preserve"> za posledných 13 rokov</w:t>
      </w:r>
      <w:r w:rsidRPr="005A30D1">
        <w:t xml:space="preserve">. </w:t>
      </w:r>
      <w:r>
        <w:t xml:space="preserve">Navyše príjmovú stránku rozpočtov môže ohroziť aj prípadné vypuknutie recesie, ktoré by so sebou prinieslo stratu pracovných miest, čím by sa výška výnosu z DPFO ešte viac znížila. </w:t>
      </w:r>
      <w:r w:rsidR="00DD0FBA" w:rsidRPr="007B79BA">
        <w:rPr>
          <w:b/>
        </w:rPr>
        <w:t>NKÚ SR</w:t>
      </w:r>
      <w:r w:rsidR="00DD0FBA" w:rsidRPr="00DD0FBA">
        <w:t>, aj na základe výsledkov kontrolnej činnosti,</w:t>
      </w:r>
      <w:r w:rsidR="00DD0FBA" w:rsidRPr="007B79BA">
        <w:rPr>
          <w:b/>
        </w:rPr>
        <w:t xml:space="preserve"> dlhodobo poukazuje na potrebu systémových zmien v</w:t>
      </w:r>
      <w:r w:rsidR="00DD0FBA">
        <w:rPr>
          <w:b/>
        </w:rPr>
        <w:t> </w:t>
      </w:r>
      <w:r w:rsidR="00DD0FBA" w:rsidRPr="007B79BA">
        <w:rPr>
          <w:b/>
        </w:rPr>
        <w:t>samospráve</w:t>
      </w:r>
      <w:r w:rsidR="00DD0FBA">
        <w:rPr>
          <w:b/>
        </w:rPr>
        <w:t>, uvedomujúc si citlivosť tejto problematiky</w:t>
      </w:r>
      <w:r w:rsidR="00DD0FBA" w:rsidRPr="005A30D1">
        <w:t>.</w:t>
      </w:r>
      <w:r w:rsidR="00DD0FBA">
        <w:rPr>
          <w:b/>
        </w:rPr>
        <w:t xml:space="preserve"> </w:t>
      </w:r>
      <w:r w:rsidR="00DD0FBA">
        <w:t>Z pohľadu nastavenia systému decentralizácie však nie je možné jednostranne, iba zo strany štátu, pristupovať k prenosu výkonu štátnej správy na samospráv</w:t>
      </w:r>
      <w:r w:rsidR="007C160D">
        <w:t>u</w:t>
      </w:r>
      <w:r w:rsidR="00DD0FBA">
        <w:t xml:space="preserve"> bez finančného zabezpečeni</w:t>
      </w:r>
      <w:r w:rsidR="007C160D">
        <w:t>a</w:t>
      </w:r>
      <w:r w:rsidR="00DD0FBA">
        <w:t xml:space="preserve"> zdrojov, resp. presúvať a </w:t>
      </w:r>
      <w:r w:rsidR="009D4566">
        <w:t>z</w:t>
      </w:r>
      <w:r w:rsidR="00DD0FBA">
        <w:t xml:space="preserve">nižovať </w:t>
      </w:r>
      <w:r w:rsidR="007C160D">
        <w:t>výnos z DPFO</w:t>
      </w:r>
      <w:r w:rsidR="009D4566">
        <w:t>,</w:t>
      </w:r>
      <w:r w:rsidR="00DD0FBA">
        <w:t xml:space="preserve"> ako zdroja samospráv</w:t>
      </w:r>
      <w:r w:rsidR="007C160D">
        <w:t>,</w:t>
      </w:r>
      <w:r w:rsidR="00DD0FBA">
        <w:t xml:space="preserve"> na úkor </w:t>
      </w:r>
      <w:r w:rsidR="009D4566">
        <w:t>z</w:t>
      </w:r>
      <w:r w:rsidR="00DD0FBA">
        <w:t xml:space="preserve">vyšovania </w:t>
      </w:r>
      <w:r w:rsidR="007C160D">
        <w:t xml:space="preserve">DPPO, </w:t>
      </w:r>
      <w:r w:rsidR="00DD0FBA">
        <w:t>ako zdroja štátu (napr. pri legislatívnych zmenách súvisiacich so zdaňovaním nepeňažných príjmov zamestnancov do 500 eur).</w:t>
      </w:r>
    </w:p>
    <w:p w14:paraId="5E305CE1" w14:textId="5F5B1BCC" w:rsidR="00D84CB0" w:rsidRDefault="00D84CB0" w:rsidP="00A20626">
      <w:r>
        <w:t xml:space="preserve">Na účely zostavenia návrhu RVS na rok 2023 </w:t>
      </w:r>
      <w:r w:rsidR="00885B6E">
        <w:t>vypracovalo</w:t>
      </w:r>
      <w:r>
        <w:t xml:space="preserve"> MF SR indikatívny súhrnný návrh rozpočtov za obce a VÚC.</w:t>
      </w:r>
    </w:p>
    <w:p w14:paraId="0068169C" w14:textId="4A5FED71" w:rsidR="00D84CB0" w:rsidRDefault="00D84CB0" w:rsidP="00D84CB0">
      <w:r w:rsidRPr="00A20626">
        <w:rPr>
          <w:b/>
        </w:rPr>
        <w:t>Rozpočet obcí</w:t>
      </w:r>
      <w:r>
        <w:t xml:space="preserve"> na rok 2023 v metodike ESA 2010 navrhuje schodok vo výške 255,6 mil. eur. Príjmy obcí majú oproti rozpočtu na rok 2022 vzr</w:t>
      </w:r>
      <w:r w:rsidR="003F7961">
        <w:t>á</w:t>
      </w:r>
      <w:r>
        <w:t xml:space="preserve">sť o 519,3 mil. eur a výdavky o 530,7 mil. eur </w:t>
      </w:r>
      <w:r w:rsidRPr="003F7961">
        <w:t xml:space="preserve">(tabuľka </w:t>
      </w:r>
      <w:r w:rsidR="003F7961">
        <w:t>1</w:t>
      </w:r>
      <w:r w:rsidR="0056274F">
        <w:t>4</w:t>
      </w:r>
      <w:r>
        <w:t xml:space="preserve">). </w:t>
      </w:r>
      <w:r w:rsidR="00D04509">
        <w:t xml:space="preserve">Ak by príjmy obcí neboli počas roka </w:t>
      </w:r>
      <w:r w:rsidR="00604FA0">
        <w:t xml:space="preserve">2023 priebežne </w:t>
      </w:r>
      <w:r w:rsidR="00D04509">
        <w:t>navýšené zo ŠR o kapitálové transfery, museli by obce prijať úsporné opatrenia.</w:t>
      </w:r>
    </w:p>
    <w:p w14:paraId="3437FD3E" w14:textId="506379D8" w:rsidR="00D84CB0" w:rsidRPr="00650EAB" w:rsidRDefault="00D84CB0" w:rsidP="003E0903">
      <w:pPr>
        <w:pStyle w:val="Popis"/>
        <w:keepNext/>
        <w:rPr>
          <w:color w:val="314364"/>
        </w:rPr>
      </w:pPr>
      <w:r w:rsidRPr="00CA606D">
        <w:rPr>
          <w:color w:val="314364"/>
        </w:rPr>
        <w:t>Tabuľka</w:t>
      </w:r>
      <w:r>
        <w:rPr>
          <w:color w:val="314364"/>
        </w:rPr>
        <w:t xml:space="preserve"> </w:t>
      </w:r>
      <w:r w:rsidR="003F7961">
        <w:rPr>
          <w:color w:val="314364"/>
        </w:rPr>
        <w:t>1</w:t>
      </w:r>
      <w:r w:rsidR="00136FE7">
        <w:rPr>
          <w:color w:val="314364"/>
        </w:rPr>
        <w:t>4</w:t>
      </w:r>
      <w:r>
        <w:rPr>
          <w:color w:val="314364"/>
        </w:rPr>
        <w:t xml:space="preserve">: Bilančný zostatok obcí </w:t>
      </w:r>
      <w:r w:rsidR="00136FE7">
        <w:rPr>
          <w:color w:val="314364"/>
        </w:rPr>
        <w:t>podľa metodiky ESA 2010 (v tis. eur)</w:t>
      </w:r>
    </w:p>
    <w:tbl>
      <w:tblPr>
        <w:tblOverlap w:val="never"/>
        <w:tblW w:w="4996" w:type="pct"/>
        <w:jc w:val="center"/>
        <w:tblCellMar>
          <w:left w:w="10" w:type="dxa"/>
          <w:right w:w="10" w:type="dxa"/>
        </w:tblCellMar>
        <w:tblLook w:val="0000" w:firstRow="0" w:lastRow="0" w:firstColumn="0" w:lastColumn="0" w:noHBand="0" w:noVBand="0"/>
      </w:tblPr>
      <w:tblGrid>
        <w:gridCol w:w="2270"/>
        <w:gridCol w:w="994"/>
        <w:gridCol w:w="991"/>
        <w:gridCol w:w="993"/>
        <w:gridCol w:w="991"/>
        <w:gridCol w:w="1417"/>
        <w:gridCol w:w="1407"/>
      </w:tblGrid>
      <w:tr w:rsidR="00D84CB0" w:rsidRPr="0026362C" w14:paraId="402BAA20" w14:textId="77777777" w:rsidTr="009169FD">
        <w:trPr>
          <w:trHeight w:val="283"/>
          <w:jc w:val="center"/>
        </w:trPr>
        <w:tc>
          <w:tcPr>
            <w:tcW w:w="1252" w:type="pct"/>
            <w:shd w:val="clear" w:color="auto" w:fill="314364"/>
            <w:vAlign w:val="center"/>
          </w:tcPr>
          <w:p w14:paraId="62FB118F" w14:textId="49B88586" w:rsidR="00D84CB0" w:rsidRPr="0026362C" w:rsidRDefault="00D84CB0">
            <w:pPr>
              <w:pStyle w:val="In0"/>
              <w:shd w:val="clear" w:color="auto" w:fill="auto"/>
              <w:spacing w:after="0"/>
              <w:jc w:val="left"/>
              <w:rPr>
                <w:rFonts w:ascii="Segoe UI" w:hAnsi="Segoe UI" w:cs="Segoe UI"/>
                <w:sz w:val="18"/>
                <w:szCs w:val="18"/>
              </w:rPr>
            </w:pPr>
            <w:r w:rsidRPr="0026362C">
              <w:rPr>
                <w:rFonts w:ascii="Segoe UI" w:hAnsi="Segoe UI" w:cs="Segoe UI"/>
                <w:b/>
                <w:bCs/>
                <w:color w:val="FFFFFF"/>
                <w:sz w:val="18"/>
                <w:szCs w:val="18"/>
                <w:lang w:eastAsia="sk-SK" w:bidi="sk-SK"/>
              </w:rPr>
              <w:t>Hospodárenie obcí</w:t>
            </w:r>
          </w:p>
        </w:tc>
        <w:tc>
          <w:tcPr>
            <w:tcW w:w="548" w:type="pct"/>
            <w:shd w:val="clear" w:color="auto" w:fill="314364"/>
            <w:vAlign w:val="center"/>
          </w:tcPr>
          <w:p w14:paraId="54DD819A" w14:textId="77777777" w:rsidR="00D84CB0" w:rsidRPr="0026362C" w:rsidRDefault="00D84CB0" w:rsidP="009169FD">
            <w:pPr>
              <w:pStyle w:val="In0"/>
              <w:shd w:val="clear" w:color="auto" w:fill="auto"/>
              <w:spacing w:after="0"/>
              <w:jc w:val="right"/>
              <w:rPr>
                <w:rFonts w:ascii="Segoe UI" w:hAnsi="Segoe UI" w:cs="Segoe UI"/>
                <w:sz w:val="18"/>
                <w:szCs w:val="18"/>
              </w:rPr>
            </w:pPr>
            <w:r>
              <w:rPr>
                <w:rFonts w:ascii="Segoe UI" w:hAnsi="Segoe UI" w:cs="Segoe UI"/>
                <w:b/>
                <w:bCs/>
                <w:color w:val="FFFFFF"/>
                <w:sz w:val="18"/>
                <w:szCs w:val="18"/>
                <w:lang w:eastAsia="sk-SK" w:bidi="sk-SK"/>
              </w:rPr>
              <w:t>2021 S</w:t>
            </w:r>
          </w:p>
        </w:tc>
        <w:tc>
          <w:tcPr>
            <w:tcW w:w="547" w:type="pct"/>
            <w:shd w:val="clear" w:color="auto" w:fill="314364"/>
            <w:vAlign w:val="center"/>
          </w:tcPr>
          <w:p w14:paraId="50C1C4F0" w14:textId="77777777" w:rsidR="00D84CB0" w:rsidRPr="0026362C" w:rsidRDefault="00D84CB0" w:rsidP="009169FD">
            <w:pPr>
              <w:pStyle w:val="In0"/>
              <w:shd w:val="clear" w:color="auto" w:fill="auto"/>
              <w:spacing w:after="0"/>
              <w:jc w:val="right"/>
              <w:rPr>
                <w:rFonts w:ascii="Segoe UI" w:hAnsi="Segoe UI" w:cs="Segoe UI"/>
                <w:sz w:val="18"/>
                <w:szCs w:val="18"/>
              </w:rPr>
            </w:pPr>
            <w:r>
              <w:rPr>
                <w:rFonts w:ascii="Segoe UI" w:hAnsi="Segoe UI" w:cs="Segoe UI"/>
                <w:b/>
                <w:bCs/>
                <w:color w:val="FFFFFF"/>
                <w:sz w:val="18"/>
                <w:szCs w:val="18"/>
                <w:lang w:eastAsia="sk-SK" w:bidi="sk-SK"/>
              </w:rPr>
              <w:t>2022 R</w:t>
            </w:r>
          </w:p>
        </w:tc>
        <w:tc>
          <w:tcPr>
            <w:tcW w:w="548" w:type="pct"/>
            <w:shd w:val="clear" w:color="auto" w:fill="314364" w:themeFill="accent1"/>
            <w:vAlign w:val="center"/>
          </w:tcPr>
          <w:p w14:paraId="34AD1CC8" w14:textId="77777777" w:rsidR="00D84CB0" w:rsidRPr="0072334D" w:rsidRDefault="00D84CB0" w:rsidP="009169FD">
            <w:pPr>
              <w:pStyle w:val="In0"/>
              <w:shd w:val="clear" w:color="auto" w:fill="auto"/>
              <w:spacing w:after="0"/>
              <w:jc w:val="right"/>
              <w:rPr>
                <w:rFonts w:ascii="Segoe UI" w:hAnsi="Segoe UI" w:cs="Segoe UI"/>
                <w:b/>
                <w:bCs/>
                <w:color w:val="FFFFFF"/>
                <w:sz w:val="18"/>
                <w:szCs w:val="18"/>
                <w:lang w:eastAsia="sk-SK" w:bidi="sk-SK"/>
              </w:rPr>
            </w:pPr>
            <w:r w:rsidRPr="0072334D">
              <w:rPr>
                <w:rFonts w:ascii="Segoe UI" w:hAnsi="Segoe UI" w:cs="Segoe UI"/>
                <w:b/>
                <w:bCs/>
                <w:color w:val="FFFFFF"/>
                <w:sz w:val="18"/>
                <w:szCs w:val="18"/>
                <w:lang w:eastAsia="sk-SK" w:bidi="sk-SK"/>
              </w:rPr>
              <w:t>2022 OS</w:t>
            </w:r>
          </w:p>
        </w:tc>
        <w:tc>
          <w:tcPr>
            <w:tcW w:w="547" w:type="pct"/>
            <w:shd w:val="clear" w:color="auto" w:fill="314364" w:themeFill="text2"/>
            <w:vAlign w:val="center"/>
          </w:tcPr>
          <w:p w14:paraId="7035E637" w14:textId="77777777" w:rsidR="00D84CB0" w:rsidRPr="0072334D" w:rsidRDefault="00D84CB0" w:rsidP="009169FD">
            <w:pPr>
              <w:pStyle w:val="In0"/>
              <w:shd w:val="clear" w:color="auto" w:fill="auto"/>
              <w:spacing w:after="0"/>
              <w:jc w:val="right"/>
              <w:rPr>
                <w:rFonts w:ascii="Segoe UI" w:hAnsi="Segoe UI" w:cs="Segoe UI"/>
                <w:b/>
                <w:bCs/>
                <w:color w:val="FFFFFF"/>
                <w:sz w:val="18"/>
                <w:szCs w:val="18"/>
                <w:lang w:eastAsia="sk-SK" w:bidi="sk-SK"/>
              </w:rPr>
            </w:pPr>
            <w:r>
              <w:rPr>
                <w:rFonts w:ascii="Segoe UI" w:hAnsi="Segoe UI" w:cs="Segoe UI"/>
                <w:b/>
                <w:bCs/>
                <w:color w:val="FFFFFF"/>
                <w:sz w:val="18"/>
                <w:szCs w:val="18"/>
                <w:lang w:eastAsia="sk-SK" w:bidi="sk-SK"/>
              </w:rPr>
              <w:t>2023 N</w:t>
            </w:r>
          </w:p>
        </w:tc>
        <w:tc>
          <w:tcPr>
            <w:tcW w:w="782" w:type="pct"/>
            <w:shd w:val="clear" w:color="auto" w:fill="314364"/>
            <w:vAlign w:val="center"/>
          </w:tcPr>
          <w:p w14:paraId="5ECDC9B5" w14:textId="3325E457" w:rsidR="00D84CB0" w:rsidRPr="0026362C" w:rsidRDefault="00D84CB0" w:rsidP="009169FD">
            <w:pPr>
              <w:pStyle w:val="In0"/>
              <w:shd w:val="clear" w:color="auto" w:fill="auto"/>
              <w:spacing w:after="0"/>
              <w:jc w:val="right"/>
              <w:rPr>
                <w:rFonts w:ascii="Segoe UI" w:hAnsi="Segoe UI" w:cs="Segoe UI"/>
                <w:sz w:val="18"/>
                <w:szCs w:val="18"/>
              </w:rPr>
            </w:pPr>
            <w:r>
              <w:rPr>
                <w:rFonts w:ascii="Segoe UI" w:hAnsi="Segoe UI" w:cs="Segoe UI"/>
                <w:b/>
                <w:bCs/>
                <w:color w:val="FFFFFF"/>
                <w:sz w:val="18"/>
                <w:szCs w:val="18"/>
                <w:lang w:eastAsia="sk-SK" w:bidi="sk-SK"/>
              </w:rPr>
              <w:t>2023 N-2022 R</w:t>
            </w:r>
          </w:p>
        </w:tc>
        <w:tc>
          <w:tcPr>
            <w:tcW w:w="777" w:type="pct"/>
            <w:shd w:val="clear" w:color="auto" w:fill="314364"/>
            <w:vAlign w:val="center"/>
          </w:tcPr>
          <w:p w14:paraId="17C01D2B" w14:textId="5BB50FBB" w:rsidR="00D84CB0" w:rsidRPr="0026362C" w:rsidRDefault="00D84CB0" w:rsidP="009169FD">
            <w:pPr>
              <w:pStyle w:val="In0"/>
              <w:shd w:val="clear" w:color="auto" w:fill="auto"/>
              <w:spacing w:after="0"/>
              <w:jc w:val="right"/>
              <w:rPr>
                <w:rFonts w:ascii="Segoe UI" w:hAnsi="Segoe UI" w:cs="Segoe UI"/>
                <w:sz w:val="18"/>
                <w:szCs w:val="18"/>
              </w:rPr>
            </w:pPr>
            <w:r>
              <w:rPr>
                <w:rFonts w:ascii="Segoe UI" w:hAnsi="Segoe UI" w:cs="Segoe UI"/>
                <w:b/>
                <w:bCs/>
                <w:color w:val="FFFFFF"/>
                <w:sz w:val="18"/>
                <w:szCs w:val="18"/>
                <w:lang w:eastAsia="sk-SK" w:bidi="sk-SK"/>
              </w:rPr>
              <w:t>2023N/2022R</w:t>
            </w:r>
          </w:p>
        </w:tc>
      </w:tr>
      <w:tr w:rsidR="00D84CB0" w:rsidRPr="0026362C" w14:paraId="26DDC6DD" w14:textId="77777777" w:rsidTr="009169FD">
        <w:trPr>
          <w:trHeight w:val="283"/>
          <w:jc w:val="center"/>
        </w:trPr>
        <w:tc>
          <w:tcPr>
            <w:tcW w:w="1252" w:type="pct"/>
            <w:shd w:val="clear" w:color="auto" w:fill="FFFFFF"/>
            <w:vAlign w:val="bottom"/>
          </w:tcPr>
          <w:p w14:paraId="662A6D9B" w14:textId="77777777" w:rsidR="00D84CB0" w:rsidRPr="0026362C" w:rsidRDefault="00D84CB0" w:rsidP="002E22DA">
            <w:pPr>
              <w:pStyle w:val="In0"/>
              <w:shd w:val="clear" w:color="auto" w:fill="auto"/>
              <w:spacing w:after="0" w:line="259" w:lineRule="auto"/>
              <w:jc w:val="left"/>
              <w:rPr>
                <w:rFonts w:ascii="Segoe UI" w:hAnsi="Segoe UI" w:cs="Segoe UI"/>
                <w:sz w:val="18"/>
                <w:szCs w:val="18"/>
              </w:rPr>
            </w:pPr>
            <w:r w:rsidRPr="0026362C">
              <w:rPr>
                <w:rFonts w:ascii="Segoe UI" w:hAnsi="Segoe UI" w:cs="Segoe UI"/>
                <w:b/>
                <w:bCs/>
                <w:color w:val="000000"/>
                <w:sz w:val="18"/>
                <w:szCs w:val="18"/>
                <w:lang w:eastAsia="sk-SK" w:bidi="sk-SK"/>
              </w:rPr>
              <w:t>Príjmy obcí spolu</w:t>
            </w:r>
          </w:p>
        </w:tc>
        <w:tc>
          <w:tcPr>
            <w:tcW w:w="548" w:type="pct"/>
            <w:shd w:val="clear" w:color="auto" w:fill="FFFFFF"/>
            <w:vAlign w:val="center"/>
          </w:tcPr>
          <w:p w14:paraId="04BBC74D" w14:textId="77777777" w:rsidR="00D84CB0" w:rsidRPr="007226AC" w:rsidRDefault="00D84CB0" w:rsidP="009169FD">
            <w:pPr>
              <w:pStyle w:val="In0"/>
              <w:shd w:val="clear" w:color="auto" w:fill="auto"/>
              <w:spacing w:after="0" w:line="259" w:lineRule="auto"/>
              <w:jc w:val="right"/>
              <w:rPr>
                <w:rFonts w:ascii="Segoe UI" w:hAnsi="Segoe UI" w:cs="Segoe UI"/>
                <w:b/>
                <w:sz w:val="18"/>
                <w:szCs w:val="18"/>
              </w:rPr>
            </w:pPr>
            <w:r w:rsidRPr="007226AC">
              <w:rPr>
                <w:rFonts w:ascii="Segoe UI" w:hAnsi="Segoe UI" w:cs="Segoe UI"/>
                <w:b/>
                <w:sz w:val="18"/>
                <w:szCs w:val="18"/>
              </w:rPr>
              <w:t>6 228 607</w:t>
            </w:r>
          </w:p>
        </w:tc>
        <w:tc>
          <w:tcPr>
            <w:tcW w:w="547" w:type="pct"/>
            <w:shd w:val="clear" w:color="auto" w:fill="FFFFFF"/>
            <w:vAlign w:val="center"/>
          </w:tcPr>
          <w:p w14:paraId="32D98F58"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sidRPr="0026362C">
              <w:rPr>
                <w:rFonts w:ascii="Segoe UI" w:hAnsi="Segoe UI" w:cs="Segoe UI"/>
                <w:b/>
                <w:bCs/>
                <w:color w:val="000000"/>
                <w:sz w:val="18"/>
                <w:szCs w:val="18"/>
                <w:lang w:eastAsia="sk-SK" w:bidi="sk-SK"/>
              </w:rPr>
              <w:t>5</w:t>
            </w:r>
            <w:r>
              <w:rPr>
                <w:rFonts w:ascii="Segoe UI" w:hAnsi="Segoe UI" w:cs="Segoe UI"/>
                <w:b/>
                <w:bCs/>
                <w:color w:val="000000"/>
                <w:sz w:val="18"/>
                <w:szCs w:val="18"/>
                <w:lang w:eastAsia="sk-SK" w:bidi="sk-SK"/>
              </w:rPr>
              <w:t> 923 763</w:t>
            </w:r>
          </w:p>
        </w:tc>
        <w:tc>
          <w:tcPr>
            <w:tcW w:w="548" w:type="pct"/>
            <w:shd w:val="clear" w:color="auto" w:fill="FFFFFF"/>
            <w:vAlign w:val="center"/>
          </w:tcPr>
          <w:p w14:paraId="5F5CE98D" w14:textId="77777777" w:rsidR="00D84CB0" w:rsidRDefault="00D84CB0" w:rsidP="009169FD">
            <w:pPr>
              <w:pStyle w:val="In0"/>
              <w:shd w:val="clear" w:color="auto" w:fill="auto"/>
              <w:spacing w:after="0" w:line="259" w:lineRule="auto"/>
              <w:jc w:val="right"/>
              <w:rPr>
                <w:rFonts w:ascii="Segoe UI" w:hAnsi="Segoe UI" w:cs="Segoe UI"/>
                <w:b/>
                <w:sz w:val="18"/>
                <w:szCs w:val="18"/>
              </w:rPr>
            </w:pPr>
            <w:r w:rsidRPr="0026362C">
              <w:rPr>
                <w:rFonts w:ascii="Segoe UI" w:hAnsi="Segoe UI" w:cs="Segoe UI"/>
                <w:b/>
                <w:sz w:val="18"/>
                <w:szCs w:val="18"/>
              </w:rPr>
              <w:t>6</w:t>
            </w:r>
            <w:r>
              <w:rPr>
                <w:rFonts w:ascii="Segoe UI" w:hAnsi="Segoe UI" w:cs="Segoe UI"/>
                <w:b/>
                <w:sz w:val="18"/>
                <w:szCs w:val="18"/>
              </w:rPr>
              <w:t> 474 568</w:t>
            </w:r>
          </w:p>
        </w:tc>
        <w:tc>
          <w:tcPr>
            <w:tcW w:w="547" w:type="pct"/>
            <w:shd w:val="clear" w:color="auto" w:fill="FFFFFF"/>
            <w:vAlign w:val="center"/>
          </w:tcPr>
          <w:p w14:paraId="0A78A41D" w14:textId="77777777" w:rsidR="00D84CB0" w:rsidRPr="0026362C" w:rsidRDefault="00D84CB0" w:rsidP="009169FD">
            <w:pPr>
              <w:pStyle w:val="In0"/>
              <w:shd w:val="clear" w:color="auto" w:fill="auto"/>
              <w:spacing w:after="0" w:line="259" w:lineRule="auto"/>
              <w:jc w:val="right"/>
              <w:rPr>
                <w:rFonts w:ascii="Segoe UI" w:hAnsi="Segoe UI" w:cs="Segoe UI"/>
                <w:b/>
                <w:sz w:val="18"/>
                <w:szCs w:val="18"/>
              </w:rPr>
            </w:pPr>
            <w:r>
              <w:rPr>
                <w:rFonts w:ascii="Segoe UI" w:hAnsi="Segoe UI" w:cs="Segoe UI"/>
                <w:b/>
                <w:sz w:val="18"/>
                <w:szCs w:val="18"/>
              </w:rPr>
              <w:t>6 443 116</w:t>
            </w:r>
          </w:p>
        </w:tc>
        <w:tc>
          <w:tcPr>
            <w:tcW w:w="782" w:type="pct"/>
            <w:shd w:val="clear" w:color="auto" w:fill="FFFFFF"/>
            <w:vAlign w:val="center"/>
          </w:tcPr>
          <w:p w14:paraId="513C9080" w14:textId="77777777" w:rsidR="00D84CB0" w:rsidRPr="00A91D6A" w:rsidRDefault="00D84CB0" w:rsidP="009169FD">
            <w:pPr>
              <w:pStyle w:val="In0"/>
              <w:shd w:val="clear" w:color="auto" w:fill="auto"/>
              <w:spacing w:after="0" w:line="259" w:lineRule="auto"/>
              <w:ind w:right="181"/>
              <w:jc w:val="right"/>
              <w:rPr>
                <w:rFonts w:ascii="Segoe UI" w:hAnsi="Segoe UI" w:cs="Segoe UI"/>
                <w:b/>
                <w:sz w:val="18"/>
                <w:szCs w:val="18"/>
              </w:rPr>
            </w:pPr>
            <w:r w:rsidRPr="008F6B95">
              <w:rPr>
                <w:rFonts w:ascii="Segoe UI" w:hAnsi="Segoe UI" w:cs="Segoe UI"/>
                <w:b/>
                <w:sz w:val="18"/>
                <w:szCs w:val="18"/>
              </w:rPr>
              <w:t>519</w:t>
            </w:r>
            <w:r>
              <w:rPr>
                <w:rFonts w:ascii="Segoe UI" w:hAnsi="Segoe UI" w:cs="Segoe UI"/>
                <w:b/>
                <w:sz w:val="18"/>
                <w:szCs w:val="18"/>
              </w:rPr>
              <w:t xml:space="preserve"> </w:t>
            </w:r>
            <w:r w:rsidRPr="008F6B95">
              <w:rPr>
                <w:rFonts w:ascii="Segoe UI" w:hAnsi="Segoe UI" w:cs="Segoe UI"/>
                <w:b/>
                <w:sz w:val="18"/>
                <w:szCs w:val="18"/>
              </w:rPr>
              <w:t>353</w:t>
            </w:r>
          </w:p>
        </w:tc>
        <w:tc>
          <w:tcPr>
            <w:tcW w:w="777" w:type="pct"/>
            <w:shd w:val="clear" w:color="auto" w:fill="FFFFFF"/>
            <w:vAlign w:val="center"/>
          </w:tcPr>
          <w:p w14:paraId="1B805F89" w14:textId="77777777" w:rsidR="00D84CB0" w:rsidRPr="00A91D6A" w:rsidRDefault="00D84CB0" w:rsidP="009169FD">
            <w:pPr>
              <w:pStyle w:val="In0"/>
              <w:shd w:val="clear" w:color="auto" w:fill="auto"/>
              <w:spacing w:after="0" w:line="259" w:lineRule="auto"/>
              <w:ind w:right="181"/>
              <w:jc w:val="right"/>
              <w:rPr>
                <w:rFonts w:ascii="Segoe UI" w:hAnsi="Segoe UI" w:cs="Segoe UI"/>
                <w:b/>
                <w:sz w:val="18"/>
                <w:szCs w:val="18"/>
              </w:rPr>
            </w:pPr>
            <w:r w:rsidRPr="008F6B95">
              <w:rPr>
                <w:rFonts w:ascii="Segoe UI" w:hAnsi="Segoe UI" w:cs="Segoe UI"/>
                <w:b/>
                <w:sz w:val="18"/>
                <w:szCs w:val="18"/>
              </w:rPr>
              <w:t>108,8</w:t>
            </w:r>
          </w:p>
        </w:tc>
      </w:tr>
      <w:tr w:rsidR="00D84CB0" w:rsidRPr="0026362C" w14:paraId="2EA6CCDF" w14:textId="77777777" w:rsidTr="009169FD">
        <w:trPr>
          <w:trHeight w:val="283"/>
          <w:jc w:val="center"/>
        </w:trPr>
        <w:tc>
          <w:tcPr>
            <w:tcW w:w="1252" w:type="pct"/>
            <w:shd w:val="clear" w:color="auto" w:fill="FFFFFF"/>
            <w:vAlign w:val="bottom"/>
          </w:tcPr>
          <w:p w14:paraId="2522D9B0" w14:textId="77777777" w:rsidR="00D84CB0" w:rsidRPr="0026362C" w:rsidRDefault="00D84CB0" w:rsidP="002E22DA">
            <w:pPr>
              <w:pStyle w:val="In0"/>
              <w:shd w:val="clear" w:color="auto" w:fill="auto"/>
              <w:spacing w:after="0" w:line="259" w:lineRule="auto"/>
              <w:jc w:val="left"/>
              <w:rPr>
                <w:rFonts w:ascii="Segoe UI" w:hAnsi="Segoe UI" w:cs="Segoe UI"/>
                <w:sz w:val="18"/>
                <w:szCs w:val="18"/>
              </w:rPr>
            </w:pPr>
            <w:r w:rsidRPr="0026362C">
              <w:rPr>
                <w:rFonts w:ascii="Segoe UI" w:hAnsi="Segoe UI" w:cs="Segoe UI"/>
                <w:b/>
                <w:bCs/>
                <w:color w:val="000000"/>
                <w:sz w:val="18"/>
                <w:szCs w:val="18"/>
                <w:lang w:eastAsia="sk-SK" w:bidi="sk-SK"/>
              </w:rPr>
              <w:t>Výdavky obcí spolu</w:t>
            </w:r>
          </w:p>
        </w:tc>
        <w:tc>
          <w:tcPr>
            <w:tcW w:w="548" w:type="pct"/>
            <w:shd w:val="clear" w:color="auto" w:fill="FFFFFF"/>
            <w:vAlign w:val="center"/>
          </w:tcPr>
          <w:p w14:paraId="450600C4"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Pr>
                <w:rFonts w:ascii="Segoe UI" w:hAnsi="Segoe UI" w:cs="Segoe UI"/>
                <w:b/>
                <w:bCs/>
                <w:color w:val="000000"/>
                <w:sz w:val="18"/>
                <w:szCs w:val="18"/>
                <w:lang w:eastAsia="sk-SK" w:bidi="sk-SK"/>
              </w:rPr>
              <w:t>5 675 085</w:t>
            </w:r>
          </w:p>
        </w:tc>
        <w:tc>
          <w:tcPr>
            <w:tcW w:w="547" w:type="pct"/>
            <w:shd w:val="clear" w:color="auto" w:fill="FFFFFF"/>
            <w:vAlign w:val="center"/>
          </w:tcPr>
          <w:p w14:paraId="12583227"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sidRPr="0026362C">
              <w:rPr>
                <w:rFonts w:ascii="Segoe UI" w:hAnsi="Segoe UI" w:cs="Segoe UI"/>
                <w:b/>
                <w:bCs/>
                <w:color w:val="000000"/>
                <w:sz w:val="18"/>
                <w:szCs w:val="18"/>
                <w:lang w:eastAsia="sk-SK" w:bidi="sk-SK"/>
              </w:rPr>
              <w:t>5</w:t>
            </w:r>
            <w:r>
              <w:rPr>
                <w:rFonts w:ascii="Segoe UI" w:hAnsi="Segoe UI" w:cs="Segoe UI"/>
                <w:b/>
                <w:bCs/>
                <w:color w:val="000000"/>
                <w:sz w:val="18"/>
                <w:szCs w:val="18"/>
                <w:lang w:eastAsia="sk-SK" w:bidi="sk-SK"/>
              </w:rPr>
              <w:t> </w:t>
            </w:r>
            <w:r w:rsidRPr="0026362C">
              <w:rPr>
                <w:rFonts w:ascii="Segoe UI" w:hAnsi="Segoe UI" w:cs="Segoe UI"/>
                <w:b/>
                <w:bCs/>
                <w:color w:val="000000"/>
                <w:sz w:val="18"/>
                <w:szCs w:val="18"/>
                <w:lang w:eastAsia="sk-SK" w:bidi="sk-SK"/>
              </w:rPr>
              <w:t>6</w:t>
            </w:r>
            <w:r>
              <w:rPr>
                <w:rFonts w:ascii="Segoe UI" w:hAnsi="Segoe UI" w:cs="Segoe UI"/>
                <w:b/>
                <w:bCs/>
                <w:color w:val="000000"/>
                <w:sz w:val="18"/>
                <w:szCs w:val="18"/>
                <w:lang w:eastAsia="sk-SK" w:bidi="sk-SK"/>
              </w:rPr>
              <w:t>73 075</w:t>
            </w:r>
          </w:p>
        </w:tc>
        <w:tc>
          <w:tcPr>
            <w:tcW w:w="548" w:type="pct"/>
            <w:shd w:val="clear" w:color="auto" w:fill="FFFFFF"/>
            <w:vAlign w:val="center"/>
          </w:tcPr>
          <w:p w14:paraId="5C88B891" w14:textId="77777777" w:rsidR="00D84CB0" w:rsidRPr="0026362C" w:rsidRDefault="00D84CB0" w:rsidP="009169FD">
            <w:pPr>
              <w:pStyle w:val="In0"/>
              <w:shd w:val="clear" w:color="auto" w:fill="auto"/>
              <w:spacing w:after="0" w:line="259" w:lineRule="auto"/>
              <w:jc w:val="right"/>
              <w:rPr>
                <w:rFonts w:ascii="Segoe UI" w:hAnsi="Segoe UI" w:cs="Segoe UI"/>
                <w:b/>
                <w:sz w:val="18"/>
                <w:szCs w:val="18"/>
              </w:rPr>
            </w:pPr>
            <w:r w:rsidRPr="0026362C">
              <w:rPr>
                <w:rFonts w:ascii="Segoe UI" w:hAnsi="Segoe UI" w:cs="Segoe UI"/>
                <w:b/>
                <w:sz w:val="18"/>
                <w:szCs w:val="18"/>
              </w:rPr>
              <w:t>6</w:t>
            </w:r>
            <w:r>
              <w:rPr>
                <w:rFonts w:ascii="Segoe UI" w:hAnsi="Segoe UI" w:cs="Segoe UI"/>
                <w:b/>
                <w:sz w:val="18"/>
                <w:szCs w:val="18"/>
              </w:rPr>
              <w:t> 094 354</w:t>
            </w:r>
          </w:p>
        </w:tc>
        <w:tc>
          <w:tcPr>
            <w:tcW w:w="547" w:type="pct"/>
            <w:shd w:val="clear" w:color="auto" w:fill="FFFFFF"/>
            <w:vAlign w:val="center"/>
          </w:tcPr>
          <w:p w14:paraId="041D6793" w14:textId="77777777" w:rsidR="00D84CB0" w:rsidRPr="0026362C" w:rsidRDefault="00D84CB0" w:rsidP="009169FD">
            <w:pPr>
              <w:pStyle w:val="In0"/>
              <w:shd w:val="clear" w:color="auto" w:fill="auto"/>
              <w:spacing w:after="0" w:line="259" w:lineRule="auto"/>
              <w:jc w:val="right"/>
              <w:rPr>
                <w:rFonts w:ascii="Segoe UI" w:hAnsi="Segoe UI" w:cs="Segoe UI"/>
                <w:b/>
                <w:sz w:val="18"/>
                <w:szCs w:val="18"/>
              </w:rPr>
            </w:pPr>
            <w:r>
              <w:rPr>
                <w:rFonts w:ascii="Segoe UI" w:hAnsi="Segoe UI" w:cs="Segoe UI"/>
                <w:b/>
                <w:sz w:val="18"/>
                <w:szCs w:val="18"/>
              </w:rPr>
              <w:t>6 203 795</w:t>
            </w:r>
          </w:p>
        </w:tc>
        <w:tc>
          <w:tcPr>
            <w:tcW w:w="782" w:type="pct"/>
            <w:shd w:val="clear" w:color="auto" w:fill="FFFFFF"/>
            <w:vAlign w:val="center"/>
          </w:tcPr>
          <w:p w14:paraId="771B1E28" w14:textId="77777777" w:rsidR="00D84CB0" w:rsidRPr="00A91D6A" w:rsidRDefault="00D84CB0" w:rsidP="009169FD">
            <w:pPr>
              <w:pStyle w:val="In0"/>
              <w:shd w:val="clear" w:color="auto" w:fill="auto"/>
              <w:spacing w:after="0" w:line="259" w:lineRule="auto"/>
              <w:ind w:right="181"/>
              <w:jc w:val="right"/>
              <w:rPr>
                <w:rFonts w:ascii="Segoe UI" w:hAnsi="Segoe UI" w:cs="Segoe UI"/>
                <w:b/>
                <w:sz w:val="18"/>
                <w:szCs w:val="18"/>
              </w:rPr>
            </w:pPr>
            <w:r w:rsidRPr="008F6B95">
              <w:rPr>
                <w:rFonts w:ascii="Segoe UI" w:hAnsi="Segoe UI" w:cs="Segoe UI"/>
                <w:b/>
                <w:sz w:val="18"/>
                <w:szCs w:val="18"/>
              </w:rPr>
              <w:t>530</w:t>
            </w:r>
            <w:r>
              <w:rPr>
                <w:rFonts w:ascii="Segoe UI" w:hAnsi="Segoe UI" w:cs="Segoe UI"/>
                <w:b/>
                <w:sz w:val="18"/>
                <w:szCs w:val="18"/>
              </w:rPr>
              <w:t xml:space="preserve"> </w:t>
            </w:r>
            <w:r w:rsidRPr="008F6B95">
              <w:rPr>
                <w:rFonts w:ascii="Segoe UI" w:hAnsi="Segoe UI" w:cs="Segoe UI"/>
                <w:b/>
                <w:sz w:val="18"/>
                <w:szCs w:val="18"/>
              </w:rPr>
              <w:t>720</w:t>
            </w:r>
          </w:p>
        </w:tc>
        <w:tc>
          <w:tcPr>
            <w:tcW w:w="777" w:type="pct"/>
            <w:shd w:val="clear" w:color="auto" w:fill="FFFFFF"/>
            <w:vAlign w:val="center"/>
          </w:tcPr>
          <w:p w14:paraId="6660E7BB" w14:textId="77777777" w:rsidR="00D84CB0" w:rsidRPr="00A91D6A" w:rsidRDefault="00D84CB0" w:rsidP="009169FD">
            <w:pPr>
              <w:pStyle w:val="In0"/>
              <w:shd w:val="clear" w:color="auto" w:fill="auto"/>
              <w:spacing w:after="0" w:line="259" w:lineRule="auto"/>
              <w:ind w:right="181"/>
              <w:jc w:val="right"/>
              <w:rPr>
                <w:rFonts w:ascii="Segoe UI" w:hAnsi="Segoe UI" w:cs="Segoe UI"/>
                <w:b/>
                <w:sz w:val="18"/>
                <w:szCs w:val="18"/>
              </w:rPr>
            </w:pPr>
            <w:r w:rsidRPr="008F6B95">
              <w:rPr>
                <w:rFonts w:ascii="Segoe UI" w:hAnsi="Segoe UI" w:cs="Segoe UI"/>
                <w:b/>
                <w:sz w:val="18"/>
                <w:szCs w:val="18"/>
              </w:rPr>
              <w:t>109,4</w:t>
            </w:r>
          </w:p>
        </w:tc>
      </w:tr>
      <w:tr w:rsidR="00D84CB0" w:rsidRPr="0026362C" w14:paraId="23067D4A" w14:textId="77777777" w:rsidTr="009169FD">
        <w:trPr>
          <w:trHeight w:val="283"/>
          <w:jc w:val="center"/>
        </w:trPr>
        <w:tc>
          <w:tcPr>
            <w:tcW w:w="1252" w:type="pct"/>
            <w:shd w:val="clear" w:color="auto" w:fill="FFFFFF"/>
            <w:vAlign w:val="bottom"/>
          </w:tcPr>
          <w:p w14:paraId="500E5BFB" w14:textId="77777777" w:rsidR="00D84CB0" w:rsidRPr="0026362C" w:rsidRDefault="00D84CB0" w:rsidP="002E22DA">
            <w:pPr>
              <w:pStyle w:val="In0"/>
              <w:shd w:val="clear" w:color="auto" w:fill="auto"/>
              <w:spacing w:after="0" w:line="259" w:lineRule="auto"/>
              <w:jc w:val="left"/>
              <w:rPr>
                <w:rFonts w:ascii="Segoe UI" w:hAnsi="Segoe UI" w:cs="Segoe UI"/>
                <w:sz w:val="18"/>
                <w:szCs w:val="18"/>
              </w:rPr>
            </w:pPr>
            <w:r w:rsidRPr="0026362C">
              <w:rPr>
                <w:rFonts w:ascii="Segoe UI" w:hAnsi="Segoe UI" w:cs="Segoe UI"/>
                <w:b/>
                <w:bCs/>
                <w:color w:val="000000"/>
                <w:sz w:val="18"/>
                <w:szCs w:val="18"/>
                <w:lang w:eastAsia="sk-SK" w:bidi="sk-SK"/>
              </w:rPr>
              <w:t>Celkov</w:t>
            </w:r>
            <w:r>
              <w:rPr>
                <w:rFonts w:ascii="Segoe UI" w:hAnsi="Segoe UI" w:cs="Segoe UI"/>
                <w:b/>
                <w:bCs/>
                <w:color w:val="000000"/>
                <w:sz w:val="18"/>
                <w:szCs w:val="18"/>
                <w:lang w:eastAsia="sk-SK" w:bidi="sk-SK"/>
              </w:rPr>
              <w:t>á bilancia obcí</w:t>
            </w:r>
          </w:p>
        </w:tc>
        <w:tc>
          <w:tcPr>
            <w:tcW w:w="548" w:type="pct"/>
            <w:shd w:val="clear" w:color="auto" w:fill="FFFFFF"/>
            <w:vAlign w:val="center"/>
          </w:tcPr>
          <w:p w14:paraId="51EB8546"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Pr>
                <w:rFonts w:ascii="Segoe UI" w:hAnsi="Segoe UI" w:cs="Segoe UI"/>
                <w:b/>
                <w:bCs/>
                <w:color w:val="000000"/>
                <w:sz w:val="18"/>
                <w:szCs w:val="18"/>
                <w:lang w:eastAsia="sk-SK" w:bidi="sk-SK"/>
              </w:rPr>
              <w:t>553 522</w:t>
            </w:r>
          </w:p>
        </w:tc>
        <w:tc>
          <w:tcPr>
            <w:tcW w:w="547" w:type="pct"/>
            <w:shd w:val="clear" w:color="auto" w:fill="FFFFFF"/>
            <w:vAlign w:val="center"/>
          </w:tcPr>
          <w:p w14:paraId="5364A725" w14:textId="77777777" w:rsidR="00D84CB0" w:rsidRPr="007226AC" w:rsidRDefault="00D84CB0" w:rsidP="009169FD">
            <w:pPr>
              <w:pStyle w:val="In0"/>
              <w:shd w:val="clear" w:color="auto" w:fill="auto"/>
              <w:spacing w:after="0" w:line="259" w:lineRule="auto"/>
              <w:jc w:val="right"/>
              <w:rPr>
                <w:rFonts w:ascii="Segoe UI" w:hAnsi="Segoe UI" w:cs="Segoe UI"/>
                <w:b/>
                <w:sz w:val="18"/>
                <w:szCs w:val="18"/>
              </w:rPr>
            </w:pPr>
            <w:r w:rsidRPr="007226AC">
              <w:rPr>
                <w:rFonts w:ascii="Segoe UI" w:hAnsi="Segoe UI" w:cs="Segoe UI"/>
                <w:b/>
                <w:sz w:val="18"/>
                <w:szCs w:val="18"/>
              </w:rPr>
              <w:t>250 688</w:t>
            </w:r>
          </w:p>
        </w:tc>
        <w:tc>
          <w:tcPr>
            <w:tcW w:w="548" w:type="pct"/>
            <w:shd w:val="clear" w:color="auto" w:fill="FFFFFF"/>
            <w:vAlign w:val="center"/>
          </w:tcPr>
          <w:p w14:paraId="576D12AD" w14:textId="77777777" w:rsidR="00D84CB0" w:rsidRPr="0026362C" w:rsidRDefault="00D84CB0" w:rsidP="009169FD">
            <w:pPr>
              <w:pStyle w:val="In0"/>
              <w:shd w:val="clear" w:color="auto" w:fill="auto"/>
              <w:spacing w:after="0" w:line="259" w:lineRule="auto"/>
              <w:jc w:val="right"/>
              <w:rPr>
                <w:rFonts w:ascii="Segoe UI" w:hAnsi="Segoe UI" w:cs="Segoe UI"/>
                <w:b/>
                <w:sz w:val="18"/>
                <w:szCs w:val="18"/>
              </w:rPr>
            </w:pPr>
            <w:r>
              <w:rPr>
                <w:rFonts w:ascii="Segoe UI" w:hAnsi="Segoe UI" w:cs="Segoe UI"/>
                <w:b/>
                <w:sz w:val="18"/>
                <w:szCs w:val="18"/>
              </w:rPr>
              <w:t>380 214</w:t>
            </w:r>
          </w:p>
        </w:tc>
        <w:tc>
          <w:tcPr>
            <w:tcW w:w="547" w:type="pct"/>
            <w:shd w:val="clear" w:color="auto" w:fill="FFFFFF"/>
            <w:vAlign w:val="center"/>
          </w:tcPr>
          <w:p w14:paraId="0E7267B1" w14:textId="77777777" w:rsidR="00D84CB0" w:rsidRPr="0026362C" w:rsidRDefault="00D84CB0" w:rsidP="009169FD">
            <w:pPr>
              <w:pStyle w:val="In0"/>
              <w:shd w:val="clear" w:color="auto" w:fill="auto"/>
              <w:spacing w:after="0" w:line="259" w:lineRule="auto"/>
              <w:jc w:val="right"/>
              <w:rPr>
                <w:rFonts w:ascii="Segoe UI" w:hAnsi="Segoe UI" w:cs="Segoe UI"/>
                <w:b/>
                <w:sz w:val="18"/>
                <w:szCs w:val="18"/>
              </w:rPr>
            </w:pPr>
            <w:r>
              <w:rPr>
                <w:rFonts w:ascii="Segoe UI" w:hAnsi="Segoe UI" w:cs="Segoe UI"/>
                <w:b/>
                <w:sz w:val="18"/>
                <w:szCs w:val="18"/>
              </w:rPr>
              <w:t>239 321</w:t>
            </w:r>
          </w:p>
        </w:tc>
        <w:tc>
          <w:tcPr>
            <w:tcW w:w="782" w:type="pct"/>
            <w:shd w:val="clear" w:color="auto" w:fill="FFFFFF"/>
            <w:vAlign w:val="center"/>
          </w:tcPr>
          <w:p w14:paraId="5600B9E8" w14:textId="77777777" w:rsidR="00D84CB0" w:rsidRPr="00A91D6A" w:rsidRDefault="00D84CB0" w:rsidP="009169FD">
            <w:pPr>
              <w:pStyle w:val="In0"/>
              <w:shd w:val="clear" w:color="auto" w:fill="auto"/>
              <w:spacing w:after="0" w:line="259" w:lineRule="auto"/>
              <w:ind w:right="181"/>
              <w:jc w:val="right"/>
              <w:rPr>
                <w:rFonts w:ascii="Segoe UI" w:hAnsi="Segoe UI" w:cs="Segoe UI"/>
                <w:b/>
                <w:sz w:val="18"/>
                <w:szCs w:val="18"/>
              </w:rPr>
            </w:pPr>
            <w:r w:rsidRPr="008F6B95">
              <w:rPr>
                <w:rFonts w:ascii="Segoe UI" w:hAnsi="Segoe UI" w:cs="Segoe UI"/>
                <w:b/>
                <w:sz w:val="18"/>
                <w:szCs w:val="18"/>
              </w:rPr>
              <w:t>-11</w:t>
            </w:r>
            <w:r>
              <w:rPr>
                <w:rFonts w:ascii="Segoe UI" w:hAnsi="Segoe UI" w:cs="Segoe UI"/>
                <w:b/>
                <w:sz w:val="18"/>
                <w:szCs w:val="18"/>
              </w:rPr>
              <w:t xml:space="preserve"> </w:t>
            </w:r>
            <w:r w:rsidRPr="008F6B95">
              <w:rPr>
                <w:rFonts w:ascii="Segoe UI" w:hAnsi="Segoe UI" w:cs="Segoe UI"/>
                <w:b/>
                <w:sz w:val="18"/>
                <w:szCs w:val="18"/>
              </w:rPr>
              <w:t>367</w:t>
            </w:r>
          </w:p>
        </w:tc>
        <w:tc>
          <w:tcPr>
            <w:tcW w:w="777" w:type="pct"/>
            <w:shd w:val="clear" w:color="auto" w:fill="FFFFFF"/>
            <w:vAlign w:val="center"/>
          </w:tcPr>
          <w:p w14:paraId="74E8D37E" w14:textId="77777777" w:rsidR="00D84CB0" w:rsidRPr="00A91D6A" w:rsidRDefault="00D84CB0" w:rsidP="009169FD">
            <w:pPr>
              <w:pStyle w:val="In0"/>
              <w:shd w:val="clear" w:color="auto" w:fill="auto"/>
              <w:spacing w:after="0" w:line="259" w:lineRule="auto"/>
              <w:ind w:right="181"/>
              <w:jc w:val="right"/>
              <w:rPr>
                <w:rFonts w:ascii="Segoe UI" w:hAnsi="Segoe UI" w:cs="Segoe UI"/>
                <w:b/>
                <w:sz w:val="18"/>
                <w:szCs w:val="18"/>
              </w:rPr>
            </w:pPr>
            <w:r w:rsidRPr="008F6B95">
              <w:rPr>
                <w:rFonts w:ascii="Segoe UI" w:hAnsi="Segoe UI" w:cs="Segoe UI"/>
                <w:b/>
                <w:sz w:val="18"/>
                <w:szCs w:val="18"/>
              </w:rPr>
              <w:t>95,5</w:t>
            </w:r>
          </w:p>
        </w:tc>
      </w:tr>
      <w:tr w:rsidR="00D84CB0" w:rsidRPr="0026362C" w14:paraId="50177E1D" w14:textId="77777777" w:rsidTr="009169FD">
        <w:trPr>
          <w:trHeight w:val="283"/>
          <w:jc w:val="center"/>
        </w:trPr>
        <w:tc>
          <w:tcPr>
            <w:tcW w:w="1252" w:type="pct"/>
            <w:shd w:val="clear" w:color="auto" w:fill="FFFFFF"/>
            <w:vAlign w:val="bottom"/>
          </w:tcPr>
          <w:p w14:paraId="4B0144BE" w14:textId="77777777" w:rsidR="00D84CB0" w:rsidRPr="0026362C" w:rsidRDefault="00D84CB0" w:rsidP="002E22DA">
            <w:pPr>
              <w:pStyle w:val="In0"/>
              <w:shd w:val="clear" w:color="auto" w:fill="auto"/>
              <w:spacing w:after="0" w:line="259" w:lineRule="auto"/>
              <w:jc w:val="left"/>
              <w:rPr>
                <w:rFonts w:ascii="Segoe UI" w:hAnsi="Segoe UI" w:cs="Segoe UI"/>
                <w:sz w:val="18"/>
                <w:szCs w:val="18"/>
              </w:rPr>
            </w:pPr>
            <w:r>
              <w:rPr>
                <w:rFonts w:ascii="Segoe UI" w:hAnsi="Segoe UI" w:cs="Segoe UI"/>
                <w:i/>
                <w:iCs/>
                <w:color w:val="000000"/>
                <w:sz w:val="18"/>
                <w:szCs w:val="18"/>
                <w:lang w:eastAsia="sk-SK" w:bidi="sk-SK"/>
              </w:rPr>
              <w:t>V</w:t>
            </w:r>
            <w:r w:rsidRPr="0026362C">
              <w:rPr>
                <w:rFonts w:ascii="Segoe UI" w:hAnsi="Segoe UI" w:cs="Segoe UI"/>
                <w:i/>
                <w:iCs/>
                <w:color w:val="000000"/>
                <w:sz w:val="18"/>
                <w:szCs w:val="18"/>
                <w:lang w:eastAsia="sk-SK" w:bidi="sk-SK"/>
              </w:rPr>
              <w:t>ylúčenie finančných operácií</w:t>
            </w:r>
          </w:p>
        </w:tc>
        <w:tc>
          <w:tcPr>
            <w:tcW w:w="548" w:type="pct"/>
            <w:shd w:val="clear" w:color="auto" w:fill="FFFFFF"/>
            <w:vAlign w:val="center"/>
          </w:tcPr>
          <w:p w14:paraId="0AB70418"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Pr>
                <w:rFonts w:ascii="Segoe UI" w:hAnsi="Segoe UI" w:cs="Segoe UI"/>
                <w:color w:val="000000"/>
                <w:sz w:val="18"/>
                <w:szCs w:val="18"/>
                <w:lang w:eastAsia="sk-SK" w:bidi="sk-SK"/>
              </w:rPr>
              <w:t>-511 827</w:t>
            </w:r>
          </w:p>
        </w:tc>
        <w:tc>
          <w:tcPr>
            <w:tcW w:w="547" w:type="pct"/>
            <w:shd w:val="clear" w:color="auto" w:fill="FFFFFF"/>
            <w:vAlign w:val="center"/>
          </w:tcPr>
          <w:p w14:paraId="2A24C2BE"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sidRPr="0026362C">
              <w:rPr>
                <w:rFonts w:ascii="Segoe UI" w:hAnsi="Segoe UI" w:cs="Segoe UI"/>
                <w:color w:val="000000"/>
                <w:sz w:val="18"/>
                <w:szCs w:val="18"/>
                <w:lang w:eastAsia="sk-SK" w:bidi="sk-SK"/>
              </w:rPr>
              <w:t>-</w:t>
            </w:r>
            <w:r>
              <w:rPr>
                <w:rFonts w:ascii="Segoe UI" w:hAnsi="Segoe UI" w:cs="Segoe UI"/>
                <w:color w:val="000000"/>
                <w:sz w:val="18"/>
                <w:szCs w:val="18"/>
                <w:lang w:eastAsia="sk-SK" w:bidi="sk-SK"/>
              </w:rPr>
              <w:t>415 000</w:t>
            </w:r>
          </w:p>
        </w:tc>
        <w:tc>
          <w:tcPr>
            <w:tcW w:w="548" w:type="pct"/>
            <w:shd w:val="clear" w:color="auto" w:fill="FFFFFF"/>
            <w:vAlign w:val="center"/>
          </w:tcPr>
          <w:p w14:paraId="5F4FCB70"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sidRPr="0026362C">
              <w:rPr>
                <w:rFonts w:ascii="Segoe UI" w:hAnsi="Segoe UI" w:cs="Segoe UI"/>
                <w:sz w:val="18"/>
                <w:szCs w:val="18"/>
              </w:rPr>
              <w:t>-</w:t>
            </w:r>
            <w:r>
              <w:rPr>
                <w:rFonts w:ascii="Segoe UI" w:hAnsi="Segoe UI" w:cs="Segoe UI"/>
                <w:sz w:val="18"/>
                <w:szCs w:val="18"/>
              </w:rPr>
              <w:t>560 000</w:t>
            </w:r>
          </w:p>
        </w:tc>
        <w:tc>
          <w:tcPr>
            <w:tcW w:w="547" w:type="pct"/>
            <w:shd w:val="clear" w:color="auto" w:fill="FFFFFF"/>
            <w:vAlign w:val="center"/>
          </w:tcPr>
          <w:p w14:paraId="133C6E6B"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sidRPr="0026362C">
              <w:rPr>
                <w:rFonts w:ascii="Segoe UI" w:hAnsi="Segoe UI" w:cs="Segoe UI"/>
                <w:sz w:val="18"/>
                <w:szCs w:val="18"/>
              </w:rPr>
              <w:t>-</w:t>
            </w:r>
            <w:r>
              <w:rPr>
                <w:rFonts w:ascii="Segoe UI" w:hAnsi="Segoe UI" w:cs="Segoe UI"/>
                <w:sz w:val="18"/>
                <w:szCs w:val="18"/>
              </w:rPr>
              <w:t>495 000</w:t>
            </w:r>
          </w:p>
        </w:tc>
        <w:tc>
          <w:tcPr>
            <w:tcW w:w="782" w:type="pct"/>
            <w:shd w:val="clear" w:color="auto" w:fill="FFFFFF"/>
            <w:vAlign w:val="center"/>
          </w:tcPr>
          <w:p w14:paraId="1064B379" w14:textId="77777777" w:rsidR="00D84CB0" w:rsidRPr="008F6B95" w:rsidRDefault="00D84CB0" w:rsidP="009169FD">
            <w:pPr>
              <w:pStyle w:val="In0"/>
              <w:shd w:val="clear" w:color="auto" w:fill="auto"/>
              <w:spacing w:after="0" w:line="259" w:lineRule="auto"/>
              <w:ind w:right="181"/>
              <w:jc w:val="right"/>
              <w:rPr>
                <w:rFonts w:ascii="Segoe UI" w:hAnsi="Segoe UI" w:cs="Segoe UI"/>
                <w:sz w:val="18"/>
                <w:szCs w:val="18"/>
              </w:rPr>
            </w:pPr>
            <w:r w:rsidRPr="008F6B95">
              <w:rPr>
                <w:rFonts w:ascii="Segoe UI" w:hAnsi="Segoe UI" w:cs="Segoe UI"/>
                <w:sz w:val="18"/>
                <w:szCs w:val="18"/>
              </w:rPr>
              <w:t>-80 000</w:t>
            </w:r>
          </w:p>
        </w:tc>
        <w:tc>
          <w:tcPr>
            <w:tcW w:w="777" w:type="pct"/>
            <w:shd w:val="clear" w:color="auto" w:fill="FFFFFF"/>
            <w:vAlign w:val="center"/>
          </w:tcPr>
          <w:p w14:paraId="0245F011" w14:textId="77777777" w:rsidR="00D84CB0" w:rsidRPr="008F6B95" w:rsidRDefault="00D84CB0" w:rsidP="009169FD">
            <w:pPr>
              <w:pStyle w:val="In0"/>
              <w:shd w:val="clear" w:color="auto" w:fill="auto"/>
              <w:spacing w:after="0" w:line="259" w:lineRule="auto"/>
              <w:ind w:right="181"/>
              <w:jc w:val="right"/>
              <w:rPr>
                <w:rFonts w:ascii="Segoe UI" w:hAnsi="Segoe UI" w:cs="Segoe UI"/>
                <w:sz w:val="18"/>
                <w:szCs w:val="18"/>
              </w:rPr>
            </w:pPr>
            <w:r w:rsidRPr="008F6B95">
              <w:rPr>
                <w:rFonts w:ascii="Segoe UI" w:hAnsi="Segoe UI" w:cs="Segoe UI"/>
                <w:sz w:val="18"/>
                <w:szCs w:val="18"/>
              </w:rPr>
              <w:t>119,3</w:t>
            </w:r>
          </w:p>
        </w:tc>
      </w:tr>
      <w:tr w:rsidR="00D84CB0" w:rsidRPr="0026362C" w14:paraId="14F792DB" w14:textId="77777777" w:rsidTr="009169FD">
        <w:trPr>
          <w:trHeight w:val="283"/>
          <w:jc w:val="center"/>
        </w:trPr>
        <w:tc>
          <w:tcPr>
            <w:tcW w:w="1252" w:type="pct"/>
            <w:shd w:val="clear" w:color="auto" w:fill="FFFFFF"/>
            <w:vAlign w:val="bottom"/>
          </w:tcPr>
          <w:p w14:paraId="304DF262" w14:textId="77777777" w:rsidR="00D84CB0" w:rsidRPr="0026362C" w:rsidRDefault="00D84CB0" w:rsidP="002E22DA">
            <w:pPr>
              <w:pStyle w:val="In0"/>
              <w:shd w:val="clear" w:color="auto" w:fill="auto"/>
              <w:spacing w:after="0" w:line="259" w:lineRule="auto"/>
              <w:jc w:val="left"/>
              <w:rPr>
                <w:rFonts w:ascii="Segoe UI" w:hAnsi="Segoe UI" w:cs="Segoe UI"/>
                <w:sz w:val="18"/>
                <w:szCs w:val="18"/>
              </w:rPr>
            </w:pPr>
            <w:r>
              <w:rPr>
                <w:rFonts w:ascii="Segoe UI" w:hAnsi="Segoe UI" w:cs="Segoe UI"/>
                <w:i/>
                <w:iCs/>
                <w:color w:val="000000"/>
                <w:sz w:val="18"/>
                <w:szCs w:val="18"/>
                <w:lang w:eastAsia="sk-SK" w:bidi="sk-SK"/>
              </w:rPr>
              <w:t>Z</w:t>
            </w:r>
            <w:r w:rsidRPr="0026362C">
              <w:rPr>
                <w:rFonts w:ascii="Segoe UI" w:hAnsi="Segoe UI" w:cs="Segoe UI"/>
                <w:i/>
                <w:iCs/>
                <w:color w:val="000000"/>
                <w:sz w:val="18"/>
                <w:szCs w:val="18"/>
                <w:lang w:eastAsia="sk-SK" w:bidi="sk-SK"/>
              </w:rPr>
              <w:t>ahrnutie časového rozlíšenia a ostatné úpravy</w:t>
            </w:r>
          </w:p>
        </w:tc>
        <w:tc>
          <w:tcPr>
            <w:tcW w:w="548" w:type="pct"/>
            <w:shd w:val="clear" w:color="auto" w:fill="FFFFFF"/>
            <w:vAlign w:val="center"/>
          </w:tcPr>
          <w:p w14:paraId="39586DE6"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Pr>
                <w:rFonts w:ascii="Segoe UI" w:hAnsi="Segoe UI" w:cs="Segoe UI"/>
                <w:color w:val="000000"/>
                <w:sz w:val="18"/>
                <w:szCs w:val="18"/>
                <w:lang w:eastAsia="sk-SK" w:bidi="sk-SK"/>
              </w:rPr>
              <w:t>-39 324</w:t>
            </w:r>
          </w:p>
        </w:tc>
        <w:tc>
          <w:tcPr>
            <w:tcW w:w="547" w:type="pct"/>
            <w:shd w:val="clear" w:color="auto" w:fill="FFFFFF"/>
            <w:vAlign w:val="center"/>
          </w:tcPr>
          <w:p w14:paraId="107CD14C"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sidRPr="0026362C">
              <w:rPr>
                <w:rFonts w:ascii="Segoe UI" w:hAnsi="Segoe UI" w:cs="Segoe UI"/>
                <w:color w:val="000000"/>
                <w:sz w:val="18"/>
                <w:szCs w:val="18"/>
                <w:lang w:eastAsia="sk-SK" w:bidi="sk-SK"/>
              </w:rPr>
              <w:t>0</w:t>
            </w:r>
          </w:p>
        </w:tc>
        <w:tc>
          <w:tcPr>
            <w:tcW w:w="548" w:type="pct"/>
            <w:shd w:val="clear" w:color="auto" w:fill="FFFFFF"/>
            <w:vAlign w:val="center"/>
          </w:tcPr>
          <w:p w14:paraId="1F7601B1"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sidRPr="0026362C">
              <w:rPr>
                <w:rFonts w:ascii="Segoe UI" w:hAnsi="Segoe UI" w:cs="Segoe UI"/>
                <w:sz w:val="18"/>
                <w:szCs w:val="18"/>
              </w:rPr>
              <w:t>0</w:t>
            </w:r>
          </w:p>
        </w:tc>
        <w:tc>
          <w:tcPr>
            <w:tcW w:w="547" w:type="pct"/>
            <w:shd w:val="clear" w:color="auto" w:fill="FFFFFF"/>
            <w:vAlign w:val="center"/>
          </w:tcPr>
          <w:p w14:paraId="0D2B95CE"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sidRPr="0026362C">
              <w:rPr>
                <w:rFonts w:ascii="Segoe UI" w:hAnsi="Segoe UI" w:cs="Segoe UI"/>
                <w:sz w:val="18"/>
                <w:szCs w:val="18"/>
              </w:rPr>
              <w:t>0</w:t>
            </w:r>
          </w:p>
        </w:tc>
        <w:tc>
          <w:tcPr>
            <w:tcW w:w="782" w:type="pct"/>
            <w:shd w:val="clear" w:color="auto" w:fill="FFFFFF"/>
            <w:vAlign w:val="center"/>
          </w:tcPr>
          <w:p w14:paraId="5C1EC3A5" w14:textId="77777777" w:rsidR="00D84CB0" w:rsidRPr="0026362C" w:rsidRDefault="00D84CB0" w:rsidP="009169FD">
            <w:pPr>
              <w:pStyle w:val="In0"/>
              <w:shd w:val="clear" w:color="auto" w:fill="auto"/>
              <w:spacing w:after="0" w:line="259" w:lineRule="auto"/>
              <w:ind w:right="181"/>
              <w:jc w:val="right"/>
              <w:rPr>
                <w:rFonts w:ascii="Segoe UI" w:hAnsi="Segoe UI" w:cs="Segoe UI"/>
                <w:sz w:val="18"/>
                <w:szCs w:val="18"/>
              </w:rPr>
            </w:pPr>
            <w:r w:rsidRPr="0026362C">
              <w:rPr>
                <w:rFonts w:ascii="Segoe UI" w:hAnsi="Segoe UI" w:cs="Segoe UI"/>
                <w:color w:val="000000"/>
                <w:sz w:val="18"/>
                <w:szCs w:val="18"/>
                <w:lang w:eastAsia="sk-SK" w:bidi="sk-SK"/>
              </w:rPr>
              <w:t>0</w:t>
            </w:r>
          </w:p>
        </w:tc>
        <w:tc>
          <w:tcPr>
            <w:tcW w:w="777" w:type="pct"/>
            <w:shd w:val="clear" w:color="auto" w:fill="FFFFFF"/>
            <w:vAlign w:val="center"/>
          </w:tcPr>
          <w:p w14:paraId="2344798B" w14:textId="77777777" w:rsidR="00D84CB0" w:rsidRPr="0026362C" w:rsidRDefault="00D84CB0" w:rsidP="009169FD">
            <w:pPr>
              <w:pStyle w:val="In0"/>
              <w:shd w:val="clear" w:color="auto" w:fill="auto"/>
              <w:spacing w:after="0" w:line="259" w:lineRule="auto"/>
              <w:ind w:right="181"/>
              <w:jc w:val="right"/>
              <w:rPr>
                <w:rFonts w:ascii="Segoe UI" w:hAnsi="Segoe UI" w:cs="Segoe UI"/>
                <w:sz w:val="18"/>
                <w:szCs w:val="18"/>
              </w:rPr>
            </w:pPr>
            <w:r w:rsidRPr="0026362C">
              <w:rPr>
                <w:rFonts w:ascii="Segoe UI" w:hAnsi="Segoe UI" w:cs="Segoe UI"/>
                <w:sz w:val="18"/>
                <w:szCs w:val="18"/>
              </w:rPr>
              <w:t>-</w:t>
            </w:r>
          </w:p>
        </w:tc>
      </w:tr>
      <w:tr w:rsidR="00D84CB0" w:rsidRPr="0026362C" w14:paraId="1B0FD4E6" w14:textId="77777777" w:rsidTr="009169FD">
        <w:trPr>
          <w:trHeight w:val="283"/>
          <w:jc w:val="center"/>
        </w:trPr>
        <w:tc>
          <w:tcPr>
            <w:tcW w:w="1252" w:type="pct"/>
            <w:tcBorders>
              <w:bottom w:val="single" w:sz="4" w:space="0" w:color="auto"/>
            </w:tcBorders>
            <w:shd w:val="clear" w:color="auto" w:fill="FFFFFF"/>
            <w:vAlign w:val="bottom"/>
          </w:tcPr>
          <w:p w14:paraId="78C9885D" w14:textId="4C295FF6" w:rsidR="00D84CB0" w:rsidRPr="0026362C" w:rsidRDefault="00D84CB0">
            <w:pPr>
              <w:pStyle w:val="In0"/>
              <w:shd w:val="clear" w:color="auto" w:fill="auto"/>
              <w:spacing w:after="0" w:line="259" w:lineRule="auto"/>
              <w:jc w:val="left"/>
              <w:rPr>
                <w:rFonts w:ascii="Segoe UI" w:hAnsi="Segoe UI" w:cs="Segoe UI"/>
                <w:sz w:val="18"/>
                <w:szCs w:val="18"/>
              </w:rPr>
            </w:pPr>
            <w:r w:rsidRPr="0026362C">
              <w:rPr>
                <w:rFonts w:ascii="Segoe UI" w:hAnsi="Segoe UI" w:cs="Segoe UI"/>
                <w:b/>
                <w:bCs/>
                <w:color w:val="000000"/>
                <w:sz w:val="18"/>
                <w:szCs w:val="18"/>
                <w:lang w:eastAsia="sk-SK" w:bidi="sk-SK"/>
              </w:rPr>
              <w:t xml:space="preserve">Prebytok (+) / schodok (-) </w:t>
            </w:r>
          </w:p>
        </w:tc>
        <w:tc>
          <w:tcPr>
            <w:tcW w:w="548" w:type="pct"/>
            <w:tcBorders>
              <w:bottom w:val="single" w:sz="4" w:space="0" w:color="auto"/>
            </w:tcBorders>
            <w:shd w:val="clear" w:color="auto" w:fill="FFFFFF"/>
            <w:vAlign w:val="center"/>
          </w:tcPr>
          <w:p w14:paraId="66814973" w14:textId="77777777" w:rsidR="00D84CB0" w:rsidRPr="0026362C" w:rsidRDefault="00D84CB0" w:rsidP="009169FD">
            <w:pPr>
              <w:pStyle w:val="In0"/>
              <w:shd w:val="clear" w:color="auto" w:fill="auto"/>
              <w:spacing w:after="0" w:line="259" w:lineRule="auto"/>
              <w:jc w:val="right"/>
              <w:rPr>
                <w:rFonts w:ascii="Segoe UI" w:hAnsi="Segoe UI" w:cs="Segoe UI"/>
                <w:sz w:val="18"/>
                <w:szCs w:val="18"/>
              </w:rPr>
            </w:pPr>
            <w:r>
              <w:rPr>
                <w:rFonts w:ascii="Segoe UI" w:hAnsi="Segoe UI" w:cs="Segoe UI"/>
                <w:b/>
                <w:bCs/>
                <w:color w:val="000000"/>
                <w:sz w:val="18"/>
                <w:szCs w:val="18"/>
                <w:lang w:eastAsia="sk-SK" w:bidi="sk-SK"/>
              </w:rPr>
              <w:t>2 371</w:t>
            </w:r>
          </w:p>
        </w:tc>
        <w:tc>
          <w:tcPr>
            <w:tcW w:w="547" w:type="pct"/>
            <w:tcBorders>
              <w:bottom w:val="single" w:sz="4" w:space="0" w:color="auto"/>
            </w:tcBorders>
            <w:shd w:val="clear" w:color="auto" w:fill="FFFFFF"/>
            <w:vAlign w:val="center"/>
          </w:tcPr>
          <w:p w14:paraId="08EBAFC0" w14:textId="6A5330D7" w:rsidR="00D84CB0" w:rsidRPr="00674B36" w:rsidRDefault="00D84CB0" w:rsidP="009169FD">
            <w:pPr>
              <w:pStyle w:val="In0"/>
              <w:shd w:val="clear" w:color="auto" w:fill="auto"/>
              <w:spacing w:after="0" w:line="259" w:lineRule="auto"/>
              <w:jc w:val="right"/>
              <w:rPr>
                <w:rFonts w:ascii="Segoe UI" w:hAnsi="Segoe UI" w:cs="Segoe UI"/>
                <w:b/>
                <w:sz w:val="18"/>
                <w:szCs w:val="18"/>
              </w:rPr>
            </w:pPr>
            <w:r w:rsidRPr="00674B36">
              <w:rPr>
                <w:rFonts w:ascii="Segoe UI" w:hAnsi="Segoe UI" w:cs="Segoe UI"/>
                <w:b/>
                <w:sz w:val="18"/>
                <w:szCs w:val="18"/>
              </w:rPr>
              <w:t>-164 312</w:t>
            </w:r>
          </w:p>
        </w:tc>
        <w:tc>
          <w:tcPr>
            <w:tcW w:w="548" w:type="pct"/>
            <w:tcBorders>
              <w:bottom w:val="single" w:sz="4" w:space="0" w:color="auto"/>
            </w:tcBorders>
            <w:shd w:val="clear" w:color="auto" w:fill="FFFFFF"/>
            <w:vAlign w:val="center"/>
          </w:tcPr>
          <w:p w14:paraId="54C20C99" w14:textId="14858518" w:rsidR="00D84CB0" w:rsidRPr="00674B36" w:rsidRDefault="00D84CB0" w:rsidP="009169FD">
            <w:pPr>
              <w:pStyle w:val="In0"/>
              <w:shd w:val="clear" w:color="auto" w:fill="auto"/>
              <w:spacing w:after="0" w:line="259" w:lineRule="auto"/>
              <w:jc w:val="right"/>
              <w:rPr>
                <w:rFonts w:ascii="Segoe UI" w:hAnsi="Segoe UI" w:cs="Segoe UI"/>
                <w:b/>
                <w:sz w:val="18"/>
                <w:szCs w:val="18"/>
              </w:rPr>
            </w:pPr>
            <w:r w:rsidRPr="00674B36">
              <w:rPr>
                <w:rFonts w:ascii="Segoe UI" w:hAnsi="Segoe UI" w:cs="Segoe UI"/>
                <w:b/>
                <w:sz w:val="18"/>
                <w:szCs w:val="18"/>
              </w:rPr>
              <w:t>-179 786</w:t>
            </w:r>
          </w:p>
        </w:tc>
        <w:tc>
          <w:tcPr>
            <w:tcW w:w="547" w:type="pct"/>
            <w:tcBorders>
              <w:bottom w:val="single" w:sz="4" w:space="0" w:color="auto"/>
            </w:tcBorders>
            <w:shd w:val="clear" w:color="auto" w:fill="FFFFFF"/>
            <w:vAlign w:val="center"/>
          </w:tcPr>
          <w:p w14:paraId="336A3E19" w14:textId="614FAD27" w:rsidR="00D84CB0" w:rsidRPr="0026362C" w:rsidRDefault="00D84CB0" w:rsidP="009169FD">
            <w:pPr>
              <w:pStyle w:val="In0"/>
              <w:shd w:val="clear" w:color="auto" w:fill="auto"/>
              <w:spacing w:after="0" w:line="259" w:lineRule="auto"/>
              <w:jc w:val="right"/>
              <w:rPr>
                <w:rFonts w:ascii="Segoe UI" w:hAnsi="Segoe UI" w:cs="Segoe UI"/>
                <w:b/>
                <w:sz w:val="18"/>
                <w:szCs w:val="18"/>
              </w:rPr>
            </w:pPr>
            <w:r w:rsidRPr="0026362C">
              <w:rPr>
                <w:rFonts w:ascii="Segoe UI" w:hAnsi="Segoe UI" w:cs="Segoe UI"/>
                <w:b/>
                <w:sz w:val="18"/>
                <w:szCs w:val="18"/>
              </w:rPr>
              <w:t>-</w:t>
            </w:r>
            <w:r>
              <w:rPr>
                <w:rFonts w:ascii="Segoe UI" w:hAnsi="Segoe UI" w:cs="Segoe UI"/>
                <w:b/>
                <w:sz w:val="18"/>
                <w:szCs w:val="18"/>
              </w:rPr>
              <w:t>255 679</w:t>
            </w:r>
          </w:p>
        </w:tc>
        <w:tc>
          <w:tcPr>
            <w:tcW w:w="782" w:type="pct"/>
            <w:tcBorders>
              <w:bottom w:val="single" w:sz="4" w:space="0" w:color="auto"/>
            </w:tcBorders>
            <w:shd w:val="clear" w:color="auto" w:fill="FFFFFF"/>
            <w:vAlign w:val="center"/>
          </w:tcPr>
          <w:p w14:paraId="0DDD09DF" w14:textId="77777777" w:rsidR="00D84CB0" w:rsidRPr="00A91D6A" w:rsidRDefault="00D84CB0" w:rsidP="009169FD">
            <w:pPr>
              <w:spacing w:after="0" w:line="240" w:lineRule="auto"/>
              <w:ind w:right="131"/>
              <w:jc w:val="right"/>
              <w:rPr>
                <w:rFonts w:eastAsia="Times New Roman" w:cs="Segoe UI"/>
                <w:b/>
                <w:sz w:val="18"/>
                <w:szCs w:val="18"/>
              </w:rPr>
            </w:pPr>
            <w:r w:rsidRPr="008F6B95">
              <w:rPr>
                <w:rFonts w:eastAsia="Times New Roman" w:cs="Segoe UI"/>
                <w:b/>
                <w:sz w:val="18"/>
                <w:szCs w:val="18"/>
              </w:rPr>
              <w:t>-91</w:t>
            </w:r>
            <w:r>
              <w:rPr>
                <w:rFonts w:eastAsia="Times New Roman" w:cs="Segoe UI"/>
                <w:b/>
                <w:sz w:val="18"/>
                <w:szCs w:val="18"/>
              </w:rPr>
              <w:t xml:space="preserve"> </w:t>
            </w:r>
            <w:r w:rsidRPr="008F6B95">
              <w:rPr>
                <w:rFonts w:eastAsia="Times New Roman" w:cs="Segoe UI"/>
                <w:b/>
                <w:sz w:val="18"/>
                <w:szCs w:val="18"/>
              </w:rPr>
              <w:t>367</w:t>
            </w:r>
          </w:p>
        </w:tc>
        <w:tc>
          <w:tcPr>
            <w:tcW w:w="777" w:type="pct"/>
            <w:tcBorders>
              <w:bottom w:val="single" w:sz="4" w:space="0" w:color="auto"/>
            </w:tcBorders>
            <w:shd w:val="clear" w:color="auto" w:fill="FFFFFF"/>
            <w:vAlign w:val="center"/>
          </w:tcPr>
          <w:p w14:paraId="73D059BE" w14:textId="77777777" w:rsidR="00D84CB0" w:rsidRPr="00A91D6A" w:rsidRDefault="00D84CB0" w:rsidP="009169FD">
            <w:pPr>
              <w:spacing w:after="0" w:line="240" w:lineRule="auto"/>
              <w:ind w:right="117"/>
              <w:jc w:val="right"/>
              <w:rPr>
                <w:rFonts w:eastAsia="Times New Roman" w:cs="Segoe UI"/>
                <w:b/>
                <w:sz w:val="18"/>
                <w:szCs w:val="18"/>
              </w:rPr>
            </w:pPr>
            <w:r w:rsidRPr="008F6B95">
              <w:rPr>
                <w:rFonts w:eastAsia="Times New Roman" w:cs="Segoe UI"/>
                <w:b/>
                <w:sz w:val="18"/>
                <w:szCs w:val="18"/>
              </w:rPr>
              <w:t>155,6</w:t>
            </w:r>
          </w:p>
        </w:tc>
      </w:tr>
    </w:tbl>
    <w:p w14:paraId="49672D3B" w14:textId="79EA8E2F" w:rsidR="00D84CB0" w:rsidRPr="00E601F7" w:rsidRDefault="00D84CB0" w:rsidP="009169FD">
      <w:pPr>
        <w:pStyle w:val="Zdroj"/>
      </w:pPr>
      <w:r w:rsidRPr="00604ABA">
        <w:t xml:space="preserve">Zdroj: </w:t>
      </w:r>
      <w:r w:rsidRPr="00364A5F">
        <w:t>Návrh RVS na roky 202</w:t>
      </w:r>
      <w:r>
        <w:t>3 až 2025</w:t>
      </w:r>
      <w:r w:rsidR="00136FE7">
        <w:br/>
        <w:t>S – skutočnosť, R – Rozpočet, N – Návrh</w:t>
      </w:r>
    </w:p>
    <w:p w14:paraId="163F1AAF" w14:textId="1AB935CB" w:rsidR="00D84CB0" w:rsidRDefault="00D84CB0" w:rsidP="00D84CB0">
      <w:r>
        <w:t xml:space="preserve">Väčšinový podiel na raste príjmov budú mať daňové príjmy, granty a transfery. Na výdavkovej strane budú najmä mzdy (vplyvom valorizácie platov vo </w:t>
      </w:r>
      <w:r w:rsidR="00817123">
        <w:t>VS</w:t>
      </w:r>
      <w:r>
        <w:t xml:space="preserve">) a tovary a služby. </w:t>
      </w:r>
    </w:p>
    <w:p w14:paraId="0DEF74C8" w14:textId="40039F31" w:rsidR="00D84CB0" w:rsidRDefault="00D84CB0" w:rsidP="00D84CB0">
      <w:r>
        <w:t>Kapitálové výdavky</w:t>
      </w:r>
      <w:r w:rsidR="00817123">
        <w:t xml:space="preserve"> majú</w:t>
      </w:r>
      <w:r>
        <w:t xml:space="preserve"> po volebnom roku 2022 poklesnúť. </w:t>
      </w:r>
      <w:r w:rsidRPr="00170BD3">
        <w:t>Rok 2023 sa</w:t>
      </w:r>
      <w:r w:rsidR="00817123">
        <w:t xml:space="preserve"> však</w:t>
      </w:r>
      <w:r w:rsidRPr="00170BD3">
        <w:t xml:space="preserve"> bude z pohľadu čerpania </w:t>
      </w:r>
      <w:r>
        <w:t>týchto</w:t>
      </w:r>
      <w:r w:rsidRPr="00170BD3">
        <w:t xml:space="preserve"> výdavkov v obciach pravdepodobne podobať roku 2015. Štandardne platí, že v roku, ktorý nasledoval po komunálnych voľbách, klesli medziročne kapitálové výdavky. Výnimkou bol však rok 2015, ktorý síce nasledoval po komunálnych voľbách, zároveň však bol posledným </w:t>
      </w:r>
      <w:r w:rsidR="00817123">
        <w:t xml:space="preserve">rokom </w:t>
      </w:r>
      <w:r w:rsidRPr="00170BD3">
        <w:t xml:space="preserve">na dočerpanie prostriedkov z EÚ v rámci 2. PO a tak výdavky medziročne narástli (graf </w:t>
      </w:r>
      <w:r w:rsidR="00E63183">
        <w:t>2</w:t>
      </w:r>
      <w:r w:rsidR="00283EF9">
        <w:t>4</w:t>
      </w:r>
      <w:r w:rsidRPr="00170BD3">
        <w:t>).</w:t>
      </w:r>
    </w:p>
    <w:p w14:paraId="5A624F35" w14:textId="0209ED04" w:rsidR="00A20626" w:rsidRDefault="00A20626" w:rsidP="00A20626">
      <w:r w:rsidRPr="00170BD3">
        <w:t>Na rok 2023 sú v</w:t>
      </w:r>
      <w:r>
        <w:t> </w:t>
      </w:r>
      <w:r w:rsidRPr="00170BD3">
        <w:t>návrhu</w:t>
      </w:r>
      <w:r>
        <w:t xml:space="preserve"> rozpočtu</w:t>
      </w:r>
      <w:r w:rsidRPr="00170BD3">
        <w:t xml:space="preserve"> naplánované výdavky vo výške 682 mil. eur, čo oproti očakávanej skutočnosti volebného roku 2022 predstavuje pokles až 250 mil. eur. </w:t>
      </w:r>
      <w:r w:rsidR="005A30D1">
        <w:t>NKÚ SR, v</w:t>
      </w:r>
      <w:r w:rsidRPr="00170BD3">
        <w:t>zhľadom k doterajšiemu čerpaniu eurofondov</w:t>
      </w:r>
      <w:r w:rsidR="005A30D1">
        <w:t>,</w:t>
      </w:r>
      <w:r w:rsidRPr="00170BD3">
        <w:t xml:space="preserve"> nielen v samospráve predpokladá, že aj samosprávy budú akcelerovať ukončenie čo najväčšieho množstva projektov, od ktorých návrh rozpočtu abstrahuje. To nakoniec ovplyvní aj výšku čerpaných kapitálových výdavkov. O tom, že ide pritom o veľký balík</w:t>
      </w:r>
      <w:r>
        <w:t>,</w:t>
      </w:r>
      <w:r w:rsidRPr="00170BD3">
        <w:t xml:space="preserve"> svedčí aj čerpanie na jednom z najväčších </w:t>
      </w:r>
      <w:r>
        <w:t>OP</w:t>
      </w:r>
      <w:r w:rsidRPr="00170BD3">
        <w:t xml:space="preserve"> určených práve pre samosprávy – IROP. Na ňom bola k 30.</w:t>
      </w:r>
      <w:r>
        <w:t xml:space="preserve"> </w:t>
      </w:r>
      <w:r w:rsidRPr="00170BD3">
        <w:t>9.</w:t>
      </w:r>
      <w:r>
        <w:t xml:space="preserve"> </w:t>
      </w:r>
      <w:r w:rsidRPr="00170BD3">
        <w:t>2022 k dispozíci</w:t>
      </w:r>
      <w:r>
        <w:t>i</w:t>
      </w:r>
      <w:r w:rsidRPr="00170BD3">
        <w:t xml:space="preserve"> viac ako 1 mld. eur nevyčerpaných prostriedkov. </w:t>
      </w:r>
      <w:r w:rsidRPr="009D4566">
        <w:t xml:space="preserve">V prípade požitia týchto prostriedkov na riešenie následkov </w:t>
      </w:r>
      <w:r w:rsidRPr="009D4566">
        <w:lastRenderedPageBreak/>
        <w:t>energetickej krízy by bola pozastavená modernizáci</w:t>
      </w:r>
      <w:r w:rsidR="005A30D1">
        <w:t>a</w:t>
      </w:r>
      <w:r w:rsidRPr="009D4566">
        <w:t xml:space="preserve"> majetku, dopravy, kultúrnych pamiatok, skvalitnenie poskytovaných verejných služieb či zlepšenie životného prostredia v obciach a regiónoch.</w:t>
      </w:r>
    </w:p>
    <w:p w14:paraId="365FE1E4" w14:textId="249D0898" w:rsidR="00D84CB0" w:rsidRPr="002D0262" w:rsidRDefault="00D84CB0" w:rsidP="00D84CB0">
      <w:pPr>
        <w:keepNext/>
        <w:spacing w:after="0" w:line="240" w:lineRule="auto"/>
        <w:rPr>
          <w:rFonts w:eastAsia="Calibri" w:cs="Times New Roman"/>
          <w:b/>
          <w:iCs/>
          <w:color w:val="314364"/>
          <w:szCs w:val="18"/>
        </w:rPr>
      </w:pPr>
      <w:r w:rsidRPr="002D0262">
        <w:rPr>
          <w:rFonts w:eastAsia="Calibri" w:cs="Times New Roman"/>
          <w:b/>
          <w:iCs/>
          <w:color w:val="314364"/>
          <w:szCs w:val="18"/>
        </w:rPr>
        <w:t xml:space="preserve">Graf </w:t>
      </w:r>
      <w:r w:rsidR="008B5B66">
        <w:rPr>
          <w:rFonts w:eastAsia="Calibri" w:cs="Times New Roman"/>
          <w:b/>
          <w:iCs/>
          <w:color w:val="314364"/>
          <w:szCs w:val="18"/>
        </w:rPr>
        <w:t>2</w:t>
      </w:r>
      <w:r w:rsidR="003E2E1A">
        <w:rPr>
          <w:rFonts w:eastAsia="Calibri" w:cs="Times New Roman"/>
          <w:b/>
          <w:iCs/>
          <w:color w:val="314364"/>
          <w:szCs w:val="18"/>
        </w:rPr>
        <w:t>4</w:t>
      </w:r>
      <w:r w:rsidRPr="002D0262">
        <w:rPr>
          <w:rFonts w:eastAsia="Calibri" w:cs="Times New Roman"/>
          <w:b/>
          <w:iCs/>
          <w:color w:val="314364"/>
          <w:szCs w:val="18"/>
        </w:rPr>
        <w:t xml:space="preserve">: </w:t>
      </w:r>
      <w:r>
        <w:rPr>
          <w:rFonts w:eastAsia="Calibri" w:cs="Times New Roman"/>
          <w:b/>
          <w:iCs/>
          <w:color w:val="314364"/>
          <w:szCs w:val="18"/>
        </w:rPr>
        <w:t>Čerpanie kapitálových výdavkov v roku konania komunálnych volieb (2006, 2010, 2014, 2018, 2022) a</w:t>
      </w:r>
      <w:r w:rsidR="00817123">
        <w:rPr>
          <w:rFonts w:eastAsia="Calibri" w:cs="Times New Roman"/>
          <w:b/>
          <w:iCs/>
          <w:color w:val="314364"/>
          <w:szCs w:val="18"/>
        </w:rPr>
        <w:t xml:space="preserve"> v </w:t>
      </w:r>
      <w:r>
        <w:rPr>
          <w:rFonts w:eastAsia="Calibri" w:cs="Times New Roman"/>
          <w:b/>
          <w:iCs/>
          <w:color w:val="314364"/>
          <w:szCs w:val="18"/>
        </w:rPr>
        <w:t>nasledujúco</w:t>
      </w:r>
      <w:r w:rsidR="00817123">
        <w:rPr>
          <w:rFonts w:eastAsia="Calibri" w:cs="Times New Roman"/>
          <w:b/>
          <w:iCs/>
          <w:color w:val="314364"/>
          <w:szCs w:val="18"/>
        </w:rPr>
        <w:t>m</w:t>
      </w:r>
      <w:r>
        <w:rPr>
          <w:rFonts w:eastAsia="Calibri" w:cs="Times New Roman"/>
          <w:b/>
          <w:iCs/>
          <w:color w:val="314364"/>
          <w:szCs w:val="18"/>
        </w:rPr>
        <w:t xml:space="preserve"> roku</w:t>
      </w:r>
      <w:r w:rsidRPr="002D0262">
        <w:rPr>
          <w:rFonts w:eastAsia="Calibri" w:cs="Times New Roman"/>
          <w:b/>
          <w:iCs/>
          <w:color w:val="314364"/>
          <w:szCs w:val="18"/>
        </w:rPr>
        <w:t xml:space="preserve"> (v mil. eur)</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D84CB0" w:rsidRPr="002D0262" w14:paraId="4E4619A8" w14:textId="77777777" w:rsidTr="003E0903">
        <w:trPr>
          <w:trHeight w:val="3231"/>
        </w:trPr>
        <w:tc>
          <w:tcPr>
            <w:tcW w:w="9070" w:type="dxa"/>
            <w:tcBorders>
              <w:top w:val="single" w:sz="4" w:space="0" w:color="314364"/>
              <w:bottom w:val="single" w:sz="4" w:space="0" w:color="314364"/>
            </w:tcBorders>
            <w:vAlign w:val="center"/>
          </w:tcPr>
          <w:p w14:paraId="1769BB60" w14:textId="77777777" w:rsidR="00D84CB0" w:rsidRPr="002D0262" w:rsidRDefault="00D84CB0" w:rsidP="002E22DA">
            <w:pPr>
              <w:spacing w:after="0"/>
              <w:rPr>
                <w:rFonts w:eastAsia="Calibri" w:cs="Times New Roman"/>
                <w:b/>
                <w:color w:val="576431"/>
              </w:rPr>
            </w:pPr>
            <w:r>
              <w:rPr>
                <w:noProof/>
                <w:lang w:eastAsia="sk-SK"/>
              </w:rPr>
              <w:drawing>
                <wp:inline distT="0" distB="0" distL="0" distR="0" wp14:anchorId="796FEB4A" wp14:editId="60689E2D">
                  <wp:extent cx="5716905" cy="204216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72531C51" w14:textId="77777777" w:rsidR="00D84CB0" w:rsidRPr="002B4509" w:rsidRDefault="00D84CB0" w:rsidP="007E39D7">
      <w:pPr>
        <w:spacing w:line="240" w:lineRule="auto"/>
        <w:rPr>
          <w:rFonts w:eastAsia="Calibri" w:cs="Times New Roman"/>
          <w:i/>
          <w:color w:val="314364"/>
          <w:sz w:val="16"/>
        </w:rPr>
      </w:pPr>
      <w:r w:rsidRPr="002D0262">
        <w:rPr>
          <w:rFonts w:eastAsia="Calibri" w:cs="Times New Roman"/>
          <w:i/>
          <w:color w:val="314364"/>
          <w:sz w:val="16"/>
        </w:rPr>
        <w:t xml:space="preserve">Zdroj: </w:t>
      </w:r>
      <w:r>
        <w:rPr>
          <w:rFonts w:eastAsia="Calibri" w:cs="Times New Roman"/>
          <w:i/>
          <w:color w:val="314364"/>
          <w:sz w:val="16"/>
        </w:rPr>
        <w:t>Návrhy RVS a záverečných účtov, MF SR</w:t>
      </w:r>
    </w:p>
    <w:p w14:paraId="55B44980" w14:textId="3EB86573" w:rsidR="00E23D9C" w:rsidRPr="00E23D9C" w:rsidRDefault="00E23D9C" w:rsidP="00E23D9C">
      <w:r w:rsidRPr="00E23D9C">
        <w:t xml:space="preserve">Vzhľadom na rozpočtovú príbuznosť budú aj </w:t>
      </w:r>
      <w:r w:rsidRPr="00E23D9C">
        <w:rPr>
          <w:b/>
        </w:rPr>
        <w:t>samosprávne kraje</w:t>
      </w:r>
      <w:r w:rsidRPr="00E23D9C">
        <w:t xml:space="preserve"> čeliť </w:t>
      </w:r>
      <w:r>
        <w:t>podobným problémom ako obce</w:t>
      </w:r>
      <w:r w:rsidRPr="00E23D9C">
        <w:t xml:space="preserve">. Riziko je o to väčšie, že príjmová stránka rozpočtov VÚC je ešte viac závislá </w:t>
      </w:r>
      <w:r w:rsidR="005A30D1">
        <w:t>od</w:t>
      </w:r>
      <w:r w:rsidRPr="00E23D9C">
        <w:t xml:space="preserve"> </w:t>
      </w:r>
      <w:r w:rsidR="005A30D1">
        <w:t xml:space="preserve">výnosu </w:t>
      </w:r>
      <w:r w:rsidRPr="00E23D9C">
        <w:t>z DPFO a transferov zo ŠR</w:t>
      </w:r>
      <w:r w:rsidR="00AC3D1E">
        <w:t>.</w:t>
      </w:r>
      <w:r w:rsidRPr="00E23D9C">
        <w:rPr>
          <w:rStyle w:val="Odkaznapoznmkupodiarou"/>
        </w:rPr>
        <w:footnoteReference w:id="77"/>
      </w:r>
      <w:r w:rsidRPr="00E23D9C">
        <w:t xml:space="preserve"> Príjmy VÚC vzrastú oproti roku 2022 o 14 % a výdavky o 12,3 %. Bilančný zostatok na akruálnej báze v metodike ESA 2010 má v roku 2023 dosiahnuť schodok vo výške 50,2 mil. eur, čo predstavuje medziročn</w:t>
      </w:r>
      <w:r>
        <w:t>ý pokles</w:t>
      </w:r>
      <w:r w:rsidRPr="00E23D9C">
        <w:t xml:space="preserve"> o 58,8 mil. eur oproti rozpočtu na rok 2022. Toto zhoršenie zapríčiňuje vylúčenie príjmových a výdavkových finančných operácií</w:t>
      </w:r>
      <w:r w:rsidRPr="00E23D9C">
        <w:rPr>
          <w:rStyle w:val="Odkaznapoznmkupodiarou"/>
        </w:rPr>
        <w:footnoteReference w:id="78"/>
      </w:r>
      <w:r w:rsidRPr="00E23D9C">
        <w:t xml:space="preserve"> z metodiky ESA 2010 (tabuľka 15). </w:t>
      </w:r>
    </w:p>
    <w:p w14:paraId="618CB4D7" w14:textId="24E4E75D" w:rsidR="00D84CB0" w:rsidRPr="00CA606D" w:rsidRDefault="00D84CB0" w:rsidP="003E0903">
      <w:pPr>
        <w:pStyle w:val="Popis"/>
        <w:keepNext/>
        <w:rPr>
          <w:color w:val="314364"/>
        </w:rPr>
      </w:pPr>
      <w:r w:rsidRPr="00CA606D">
        <w:rPr>
          <w:color w:val="314364"/>
        </w:rPr>
        <w:t>Tabuľka</w:t>
      </w:r>
      <w:r>
        <w:rPr>
          <w:color w:val="314364"/>
        </w:rPr>
        <w:t xml:space="preserve"> </w:t>
      </w:r>
      <w:r w:rsidR="005C7ED9">
        <w:rPr>
          <w:color w:val="314364"/>
        </w:rPr>
        <w:t>15</w:t>
      </w:r>
      <w:r w:rsidRPr="00CA606D">
        <w:rPr>
          <w:color w:val="314364"/>
        </w:rPr>
        <w:t xml:space="preserve">: </w:t>
      </w:r>
      <w:r>
        <w:rPr>
          <w:color w:val="314364"/>
        </w:rPr>
        <w:t>Bilančný zostatok VÚC</w:t>
      </w:r>
      <w:r w:rsidR="00136FE7">
        <w:rPr>
          <w:color w:val="314364"/>
        </w:rPr>
        <w:t xml:space="preserve"> podľa metodiky ESA 2010 (v tis. eur)</w:t>
      </w:r>
    </w:p>
    <w:tbl>
      <w:tblPr>
        <w:tblOverlap w:val="never"/>
        <w:tblW w:w="4990" w:type="pct"/>
        <w:jc w:val="center"/>
        <w:tblCellMar>
          <w:left w:w="10" w:type="dxa"/>
          <w:right w:w="10" w:type="dxa"/>
        </w:tblCellMar>
        <w:tblLook w:val="0000" w:firstRow="0" w:lastRow="0" w:firstColumn="0" w:lastColumn="0" w:noHBand="0" w:noVBand="0"/>
      </w:tblPr>
      <w:tblGrid>
        <w:gridCol w:w="2269"/>
        <w:gridCol w:w="849"/>
        <w:gridCol w:w="1133"/>
        <w:gridCol w:w="994"/>
        <w:gridCol w:w="994"/>
        <w:gridCol w:w="1557"/>
        <w:gridCol w:w="1256"/>
      </w:tblGrid>
      <w:tr w:rsidR="00D84CB0" w:rsidRPr="0026362C" w14:paraId="07673723" w14:textId="77777777" w:rsidTr="009169FD">
        <w:trPr>
          <w:trHeight w:val="283"/>
          <w:jc w:val="center"/>
        </w:trPr>
        <w:tc>
          <w:tcPr>
            <w:tcW w:w="1253" w:type="pct"/>
            <w:shd w:val="clear" w:color="auto" w:fill="314364"/>
            <w:vAlign w:val="center"/>
          </w:tcPr>
          <w:p w14:paraId="6E0281C8" w14:textId="0DA5F41E" w:rsidR="00D84CB0" w:rsidRPr="0026362C" w:rsidRDefault="00D84CB0">
            <w:pPr>
              <w:pStyle w:val="In0"/>
              <w:shd w:val="clear" w:color="auto" w:fill="auto"/>
              <w:spacing w:after="0"/>
              <w:jc w:val="left"/>
              <w:rPr>
                <w:rFonts w:ascii="Segoe UI" w:hAnsi="Segoe UI" w:cs="Segoe UI"/>
                <w:sz w:val="18"/>
                <w:szCs w:val="18"/>
              </w:rPr>
            </w:pPr>
            <w:r w:rsidRPr="0026362C">
              <w:rPr>
                <w:rFonts w:ascii="Segoe UI" w:hAnsi="Segoe UI" w:cs="Segoe UI"/>
                <w:b/>
                <w:bCs/>
                <w:color w:val="FFFFFF"/>
                <w:sz w:val="18"/>
                <w:szCs w:val="18"/>
                <w:lang w:eastAsia="sk-SK" w:bidi="sk-SK"/>
              </w:rPr>
              <w:t xml:space="preserve">Hospodárenie VÚC </w:t>
            </w:r>
          </w:p>
        </w:tc>
        <w:tc>
          <w:tcPr>
            <w:tcW w:w="469" w:type="pct"/>
            <w:shd w:val="clear" w:color="auto" w:fill="314364"/>
            <w:vAlign w:val="center"/>
          </w:tcPr>
          <w:p w14:paraId="7139D089" w14:textId="77777777" w:rsidR="00D84CB0" w:rsidRPr="0026362C" w:rsidRDefault="00D84CB0" w:rsidP="009169FD">
            <w:pPr>
              <w:pStyle w:val="In0"/>
              <w:shd w:val="clear" w:color="auto" w:fill="auto"/>
              <w:spacing w:after="0"/>
              <w:jc w:val="right"/>
              <w:rPr>
                <w:rFonts w:ascii="Segoe UI" w:hAnsi="Segoe UI" w:cs="Segoe UI"/>
                <w:sz w:val="18"/>
                <w:szCs w:val="18"/>
              </w:rPr>
            </w:pPr>
            <w:r>
              <w:rPr>
                <w:rFonts w:ascii="Segoe UI" w:hAnsi="Segoe UI" w:cs="Segoe UI"/>
                <w:b/>
                <w:bCs/>
                <w:color w:val="FFFFFF"/>
                <w:sz w:val="18"/>
                <w:szCs w:val="18"/>
                <w:lang w:eastAsia="sk-SK" w:bidi="sk-SK"/>
              </w:rPr>
              <w:t>2021 S</w:t>
            </w:r>
          </w:p>
        </w:tc>
        <w:tc>
          <w:tcPr>
            <w:tcW w:w="626" w:type="pct"/>
            <w:shd w:val="clear" w:color="auto" w:fill="314364"/>
            <w:vAlign w:val="center"/>
          </w:tcPr>
          <w:p w14:paraId="520213C6" w14:textId="77777777" w:rsidR="00D84CB0" w:rsidRPr="0026362C" w:rsidRDefault="00D84CB0" w:rsidP="009169FD">
            <w:pPr>
              <w:pStyle w:val="In0"/>
              <w:shd w:val="clear" w:color="auto" w:fill="auto"/>
              <w:spacing w:after="0"/>
              <w:jc w:val="right"/>
              <w:rPr>
                <w:rFonts w:ascii="Segoe UI" w:hAnsi="Segoe UI" w:cs="Segoe UI"/>
                <w:sz w:val="18"/>
                <w:szCs w:val="18"/>
              </w:rPr>
            </w:pPr>
            <w:r>
              <w:rPr>
                <w:rFonts w:ascii="Segoe UI" w:hAnsi="Segoe UI" w:cs="Segoe UI"/>
                <w:b/>
                <w:bCs/>
                <w:color w:val="FFFFFF"/>
                <w:sz w:val="18"/>
                <w:szCs w:val="18"/>
                <w:lang w:eastAsia="sk-SK" w:bidi="sk-SK"/>
              </w:rPr>
              <w:t>2022 R</w:t>
            </w:r>
          </w:p>
        </w:tc>
        <w:tc>
          <w:tcPr>
            <w:tcW w:w="549" w:type="pct"/>
            <w:shd w:val="clear" w:color="auto" w:fill="314364"/>
            <w:vAlign w:val="center"/>
          </w:tcPr>
          <w:p w14:paraId="34BD8472" w14:textId="77777777" w:rsidR="00D84CB0" w:rsidRPr="0026362C" w:rsidRDefault="00D84CB0" w:rsidP="009169FD">
            <w:pPr>
              <w:pStyle w:val="In0"/>
              <w:shd w:val="clear" w:color="auto" w:fill="auto"/>
              <w:spacing w:after="0"/>
              <w:jc w:val="right"/>
              <w:rPr>
                <w:rFonts w:ascii="Segoe UI" w:hAnsi="Segoe UI" w:cs="Segoe UI"/>
                <w:b/>
                <w:bCs/>
                <w:color w:val="FFFFFF"/>
                <w:sz w:val="18"/>
                <w:szCs w:val="18"/>
                <w:lang w:eastAsia="sk-SK" w:bidi="sk-SK"/>
              </w:rPr>
            </w:pPr>
            <w:r w:rsidRPr="0072334D">
              <w:rPr>
                <w:rFonts w:ascii="Segoe UI" w:hAnsi="Segoe UI" w:cs="Segoe UI"/>
                <w:b/>
                <w:bCs/>
                <w:color w:val="FFFFFF"/>
                <w:sz w:val="18"/>
                <w:szCs w:val="18"/>
                <w:lang w:eastAsia="sk-SK" w:bidi="sk-SK"/>
              </w:rPr>
              <w:t>2022 OS</w:t>
            </w:r>
          </w:p>
        </w:tc>
        <w:tc>
          <w:tcPr>
            <w:tcW w:w="549" w:type="pct"/>
            <w:shd w:val="clear" w:color="auto" w:fill="314364"/>
            <w:vAlign w:val="center"/>
          </w:tcPr>
          <w:p w14:paraId="658EEA5F" w14:textId="77777777" w:rsidR="00D84CB0" w:rsidRPr="0026362C" w:rsidRDefault="00D84CB0" w:rsidP="009169FD">
            <w:pPr>
              <w:pStyle w:val="In0"/>
              <w:shd w:val="clear" w:color="auto" w:fill="auto"/>
              <w:spacing w:after="0"/>
              <w:jc w:val="right"/>
              <w:rPr>
                <w:rFonts w:ascii="Segoe UI" w:hAnsi="Segoe UI" w:cs="Segoe UI"/>
                <w:sz w:val="18"/>
                <w:szCs w:val="18"/>
              </w:rPr>
            </w:pPr>
            <w:r>
              <w:rPr>
                <w:rFonts w:ascii="Segoe UI" w:hAnsi="Segoe UI" w:cs="Segoe UI"/>
                <w:b/>
                <w:bCs/>
                <w:color w:val="FFFFFF"/>
                <w:sz w:val="18"/>
                <w:szCs w:val="18"/>
                <w:lang w:eastAsia="sk-SK" w:bidi="sk-SK"/>
              </w:rPr>
              <w:t>2023 N</w:t>
            </w:r>
          </w:p>
        </w:tc>
        <w:tc>
          <w:tcPr>
            <w:tcW w:w="860" w:type="pct"/>
            <w:shd w:val="clear" w:color="auto" w:fill="314364"/>
            <w:vAlign w:val="center"/>
          </w:tcPr>
          <w:p w14:paraId="36C21A00" w14:textId="76056120" w:rsidR="00D84CB0" w:rsidRPr="0026362C" w:rsidRDefault="00D84CB0" w:rsidP="009169FD">
            <w:pPr>
              <w:pStyle w:val="In0"/>
              <w:shd w:val="clear" w:color="auto" w:fill="auto"/>
              <w:spacing w:after="0"/>
              <w:jc w:val="right"/>
              <w:rPr>
                <w:rFonts w:ascii="Segoe UI" w:hAnsi="Segoe UI" w:cs="Segoe UI"/>
                <w:sz w:val="18"/>
                <w:szCs w:val="18"/>
              </w:rPr>
            </w:pPr>
            <w:r>
              <w:rPr>
                <w:rFonts w:ascii="Segoe UI" w:hAnsi="Segoe UI" w:cs="Segoe UI"/>
                <w:b/>
                <w:bCs/>
                <w:color w:val="FFFFFF"/>
                <w:sz w:val="18"/>
                <w:szCs w:val="18"/>
                <w:lang w:eastAsia="sk-SK" w:bidi="sk-SK"/>
              </w:rPr>
              <w:t>2023N-2022 R</w:t>
            </w:r>
          </w:p>
        </w:tc>
        <w:tc>
          <w:tcPr>
            <w:tcW w:w="694" w:type="pct"/>
            <w:shd w:val="clear" w:color="auto" w:fill="314364"/>
            <w:vAlign w:val="center"/>
          </w:tcPr>
          <w:p w14:paraId="4F6C4385" w14:textId="09EA48A8" w:rsidR="00D84CB0" w:rsidRPr="0026362C" w:rsidRDefault="00D84CB0" w:rsidP="009169FD">
            <w:pPr>
              <w:pStyle w:val="In0"/>
              <w:shd w:val="clear" w:color="auto" w:fill="auto"/>
              <w:spacing w:after="0"/>
              <w:jc w:val="right"/>
              <w:rPr>
                <w:rFonts w:ascii="Segoe UI" w:hAnsi="Segoe UI" w:cs="Segoe UI"/>
                <w:sz w:val="18"/>
                <w:szCs w:val="18"/>
              </w:rPr>
            </w:pPr>
            <w:r>
              <w:rPr>
                <w:rFonts w:ascii="Segoe UI" w:hAnsi="Segoe UI" w:cs="Segoe UI"/>
                <w:b/>
                <w:bCs/>
                <w:color w:val="FFFFFF"/>
                <w:sz w:val="18"/>
                <w:szCs w:val="18"/>
                <w:lang w:eastAsia="sk-SK" w:bidi="sk-SK"/>
              </w:rPr>
              <w:t>2023N/2022R</w:t>
            </w:r>
          </w:p>
        </w:tc>
      </w:tr>
      <w:tr w:rsidR="00D84CB0" w:rsidRPr="0026362C" w14:paraId="39365BE3" w14:textId="77777777" w:rsidTr="009169FD">
        <w:trPr>
          <w:trHeight w:val="283"/>
          <w:jc w:val="center"/>
        </w:trPr>
        <w:tc>
          <w:tcPr>
            <w:tcW w:w="1253" w:type="pct"/>
            <w:shd w:val="clear" w:color="auto" w:fill="FFFFFF"/>
            <w:vAlign w:val="bottom"/>
          </w:tcPr>
          <w:p w14:paraId="1DBAE9D2" w14:textId="77777777" w:rsidR="00D84CB0" w:rsidRPr="00D55B59" w:rsidRDefault="00D84CB0" w:rsidP="002E22DA">
            <w:pPr>
              <w:pStyle w:val="In0"/>
              <w:shd w:val="clear" w:color="auto" w:fill="auto"/>
              <w:spacing w:after="0" w:line="259" w:lineRule="auto"/>
              <w:jc w:val="left"/>
              <w:rPr>
                <w:rFonts w:ascii="Segoe UI" w:hAnsi="Segoe UI" w:cs="Segoe UI"/>
                <w:sz w:val="18"/>
                <w:szCs w:val="18"/>
              </w:rPr>
            </w:pPr>
            <w:r w:rsidRPr="00D55B59">
              <w:rPr>
                <w:rFonts w:ascii="Segoe UI" w:hAnsi="Segoe UI" w:cs="Segoe UI"/>
                <w:b/>
                <w:bCs/>
                <w:color w:val="000000"/>
                <w:sz w:val="18"/>
                <w:szCs w:val="18"/>
                <w:lang w:eastAsia="sk-SK" w:bidi="sk-SK"/>
              </w:rPr>
              <w:t>Príjmy VÚC spolu</w:t>
            </w:r>
          </w:p>
        </w:tc>
        <w:tc>
          <w:tcPr>
            <w:tcW w:w="469" w:type="pct"/>
            <w:shd w:val="clear" w:color="000000" w:fill="FFFFFF"/>
            <w:vAlign w:val="center"/>
          </w:tcPr>
          <w:p w14:paraId="26A8E84B"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2 065 480</w:t>
            </w:r>
          </w:p>
        </w:tc>
        <w:tc>
          <w:tcPr>
            <w:tcW w:w="626" w:type="pct"/>
            <w:shd w:val="clear" w:color="000000" w:fill="FFFFFF"/>
            <w:vAlign w:val="center"/>
          </w:tcPr>
          <w:p w14:paraId="38E45844"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1 901 182</w:t>
            </w:r>
          </w:p>
        </w:tc>
        <w:tc>
          <w:tcPr>
            <w:tcW w:w="549" w:type="pct"/>
            <w:shd w:val="clear" w:color="000000" w:fill="FFFFFF"/>
            <w:vAlign w:val="center"/>
          </w:tcPr>
          <w:p w14:paraId="2B1B0C6F"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2 072 599</w:t>
            </w:r>
          </w:p>
        </w:tc>
        <w:tc>
          <w:tcPr>
            <w:tcW w:w="549" w:type="pct"/>
            <w:shd w:val="clear" w:color="000000" w:fill="FFFFFF"/>
            <w:vAlign w:val="center"/>
          </w:tcPr>
          <w:p w14:paraId="47B8CF19"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2 168 026</w:t>
            </w:r>
          </w:p>
        </w:tc>
        <w:tc>
          <w:tcPr>
            <w:tcW w:w="860" w:type="pct"/>
            <w:shd w:val="clear" w:color="000000" w:fill="FFFFFF"/>
            <w:vAlign w:val="center"/>
          </w:tcPr>
          <w:p w14:paraId="17EDC495" w14:textId="77777777" w:rsidR="00D84CB0" w:rsidRPr="0026362C" w:rsidRDefault="00D84CB0" w:rsidP="009169FD">
            <w:pPr>
              <w:spacing w:after="0" w:line="259" w:lineRule="auto"/>
              <w:jc w:val="right"/>
              <w:rPr>
                <w:rFonts w:cs="Segoe UI"/>
                <w:b/>
                <w:bCs/>
                <w:color w:val="000000"/>
                <w:sz w:val="18"/>
                <w:szCs w:val="18"/>
              </w:rPr>
            </w:pPr>
            <w:r w:rsidRPr="00330867">
              <w:rPr>
                <w:rFonts w:cs="Segoe UI"/>
                <w:b/>
                <w:bCs/>
                <w:color w:val="000000"/>
                <w:sz w:val="18"/>
                <w:szCs w:val="18"/>
              </w:rPr>
              <w:t>266</w:t>
            </w:r>
            <w:r>
              <w:rPr>
                <w:rFonts w:cs="Segoe UI"/>
                <w:b/>
                <w:bCs/>
                <w:color w:val="000000"/>
                <w:sz w:val="18"/>
                <w:szCs w:val="18"/>
              </w:rPr>
              <w:t xml:space="preserve"> </w:t>
            </w:r>
            <w:r w:rsidRPr="00330867">
              <w:rPr>
                <w:rFonts w:cs="Segoe UI"/>
                <w:b/>
                <w:bCs/>
                <w:color w:val="000000"/>
                <w:sz w:val="18"/>
                <w:szCs w:val="18"/>
              </w:rPr>
              <w:t>844</w:t>
            </w:r>
          </w:p>
        </w:tc>
        <w:tc>
          <w:tcPr>
            <w:tcW w:w="694" w:type="pct"/>
            <w:shd w:val="clear" w:color="000000" w:fill="FFFFFF"/>
            <w:vAlign w:val="center"/>
          </w:tcPr>
          <w:p w14:paraId="179B3B15"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114</w:t>
            </w:r>
          </w:p>
        </w:tc>
      </w:tr>
      <w:tr w:rsidR="00D84CB0" w:rsidRPr="0026362C" w14:paraId="749B22EF" w14:textId="77777777" w:rsidTr="009169FD">
        <w:trPr>
          <w:trHeight w:val="283"/>
          <w:jc w:val="center"/>
        </w:trPr>
        <w:tc>
          <w:tcPr>
            <w:tcW w:w="1253" w:type="pct"/>
            <w:shd w:val="clear" w:color="auto" w:fill="FFFFFF"/>
            <w:vAlign w:val="bottom"/>
          </w:tcPr>
          <w:p w14:paraId="756FE356" w14:textId="77777777" w:rsidR="00D84CB0" w:rsidRPr="00D55B59" w:rsidRDefault="00D84CB0" w:rsidP="002E22DA">
            <w:pPr>
              <w:pStyle w:val="In0"/>
              <w:shd w:val="clear" w:color="auto" w:fill="auto"/>
              <w:spacing w:after="0" w:line="259" w:lineRule="auto"/>
              <w:jc w:val="left"/>
              <w:rPr>
                <w:rFonts w:ascii="Segoe UI" w:hAnsi="Segoe UI" w:cs="Segoe UI"/>
                <w:sz w:val="18"/>
                <w:szCs w:val="18"/>
              </w:rPr>
            </w:pPr>
            <w:r w:rsidRPr="00D55B59">
              <w:rPr>
                <w:rFonts w:ascii="Segoe UI" w:hAnsi="Segoe UI" w:cs="Segoe UI"/>
                <w:b/>
                <w:bCs/>
                <w:color w:val="000000"/>
                <w:sz w:val="18"/>
                <w:szCs w:val="18"/>
                <w:lang w:eastAsia="sk-SK" w:bidi="sk-SK"/>
              </w:rPr>
              <w:t>Výdavky VÚC spolu</w:t>
            </w:r>
          </w:p>
        </w:tc>
        <w:tc>
          <w:tcPr>
            <w:tcW w:w="469" w:type="pct"/>
            <w:shd w:val="clear" w:color="000000" w:fill="FFFFFF"/>
            <w:vAlign w:val="center"/>
          </w:tcPr>
          <w:p w14:paraId="60714C35"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1 813 870</w:t>
            </w:r>
          </w:p>
        </w:tc>
        <w:tc>
          <w:tcPr>
            <w:tcW w:w="626" w:type="pct"/>
            <w:shd w:val="clear" w:color="000000" w:fill="FFFFFF"/>
            <w:vAlign w:val="center"/>
          </w:tcPr>
          <w:p w14:paraId="758571BB"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1 748 584</w:t>
            </w:r>
          </w:p>
        </w:tc>
        <w:tc>
          <w:tcPr>
            <w:tcW w:w="549" w:type="pct"/>
            <w:shd w:val="clear" w:color="000000" w:fill="FFFFFF"/>
            <w:vAlign w:val="center"/>
          </w:tcPr>
          <w:p w14:paraId="1B690307"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1 905 567</w:t>
            </w:r>
          </w:p>
        </w:tc>
        <w:tc>
          <w:tcPr>
            <w:tcW w:w="549" w:type="pct"/>
            <w:shd w:val="clear" w:color="000000" w:fill="FFFFFF"/>
            <w:vAlign w:val="center"/>
          </w:tcPr>
          <w:p w14:paraId="26A5F332"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1 964 193</w:t>
            </w:r>
          </w:p>
        </w:tc>
        <w:tc>
          <w:tcPr>
            <w:tcW w:w="860" w:type="pct"/>
            <w:shd w:val="clear" w:color="000000" w:fill="FFFFFF"/>
            <w:vAlign w:val="center"/>
          </w:tcPr>
          <w:p w14:paraId="476F7BDD" w14:textId="77777777" w:rsidR="00D84CB0" w:rsidRPr="0026362C" w:rsidRDefault="00D84CB0" w:rsidP="009169FD">
            <w:pPr>
              <w:spacing w:after="0" w:line="259" w:lineRule="auto"/>
              <w:jc w:val="right"/>
              <w:rPr>
                <w:rFonts w:cs="Segoe UI"/>
                <w:b/>
                <w:bCs/>
                <w:color w:val="000000"/>
                <w:sz w:val="18"/>
                <w:szCs w:val="18"/>
              </w:rPr>
            </w:pPr>
            <w:r w:rsidRPr="00330867">
              <w:rPr>
                <w:rFonts w:cs="Segoe UI"/>
                <w:b/>
                <w:bCs/>
                <w:color w:val="000000"/>
                <w:sz w:val="18"/>
                <w:szCs w:val="18"/>
              </w:rPr>
              <w:t>215</w:t>
            </w:r>
            <w:r>
              <w:rPr>
                <w:rFonts w:cs="Segoe UI"/>
                <w:b/>
                <w:bCs/>
                <w:color w:val="000000"/>
                <w:sz w:val="18"/>
                <w:szCs w:val="18"/>
              </w:rPr>
              <w:t xml:space="preserve"> </w:t>
            </w:r>
            <w:r w:rsidRPr="00330867">
              <w:rPr>
                <w:rFonts w:cs="Segoe UI"/>
                <w:b/>
                <w:bCs/>
                <w:color w:val="000000"/>
                <w:sz w:val="18"/>
                <w:szCs w:val="18"/>
              </w:rPr>
              <w:t>609</w:t>
            </w:r>
          </w:p>
        </w:tc>
        <w:tc>
          <w:tcPr>
            <w:tcW w:w="694" w:type="pct"/>
            <w:shd w:val="clear" w:color="000000" w:fill="FFFFFF"/>
            <w:vAlign w:val="center"/>
          </w:tcPr>
          <w:p w14:paraId="1AEF97B1" w14:textId="77777777" w:rsidR="00D84CB0" w:rsidRPr="0026362C" w:rsidRDefault="00D84CB0" w:rsidP="009169FD">
            <w:pPr>
              <w:spacing w:after="0" w:line="259" w:lineRule="auto"/>
              <w:jc w:val="right"/>
              <w:rPr>
                <w:rFonts w:cs="Segoe UI"/>
                <w:b/>
                <w:bCs/>
                <w:color w:val="000000"/>
                <w:sz w:val="18"/>
                <w:szCs w:val="18"/>
              </w:rPr>
            </w:pPr>
            <w:r w:rsidRPr="009703A9">
              <w:rPr>
                <w:rFonts w:cs="Segoe UI"/>
                <w:b/>
                <w:bCs/>
                <w:color w:val="000000"/>
                <w:sz w:val="18"/>
                <w:szCs w:val="18"/>
              </w:rPr>
              <w:t>112,3</w:t>
            </w:r>
          </w:p>
        </w:tc>
      </w:tr>
      <w:tr w:rsidR="00D84CB0" w:rsidRPr="0026362C" w14:paraId="2F5A686E" w14:textId="77777777" w:rsidTr="009169FD">
        <w:trPr>
          <w:trHeight w:val="283"/>
          <w:jc w:val="center"/>
        </w:trPr>
        <w:tc>
          <w:tcPr>
            <w:tcW w:w="1253" w:type="pct"/>
            <w:shd w:val="clear" w:color="auto" w:fill="FFFFFF"/>
            <w:vAlign w:val="bottom"/>
          </w:tcPr>
          <w:p w14:paraId="7E982F85" w14:textId="7BF20A27" w:rsidR="00D84CB0" w:rsidRPr="00D55B59" w:rsidRDefault="00D84CB0">
            <w:pPr>
              <w:pStyle w:val="In0"/>
              <w:shd w:val="clear" w:color="auto" w:fill="auto"/>
              <w:spacing w:after="0" w:line="259" w:lineRule="auto"/>
              <w:jc w:val="left"/>
              <w:rPr>
                <w:rFonts w:ascii="Segoe UI" w:hAnsi="Segoe UI" w:cs="Segoe UI"/>
                <w:sz w:val="18"/>
                <w:szCs w:val="18"/>
              </w:rPr>
            </w:pPr>
            <w:r>
              <w:rPr>
                <w:rFonts w:ascii="Segoe UI" w:hAnsi="Segoe UI" w:cs="Segoe UI"/>
                <w:b/>
                <w:bCs/>
                <w:color w:val="000000"/>
                <w:sz w:val="18"/>
                <w:szCs w:val="18"/>
                <w:lang w:eastAsia="sk-SK" w:bidi="sk-SK"/>
              </w:rPr>
              <w:t>Celková bilancia</w:t>
            </w:r>
            <w:r w:rsidRPr="00D55B59">
              <w:rPr>
                <w:rFonts w:ascii="Segoe UI" w:hAnsi="Segoe UI" w:cs="Segoe UI"/>
                <w:b/>
                <w:bCs/>
                <w:color w:val="000000"/>
                <w:sz w:val="18"/>
                <w:szCs w:val="18"/>
                <w:lang w:eastAsia="sk-SK" w:bidi="sk-SK"/>
              </w:rPr>
              <w:t xml:space="preserve"> spolu</w:t>
            </w:r>
          </w:p>
        </w:tc>
        <w:tc>
          <w:tcPr>
            <w:tcW w:w="469" w:type="pct"/>
            <w:shd w:val="clear" w:color="000000" w:fill="FFFFFF"/>
            <w:vAlign w:val="center"/>
          </w:tcPr>
          <w:p w14:paraId="2F63F588"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251 610</w:t>
            </w:r>
          </w:p>
        </w:tc>
        <w:tc>
          <w:tcPr>
            <w:tcW w:w="626" w:type="pct"/>
            <w:shd w:val="clear" w:color="000000" w:fill="FFFFFF"/>
            <w:vAlign w:val="center"/>
          </w:tcPr>
          <w:p w14:paraId="28CF31C2"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152 598</w:t>
            </w:r>
          </w:p>
        </w:tc>
        <w:tc>
          <w:tcPr>
            <w:tcW w:w="549" w:type="pct"/>
            <w:shd w:val="clear" w:color="000000" w:fill="FFFFFF"/>
            <w:vAlign w:val="center"/>
          </w:tcPr>
          <w:p w14:paraId="2FB4A0AA"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167 033</w:t>
            </w:r>
          </w:p>
        </w:tc>
        <w:tc>
          <w:tcPr>
            <w:tcW w:w="549" w:type="pct"/>
            <w:shd w:val="clear" w:color="000000" w:fill="FFFFFF"/>
            <w:vAlign w:val="center"/>
          </w:tcPr>
          <w:p w14:paraId="3F8474A5"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203 833</w:t>
            </w:r>
          </w:p>
        </w:tc>
        <w:tc>
          <w:tcPr>
            <w:tcW w:w="860" w:type="pct"/>
            <w:shd w:val="clear" w:color="000000" w:fill="FFFFFF"/>
            <w:vAlign w:val="center"/>
          </w:tcPr>
          <w:p w14:paraId="577BC471" w14:textId="77777777" w:rsidR="00D84CB0" w:rsidRPr="0026362C" w:rsidRDefault="00D84CB0" w:rsidP="009169FD">
            <w:pPr>
              <w:spacing w:after="0" w:line="259" w:lineRule="auto"/>
              <w:jc w:val="right"/>
              <w:rPr>
                <w:rFonts w:cs="Segoe UI"/>
                <w:b/>
                <w:bCs/>
                <w:color w:val="000000"/>
                <w:sz w:val="18"/>
                <w:szCs w:val="18"/>
              </w:rPr>
            </w:pPr>
            <w:r w:rsidRPr="00330867">
              <w:rPr>
                <w:rFonts w:cs="Segoe UI"/>
                <w:b/>
                <w:bCs/>
                <w:color w:val="000000"/>
                <w:sz w:val="18"/>
                <w:szCs w:val="18"/>
              </w:rPr>
              <w:t>51</w:t>
            </w:r>
            <w:r>
              <w:rPr>
                <w:rFonts w:cs="Segoe UI"/>
                <w:b/>
                <w:bCs/>
                <w:color w:val="000000"/>
                <w:sz w:val="18"/>
                <w:szCs w:val="18"/>
              </w:rPr>
              <w:t xml:space="preserve"> </w:t>
            </w:r>
            <w:r w:rsidRPr="00330867">
              <w:rPr>
                <w:rFonts w:cs="Segoe UI"/>
                <w:b/>
                <w:bCs/>
                <w:color w:val="000000"/>
                <w:sz w:val="18"/>
                <w:szCs w:val="18"/>
              </w:rPr>
              <w:t>235</w:t>
            </w:r>
          </w:p>
        </w:tc>
        <w:tc>
          <w:tcPr>
            <w:tcW w:w="694" w:type="pct"/>
            <w:shd w:val="clear" w:color="000000" w:fill="FFFFFF"/>
            <w:vAlign w:val="center"/>
          </w:tcPr>
          <w:p w14:paraId="422C0F79" w14:textId="77777777" w:rsidR="00D84CB0" w:rsidRPr="0026362C" w:rsidRDefault="00D84CB0" w:rsidP="009169FD">
            <w:pPr>
              <w:spacing w:after="0" w:line="259" w:lineRule="auto"/>
              <w:jc w:val="right"/>
              <w:rPr>
                <w:rFonts w:cs="Segoe UI"/>
                <w:b/>
                <w:bCs/>
                <w:color w:val="000000"/>
                <w:sz w:val="18"/>
                <w:szCs w:val="18"/>
              </w:rPr>
            </w:pPr>
            <w:r w:rsidRPr="009703A9">
              <w:rPr>
                <w:rFonts w:cs="Segoe UI"/>
                <w:b/>
                <w:bCs/>
                <w:color w:val="000000"/>
                <w:sz w:val="18"/>
                <w:szCs w:val="18"/>
              </w:rPr>
              <w:t>133,6</w:t>
            </w:r>
          </w:p>
        </w:tc>
      </w:tr>
      <w:tr w:rsidR="00D84CB0" w:rsidRPr="0026362C" w14:paraId="257A45E8" w14:textId="77777777" w:rsidTr="009169FD">
        <w:trPr>
          <w:trHeight w:val="283"/>
          <w:jc w:val="center"/>
        </w:trPr>
        <w:tc>
          <w:tcPr>
            <w:tcW w:w="1253" w:type="pct"/>
            <w:shd w:val="clear" w:color="auto" w:fill="FFFFFF"/>
            <w:vAlign w:val="bottom"/>
          </w:tcPr>
          <w:p w14:paraId="3A6504C6" w14:textId="77777777" w:rsidR="00D84CB0" w:rsidRPr="00D55B59" w:rsidRDefault="00D84CB0" w:rsidP="002E22DA">
            <w:pPr>
              <w:pStyle w:val="In0"/>
              <w:shd w:val="clear" w:color="auto" w:fill="auto"/>
              <w:spacing w:after="0" w:line="259" w:lineRule="auto"/>
              <w:jc w:val="left"/>
              <w:rPr>
                <w:rFonts w:ascii="Segoe UI" w:hAnsi="Segoe UI" w:cs="Segoe UI"/>
                <w:sz w:val="18"/>
                <w:szCs w:val="18"/>
              </w:rPr>
            </w:pPr>
            <w:r w:rsidRPr="00D55B59">
              <w:rPr>
                <w:rFonts w:ascii="Segoe UI" w:hAnsi="Segoe UI" w:cs="Segoe UI"/>
                <w:iCs/>
                <w:color w:val="000000"/>
                <w:sz w:val="18"/>
                <w:szCs w:val="18"/>
                <w:lang w:eastAsia="sk-SK" w:bidi="sk-SK"/>
              </w:rPr>
              <w:t>Vylúčenie finančných operácií</w:t>
            </w:r>
          </w:p>
        </w:tc>
        <w:tc>
          <w:tcPr>
            <w:tcW w:w="469" w:type="pct"/>
            <w:shd w:val="clear" w:color="000000" w:fill="FFFFFF"/>
            <w:vAlign w:val="center"/>
          </w:tcPr>
          <w:p w14:paraId="5074FE57" w14:textId="77777777" w:rsidR="00D84CB0" w:rsidRPr="0026362C" w:rsidRDefault="00D84CB0" w:rsidP="009169FD">
            <w:pPr>
              <w:spacing w:after="0" w:line="259" w:lineRule="auto"/>
              <w:jc w:val="right"/>
              <w:rPr>
                <w:rFonts w:cs="Segoe UI"/>
                <w:color w:val="000000"/>
                <w:sz w:val="18"/>
                <w:szCs w:val="18"/>
              </w:rPr>
            </w:pPr>
            <w:r>
              <w:rPr>
                <w:rFonts w:cs="Segoe UI"/>
                <w:color w:val="000000"/>
                <w:sz w:val="18"/>
                <w:szCs w:val="18"/>
              </w:rPr>
              <w:t>- 270 748</w:t>
            </w:r>
          </w:p>
        </w:tc>
        <w:tc>
          <w:tcPr>
            <w:tcW w:w="626" w:type="pct"/>
            <w:shd w:val="clear" w:color="000000" w:fill="FFFFFF"/>
            <w:vAlign w:val="center"/>
          </w:tcPr>
          <w:p w14:paraId="334E245A" w14:textId="77777777" w:rsidR="00D84CB0" w:rsidRPr="0026362C" w:rsidRDefault="00D84CB0" w:rsidP="009169FD">
            <w:pPr>
              <w:spacing w:after="0" w:line="259" w:lineRule="auto"/>
              <w:jc w:val="right"/>
              <w:rPr>
                <w:rFonts w:cs="Segoe UI"/>
                <w:color w:val="000000"/>
                <w:sz w:val="18"/>
                <w:szCs w:val="18"/>
              </w:rPr>
            </w:pPr>
            <w:r>
              <w:rPr>
                <w:rFonts w:cs="Segoe UI"/>
                <w:color w:val="000000"/>
                <w:sz w:val="18"/>
                <w:szCs w:val="18"/>
              </w:rPr>
              <w:t>- 144 000</w:t>
            </w:r>
          </w:p>
        </w:tc>
        <w:tc>
          <w:tcPr>
            <w:tcW w:w="549" w:type="pct"/>
            <w:shd w:val="clear" w:color="000000" w:fill="FFFFFF"/>
            <w:vAlign w:val="center"/>
          </w:tcPr>
          <w:p w14:paraId="57D554E1" w14:textId="77777777" w:rsidR="00D84CB0" w:rsidRPr="0026362C" w:rsidRDefault="00D84CB0" w:rsidP="009169FD">
            <w:pPr>
              <w:spacing w:after="0" w:line="259" w:lineRule="auto"/>
              <w:jc w:val="right"/>
              <w:rPr>
                <w:rFonts w:cs="Segoe UI"/>
                <w:color w:val="000000"/>
                <w:sz w:val="18"/>
                <w:szCs w:val="18"/>
              </w:rPr>
            </w:pPr>
            <w:r w:rsidRPr="0026362C">
              <w:rPr>
                <w:rFonts w:cs="Segoe UI"/>
                <w:color w:val="000000"/>
                <w:sz w:val="18"/>
                <w:szCs w:val="18"/>
              </w:rPr>
              <w:t>-</w:t>
            </w:r>
            <w:r>
              <w:rPr>
                <w:rFonts w:cs="Segoe UI"/>
                <w:color w:val="000000"/>
                <w:sz w:val="18"/>
                <w:szCs w:val="18"/>
              </w:rPr>
              <w:t>202 000</w:t>
            </w:r>
          </w:p>
        </w:tc>
        <w:tc>
          <w:tcPr>
            <w:tcW w:w="549" w:type="pct"/>
            <w:shd w:val="clear" w:color="000000" w:fill="FFFFFF"/>
            <w:vAlign w:val="center"/>
          </w:tcPr>
          <w:p w14:paraId="2E2620D1" w14:textId="77777777" w:rsidR="00D84CB0" w:rsidRPr="0026362C" w:rsidRDefault="00D84CB0" w:rsidP="009169FD">
            <w:pPr>
              <w:spacing w:after="0" w:line="259" w:lineRule="auto"/>
              <w:jc w:val="right"/>
              <w:rPr>
                <w:rFonts w:cs="Segoe UI"/>
                <w:color w:val="000000"/>
                <w:sz w:val="18"/>
                <w:szCs w:val="18"/>
              </w:rPr>
            </w:pPr>
            <w:r w:rsidRPr="0026362C">
              <w:rPr>
                <w:rFonts w:cs="Segoe UI"/>
                <w:color w:val="000000"/>
                <w:sz w:val="18"/>
                <w:szCs w:val="18"/>
              </w:rPr>
              <w:t>-</w:t>
            </w:r>
            <w:r>
              <w:rPr>
                <w:rFonts w:cs="Segoe UI"/>
                <w:color w:val="000000"/>
                <w:sz w:val="18"/>
                <w:szCs w:val="18"/>
              </w:rPr>
              <w:t>254 000</w:t>
            </w:r>
          </w:p>
        </w:tc>
        <w:tc>
          <w:tcPr>
            <w:tcW w:w="860" w:type="pct"/>
            <w:shd w:val="clear" w:color="000000" w:fill="FFFFFF"/>
            <w:vAlign w:val="center"/>
          </w:tcPr>
          <w:p w14:paraId="07C5CD0B" w14:textId="77777777" w:rsidR="00D84CB0" w:rsidRPr="009703A9" w:rsidRDefault="00D84CB0" w:rsidP="009169FD">
            <w:pPr>
              <w:spacing w:after="0" w:line="259" w:lineRule="auto"/>
              <w:jc w:val="right"/>
              <w:rPr>
                <w:rFonts w:cs="Segoe UI"/>
                <w:bCs/>
                <w:color w:val="000000"/>
                <w:sz w:val="18"/>
                <w:szCs w:val="18"/>
              </w:rPr>
            </w:pPr>
            <w:r w:rsidRPr="009703A9">
              <w:rPr>
                <w:rFonts w:cs="Segoe UI"/>
                <w:bCs/>
                <w:color w:val="000000"/>
                <w:sz w:val="18"/>
                <w:szCs w:val="18"/>
              </w:rPr>
              <w:t>-110 000</w:t>
            </w:r>
          </w:p>
        </w:tc>
        <w:tc>
          <w:tcPr>
            <w:tcW w:w="694" w:type="pct"/>
            <w:shd w:val="clear" w:color="000000" w:fill="FFFFFF"/>
            <w:vAlign w:val="center"/>
          </w:tcPr>
          <w:p w14:paraId="4A57CDAD" w14:textId="77777777" w:rsidR="00D84CB0" w:rsidRPr="009703A9" w:rsidRDefault="00D84CB0" w:rsidP="009169FD">
            <w:pPr>
              <w:spacing w:after="0" w:line="259" w:lineRule="auto"/>
              <w:jc w:val="right"/>
              <w:rPr>
                <w:rFonts w:cs="Segoe UI"/>
                <w:bCs/>
                <w:color w:val="000000"/>
                <w:sz w:val="18"/>
                <w:szCs w:val="18"/>
              </w:rPr>
            </w:pPr>
            <w:r w:rsidRPr="009703A9">
              <w:rPr>
                <w:rFonts w:cs="Segoe UI"/>
                <w:bCs/>
                <w:color w:val="000000"/>
                <w:sz w:val="18"/>
                <w:szCs w:val="18"/>
              </w:rPr>
              <w:t>176,4</w:t>
            </w:r>
          </w:p>
        </w:tc>
      </w:tr>
      <w:tr w:rsidR="00D84CB0" w:rsidRPr="0026362C" w14:paraId="7FF7D354" w14:textId="77777777" w:rsidTr="009169FD">
        <w:trPr>
          <w:trHeight w:val="283"/>
          <w:jc w:val="center"/>
        </w:trPr>
        <w:tc>
          <w:tcPr>
            <w:tcW w:w="1253" w:type="pct"/>
            <w:shd w:val="clear" w:color="auto" w:fill="FFFFFF"/>
            <w:vAlign w:val="bottom"/>
          </w:tcPr>
          <w:p w14:paraId="5ED8A9E0" w14:textId="77777777" w:rsidR="00D84CB0" w:rsidRPr="00D55B59" w:rsidRDefault="00D84CB0" w:rsidP="002E22DA">
            <w:pPr>
              <w:pStyle w:val="In0"/>
              <w:shd w:val="clear" w:color="auto" w:fill="auto"/>
              <w:spacing w:after="0" w:line="259" w:lineRule="auto"/>
              <w:jc w:val="left"/>
              <w:rPr>
                <w:rFonts w:ascii="Segoe UI" w:hAnsi="Segoe UI" w:cs="Segoe UI"/>
                <w:sz w:val="18"/>
                <w:szCs w:val="18"/>
              </w:rPr>
            </w:pPr>
            <w:r w:rsidRPr="00D55B59">
              <w:rPr>
                <w:rFonts w:ascii="Segoe UI" w:hAnsi="Segoe UI" w:cs="Segoe UI"/>
                <w:iCs/>
                <w:color w:val="000000"/>
                <w:sz w:val="18"/>
                <w:szCs w:val="18"/>
                <w:lang w:eastAsia="sk-SK" w:bidi="sk-SK"/>
              </w:rPr>
              <w:t xml:space="preserve">Zahrnutie časového </w:t>
            </w:r>
            <w:r>
              <w:rPr>
                <w:rFonts w:ascii="Segoe UI" w:hAnsi="Segoe UI" w:cs="Segoe UI"/>
                <w:iCs/>
                <w:color w:val="000000"/>
                <w:sz w:val="18"/>
                <w:szCs w:val="18"/>
                <w:lang w:eastAsia="sk-SK" w:bidi="sk-SK"/>
              </w:rPr>
              <w:t xml:space="preserve">rozlíšenia a </w:t>
            </w:r>
            <w:r w:rsidRPr="00D55B59">
              <w:rPr>
                <w:rFonts w:ascii="Segoe UI" w:hAnsi="Segoe UI" w:cs="Segoe UI"/>
                <w:iCs/>
                <w:color w:val="000000"/>
                <w:sz w:val="18"/>
                <w:szCs w:val="18"/>
                <w:lang w:eastAsia="sk-SK" w:bidi="sk-SK"/>
              </w:rPr>
              <w:t>ostatné úpravy</w:t>
            </w:r>
          </w:p>
        </w:tc>
        <w:tc>
          <w:tcPr>
            <w:tcW w:w="469" w:type="pct"/>
            <w:shd w:val="clear" w:color="000000" w:fill="FFFFFF"/>
            <w:vAlign w:val="center"/>
          </w:tcPr>
          <w:p w14:paraId="38F9D2FD" w14:textId="77777777" w:rsidR="00D84CB0" w:rsidRPr="0026362C" w:rsidRDefault="00D84CB0" w:rsidP="009169FD">
            <w:pPr>
              <w:spacing w:after="0" w:line="259" w:lineRule="auto"/>
              <w:jc w:val="right"/>
              <w:rPr>
                <w:rFonts w:cs="Segoe UI"/>
                <w:color w:val="000000"/>
                <w:sz w:val="18"/>
                <w:szCs w:val="18"/>
              </w:rPr>
            </w:pPr>
            <w:r w:rsidRPr="0026362C">
              <w:rPr>
                <w:rFonts w:cs="Segoe UI"/>
                <w:color w:val="000000"/>
                <w:sz w:val="18"/>
                <w:szCs w:val="18"/>
              </w:rPr>
              <w:t>-7 6</w:t>
            </w:r>
            <w:r>
              <w:rPr>
                <w:rFonts w:cs="Segoe UI"/>
                <w:color w:val="000000"/>
                <w:sz w:val="18"/>
                <w:szCs w:val="18"/>
              </w:rPr>
              <w:t>10</w:t>
            </w:r>
          </w:p>
        </w:tc>
        <w:tc>
          <w:tcPr>
            <w:tcW w:w="626" w:type="pct"/>
            <w:shd w:val="clear" w:color="000000" w:fill="FFFFFF"/>
            <w:vAlign w:val="center"/>
          </w:tcPr>
          <w:p w14:paraId="631FFADE" w14:textId="77777777" w:rsidR="00D84CB0" w:rsidRPr="0026362C" w:rsidRDefault="00D84CB0" w:rsidP="009169FD">
            <w:pPr>
              <w:spacing w:after="0" w:line="259" w:lineRule="auto"/>
              <w:jc w:val="right"/>
              <w:rPr>
                <w:rFonts w:cs="Segoe UI"/>
                <w:color w:val="000000"/>
                <w:sz w:val="18"/>
                <w:szCs w:val="18"/>
              </w:rPr>
            </w:pPr>
            <w:r w:rsidRPr="0026362C">
              <w:rPr>
                <w:rFonts w:cs="Segoe UI"/>
                <w:color w:val="000000"/>
                <w:sz w:val="18"/>
                <w:szCs w:val="18"/>
              </w:rPr>
              <w:t>0</w:t>
            </w:r>
          </w:p>
        </w:tc>
        <w:tc>
          <w:tcPr>
            <w:tcW w:w="549" w:type="pct"/>
            <w:shd w:val="clear" w:color="000000" w:fill="FFFFFF"/>
            <w:vAlign w:val="center"/>
          </w:tcPr>
          <w:p w14:paraId="5CE7F103" w14:textId="77777777" w:rsidR="00D84CB0" w:rsidRPr="0026362C" w:rsidRDefault="00D84CB0" w:rsidP="009169FD">
            <w:pPr>
              <w:spacing w:after="0" w:line="259" w:lineRule="auto"/>
              <w:jc w:val="right"/>
              <w:rPr>
                <w:rFonts w:cs="Segoe UI"/>
                <w:color w:val="000000"/>
                <w:sz w:val="18"/>
                <w:szCs w:val="18"/>
              </w:rPr>
            </w:pPr>
            <w:r w:rsidRPr="0026362C">
              <w:rPr>
                <w:rFonts w:cs="Segoe UI"/>
                <w:color w:val="000000"/>
                <w:sz w:val="18"/>
                <w:szCs w:val="18"/>
              </w:rPr>
              <w:t>0</w:t>
            </w:r>
          </w:p>
        </w:tc>
        <w:tc>
          <w:tcPr>
            <w:tcW w:w="549" w:type="pct"/>
            <w:shd w:val="clear" w:color="000000" w:fill="FFFFFF"/>
            <w:vAlign w:val="center"/>
          </w:tcPr>
          <w:p w14:paraId="4915DC2D" w14:textId="77777777" w:rsidR="00D84CB0" w:rsidRPr="0026362C" w:rsidRDefault="00D84CB0" w:rsidP="009169FD">
            <w:pPr>
              <w:spacing w:after="0" w:line="259" w:lineRule="auto"/>
              <w:jc w:val="right"/>
              <w:rPr>
                <w:rFonts w:cs="Segoe UI"/>
                <w:color w:val="000000"/>
                <w:sz w:val="18"/>
                <w:szCs w:val="18"/>
              </w:rPr>
            </w:pPr>
            <w:r w:rsidRPr="0026362C">
              <w:rPr>
                <w:rFonts w:cs="Segoe UI"/>
                <w:color w:val="000000"/>
                <w:sz w:val="18"/>
                <w:szCs w:val="18"/>
              </w:rPr>
              <w:t>0</w:t>
            </w:r>
          </w:p>
        </w:tc>
        <w:tc>
          <w:tcPr>
            <w:tcW w:w="860" w:type="pct"/>
            <w:shd w:val="clear" w:color="000000" w:fill="FFFFFF"/>
            <w:vAlign w:val="center"/>
          </w:tcPr>
          <w:p w14:paraId="66AC8D40" w14:textId="77777777" w:rsidR="00D84CB0" w:rsidRPr="0026362C" w:rsidRDefault="00D84CB0" w:rsidP="009169FD">
            <w:pPr>
              <w:spacing w:after="0" w:line="259" w:lineRule="auto"/>
              <w:jc w:val="right"/>
              <w:rPr>
                <w:rFonts w:cs="Segoe UI"/>
                <w:bCs/>
                <w:color w:val="000000"/>
                <w:sz w:val="18"/>
                <w:szCs w:val="18"/>
              </w:rPr>
            </w:pPr>
            <w:r w:rsidRPr="00DE1946">
              <w:rPr>
                <w:rFonts w:cs="Segoe UI"/>
                <w:color w:val="000000"/>
                <w:sz w:val="18"/>
                <w:szCs w:val="18"/>
              </w:rPr>
              <w:t>0</w:t>
            </w:r>
          </w:p>
        </w:tc>
        <w:tc>
          <w:tcPr>
            <w:tcW w:w="694" w:type="pct"/>
            <w:shd w:val="clear" w:color="000000" w:fill="FFFFFF"/>
            <w:vAlign w:val="center"/>
          </w:tcPr>
          <w:p w14:paraId="04B3C777" w14:textId="77777777" w:rsidR="00D84CB0" w:rsidRPr="0026362C" w:rsidRDefault="00D84CB0">
            <w:pPr>
              <w:spacing w:after="0" w:line="259" w:lineRule="auto"/>
              <w:ind w:right="380"/>
              <w:jc w:val="right"/>
              <w:rPr>
                <w:rFonts w:cs="Segoe UI"/>
                <w:bCs/>
                <w:color w:val="000000"/>
                <w:sz w:val="18"/>
                <w:szCs w:val="18"/>
              </w:rPr>
            </w:pPr>
            <w:r w:rsidRPr="0026362C">
              <w:rPr>
                <w:rFonts w:cs="Segoe UI"/>
                <w:bCs/>
                <w:color w:val="000000"/>
                <w:sz w:val="18"/>
                <w:szCs w:val="18"/>
              </w:rPr>
              <w:t>-</w:t>
            </w:r>
          </w:p>
        </w:tc>
      </w:tr>
      <w:tr w:rsidR="00D84CB0" w:rsidRPr="0026362C" w14:paraId="09B8E46D" w14:textId="77777777" w:rsidTr="009169FD">
        <w:trPr>
          <w:trHeight w:val="283"/>
          <w:jc w:val="center"/>
        </w:trPr>
        <w:tc>
          <w:tcPr>
            <w:tcW w:w="1253" w:type="pct"/>
            <w:tcBorders>
              <w:bottom w:val="single" w:sz="4" w:space="0" w:color="auto"/>
            </w:tcBorders>
            <w:shd w:val="clear" w:color="auto" w:fill="FFFFFF"/>
            <w:vAlign w:val="bottom"/>
          </w:tcPr>
          <w:p w14:paraId="61733912" w14:textId="0F7C720E" w:rsidR="00D84CB0" w:rsidRPr="0026362C" w:rsidRDefault="00D84CB0">
            <w:pPr>
              <w:pStyle w:val="In0"/>
              <w:shd w:val="clear" w:color="auto" w:fill="auto"/>
              <w:spacing w:after="0" w:line="259" w:lineRule="auto"/>
              <w:jc w:val="left"/>
              <w:rPr>
                <w:rFonts w:ascii="Segoe UI" w:hAnsi="Segoe UI" w:cs="Segoe UI"/>
                <w:sz w:val="18"/>
                <w:szCs w:val="18"/>
              </w:rPr>
            </w:pPr>
            <w:r w:rsidRPr="0026362C">
              <w:rPr>
                <w:rFonts w:ascii="Segoe UI" w:hAnsi="Segoe UI" w:cs="Segoe UI"/>
                <w:b/>
                <w:bCs/>
                <w:color w:val="000000"/>
                <w:sz w:val="18"/>
                <w:szCs w:val="18"/>
                <w:lang w:eastAsia="sk-SK" w:bidi="sk-SK"/>
              </w:rPr>
              <w:t xml:space="preserve">Prebytok (+) / schodok (-) </w:t>
            </w:r>
          </w:p>
        </w:tc>
        <w:tc>
          <w:tcPr>
            <w:tcW w:w="469" w:type="pct"/>
            <w:tcBorders>
              <w:bottom w:val="single" w:sz="4" w:space="0" w:color="auto"/>
            </w:tcBorders>
            <w:shd w:val="clear" w:color="000000" w:fill="FFFFFF"/>
            <w:vAlign w:val="center"/>
          </w:tcPr>
          <w:p w14:paraId="1C61559C"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- 26 748</w:t>
            </w:r>
          </w:p>
        </w:tc>
        <w:tc>
          <w:tcPr>
            <w:tcW w:w="626" w:type="pct"/>
            <w:tcBorders>
              <w:bottom w:val="single" w:sz="4" w:space="0" w:color="auto"/>
            </w:tcBorders>
            <w:shd w:val="clear" w:color="000000" w:fill="FFFFFF"/>
            <w:vAlign w:val="center"/>
          </w:tcPr>
          <w:p w14:paraId="5D1E14FE"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8 598</w:t>
            </w:r>
          </w:p>
        </w:tc>
        <w:tc>
          <w:tcPr>
            <w:tcW w:w="549" w:type="pct"/>
            <w:tcBorders>
              <w:bottom w:val="single" w:sz="4" w:space="0" w:color="auto"/>
            </w:tcBorders>
            <w:shd w:val="clear" w:color="000000" w:fill="FFFFFF"/>
            <w:vAlign w:val="center"/>
          </w:tcPr>
          <w:p w14:paraId="66182D83"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-34 967</w:t>
            </w:r>
          </w:p>
        </w:tc>
        <w:tc>
          <w:tcPr>
            <w:tcW w:w="549" w:type="pct"/>
            <w:tcBorders>
              <w:bottom w:val="single" w:sz="4" w:space="0" w:color="auto"/>
            </w:tcBorders>
            <w:shd w:val="clear" w:color="000000" w:fill="FFFFFF"/>
            <w:vAlign w:val="center"/>
          </w:tcPr>
          <w:p w14:paraId="4896E13E"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-50 167</w:t>
            </w:r>
          </w:p>
        </w:tc>
        <w:tc>
          <w:tcPr>
            <w:tcW w:w="860" w:type="pct"/>
            <w:tcBorders>
              <w:bottom w:val="single" w:sz="4" w:space="0" w:color="auto"/>
            </w:tcBorders>
            <w:shd w:val="clear" w:color="000000" w:fill="FFFFFF"/>
            <w:vAlign w:val="center"/>
          </w:tcPr>
          <w:p w14:paraId="5F4BDB84" w14:textId="77777777" w:rsidR="00D84CB0" w:rsidRPr="0026362C" w:rsidRDefault="00D84CB0" w:rsidP="009169FD">
            <w:pPr>
              <w:spacing w:after="0" w:line="259" w:lineRule="auto"/>
              <w:jc w:val="right"/>
              <w:rPr>
                <w:rFonts w:cs="Segoe UI"/>
                <w:b/>
                <w:bCs/>
                <w:color w:val="000000"/>
                <w:sz w:val="18"/>
                <w:szCs w:val="18"/>
              </w:rPr>
            </w:pPr>
            <w:r w:rsidRPr="009703A9">
              <w:rPr>
                <w:rFonts w:cs="Segoe UI"/>
                <w:b/>
                <w:bCs/>
                <w:color w:val="000000"/>
                <w:sz w:val="18"/>
                <w:szCs w:val="18"/>
              </w:rPr>
              <w:t>-58</w:t>
            </w:r>
            <w:r>
              <w:rPr>
                <w:rFonts w:cs="Segoe UI"/>
                <w:b/>
                <w:bCs/>
                <w:color w:val="000000"/>
                <w:sz w:val="18"/>
                <w:szCs w:val="18"/>
              </w:rPr>
              <w:t xml:space="preserve"> </w:t>
            </w:r>
            <w:r w:rsidRPr="009703A9">
              <w:rPr>
                <w:rFonts w:cs="Segoe UI"/>
                <w:b/>
                <w:bCs/>
                <w:color w:val="000000"/>
                <w:sz w:val="18"/>
                <w:szCs w:val="18"/>
              </w:rPr>
              <w:t>765</w:t>
            </w:r>
          </w:p>
        </w:tc>
        <w:tc>
          <w:tcPr>
            <w:tcW w:w="694" w:type="pct"/>
            <w:tcBorders>
              <w:bottom w:val="single" w:sz="4" w:space="0" w:color="auto"/>
            </w:tcBorders>
            <w:shd w:val="clear" w:color="000000" w:fill="FFFFFF"/>
            <w:vAlign w:val="center"/>
          </w:tcPr>
          <w:p w14:paraId="7C31488B" w14:textId="77777777" w:rsidR="00D84CB0" w:rsidRPr="0026362C" w:rsidRDefault="00D84CB0" w:rsidP="009169FD">
            <w:pPr>
              <w:spacing w:after="0" w:line="259" w:lineRule="auto"/>
              <w:jc w:val="right"/>
              <w:rPr>
                <w:rFonts w:cs="Segoe UI"/>
                <w:b/>
                <w:bCs/>
                <w:color w:val="000000"/>
                <w:sz w:val="18"/>
                <w:szCs w:val="18"/>
              </w:rPr>
            </w:pPr>
            <w:r>
              <w:rPr>
                <w:rFonts w:cs="Segoe UI"/>
                <w:b/>
                <w:bCs/>
                <w:color w:val="000000"/>
                <w:sz w:val="18"/>
                <w:szCs w:val="18"/>
              </w:rPr>
              <w:t>-683</w:t>
            </w:r>
            <w:r w:rsidRPr="0026362C">
              <w:rPr>
                <w:rFonts w:cs="Segoe UI"/>
                <w:b/>
                <w:bCs/>
                <w:color w:val="000000"/>
                <w:sz w:val="18"/>
                <w:szCs w:val="18"/>
              </w:rPr>
              <w:t>,</w:t>
            </w:r>
            <w:r>
              <w:rPr>
                <w:rFonts w:cs="Segoe UI"/>
                <w:b/>
                <w:bCs/>
                <w:color w:val="000000"/>
                <w:sz w:val="18"/>
                <w:szCs w:val="18"/>
              </w:rPr>
              <w:t>5</w:t>
            </w:r>
          </w:p>
        </w:tc>
      </w:tr>
    </w:tbl>
    <w:p w14:paraId="151FDAAE" w14:textId="55010B30" w:rsidR="00D84CB0" w:rsidRDefault="00D84CB0" w:rsidP="009169FD">
      <w:pPr>
        <w:pStyle w:val="Zdroj"/>
      </w:pPr>
      <w:r w:rsidRPr="00604ABA">
        <w:t xml:space="preserve">Zdroj: </w:t>
      </w:r>
      <w:r w:rsidRPr="00364A5F">
        <w:t>Návrh RVS na roky 202</w:t>
      </w:r>
      <w:r>
        <w:t>3 až 2025</w:t>
      </w:r>
      <w:r w:rsidR="00136FE7">
        <w:br/>
        <w:t>S – skutočnosť, R – rozpočet, OS – očakávaná skutočnosť, N – návrh</w:t>
      </w:r>
    </w:p>
    <w:p w14:paraId="0F844574" w14:textId="73067C83" w:rsidR="006144C6" w:rsidRDefault="00D84CB0" w:rsidP="00965AC7">
      <w:r w:rsidRPr="007B79BA">
        <w:t xml:space="preserve">Najvýznamnejší rastúci podiel majú na príjmovej stránke zaznamenať finančné operácie (medziročný rast o 120 </w:t>
      </w:r>
      <w:r w:rsidR="00DA2247">
        <w:t>mil</w:t>
      </w:r>
      <w:r w:rsidRPr="007B79BA">
        <w:t>. eur) a prevod DPFO (medziročný rast o</w:t>
      </w:r>
      <w:r w:rsidR="00DA2247">
        <w:t> </w:t>
      </w:r>
      <w:r w:rsidRPr="007B79BA">
        <w:t>96</w:t>
      </w:r>
      <w:r w:rsidR="00DA2247">
        <w:t>,</w:t>
      </w:r>
      <w:r w:rsidRPr="007B79BA">
        <w:t xml:space="preserve">5 </w:t>
      </w:r>
      <w:r w:rsidR="00DA2247">
        <w:t>mil</w:t>
      </w:r>
      <w:r w:rsidRPr="007B79BA">
        <w:t>. eur). Na výdavkovej strane rastú predovšetkým mzdové výdavky (medziročne o 21,5 %) a bežné transfery. Naopak kapitálové výdavky by mali mierne poklesnúť</w:t>
      </w:r>
      <w:r w:rsidR="005A30D1">
        <w:rPr>
          <w:lang w:val="en-US"/>
        </w:rPr>
        <w:t>;</w:t>
      </w:r>
      <w:r w:rsidRPr="007B79BA">
        <w:t xml:space="preserve"> </w:t>
      </w:r>
      <w:r w:rsidR="000B3F25">
        <w:t xml:space="preserve">aj </w:t>
      </w:r>
      <w:r w:rsidRPr="007B79BA">
        <w:t>tu však pravdepodobne nastane podobná situácia s čerpaním eurofondov ako pri obciach.</w:t>
      </w:r>
      <w:r w:rsidR="006144C6">
        <w:br w:type="page"/>
      </w:r>
      <w:bookmarkEnd w:id="29"/>
    </w:p>
    <w:p w14:paraId="75E06E40" w14:textId="77777777" w:rsidR="00AC372B" w:rsidRPr="005440F9" w:rsidRDefault="00AC372B" w:rsidP="00AE15D5">
      <w:pPr>
        <w:pStyle w:val="vodZverZhrnutie"/>
        <w:spacing w:after="0"/>
        <w:ind w:left="-284"/>
        <w:rPr>
          <w:rFonts w:eastAsia="Calibri" w:cs="Times New Roman"/>
        </w:rPr>
      </w:pPr>
      <w:bookmarkStart w:id="30" w:name="_Toc118296431"/>
      <w:bookmarkStart w:id="31" w:name="_Toc119482916"/>
      <w:bookmarkStart w:id="32" w:name="_Toc116893302"/>
      <w:r>
        <w:lastRenderedPageBreak/>
        <w:t xml:space="preserve">Príloha: </w:t>
      </w:r>
      <w:r>
        <w:rPr>
          <w:rFonts w:eastAsia="Calibri" w:cs="Times New Roman"/>
        </w:rPr>
        <w:t>Vybrané výdavky ŠR na realizáciu programov vlády</w:t>
      </w:r>
      <w:bookmarkEnd w:id="30"/>
      <w:bookmarkEnd w:id="31"/>
    </w:p>
    <w:tbl>
      <w:tblPr>
        <w:tblW w:w="9639" w:type="dxa"/>
        <w:jc w:val="center"/>
        <w:tblCellMar>
          <w:left w:w="70" w:type="dxa"/>
          <w:right w:w="70" w:type="dxa"/>
        </w:tblCellMar>
        <w:tblLook w:val="04A0" w:firstRow="1" w:lastRow="0" w:firstColumn="1" w:lastColumn="0" w:noHBand="0" w:noVBand="1"/>
      </w:tblPr>
      <w:tblGrid>
        <w:gridCol w:w="2261"/>
        <w:gridCol w:w="2689"/>
        <w:gridCol w:w="1242"/>
        <w:gridCol w:w="1151"/>
        <w:gridCol w:w="1130"/>
        <w:gridCol w:w="1166"/>
      </w:tblGrid>
      <w:tr w:rsidR="004F7BCA" w:rsidRPr="001C3215" w14:paraId="370B9309" w14:textId="77777777" w:rsidTr="00C35785">
        <w:trPr>
          <w:trHeight w:val="283"/>
          <w:jc w:val="center"/>
        </w:trPr>
        <w:tc>
          <w:tcPr>
            <w:tcW w:w="1173" w:type="pct"/>
            <w:tcBorders>
              <w:top w:val="nil"/>
              <w:left w:val="nil"/>
              <w:bottom w:val="nil"/>
              <w:right w:val="nil"/>
            </w:tcBorders>
            <w:shd w:val="clear" w:color="000000" w:fill="314364"/>
            <w:vAlign w:val="center"/>
            <w:hideMark/>
          </w:tcPr>
          <w:p w14:paraId="5B1486FE" w14:textId="77777777" w:rsidR="004F7BCA" w:rsidRPr="001C3215" w:rsidRDefault="004F7BCA" w:rsidP="00C35785">
            <w:pPr>
              <w:spacing w:after="0" w:line="240" w:lineRule="auto"/>
              <w:jc w:val="left"/>
              <w:rPr>
                <w:rFonts w:eastAsia="Times New Roman" w:cs="Segoe UI"/>
                <w:b/>
                <w:bCs/>
                <w:color w:val="FFFFFF"/>
                <w:sz w:val="18"/>
                <w:szCs w:val="18"/>
                <w:lang w:eastAsia="sk-SK"/>
              </w:rPr>
            </w:pPr>
            <w:r w:rsidRPr="001C3215">
              <w:rPr>
                <w:rFonts w:eastAsia="Times New Roman" w:cs="Segoe UI"/>
                <w:b/>
                <w:bCs/>
                <w:color w:val="FFFFFF"/>
                <w:sz w:val="18"/>
                <w:szCs w:val="18"/>
                <w:lang w:eastAsia="sk-SK"/>
              </w:rPr>
              <w:t>Ukazovateľ (v tis. eur)</w:t>
            </w:r>
          </w:p>
        </w:tc>
        <w:tc>
          <w:tcPr>
            <w:tcW w:w="1395" w:type="pct"/>
            <w:tcBorders>
              <w:top w:val="nil"/>
              <w:left w:val="nil"/>
              <w:bottom w:val="nil"/>
              <w:right w:val="nil"/>
            </w:tcBorders>
            <w:shd w:val="clear" w:color="000000" w:fill="314364"/>
            <w:vAlign w:val="center"/>
            <w:hideMark/>
          </w:tcPr>
          <w:p w14:paraId="3D8BAF31" w14:textId="77777777" w:rsidR="004F7BCA" w:rsidRPr="001C3215" w:rsidRDefault="004F7BCA" w:rsidP="00C35785">
            <w:pPr>
              <w:spacing w:after="0" w:line="240" w:lineRule="auto"/>
              <w:jc w:val="center"/>
              <w:rPr>
                <w:rFonts w:eastAsia="Times New Roman" w:cs="Segoe UI"/>
                <w:b/>
                <w:bCs/>
                <w:color w:val="FFFFFF"/>
                <w:sz w:val="18"/>
                <w:szCs w:val="18"/>
                <w:lang w:eastAsia="sk-SK"/>
              </w:rPr>
            </w:pPr>
            <w:r w:rsidRPr="001C3215">
              <w:rPr>
                <w:rFonts w:eastAsia="Times New Roman" w:cs="Segoe UI"/>
                <w:b/>
                <w:bCs/>
                <w:color w:val="FFFFFF"/>
                <w:sz w:val="18"/>
                <w:szCs w:val="18"/>
                <w:lang w:eastAsia="sk-SK"/>
              </w:rPr>
              <w:t>Program</w:t>
            </w:r>
          </w:p>
        </w:tc>
        <w:tc>
          <w:tcPr>
            <w:tcW w:w="644" w:type="pct"/>
            <w:tcBorders>
              <w:top w:val="nil"/>
              <w:left w:val="nil"/>
              <w:bottom w:val="nil"/>
              <w:right w:val="nil"/>
            </w:tcBorders>
            <w:shd w:val="clear" w:color="000000" w:fill="314364"/>
            <w:vAlign w:val="center"/>
            <w:hideMark/>
          </w:tcPr>
          <w:p w14:paraId="32CCBA60" w14:textId="77777777" w:rsidR="004F7BCA" w:rsidRPr="001C3215" w:rsidRDefault="004F7BCA" w:rsidP="00C35785">
            <w:pPr>
              <w:spacing w:after="0" w:line="240" w:lineRule="auto"/>
              <w:jc w:val="right"/>
              <w:rPr>
                <w:rFonts w:eastAsia="Times New Roman" w:cs="Segoe UI"/>
                <w:b/>
                <w:bCs/>
                <w:color w:val="FFFFFF"/>
                <w:sz w:val="18"/>
                <w:szCs w:val="18"/>
                <w:lang w:eastAsia="sk-SK"/>
              </w:rPr>
            </w:pPr>
            <w:r w:rsidRPr="001C3215">
              <w:rPr>
                <w:rFonts w:eastAsia="Times New Roman" w:cs="Segoe UI"/>
                <w:b/>
                <w:bCs/>
                <w:color w:val="FFFFFF"/>
                <w:sz w:val="18"/>
                <w:szCs w:val="18"/>
                <w:lang w:eastAsia="sk-SK"/>
              </w:rPr>
              <w:t>2021 S</w:t>
            </w:r>
          </w:p>
        </w:tc>
        <w:tc>
          <w:tcPr>
            <w:tcW w:w="597" w:type="pct"/>
            <w:tcBorders>
              <w:top w:val="nil"/>
              <w:left w:val="nil"/>
              <w:bottom w:val="nil"/>
              <w:right w:val="nil"/>
            </w:tcBorders>
            <w:shd w:val="clear" w:color="000000" w:fill="314364"/>
            <w:vAlign w:val="center"/>
            <w:hideMark/>
          </w:tcPr>
          <w:p w14:paraId="7316CAF7" w14:textId="77777777" w:rsidR="004F7BCA" w:rsidRPr="001C3215" w:rsidRDefault="004F7BCA" w:rsidP="00C35785">
            <w:pPr>
              <w:spacing w:after="0" w:line="240" w:lineRule="auto"/>
              <w:jc w:val="right"/>
              <w:rPr>
                <w:rFonts w:eastAsia="Times New Roman" w:cs="Segoe UI"/>
                <w:b/>
                <w:bCs/>
                <w:color w:val="FFFFFF"/>
                <w:sz w:val="18"/>
                <w:szCs w:val="18"/>
                <w:lang w:eastAsia="sk-SK"/>
              </w:rPr>
            </w:pPr>
            <w:r w:rsidRPr="001C3215">
              <w:rPr>
                <w:rFonts w:eastAsia="Times New Roman" w:cs="Segoe UI"/>
                <w:b/>
                <w:bCs/>
                <w:color w:val="FFFFFF"/>
                <w:sz w:val="18"/>
                <w:szCs w:val="18"/>
                <w:lang w:eastAsia="sk-SK"/>
              </w:rPr>
              <w:t>2022 R</w:t>
            </w:r>
          </w:p>
        </w:tc>
        <w:tc>
          <w:tcPr>
            <w:tcW w:w="586" w:type="pct"/>
            <w:tcBorders>
              <w:top w:val="nil"/>
              <w:left w:val="nil"/>
              <w:bottom w:val="nil"/>
              <w:right w:val="nil"/>
            </w:tcBorders>
            <w:shd w:val="clear" w:color="000000" w:fill="314364"/>
            <w:vAlign w:val="center"/>
            <w:hideMark/>
          </w:tcPr>
          <w:p w14:paraId="4C755A9E" w14:textId="77777777" w:rsidR="004F7BCA" w:rsidRPr="001C3215" w:rsidRDefault="004F7BCA" w:rsidP="00C35785">
            <w:pPr>
              <w:spacing w:after="0" w:line="240" w:lineRule="auto"/>
              <w:jc w:val="right"/>
              <w:rPr>
                <w:rFonts w:eastAsia="Times New Roman" w:cs="Segoe UI"/>
                <w:b/>
                <w:bCs/>
                <w:color w:val="FFFFFF"/>
                <w:sz w:val="18"/>
                <w:szCs w:val="18"/>
                <w:lang w:eastAsia="sk-SK"/>
              </w:rPr>
            </w:pPr>
            <w:r w:rsidRPr="001C3215">
              <w:rPr>
                <w:rFonts w:eastAsia="Times New Roman" w:cs="Segoe UI"/>
                <w:b/>
                <w:bCs/>
                <w:color w:val="FFFFFF"/>
                <w:sz w:val="18"/>
                <w:szCs w:val="18"/>
                <w:lang w:eastAsia="sk-SK"/>
              </w:rPr>
              <w:t>2023 N</w:t>
            </w:r>
          </w:p>
        </w:tc>
        <w:tc>
          <w:tcPr>
            <w:tcW w:w="605" w:type="pct"/>
            <w:tcBorders>
              <w:top w:val="nil"/>
              <w:left w:val="nil"/>
              <w:bottom w:val="nil"/>
              <w:right w:val="nil"/>
            </w:tcBorders>
            <w:shd w:val="clear" w:color="000000" w:fill="314364"/>
            <w:vAlign w:val="center"/>
            <w:hideMark/>
          </w:tcPr>
          <w:p w14:paraId="4D224706" w14:textId="77777777" w:rsidR="004F7BCA" w:rsidRPr="001C3215" w:rsidRDefault="004F7BCA" w:rsidP="00C35785">
            <w:pPr>
              <w:spacing w:after="0" w:line="240" w:lineRule="auto"/>
              <w:jc w:val="center"/>
              <w:rPr>
                <w:rFonts w:eastAsia="Times New Roman" w:cs="Segoe UI"/>
                <w:b/>
                <w:bCs/>
                <w:color w:val="FFFFFF"/>
                <w:sz w:val="18"/>
                <w:szCs w:val="18"/>
                <w:lang w:eastAsia="sk-SK"/>
              </w:rPr>
            </w:pPr>
            <w:r w:rsidRPr="001C3215">
              <w:rPr>
                <w:rFonts w:eastAsia="Times New Roman" w:cs="Segoe UI"/>
                <w:b/>
                <w:bCs/>
                <w:color w:val="FFFFFF"/>
                <w:sz w:val="18"/>
                <w:szCs w:val="18"/>
                <w:lang w:eastAsia="sk-SK"/>
              </w:rPr>
              <w:t>2023-2022</w:t>
            </w:r>
          </w:p>
        </w:tc>
      </w:tr>
      <w:tr w:rsidR="004F7BCA" w:rsidRPr="001C3215" w14:paraId="2022B6CB" w14:textId="77777777" w:rsidTr="00C35785">
        <w:trPr>
          <w:trHeight w:val="283"/>
          <w:jc w:val="center"/>
        </w:trPr>
        <w:tc>
          <w:tcPr>
            <w:tcW w:w="1173" w:type="pct"/>
            <w:vMerge w:val="restart"/>
            <w:tcBorders>
              <w:top w:val="nil"/>
              <w:left w:val="nil"/>
              <w:bottom w:val="nil"/>
              <w:right w:val="nil"/>
            </w:tcBorders>
            <w:shd w:val="clear" w:color="auto" w:fill="auto"/>
            <w:vAlign w:val="center"/>
            <w:hideMark/>
          </w:tcPr>
          <w:p w14:paraId="5214A2A6"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Všeobecná pokladničná správa</w:t>
            </w:r>
          </w:p>
        </w:tc>
        <w:tc>
          <w:tcPr>
            <w:tcW w:w="1395" w:type="pct"/>
            <w:tcBorders>
              <w:top w:val="nil"/>
              <w:left w:val="nil"/>
              <w:bottom w:val="nil"/>
              <w:right w:val="nil"/>
            </w:tcBorders>
            <w:shd w:val="clear" w:color="auto" w:fill="auto"/>
            <w:vAlign w:val="center"/>
            <w:hideMark/>
          </w:tcPr>
          <w:p w14:paraId="7CB0A719"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08H Dlhová služba</w:t>
            </w:r>
          </w:p>
        </w:tc>
        <w:tc>
          <w:tcPr>
            <w:tcW w:w="644" w:type="pct"/>
            <w:tcBorders>
              <w:top w:val="nil"/>
              <w:left w:val="nil"/>
              <w:bottom w:val="nil"/>
              <w:right w:val="nil"/>
            </w:tcBorders>
            <w:shd w:val="clear" w:color="auto" w:fill="auto"/>
            <w:vAlign w:val="center"/>
            <w:hideMark/>
          </w:tcPr>
          <w:p w14:paraId="20076065"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657 488</w:t>
            </w:r>
          </w:p>
        </w:tc>
        <w:tc>
          <w:tcPr>
            <w:tcW w:w="597" w:type="pct"/>
            <w:tcBorders>
              <w:top w:val="nil"/>
              <w:left w:val="nil"/>
              <w:bottom w:val="nil"/>
              <w:right w:val="nil"/>
            </w:tcBorders>
            <w:shd w:val="clear" w:color="auto" w:fill="auto"/>
            <w:vAlign w:val="center"/>
            <w:hideMark/>
          </w:tcPr>
          <w:p w14:paraId="5609D556"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1 089 976</w:t>
            </w:r>
          </w:p>
        </w:tc>
        <w:tc>
          <w:tcPr>
            <w:tcW w:w="586" w:type="pct"/>
            <w:tcBorders>
              <w:top w:val="nil"/>
              <w:left w:val="nil"/>
              <w:bottom w:val="nil"/>
              <w:right w:val="nil"/>
            </w:tcBorders>
            <w:shd w:val="clear" w:color="auto" w:fill="auto"/>
            <w:vAlign w:val="center"/>
            <w:hideMark/>
          </w:tcPr>
          <w:p w14:paraId="524A2B7E"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1 343 478</w:t>
            </w:r>
          </w:p>
        </w:tc>
        <w:tc>
          <w:tcPr>
            <w:tcW w:w="605" w:type="pct"/>
            <w:tcBorders>
              <w:top w:val="nil"/>
              <w:left w:val="nil"/>
              <w:bottom w:val="nil"/>
              <w:right w:val="nil"/>
            </w:tcBorders>
            <w:shd w:val="clear" w:color="auto" w:fill="auto"/>
            <w:vAlign w:val="center"/>
            <w:hideMark/>
          </w:tcPr>
          <w:p w14:paraId="0273662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253 502</w:t>
            </w:r>
          </w:p>
        </w:tc>
      </w:tr>
      <w:tr w:rsidR="004F7BCA" w:rsidRPr="001C3215" w14:paraId="51C589AC" w14:textId="77777777" w:rsidTr="00C35785">
        <w:trPr>
          <w:trHeight w:val="283"/>
          <w:jc w:val="center"/>
        </w:trPr>
        <w:tc>
          <w:tcPr>
            <w:tcW w:w="1173" w:type="pct"/>
            <w:vMerge/>
            <w:tcBorders>
              <w:top w:val="nil"/>
              <w:left w:val="nil"/>
              <w:bottom w:val="nil"/>
              <w:right w:val="nil"/>
            </w:tcBorders>
            <w:vAlign w:val="center"/>
            <w:hideMark/>
          </w:tcPr>
          <w:p w14:paraId="6ECB4E4E"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0887FEE6"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Programovo nealokované</w:t>
            </w:r>
          </w:p>
        </w:tc>
        <w:tc>
          <w:tcPr>
            <w:tcW w:w="644" w:type="pct"/>
            <w:tcBorders>
              <w:top w:val="nil"/>
              <w:left w:val="nil"/>
              <w:bottom w:val="nil"/>
              <w:right w:val="nil"/>
            </w:tcBorders>
            <w:shd w:val="clear" w:color="auto" w:fill="auto"/>
            <w:vAlign w:val="center"/>
            <w:hideMark/>
          </w:tcPr>
          <w:p w14:paraId="644A7B12"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2 283 234</w:t>
            </w:r>
          </w:p>
        </w:tc>
        <w:tc>
          <w:tcPr>
            <w:tcW w:w="597" w:type="pct"/>
            <w:tcBorders>
              <w:top w:val="nil"/>
              <w:left w:val="nil"/>
              <w:bottom w:val="nil"/>
              <w:right w:val="nil"/>
            </w:tcBorders>
            <w:shd w:val="clear" w:color="auto" w:fill="auto"/>
            <w:vAlign w:val="center"/>
            <w:hideMark/>
          </w:tcPr>
          <w:p w14:paraId="1860404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5 160 555</w:t>
            </w:r>
          </w:p>
        </w:tc>
        <w:tc>
          <w:tcPr>
            <w:tcW w:w="586" w:type="pct"/>
            <w:tcBorders>
              <w:top w:val="nil"/>
              <w:left w:val="nil"/>
              <w:bottom w:val="nil"/>
              <w:right w:val="nil"/>
            </w:tcBorders>
            <w:shd w:val="clear" w:color="auto" w:fill="auto"/>
            <w:vAlign w:val="center"/>
            <w:hideMark/>
          </w:tcPr>
          <w:p w14:paraId="3F8DA18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6 430 646</w:t>
            </w:r>
          </w:p>
        </w:tc>
        <w:tc>
          <w:tcPr>
            <w:tcW w:w="605" w:type="pct"/>
            <w:tcBorders>
              <w:top w:val="nil"/>
              <w:left w:val="nil"/>
              <w:bottom w:val="nil"/>
              <w:right w:val="nil"/>
            </w:tcBorders>
            <w:shd w:val="clear" w:color="auto" w:fill="auto"/>
            <w:vAlign w:val="center"/>
            <w:hideMark/>
          </w:tcPr>
          <w:p w14:paraId="3779ABEE"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1 270 091</w:t>
            </w:r>
          </w:p>
        </w:tc>
      </w:tr>
      <w:tr w:rsidR="004F7BCA" w:rsidRPr="001C3215" w14:paraId="47B2F26D" w14:textId="77777777" w:rsidTr="00C35785">
        <w:trPr>
          <w:trHeight w:val="283"/>
          <w:jc w:val="center"/>
        </w:trPr>
        <w:tc>
          <w:tcPr>
            <w:tcW w:w="1173" w:type="pct"/>
            <w:vMerge w:val="restart"/>
            <w:tcBorders>
              <w:top w:val="nil"/>
              <w:left w:val="nil"/>
              <w:bottom w:val="nil"/>
              <w:right w:val="nil"/>
            </w:tcBorders>
            <w:shd w:val="clear" w:color="000000" w:fill="DEEAF6"/>
            <w:vAlign w:val="center"/>
            <w:hideMark/>
          </w:tcPr>
          <w:p w14:paraId="223F7EE0"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práce, sociálnych vecí a rodiny SR</w:t>
            </w:r>
          </w:p>
        </w:tc>
        <w:tc>
          <w:tcPr>
            <w:tcW w:w="1395" w:type="pct"/>
            <w:tcBorders>
              <w:top w:val="nil"/>
              <w:left w:val="nil"/>
              <w:bottom w:val="nil"/>
              <w:right w:val="nil"/>
            </w:tcBorders>
            <w:shd w:val="clear" w:color="000000" w:fill="DEEAF6"/>
            <w:vAlign w:val="center"/>
            <w:hideMark/>
          </w:tcPr>
          <w:p w14:paraId="78F326B9"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07C Sociálna inklúzia</w:t>
            </w:r>
          </w:p>
        </w:tc>
        <w:tc>
          <w:tcPr>
            <w:tcW w:w="644" w:type="pct"/>
            <w:tcBorders>
              <w:top w:val="nil"/>
              <w:left w:val="nil"/>
              <w:bottom w:val="nil"/>
              <w:right w:val="nil"/>
            </w:tcBorders>
            <w:shd w:val="clear" w:color="000000" w:fill="DEEAF6"/>
            <w:vAlign w:val="center"/>
            <w:hideMark/>
          </w:tcPr>
          <w:p w14:paraId="23216EC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3 121 125</w:t>
            </w:r>
          </w:p>
        </w:tc>
        <w:tc>
          <w:tcPr>
            <w:tcW w:w="597" w:type="pct"/>
            <w:tcBorders>
              <w:top w:val="nil"/>
              <w:left w:val="nil"/>
              <w:bottom w:val="nil"/>
              <w:right w:val="nil"/>
            </w:tcBorders>
            <w:shd w:val="clear" w:color="000000" w:fill="DEEAF6"/>
            <w:vAlign w:val="center"/>
            <w:hideMark/>
          </w:tcPr>
          <w:p w14:paraId="54A2E38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2 966 367</w:t>
            </w:r>
          </w:p>
        </w:tc>
        <w:tc>
          <w:tcPr>
            <w:tcW w:w="586" w:type="pct"/>
            <w:tcBorders>
              <w:top w:val="nil"/>
              <w:left w:val="nil"/>
              <w:bottom w:val="nil"/>
              <w:right w:val="nil"/>
            </w:tcBorders>
            <w:shd w:val="clear" w:color="000000" w:fill="DEEAF6"/>
            <w:vAlign w:val="center"/>
            <w:hideMark/>
          </w:tcPr>
          <w:p w14:paraId="07FF0D0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3 383 661</w:t>
            </w:r>
          </w:p>
        </w:tc>
        <w:tc>
          <w:tcPr>
            <w:tcW w:w="605" w:type="pct"/>
            <w:tcBorders>
              <w:top w:val="nil"/>
              <w:left w:val="nil"/>
              <w:bottom w:val="nil"/>
              <w:right w:val="nil"/>
            </w:tcBorders>
            <w:shd w:val="clear" w:color="000000" w:fill="DEEAF6"/>
            <w:vAlign w:val="center"/>
            <w:hideMark/>
          </w:tcPr>
          <w:p w14:paraId="5EA3A9B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417 294</w:t>
            </w:r>
          </w:p>
        </w:tc>
      </w:tr>
      <w:tr w:rsidR="004F7BCA" w:rsidRPr="001C3215" w14:paraId="6A929128" w14:textId="77777777" w:rsidTr="00C35785">
        <w:trPr>
          <w:trHeight w:val="283"/>
          <w:jc w:val="center"/>
        </w:trPr>
        <w:tc>
          <w:tcPr>
            <w:tcW w:w="1173" w:type="pct"/>
            <w:vMerge/>
            <w:tcBorders>
              <w:top w:val="nil"/>
              <w:left w:val="nil"/>
              <w:bottom w:val="nil"/>
              <w:right w:val="nil"/>
            </w:tcBorders>
            <w:vAlign w:val="center"/>
            <w:hideMark/>
          </w:tcPr>
          <w:p w14:paraId="370B1FBB"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000000" w:fill="DEEAF6"/>
            <w:vAlign w:val="center"/>
            <w:hideMark/>
          </w:tcPr>
          <w:p w14:paraId="40CD247F"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07E Tvorba a implementácia politík</w:t>
            </w:r>
          </w:p>
        </w:tc>
        <w:tc>
          <w:tcPr>
            <w:tcW w:w="644" w:type="pct"/>
            <w:tcBorders>
              <w:top w:val="nil"/>
              <w:left w:val="nil"/>
              <w:bottom w:val="nil"/>
              <w:right w:val="nil"/>
            </w:tcBorders>
            <w:shd w:val="clear" w:color="000000" w:fill="DEEAF6"/>
            <w:vAlign w:val="center"/>
            <w:hideMark/>
          </w:tcPr>
          <w:p w14:paraId="18FDF4A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215 177</w:t>
            </w:r>
          </w:p>
        </w:tc>
        <w:tc>
          <w:tcPr>
            <w:tcW w:w="597" w:type="pct"/>
            <w:tcBorders>
              <w:top w:val="nil"/>
              <w:left w:val="nil"/>
              <w:bottom w:val="nil"/>
              <w:right w:val="nil"/>
            </w:tcBorders>
            <w:shd w:val="clear" w:color="000000" w:fill="DEEAF6"/>
            <w:vAlign w:val="center"/>
            <w:hideMark/>
          </w:tcPr>
          <w:p w14:paraId="619E8BD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184 342</w:t>
            </w:r>
          </w:p>
        </w:tc>
        <w:tc>
          <w:tcPr>
            <w:tcW w:w="586" w:type="pct"/>
            <w:tcBorders>
              <w:top w:val="nil"/>
              <w:left w:val="nil"/>
              <w:bottom w:val="nil"/>
              <w:right w:val="nil"/>
            </w:tcBorders>
            <w:shd w:val="clear" w:color="000000" w:fill="DEEAF6"/>
            <w:vAlign w:val="center"/>
            <w:hideMark/>
          </w:tcPr>
          <w:p w14:paraId="1A66CE22"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1 107 480</w:t>
            </w:r>
          </w:p>
        </w:tc>
        <w:tc>
          <w:tcPr>
            <w:tcW w:w="605" w:type="pct"/>
            <w:tcBorders>
              <w:top w:val="nil"/>
              <w:left w:val="nil"/>
              <w:bottom w:val="nil"/>
              <w:right w:val="nil"/>
            </w:tcBorders>
            <w:shd w:val="clear" w:color="000000" w:fill="DEEAF6"/>
            <w:vAlign w:val="center"/>
            <w:hideMark/>
          </w:tcPr>
          <w:p w14:paraId="74FEB5D5"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923 138</w:t>
            </w:r>
          </w:p>
        </w:tc>
      </w:tr>
      <w:tr w:rsidR="004F7BCA" w:rsidRPr="001C3215" w14:paraId="09F2AAB6" w14:textId="77777777" w:rsidTr="00C35785">
        <w:trPr>
          <w:trHeight w:val="283"/>
          <w:jc w:val="center"/>
        </w:trPr>
        <w:tc>
          <w:tcPr>
            <w:tcW w:w="1173" w:type="pct"/>
            <w:vMerge/>
            <w:tcBorders>
              <w:top w:val="nil"/>
              <w:left w:val="nil"/>
              <w:bottom w:val="nil"/>
              <w:right w:val="nil"/>
            </w:tcBorders>
            <w:vAlign w:val="center"/>
            <w:hideMark/>
          </w:tcPr>
          <w:p w14:paraId="13D79136"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000000" w:fill="DEEAF6"/>
            <w:vAlign w:val="center"/>
            <w:hideMark/>
          </w:tcPr>
          <w:p w14:paraId="4FEA8AC0"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06G Ľudské zdroje</w:t>
            </w:r>
          </w:p>
        </w:tc>
        <w:tc>
          <w:tcPr>
            <w:tcW w:w="644" w:type="pct"/>
            <w:tcBorders>
              <w:top w:val="nil"/>
              <w:left w:val="nil"/>
              <w:bottom w:val="nil"/>
              <w:right w:val="nil"/>
            </w:tcBorders>
            <w:shd w:val="clear" w:color="000000" w:fill="DEEAF6"/>
            <w:vAlign w:val="center"/>
            <w:hideMark/>
          </w:tcPr>
          <w:p w14:paraId="73D9C23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1 696 843</w:t>
            </w:r>
          </w:p>
        </w:tc>
        <w:tc>
          <w:tcPr>
            <w:tcW w:w="597" w:type="pct"/>
            <w:tcBorders>
              <w:top w:val="nil"/>
              <w:left w:val="nil"/>
              <w:bottom w:val="nil"/>
              <w:right w:val="nil"/>
            </w:tcBorders>
            <w:shd w:val="clear" w:color="000000" w:fill="DEEAF6"/>
            <w:vAlign w:val="center"/>
            <w:hideMark/>
          </w:tcPr>
          <w:p w14:paraId="03FB8E7F"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278 053</w:t>
            </w:r>
          </w:p>
        </w:tc>
        <w:tc>
          <w:tcPr>
            <w:tcW w:w="586" w:type="pct"/>
            <w:tcBorders>
              <w:top w:val="nil"/>
              <w:left w:val="nil"/>
              <w:bottom w:val="nil"/>
              <w:right w:val="nil"/>
            </w:tcBorders>
            <w:shd w:val="clear" w:color="000000" w:fill="DEEAF6"/>
            <w:vAlign w:val="center"/>
            <w:hideMark/>
          </w:tcPr>
          <w:p w14:paraId="649656B5"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593 094</w:t>
            </w:r>
          </w:p>
        </w:tc>
        <w:tc>
          <w:tcPr>
            <w:tcW w:w="605" w:type="pct"/>
            <w:tcBorders>
              <w:top w:val="nil"/>
              <w:left w:val="nil"/>
              <w:bottom w:val="nil"/>
              <w:right w:val="nil"/>
            </w:tcBorders>
            <w:shd w:val="clear" w:color="000000" w:fill="DEEAF6"/>
            <w:vAlign w:val="center"/>
            <w:hideMark/>
          </w:tcPr>
          <w:p w14:paraId="76893CE9"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315 041</w:t>
            </w:r>
          </w:p>
        </w:tc>
      </w:tr>
      <w:tr w:rsidR="004F7BCA" w:rsidRPr="001C3215" w14:paraId="39EF76D2" w14:textId="77777777" w:rsidTr="00C35785">
        <w:trPr>
          <w:trHeight w:val="283"/>
          <w:jc w:val="center"/>
        </w:trPr>
        <w:tc>
          <w:tcPr>
            <w:tcW w:w="1173" w:type="pct"/>
            <w:vMerge w:val="restart"/>
            <w:tcBorders>
              <w:top w:val="nil"/>
              <w:left w:val="nil"/>
              <w:bottom w:val="nil"/>
              <w:right w:val="nil"/>
            </w:tcBorders>
            <w:shd w:val="clear" w:color="auto" w:fill="auto"/>
            <w:vAlign w:val="center"/>
            <w:hideMark/>
          </w:tcPr>
          <w:p w14:paraId="3D8BC988"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školstva, vedy, výskumu a športu SR</w:t>
            </w:r>
          </w:p>
        </w:tc>
        <w:tc>
          <w:tcPr>
            <w:tcW w:w="1395" w:type="pct"/>
            <w:tcBorders>
              <w:top w:val="nil"/>
              <w:left w:val="nil"/>
              <w:bottom w:val="nil"/>
              <w:right w:val="nil"/>
            </w:tcBorders>
            <w:shd w:val="clear" w:color="auto" w:fill="auto"/>
            <w:vAlign w:val="center"/>
            <w:hideMark/>
          </w:tcPr>
          <w:p w14:paraId="36BF2FD6"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078 Národný program výchovy, vzdelávania a mládeže</w:t>
            </w:r>
          </w:p>
        </w:tc>
        <w:tc>
          <w:tcPr>
            <w:tcW w:w="644" w:type="pct"/>
            <w:tcBorders>
              <w:top w:val="nil"/>
              <w:left w:val="nil"/>
              <w:bottom w:val="nil"/>
              <w:right w:val="nil"/>
            </w:tcBorders>
            <w:shd w:val="clear" w:color="auto" w:fill="auto"/>
            <w:vAlign w:val="center"/>
            <w:hideMark/>
          </w:tcPr>
          <w:p w14:paraId="5F9AFEE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620 479</w:t>
            </w:r>
          </w:p>
        </w:tc>
        <w:tc>
          <w:tcPr>
            <w:tcW w:w="597" w:type="pct"/>
            <w:tcBorders>
              <w:top w:val="nil"/>
              <w:left w:val="nil"/>
              <w:bottom w:val="nil"/>
              <w:right w:val="nil"/>
            </w:tcBorders>
            <w:shd w:val="clear" w:color="auto" w:fill="auto"/>
            <w:vAlign w:val="center"/>
            <w:hideMark/>
          </w:tcPr>
          <w:p w14:paraId="5830EB4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2 479 299</w:t>
            </w:r>
          </w:p>
        </w:tc>
        <w:tc>
          <w:tcPr>
            <w:tcW w:w="586" w:type="pct"/>
            <w:tcBorders>
              <w:top w:val="nil"/>
              <w:left w:val="nil"/>
              <w:bottom w:val="nil"/>
              <w:right w:val="nil"/>
            </w:tcBorders>
            <w:shd w:val="clear" w:color="auto" w:fill="auto"/>
            <w:vAlign w:val="center"/>
            <w:hideMark/>
          </w:tcPr>
          <w:p w14:paraId="67BF186C"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2 766 248</w:t>
            </w:r>
          </w:p>
        </w:tc>
        <w:tc>
          <w:tcPr>
            <w:tcW w:w="605" w:type="pct"/>
            <w:tcBorders>
              <w:top w:val="nil"/>
              <w:left w:val="nil"/>
              <w:bottom w:val="nil"/>
              <w:right w:val="nil"/>
            </w:tcBorders>
            <w:shd w:val="clear" w:color="auto" w:fill="auto"/>
            <w:vAlign w:val="center"/>
            <w:hideMark/>
          </w:tcPr>
          <w:p w14:paraId="2918DD5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286 949</w:t>
            </w:r>
          </w:p>
        </w:tc>
      </w:tr>
      <w:tr w:rsidR="004F7BCA" w:rsidRPr="001C3215" w14:paraId="76EDA327" w14:textId="77777777" w:rsidTr="00C35785">
        <w:trPr>
          <w:trHeight w:val="283"/>
          <w:jc w:val="center"/>
        </w:trPr>
        <w:tc>
          <w:tcPr>
            <w:tcW w:w="1173" w:type="pct"/>
            <w:vMerge/>
            <w:tcBorders>
              <w:top w:val="nil"/>
              <w:left w:val="nil"/>
              <w:bottom w:val="nil"/>
              <w:right w:val="nil"/>
            </w:tcBorders>
            <w:vAlign w:val="center"/>
            <w:hideMark/>
          </w:tcPr>
          <w:p w14:paraId="32AE1C93"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5C8AF56A"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 xml:space="preserve">077 Vysokoškolské vzdelávanie a veda, sociálna podpora študentov </w:t>
            </w:r>
            <w:r>
              <w:rPr>
                <w:rFonts w:eastAsia="Times New Roman" w:cs="Segoe UI"/>
                <w:color w:val="000000"/>
                <w:sz w:val="16"/>
                <w:szCs w:val="16"/>
                <w:lang w:eastAsia="sk-SK"/>
              </w:rPr>
              <w:t>vysokých škôl</w:t>
            </w:r>
          </w:p>
        </w:tc>
        <w:tc>
          <w:tcPr>
            <w:tcW w:w="644" w:type="pct"/>
            <w:tcBorders>
              <w:top w:val="nil"/>
              <w:left w:val="nil"/>
              <w:bottom w:val="nil"/>
              <w:right w:val="nil"/>
            </w:tcBorders>
            <w:shd w:val="clear" w:color="auto" w:fill="auto"/>
            <w:vAlign w:val="center"/>
            <w:hideMark/>
          </w:tcPr>
          <w:p w14:paraId="59F5BE52"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635 368</w:t>
            </w:r>
          </w:p>
        </w:tc>
        <w:tc>
          <w:tcPr>
            <w:tcW w:w="597" w:type="pct"/>
            <w:tcBorders>
              <w:top w:val="nil"/>
              <w:left w:val="nil"/>
              <w:bottom w:val="nil"/>
              <w:right w:val="nil"/>
            </w:tcBorders>
            <w:shd w:val="clear" w:color="auto" w:fill="auto"/>
            <w:vAlign w:val="center"/>
            <w:hideMark/>
          </w:tcPr>
          <w:p w14:paraId="43932F5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600 118</w:t>
            </w:r>
          </w:p>
        </w:tc>
        <w:tc>
          <w:tcPr>
            <w:tcW w:w="586" w:type="pct"/>
            <w:tcBorders>
              <w:top w:val="nil"/>
              <w:left w:val="nil"/>
              <w:bottom w:val="nil"/>
              <w:right w:val="nil"/>
            </w:tcBorders>
            <w:shd w:val="clear" w:color="auto" w:fill="auto"/>
            <w:vAlign w:val="center"/>
            <w:hideMark/>
          </w:tcPr>
          <w:p w14:paraId="008B4D56"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715 850</w:t>
            </w:r>
          </w:p>
        </w:tc>
        <w:tc>
          <w:tcPr>
            <w:tcW w:w="605" w:type="pct"/>
            <w:tcBorders>
              <w:top w:val="nil"/>
              <w:left w:val="nil"/>
              <w:bottom w:val="nil"/>
              <w:right w:val="nil"/>
            </w:tcBorders>
            <w:shd w:val="clear" w:color="auto" w:fill="auto"/>
            <w:vAlign w:val="center"/>
            <w:hideMark/>
          </w:tcPr>
          <w:p w14:paraId="7B2288F9"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115 732</w:t>
            </w:r>
          </w:p>
        </w:tc>
      </w:tr>
      <w:tr w:rsidR="004F7BCA" w:rsidRPr="001C3215" w14:paraId="093B7809" w14:textId="77777777" w:rsidTr="00C35785">
        <w:trPr>
          <w:trHeight w:val="283"/>
          <w:jc w:val="center"/>
        </w:trPr>
        <w:tc>
          <w:tcPr>
            <w:tcW w:w="1173" w:type="pct"/>
            <w:vMerge/>
            <w:tcBorders>
              <w:top w:val="nil"/>
              <w:left w:val="nil"/>
              <w:bottom w:val="nil"/>
              <w:right w:val="nil"/>
            </w:tcBorders>
            <w:vAlign w:val="center"/>
            <w:hideMark/>
          </w:tcPr>
          <w:p w14:paraId="15990DBA"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2BB0441B"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026 Národný program rozvoja športu v SR</w:t>
            </w:r>
          </w:p>
        </w:tc>
        <w:tc>
          <w:tcPr>
            <w:tcW w:w="644" w:type="pct"/>
            <w:tcBorders>
              <w:top w:val="nil"/>
              <w:left w:val="nil"/>
              <w:bottom w:val="nil"/>
              <w:right w:val="nil"/>
            </w:tcBorders>
            <w:shd w:val="clear" w:color="auto" w:fill="auto"/>
            <w:vAlign w:val="center"/>
            <w:hideMark/>
          </w:tcPr>
          <w:p w14:paraId="243187BE"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83 486</w:t>
            </w:r>
          </w:p>
        </w:tc>
        <w:tc>
          <w:tcPr>
            <w:tcW w:w="597" w:type="pct"/>
            <w:tcBorders>
              <w:top w:val="nil"/>
              <w:left w:val="nil"/>
              <w:bottom w:val="nil"/>
              <w:right w:val="nil"/>
            </w:tcBorders>
            <w:shd w:val="clear" w:color="auto" w:fill="auto"/>
            <w:vAlign w:val="center"/>
            <w:hideMark/>
          </w:tcPr>
          <w:p w14:paraId="1B3145E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78 873</w:t>
            </w:r>
          </w:p>
        </w:tc>
        <w:tc>
          <w:tcPr>
            <w:tcW w:w="586" w:type="pct"/>
            <w:tcBorders>
              <w:top w:val="nil"/>
              <w:left w:val="nil"/>
              <w:bottom w:val="nil"/>
              <w:right w:val="nil"/>
            </w:tcBorders>
            <w:shd w:val="clear" w:color="auto" w:fill="auto"/>
            <w:vAlign w:val="center"/>
            <w:hideMark/>
          </w:tcPr>
          <w:p w14:paraId="4C52E257"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95 851</w:t>
            </w:r>
          </w:p>
        </w:tc>
        <w:tc>
          <w:tcPr>
            <w:tcW w:w="605" w:type="pct"/>
            <w:tcBorders>
              <w:top w:val="nil"/>
              <w:left w:val="nil"/>
              <w:bottom w:val="nil"/>
              <w:right w:val="nil"/>
            </w:tcBorders>
            <w:shd w:val="clear" w:color="auto" w:fill="auto"/>
            <w:vAlign w:val="center"/>
            <w:hideMark/>
          </w:tcPr>
          <w:p w14:paraId="22C20B62"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16 978</w:t>
            </w:r>
          </w:p>
        </w:tc>
      </w:tr>
      <w:tr w:rsidR="004F7BCA" w:rsidRPr="001C3215" w14:paraId="16044F85" w14:textId="77777777" w:rsidTr="00C35785">
        <w:trPr>
          <w:trHeight w:val="283"/>
          <w:jc w:val="center"/>
        </w:trPr>
        <w:tc>
          <w:tcPr>
            <w:tcW w:w="1173" w:type="pct"/>
            <w:vMerge/>
            <w:tcBorders>
              <w:top w:val="nil"/>
              <w:left w:val="nil"/>
              <w:bottom w:val="nil"/>
              <w:right w:val="nil"/>
            </w:tcBorders>
            <w:vAlign w:val="center"/>
            <w:hideMark/>
          </w:tcPr>
          <w:p w14:paraId="4978A50B"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3460848B"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06K Národný program rozvoja vedy a techniky</w:t>
            </w:r>
          </w:p>
        </w:tc>
        <w:tc>
          <w:tcPr>
            <w:tcW w:w="644" w:type="pct"/>
            <w:tcBorders>
              <w:top w:val="nil"/>
              <w:left w:val="nil"/>
              <w:bottom w:val="nil"/>
              <w:right w:val="nil"/>
            </w:tcBorders>
            <w:shd w:val="clear" w:color="auto" w:fill="auto"/>
            <w:vAlign w:val="center"/>
            <w:hideMark/>
          </w:tcPr>
          <w:p w14:paraId="75C99166"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70 609</w:t>
            </w:r>
          </w:p>
        </w:tc>
        <w:tc>
          <w:tcPr>
            <w:tcW w:w="597" w:type="pct"/>
            <w:tcBorders>
              <w:top w:val="nil"/>
              <w:left w:val="nil"/>
              <w:bottom w:val="nil"/>
              <w:right w:val="nil"/>
            </w:tcBorders>
            <w:shd w:val="clear" w:color="auto" w:fill="auto"/>
            <w:vAlign w:val="center"/>
            <w:hideMark/>
          </w:tcPr>
          <w:p w14:paraId="50DBEC24"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57 236</w:t>
            </w:r>
          </w:p>
        </w:tc>
        <w:tc>
          <w:tcPr>
            <w:tcW w:w="586" w:type="pct"/>
            <w:tcBorders>
              <w:top w:val="nil"/>
              <w:left w:val="nil"/>
              <w:bottom w:val="nil"/>
              <w:right w:val="nil"/>
            </w:tcBorders>
            <w:shd w:val="clear" w:color="auto" w:fill="auto"/>
            <w:vAlign w:val="center"/>
            <w:hideMark/>
          </w:tcPr>
          <w:p w14:paraId="1FFF051C"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54 521</w:t>
            </w:r>
          </w:p>
        </w:tc>
        <w:tc>
          <w:tcPr>
            <w:tcW w:w="605" w:type="pct"/>
            <w:tcBorders>
              <w:top w:val="nil"/>
              <w:left w:val="nil"/>
              <w:bottom w:val="nil"/>
              <w:right w:val="nil"/>
            </w:tcBorders>
            <w:shd w:val="clear" w:color="auto" w:fill="auto"/>
            <w:vAlign w:val="center"/>
            <w:hideMark/>
          </w:tcPr>
          <w:p w14:paraId="1573C975"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-2 715</w:t>
            </w:r>
          </w:p>
        </w:tc>
      </w:tr>
      <w:tr w:rsidR="004F7BCA" w:rsidRPr="001C3215" w14:paraId="0AB80215" w14:textId="77777777" w:rsidTr="00C35785">
        <w:trPr>
          <w:trHeight w:val="283"/>
          <w:jc w:val="center"/>
        </w:trPr>
        <w:tc>
          <w:tcPr>
            <w:tcW w:w="1173" w:type="pct"/>
            <w:vMerge w:val="restart"/>
            <w:tcBorders>
              <w:top w:val="nil"/>
              <w:left w:val="nil"/>
              <w:bottom w:val="nil"/>
              <w:right w:val="nil"/>
            </w:tcBorders>
            <w:shd w:val="clear" w:color="000000" w:fill="DEEAF6"/>
            <w:vAlign w:val="center"/>
            <w:hideMark/>
          </w:tcPr>
          <w:p w14:paraId="3E6B55C4"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dopravy a výstavby SR</w:t>
            </w:r>
          </w:p>
        </w:tc>
        <w:tc>
          <w:tcPr>
            <w:tcW w:w="1395" w:type="pct"/>
            <w:tcBorders>
              <w:top w:val="nil"/>
              <w:left w:val="nil"/>
              <w:bottom w:val="nil"/>
              <w:right w:val="nil"/>
            </w:tcBorders>
            <w:shd w:val="clear" w:color="000000" w:fill="DEEAF6"/>
            <w:vAlign w:val="center"/>
            <w:hideMark/>
          </w:tcPr>
          <w:p w14:paraId="36C61FBD"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053 Cestná infraštruktúra</w:t>
            </w:r>
          </w:p>
        </w:tc>
        <w:tc>
          <w:tcPr>
            <w:tcW w:w="644" w:type="pct"/>
            <w:tcBorders>
              <w:top w:val="nil"/>
              <w:left w:val="nil"/>
              <w:bottom w:val="nil"/>
              <w:right w:val="nil"/>
            </w:tcBorders>
            <w:shd w:val="clear" w:color="000000" w:fill="DEEAF6"/>
            <w:vAlign w:val="center"/>
            <w:hideMark/>
          </w:tcPr>
          <w:p w14:paraId="69BC5FD6"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822 428</w:t>
            </w:r>
          </w:p>
        </w:tc>
        <w:tc>
          <w:tcPr>
            <w:tcW w:w="597" w:type="pct"/>
            <w:tcBorders>
              <w:top w:val="nil"/>
              <w:left w:val="nil"/>
              <w:bottom w:val="nil"/>
              <w:right w:val="nil"/>
            </w:tcBorders>
            <w:shd w:val="clear" w:color="000000" w:fill="DEEAF6"/>
            <w:vAlign w:val="center"/>
            <w:hideMark/>
          </w:tcPr>
          <w:p w14:paraId="7AB58E3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332 558</w:t>
            </w:r>
          </w:p>
        </w:tc>
        <w:tc>
          <w:tcPr>
            <w:tcW w:w="586" w:type="pct"/>
            <w:tcBorders>
              <w:top w:val="nil"/>
              <w:left w:val="nil"/>
              <w:bottom w:val="nil"/>
              <w:right w:val="nil"/>
            </w:tcBorders>
            <w:shd w:val="clear" w:color="000000" w:fill="DEEAF6"/>
            <w:vAlign w:val="center"/>
            <w:hideMark/>
          </w:tcPr>
          <w:p w14:paraId="221D253A"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647 564</w:t>
            </w:r>
          </w:p>
        </w:tc>
        <w:tc>
          <w:tcPr>
            <w:tcW w:w="605" w:type="pct"/>
            <w:tcBorders>
              <w:top w:val="nil"/>
              <w:left w:val="nil"/>
              <w:bottom w:val="nil"/>
              <w:right w:val="nil"/>
            </w:tcBorders>
            <w:shd w:val="clear" w:color="000000" w:fill="DEEAF6"/>
            <w:vAlign w:val="center"/>
            <w:hideMark/>
          </w:tcPr>
          <w:p w14:paraId="5329EEB9"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315 006</w:t>
            </w:r>
          </w:p>
        </w:tc>
      </w:tr>
      <w:tr w:rsidR="004F7BCA" w:rsidRPr="001C3215" w14:paraId="3321CD8B" w14:textId="77777777" w:rsidTr="00C35785">
        <w:trPr>
          <w:trHeight w:val="283"/>
          <w:jc w:val="center"/>
        </w:trPr>
        <w:tc>
          <w:tcPr>
            <w:tcW w:w="1173" w:type="pct"/>
            <w:vMerge/>
            <w:tcBorders>
              <w:top w:val="nil"/>
              <w:left w:val="nil"/>
              <w:bottom w:val="nil"/>
              <w:right w:val="nil"/>
            </w:tcBorders>
            <w:vAlign w:val="center"/>
            <w:hideMark/>
          </w:tcPr>
          <w:p w14:paraId="50348F0F"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000000" w:fill="DEEAF6"/>
            <w:vAlign w:val="center"/>
            <w:hideMark/>
          </w:tcPr>
          <w:p w14:paraId="0B610B78"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07S Železničná doprava</w:t>
            </w:r>
          </w:p>
        </w:tc>
        <w:tc>
          <w:tcPr>
            <w:tcW w:w="644" w:type="pct"/>
            <w:tcBorders>
              <w:top w:val="nil"/>
              <w:left w:val="nil"/>
              <w:bottom w:val="nil"/>
              <w:right w:val="nil"/>
            </w:tcBorders>
            <w:shd w:val="clear" w:color="000000" w:fill="DEEAF6"/>
            <w:vAlign w:val="center"/>
            <w:hideMark/>
          </w:tcPr>
          <w:p w14:paraId="2501A5FB"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933 957</w:t>
            </w:r>
          </w:p>
        </w:tc>
        <w:tc>
          <w:tcPr>
            <w:tcW w:w="597" w:type="pct"/>
            <w:tcBorders>
              <w:top w:val="nil"/>
              <w:left w:val="nil"/>
              <w:bottom w:val="nil"/>
              <w:right w:val="nil"/>
            </w:tcBorders>
            <w:shd w:val="clear" w:color="000000" w:fill="DEEAF6"/>
            <w:vAlign w:val="center"/>
            <w:hideMark/>
          </w:tcPr>
          <w:p w14:paraId="4B49482D"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595 000</w:t>
            </w:r>
          </w:p>
        </w:tc>
        <w:tc>
          <w:tcPr>
            <w:tcW w:w="586" w:type="pct"/>
            <w:tcBorders>
              <w:top w:val="nil"/>
              <w:left w:val="nil"/>
              <w:bottom w:val="nil"/>
              <w:right w:val="nil"/>
            </w:tcBorders>
            <w:shd w:val="clear" w:color="000000" w:fill="DEEAF6"/>
            <w:vAlign w:val="center"/>
            <w:hideMark/>
          </w:tcPr>
          <w:p w14:paraId="5562D6D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778 559</w:t>
            </w:r>
          </w:p>
        </w:tc>
        <w:tc>
          <w:tcPr>
            <w:tcW w:w="605" w:type="pct"/>
            <w:tcBorders>
              <w:top w:val="nil"/>
              <w:left w:val="nil"/>
              <w:bottom w:val="nil"/>
              <w:right w:val="nil"/>
            </w:tcBorders>
            <w:shd w:val="clear" w:color="000000" w:fill="DEEAF6"/>
            <w:vAlign w:val="center"/>
            <w:hideMark/>
          </w:tcPr>
          <w:p w14:paraId="4BD7DC0D"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183 559</w:t>
            </w:r>
          </w:p>
        </w:tc>
      </w:tr>
      <w:tr w:rsidR="004F7BCA" w:rsidRPr="001C3215" w14:paraId="040661E8" w14:textId="77777777" w:rsidTr="00C35785">
        <w:trPr>
          <w:trHeight w:val="283"/>
          <w:jc w:val="center"/>
        </w:trPr>
        <w:tc>
          <w:tcPr>
            <w:tcW w:w="1173" w:type="pct"/>
            <w:vMerge/>
            <w:tcBorders>
              <w:top w:val="nil"/>
              <w:left w:val="nil"/>
              <w:bottom w:val="nil"/>
              <w:right w:val="nil"/>
            </w:tcBorders>
            <w:vAlign w:val="center"/>
            <w:hideMark/>
          </w:tcPr>
          <w:p w14:paraId="32D719C6"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000000" w:fill="DEEAF6"/>
            <w:vAlign w:val="center"/>
            <w:hideMark/>
          </w:tcPr>
          <w:p w14:paraId="01049754"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0EB Operačný program Integrovaná infraštruktúra</w:t>
            </w:r>
          </w:p>
        </w:tc>
        <w:tc>
          <w:tcPr>
            <w:tcW w:w="644" w:type="pct"/>
            <w:tcBorders>
              <w:top w:val="nil"/>
              <w:left w:val="nil"/>
              <w:bottom w:val="nil"/>
              <w:right w:val="nil"/>
            </w:tcBorders>
            <w:shd w:val="clear" w:color="000000" w:fill="DEEAF6"/>
            <w:vAlign w:val="center"/>
            <w:hideMark/>
          </w:tcPr>
          <w:p w14:paraId="282E0F3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359 409</w:t>
            </w:r>
          </w:p>
        </w:tc>
        <w:tc>
          <w:tcPr>
            <w:tcW w:w="597" w:type="pct"/>
            <w:tcBorders>
              <w:top w:val="nil"/>
              <w:left w:val="nil"/>
              <w:bottom w:val="nil"/>
              <w:right w:val="nil"/>
            </w:tcBorders>
            <w:shd w:val="clear" w:color="000000" w:fill="DEEAF6"/>
            <w:vAlign w:val="center"/>
            <w:hideMark/>
          </w:tcPr>
          <w:p w14:paraId="0A097B95"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817 228</w:t>
            </w:r>
          </w:p>
        </w:tc>
        <w:tc>
          <w:tcPr>
            <w:tcW w:w="586" w:type="pct"/>
            <w:tcBorders>
              <w:top w:val="nil"/>
              <w:left w:val="nil"/>
              <w:bottom w:val="nil"/>
              <w:right w:val="nil"/>
            </w:tcBorders>
            <w:shd w:val="clear" w:color="000000" w:fill="DEEAF6"/>
            <w:vAlign w:val="center"/>
            <w:hideMark/>
          </w:tcPr>
          <w:p w14:paraId="28D6CBA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429 288</w:t>
            </w:r>
          </w:p>
        </w:tc>
        <w:tc>
          <w:tcPr>
            <w:tcW w:w="605" w:type="pct"/>
            <w:tcBorders>
              <w:top w:val="nil"/>
              <w:left w:val="nil"/>
              <w:bottom w:val="nil"/>
              <w:right w:val="nil"/>
            </w:tcBorders>
            <w:shd w:val="clear" w:color="000000" w:fill="DEEAF6"/>
            <w:vAlign w:val="center"/>
            <w:hideMark/>
          </w:tcPr>
          <w:p w14:paraId="534E75B4"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-387 940</w:t>
            </w:r>
          </w:p>
        </w:tc>
      </w:tr>
      <w:tr w:rsidR="004F7BCA" w:rsidRPr="001C3215" w14:paraId="265C1B87" w14:textId="77777777" w:rsidTr="00C35785">
        <w:trPr>
          <w:trHeight w:val="283"/>
          <w:jc w:val="center"/>
        </w:trPr>
        <w:tc>
          <w:tcPr>
            <w:tcW w:w="1173" w:type="pct"/>
            <w:vMerge/>
            <w:tcBorders>
              <w:top w:val="nil"/>
              <w:left w:val="nil"/>
              <w:bottom w:val="nil"/>
              <w:right w:val="nil"/>
            </w:tcBorders>
            <w:vAlign w:val="center"/>
            <w:hideMark/>
          </w:tcPr>
          <w:p w14:paraId="03E6C578"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000000" w:fill="DEEAF6"/>
            <w:vAlign w:val="center"/>
            <w:hideMark/>
          </w:tcPr>
          <w:p w14:paraId="47324B4F"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017 Podpora rozvoja bývania</w:t>
            </w:r>
          </w:p>
        </w:tc>
        <w:tc>
          <w:tcPr>
            <w:tcW w:w="644" w:type="pct"/>
            <w:tcBorders>
              <w:top w:val="nil"/>
              <w:left w:val="nil"/>
              <w:bottom w:val="nil"/>
              <w:right w:val="nil"/>
            </w:tcBorders>
            <w:shd w:val="clear" w:color="000000" w:fill="DEEAF6"/>
            <w:vAlign w:val="center"/>
            <w:hideMark/>
          </w:tcPr>
          <w:p w14:paraId="6F7FF0CF"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58 747</w:t>
            </w:r>
          </w:p>
        </w:tc>
        <w:tc>
          <w:tcPr>
            <w:tcW w:w="597" w:type="pct"/>
            <w:tcBorders>
              <w:top w:val="nil"/>
              <w:left w:val="nil"/>
              <w:bottom w:val="nil"/>
              <w:right w:val="nil"/>
            </w:tcBorders>
            <w:shd w:val="clear" w:color="000000" w:fill="DEEAF6"/>
            <w:vAlign w:val="center"/>
            <w:hideMark/>
          </w:tcPr>
          <w:p w14:paraId="1A46309C"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58 000</w:t>
            </w:r>
          </w:p>
        </w:tc>
        <w:tc>
          <w:tcPr>
            <w:tcW w:w="586" w:type="pct"/>
            <w:tcBorders>
              <w:top w:val="nil"/>
              <w:left w:val="nil"/>
              <w:bottom w:val="nil"/>
              <w:right w:val="nil"/>
            </w:tcBorders>
            <w:shd w:val="clear" w:color="000000" w:fill="DEEAF6"/>
            <w:vAlign w:val="center"/>
            <w:hideMark/>
          </w:tcPr>
          <w:p w14:paraId="11C38A72"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53 000</w:t>
            </w:r>
          </w:p>
        </w:tc>
        <w:tc>
          <w:tcPr>
            <w:tcW w:w="605" w:type="pct"/>
            <w:tcBorders>
              <w:top w:val="nil"/>
              <w:left w:val="nil"/>
              <w:bottom w:val="nil"/>
              <w:right w:val="nil"/>
            </w:tcBorders>
            <w:shd w:val="clear" w:color="000000" w:fill="DEEAF6"/>
            <w:vAlign w:val="center"/>
            <w:hideMark/>
          </w:tcPr>
          <w:p w14:paraId="15A2EC9E"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-5 000</w:t>
            </w:r>
          </w:p>
        </w:tc>
      </w:tr>
      <w:tr w:rsidR="004F7BCA" w:rsidRPr="001C3215" w14:paraId="754D833D" w14:textId="77777777" w:rsidTr="00C35785">
        <w:trPr>
          <w:trHeight w:val="283"/>
          <w:jc w:val="center"/>
        </w:trPr>
        <w:tc>
          <w:tcPr>
            <w:tcW w:w="1173" w:type="pct"/>
            <w:vMerge w:val="restart"/>
            <w:tcBorders>
              <w:top w:val="nil"/>
              <w:left w:val="nil"/>
              <w:bottom w:val="nil"/>
              <w:right w:val="nil"/>
            </w:tcBorders>
            <w:shd w:val="clear" w:color="auto" w:fill="auto"/>
            <w:vAlign w:val="center"/>
            <w:hideMark/>
          </w:tcPr>
          <w:p w14:paraId="3698D160"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hospodárstva SR</w:t>
            </w:r>
          </w:p>
        </w:tc>
        <w:tc>
          <w:tcPr>
            <w:tcW w:w="1395" w:type="pct"/>
            <w:tcBorders>
              <w:top w:val="nil"/>
              <w:left w:val="nil"/>
              <w:bottom w:val="nil"/>
              <w:right w:val="nil"/>
            </w:tcBorders>
            <w:shd w:val="clear" w:color="auto" w:fill="auto"/>
            <w:vAlign w:val="center"/>
            <w:hideMark/>
          </w:tcPr>
          <w:p w14:paraId="1FA526B8"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0EA Operačný program Integrovaná infraštruktúra (v gescii MŠVVaŠ SR)</w:t>
            </w:r>
          </w:p>
        </w:tc>
        <w:tc>
          <w:tcPr>
            <w:tcW w:w="644" w:type="pct"/>
            <w:tcBorders>
              <w:top w:val="nil"/>
              <w:left w:val="nil"/>
              <w:bottom w:val="nil"/>
              <w:right w:val="nil"/>
            </w:tcBorders>
            <w:shd w:val="clear" w:color="auto" w:fill="auto"/>
            <w:vAlign w:val="center"/>
            <w:hideMark/>
          </w:tcPr>
          <w:p w14:paraId="1DCB2854"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362 308</w:t>
            </w:r>
          </w:p>
        </w:tc>
        <w:tc>
          <w:tcPr>
            <w:tcW w:w="597" w:type="pct"/>
            <w:tcBorders>
              <w:top w:val="nil"/>
              <w:left w:val="nil"/>
              <w:bottom w:val="nil"/>
              <w:right w:val="nil"/>
            </w:tcBorders>
            <w:shd w:val="clear" w:color="auto" w:fill="auto"/>
            <w:vAlign w:val="center"/>
            <w:hideMark/>
          </w:tcPr>
          <w:p w14:paraId="15D6DCEF"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216 240</w:t>
            </w:r>
          </w:p>
        </w:tc>
        <w:tc>
          <w:tcPr>
            <w:tcW w:w="586" w:type="pct"/>
            <w:tcBorders>
              <w:top w:val="nil"/>
              <w:left w:val="nil"/>
              <w:bottom w:val="nil"/>
              <w:right w:val="nil"/>
            </w:tcBorders>
            <w:shd w:val="clear" w:color="auto" w:fill="auto"/>
            <w:vAlign w:val="center"/>
            <w:hideMark/>
          </w:tcPr>
          <w:p w14:paraId="6EE67C1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186 328</w:t>
            </w:r>
          </w:p>
        </w:tc>
        <w:tc>
          <w:tcPr>
            <w:tcW w:w="605" w:type="pct"/>
            <w:tcBorders>
              <w:top w:val="nil"/>
              <w:left w:val="nil"/>
              <w:bottom w:val="nil"/>
              <w:right w:val="nil"/>
            </w:tcBorders>
            <w:shd w:val="clear" w:color="auto" w:fill="auto"/>
            <w:vAlign w:val="center"/>
            <w:hideMark/>
          </w:tcPr>
          <w:p w14:paraId="1B32575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-29 912</w:t>
            </w:r>
          </w:p>
        </w:tc>
      </w:tr>
      <w:tr w:rsidR="004F7BCA" w:rsidRPr="001C3215" w14:paraId="33087BA6" w14:textId="77777777" w:rsidTr="00C35785">
        <w:trPr>
          <w:trHeight w:val="283"/>
          <w:jc w:val="center"/>
        </w:trPr>
        <w:tc>
          <w:tcPr>
            <w:tcW w:w="1173" w:type="pct"/>
            <w:vMerge/>
            <w:tcBorders>
              <w:top w:val="nil"/>
              <w:left w:val="nil"/>
              <w:bottom w:val="nil"/>
              <w:right w:val="nil"/>
            </w:tcBorders>
            <w:vAlign w:val="center"/>
            <w:hideMark/>
          </w:tcPr>
          <w:p w14:paraId="39B0A4CF"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48AF7789"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07K Rozvoj priemyslu a podpora podnikania</w:t>
            </w:r>
          </w:p>
        </w:tc>
        <w:tc>
          <w:tcPr>
            <w:tcW w:w="644" w:type="pct"/>
            <w:tcBorders>
              <w:top w:val="nil"/>
              <w:left w:val="nil"/>
              <w:bottom w:val="nil"/>
              <w:right w:val="nil"/>
            </w:tcBorders>
            <w:shd w:val="clear" w:color="auto" w:fill="auto"/>
            <w:vAlign w:val="center"/>
            <w:hideMark/>
          </w:tcPr>
          <w:p w14:paraId="0E89908C"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285 929</w:t>
            </w:r>
          </w:p>
        </w:tc>
        <w:tc>
          <w:tcPr>
            <w:tcW w:w="597" w:type="pct"/>
            <w:tcBorders>
              <w:top w:val="nil"/>
              <w:left w:val="nil"/>
              <w:bottom w:val="nil"/>
              <w:right w:val="nil"/>
            </w:tcBorders>
            <w:shd w:val="clear" w:color="auto" w:fill="auto"/>
            <w:vAlign w:val="center"/>
            <w:hideMark/>
          </w:tcPr>
          <w:p w14:paraId="4E7B132A"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264 440</w:t>
            </w:r>
          </w:p>
        </w:tc>
        <w:tc>
          <w:tcPr>
            <w:tcW w:w="586" w:type="pct"/>
            <w:tcBorders>
              <w:top w:val="nil"/>
              <w:left w:val="nil"/>
              <w:bottom w:val="nil"/>
              <w:right w:val="nil"/>
            </w:tcBorders>
            <w:shd w:val="clear" w:color="auto" w:fill="auto"/>
            <w:vAlign w:val="center"/>
            <w:hideMark/>
          </w:tcPr>
          <w:p w14:paraId="629B16F6"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1 696 148</w:t>
            </w:r>
          </w:p>
        </w:tc>
        <w:tc>
          <w:tcPr>
            <w:tcW w:w="605" w:type="pct"/>
            <w:tcBorders>
              <w:top w:val="nil"/>
              <w:left w:val="nil"/>
              <w:bottom w:val="nil"/>
              <w:right w:val="nil"/>
            </w:tcBorders>
            <w:shd w:val="clear" w:color="auto" w:fill="auto"/>
            <w:vAlign w:val="center"/>
            <w:hideMark/>
          </w:tcPr>
          <w:p w14:paraId="72CCBA0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1 431 708</w:t>
            </w:r>
          </w:p>
        </w:tc>
      </w:tr>
      <w:tr w:rsidR="004F7BCA" w:rsidRPr="001C3215" w14:paraId="517D6620" w14:textId="77777777" w:rsidTr="00C35785">
        <w:trPr>
          <w:trHeight w:val="283"/>
          <w:jc w:val="center"/>
        </w:trPr>
        <w:tc>
          <w:tcPr>
            <w:tcW w:w="1173" w:type="pct"/>
            <w:vMerge w:val="restart"/>
            <w:tcBorders>
              <w:top w:val="nil"/>
              <w:left w:val="nil"/>
              <w:bottom w:val="nil"/>
              <w:right w:val="nil"/>
            </w:tcBorders>
            <w:shd w:val="clear" w:color="000000" w:fill="DEEAF6"/>
            <w:vAlign w:val="center"/>
            <w:hideMark/>
          </w:tcPr>
          <w:p w14:paraId="677C6DA3"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obrany SR</w:t>
            </w:r>
          </w:p>
        </w:tc>
        <w:tc>
          <w:tcPr>
            <w:tcW w:w="1395" w:type="pct"/>
            <w:tcBorders>
              <w:top w:val="nil"/>
              <w:left w:val="nil"/>
              <w:bottom w:val="nil"/>
              <w:right w:val="nil"/>
            </w:tcBorders>
            <w:shd w:val="clear" w:color="000000" w:fill="DEEAF6"/>
            <w:vAlign w:val="center"/>
            <w:hideMark/>
          </w:tcPr>
          <w:p w14:paraId="2B86FA5B"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095 Rozvoj obrany</w:t>
            </w:r>
          </w:p>
        </w:tc>
        <w:tc>
          <w:tcPr>
            <w:tcW w:w="644" w:type="pct"/>
            <w:tcBorders>
              <w:top w:val="nil"/>
              <w:left w:val="nil"/>
              <w:bottom w:val="nil"/>
              <w:right w:val="nil"/>
            </w:tcBorders>
            <w:shd w:val="clear" w:color="000000" w:fill="DEEAF6"/>
            <w:vAlign w:val="center"/>
            <w:hideMark/>
          </w:tcPr>
          <w:p w14:paraId="743F3D5D"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658 677</w:t>
            </w:r>
          </w:p>
        </w:tc>
        <w:tc>
          <w:tcPr>
            <w:tcW w:w="597" w:type="pct"/>
            <w:tcBorders>
              <w:top w:val="nil"/>
              <w:left w:val="nil"/>
              <w:bottom w:val="nil"/>
              <w:right w:val="nil"/>
            </w:tcBorders>
            <w:shd w:val="clear" w:color="000000" w:fill="DEEAF6"/>
            <w:vAlign w:val="center"/>
            <w:hideMark/>
          </w:tcPr>
          <w:p w14:paraId="3921FD7D"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149 193</w:t>
            </w:r>
          </w:p>
        </w:tc>
        <w:tc>
          <w:tcPr>
            <w:tcW w:w="586" w:type="pct"/>
            <w:tcBorders>
              <w:top w:val="nil"/>
              <w:left w:val="nil"/>
              <w:bottom w:val="nil"/>
              <w:right w:val="nil"/>
            </w:tcBorders>
            <w:shd w:val="clear" w:color="000000" w:fill="DEEAF6"/>
            <w:vAlign w:val="center"/>
            <w:hideMark/>
          </w:tcPr>
          <w:p w14:paraId="6806830B"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380 958</w:t>
            </w:r>
          </w:p>
        </w:tc>
        <w:tc>
          <w:tcPr>
            <w:tcW w:w="605" w:type="pct"/>
            <w:tcBorders>
              <w:top w:val="nil"/>
              <w:left w:val="nil"/>
              <w:bottom w:val="nil"/>
              <w:right w:val="nil"/>
            </w:tcBorders>
            <w:shd w:val="clear" w:color="000000" w:fill="DEEAF6"/>
            <w:vAlign w:val="center"/>
            <w:hideMark/>
          </w:tcPr>
          <w:p w14:paraId="5CDE26A5"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231 765</w:t>
            </w:r>
          </w:p>
        </w:tc>
      </w:tr>
      <w:tr w:rsidR="004F7BCA" w:rsidRPr="001C3215" w14:paraId="27F3185B" w14:textId="77777777" w:rsidTr="00C35785">
        <w:trPr>
          <w:trHeight w:val="283"/>
          <w:jc w:val="center"/>
        </w:trPr>
        <w:tc>
          <w:tcPr>
            <w:tcW w:w="1173" w:type="pct"/>
            <w:vMerge/>
            <w:tcBorders>
              <w:top w:val="nil"/>
              <w:left w:val="nil"/>
              <w:bottom w:val="nil"/>
              <w:right w:val="nil"/>
            </w:tcBorders>
            <w:vAlign w:val="center"/>
            <w:hideMark/>
          </w:tcPr>
          <w:p w14:paraId="52C3BFD4"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000000" w:fill="DEEAF6"/>
            <w:vAlign w:val="center"/>
            <w:hideMark/>
          </w:tcPr>
          <w:p w14:paraId="3AA2F890"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096 Obrana</w:t>
            </w:r>
          </w:p>
        </w:tc>
        <w:tc>
          <w:tcPr>
            <w:tcW w:w="644" w:type="pct"/>
            <w:tcBorders>
              <w:top w:val="nil"/>
              <w:left w:val="nil"/>
              <w:bottom w:val="nil"/>
              <w:right w:val="nil"/>
            </w:tcBorders>
            <w:shd w:val="clear" w:color="000000" w:fill="DEEAF6"/>
            <w:vAlign w:val="center"/>
            <w:hideMark/>
          </w:tcPr>
          <w:p w14:paraId="19269045" w14:textId="223EED0C" w:rsidR="004F7BCA" w:rsidRPr="001C3215" w:rsidRDefault="004F7BCA" w:rsidP="00BF5BF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 xml:space="preserve">1 </w:t>
            </w:r>
            <w:r w:rsidR="00BF5BF5">
              <w:rPr>
                <w:rFonts w:eastAsia="Times New Roman" w:cs="Segoe UI"/>
                <w:color w:val="000000"/>
                <w:sz w:val="16"/>
                <w:szCs w:val="16"/>
                <w:lang w:eastAsia="sk-SK"/>
              </w:rPr>
              <w:t>066</w:t>
            </w:r>
            <w:r w:rsidRPr="001C3215">
              <w:rPr>
                <w:rFonts w:eastAsia="Times New Roman" w:cs="Segoe UI"/>
                <w:color w:val="000000"/>
                <w:sz w:val="16"/>
                <w:szCs w:val="16"/>
                <w:lang w:eastAsia="sk-SK"/>
              </w:rPr>
              <w:t xml:space="preserve"> </w:t>
            </w:r>
            <w:r w:rsidR="00BF5BF5">
              <w:rPr>
                <w:rFonts w:eastAsia="Times New Roman" w:cs="Segoe UI"/>
                <w:color w:val="000000"/>
                <w:sz w:val="16"/>
                <w:szCs w:val="16"/>
                <w:lang w:eastAsia="sk-SK"/>
              </w:rPr>
              <w:t>503</w:t>
            </w:r>
          </w:p>
        </w:tc>
        <w:tc>
          <w:tcPr>
            <w:tcW w:w="597" w:type="pct"/>
            <w:tcBorders>
              <w:top w:val="nil"/>
              <w:left w:val="nil"/>
              <w:bottom w:val="nil"/>
              <w:right w:val="nil"/>
            </w:tcBorders>
            <w:shd w:val="clear" w:color="000000" w:fill="DEEAF6"/>
            <w:vAlign w:val="center"/>
            <w:hideMark/>
          </w:tcPr>
          <w:p w14:paraId="7779666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1 176 172</w:t>
            </w:r>
          </w:p>
        </w:tc>
        <w:tc>
          <w:tcPr>
            <w:tcW w:w="586" w:type="pct"/>
            <w:tcBorders>
              <w:top w:val="nil"/>
              <w:left w:val="nil"/>
              <w:bottom w:val="nil"/>
              <w:right w:val="nil"/>
            </w:tcBorders>
            <w:shd w:val="clear" w:color="000000" w:fill="DEEAF6"/>
            <w:vAlign w:val="center"/>
            <w:hideMark/>
          </w:tcPr>
          <w:p w14:paraId="075983BD"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1 704 241</w:t>
            </w:r>
          </w:p>
        </w:tc>
        <w:tc>
          <w:tcPr>
            <w:tcW w:w="605" w:type="pct"/>
            <w:tcBorders>
              <w:top w:val="nil"/>
              <w:left w:val="nil"/>
              <w:bottom w:val="nil"/>
              <w:right w:val="nil"/>
            </w:tcBorders>
            <w:shd w:val="clear" w:color="000000" w:fill="DEEAF6"/>
            <w:vAlign w:val="center"/>
            <w:hideMark/>
          </w:tcPr>
          <w:p w14:paraId="101F9DBD"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528 069</w:t>
            </w:r>
          </w:p>
        </w:tc>
      </w:tr>
      <w:tr w:rsidR="004F7BCA" w:rsidRPr="001C3215" w14:paraId="5F972DB0" w14:textId="77777777" w:rsidTr="00C35785">
        <w:trPr>
          <w:trHeight w:val="283"/>
          <w:jc w:val="center"/>
        </w:trPr>
        <w:tc>
          <w:tcPr>
            <w:tcW w:w="1173" w:type="pct"/>
            <w:vMerge w:val="restart"/>
            <w:tcBorders>
              <w:top w:val="nil"/>
              <w:left w:val="nil"/>
              <w:bottom w:val="nil"/>
              <w:right w:val="nil"/>
            </w:tcBorders>
            <w:shd w:val="clear" w:color="auto" w:fill="auto"/>
            <w:vAlign w:val="center"/>
            <w:hideMark/>
          </w:tcPr>
          <w:p w14:paraId="33FA137B"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investícií, regionálneho rozvoja a informatizácie SR</w:t>
            </w:r>
          </w:p>
        </w:tc>
        <w:tc>
          <w:tcPr>
            <w:tcW w:w="1395" w:type="pct"/>
            <w:tcBorders>
              <w:top w:val="nil"/>
              <w:left w:val="nil"/>
              <w:bottom w:val="nil"/>
              <w:right w:val="nil"/>
            </w:tcBorders>
            <w:shd w:val="clear" w:color="auto" w:fill="auto"/>
            <w:vAlign w:val="center"/>
            <w:hideMark/>
          </w:tcPr>
          <w:p w14:paraId="1BCA26E9" w14:textId="13F277FC" w:rsidR="004F7BCA" w:rsidRPr="001C3215" w:rsidRDefault="004F7BCA" w:rsidP="005A30D1">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 xml:space="preserve">0DV Fondy EÚ </w:t>
            </w:r>
            <w:r w:rsidR="005A30D1">
              <w:rPr>
                <w:rFonts w:eastAsia="Times New Roman" w:cs="Segoe UI"/>
                <w:color w:val="000000"/>
                <w:sz w:val="16"/>
                <w:szCs w:val="16"/>
                <w:lang w:eastAsia="sk-SK"/>
              </w:rPr>
              <w:t xml:space="preserve">– </w:t>
            </w:r>
            <w:r w:rsidRPr="001C3215">
              <w:rPr>
                <w:rFonts w:eastAsia="Times New Roman" w:cs="Segoe UI"/>
                <w:color w:val="000000"/>
                <w:sz w:val="16"/>
                <w:szCs w:val="16"/>
                <w:lang w:eastAsia="sk-SK"/>
              </w:rPr>
              <w:t>MIRRI</w:t>
            </w:r>
          </w:p>
        </w:tc>
        <w:tc>
          <w:tcPr>
            <w:tcW w:w="644" w:type="pct"/>
            <w:tcBorders>
              <w:top w:val="nil"/>
              <w:left w:val="nil"/>
              <w:bottom w:val="nil"/>
              <w:right w:val="nil"/>
            </w:tcBorders>
            <w:shd w:val="clear" w:color="auto" w:fill="auto"/>
            <w:vAlign w:val="center"/>
            <w:hideMark/>
          </w:tcPr>
          <w:p w14:paraId="3543683A"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250 944</w:t>
            </w:r>
          </w:p>
        </w:tc>
        <w:tc>
          <w:tcPr>
            <w:tcW w:w="597" w:type="pct"/>
            <w:tcBorders>
              <w:top w:val="nil"/>
              <w:left w:val="nil"/>
              <w:bottom w:val="nil"/>
              <w:right w:val="nil"/>
            </w:tcBorders>
            <w:shd w:val="clear" w:color="auto" w:fill="auto"/>
            <w:vAlign w:val="center"/>
            <w:hideMark/>
          </w:tcPr>
          <w:p w14:paraId="760239A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465 619</w:t>
            </w:r>
          </w:p>
        </w:tc>
        <w:tc>
          <w:tcPr>
            <w:tcW w:w="586" w:type="pct"/>
            <w:tcBorders>
              <w:top w:val="nil"/>
              <w:left w:val="nil"/>
              <w:bottom w:val="nil"/>
              <w:right w:val="nil"/>
            </w:tcBorders>
            <w:shd w:val="clear" w:color="auto" w:fill="auto"/>
            <w:vAlign w:val="center"/>
            <w:hideMark/>
          </w:tcPr>
          <w:p w14:paraId="4E6AD1E6"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1 493 154</w:t>
            </w:r>
          </w:p>
        </w:tc>
        <w:tc>
          <w:tcPr>
            <w:tcW w:w="605" w:type="pct"/>
            <w:tcBorders>
              <w:top w:val="nil"/>
              <w:left w:val="nil"/>
              <w:bottom w:val="nil"/>
              <w:right w:val="nil"/>
            </w:tcBorders>
            <w:shd w:val="clear" w:color="auto" w:fill="auto"/>
            <w:vAlign w:val="center"/>
            <w:hideMark/>
          </w:tcPr>
          <w:p w14:paraId="730345BC"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1 027 535</w:t>
            </w:r>
          </w:p>
        </w:tc>
      </w:tr>
      <w:tr w:rsidR="004F7BCA" w:rsidRPr="001C3215" w14:paraId="3F6A1201" w14:textId="77777777" w:rsidTr="00C35785">
        <w:trPr>
          <w:trHeight w:val="283"/>
          <w:jc w:val="center"/>
        </w:trPr>
        <w:tc>
          <w:tcPr>
            <w:tcW w:w="1173" w:type="pct"/>
            <w:vMerge/>
            <w:tcBorders>
              <w:top w:val="nil"/>
              <w:left w:val="nil"/>
              <w:bottom w:val="nil"/>
              <w:right w:val="nil"/>
            </w:tcBorders>
            <w:vAlign w:val="center"/>
            <w:hideMark/>
          </w:tcPr>
          <w:p w14:paraId="45C0A476"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0A720F73"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0EK Informačné technológie financované zo štátneho rozpočtu</w:t>
            </w:r>
          </w:p>
        </w:tc>
        <w:tc>
          <w:tcPr>
            <w:tcW w:w="644" w:type="pct"/>
            <w:tcBorders>
              <w:top w:val="nil"/>
              <w:left w:val="nil"/>
              <w:bottom w:val="nil"/>
              <w:right w:val="nil"/>
            </w:tcBorders>
            <w:shd w:val="clear" w:color="auto" w:fill="auto"/>
            <w:vAlign w:val="center"/>
            <w:hideMark/>
          </w:tcPr>
          <w:p w14:paraId="54C7545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65 700</w:t>
            </w:r>
          </w:p>
        </w:tc>
        <w:tc>
          <w:tcPr>
            <w:tcW w:w="597" w:type="pct"/>
            <w:tcBorders>
              <w:top w:val="nil"/>
              <w:left w:val="nil"/>
              <w:bottom w:val="nil"/>
              <w:right w:val="nil"/>
            </w:tcBorders>
            <w:shd w:val="clear" w:color="auto" w:fill="auto"/>
            <w:vAlign w:val="center"/>
            <w:hideMark/>
          </w:tcPr>
          <w:p w14:paraId="7DFA8156"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28 814</w:t>
            </w:r>
          </w:p>
        </w:tc>
        <w:tc>
          <w:tcPr>
            <w:tcW w:w="586" w:type="pct"/>
            <w:tcBorders>
              <w:top w:val="nil"/>
              <w:left w:val="nil"/>
              <w:bottom w:val="nil"/>
              <w:right w:val="nil"/>
            </w:tcBorders>
            <w:shd w:val="clear" w:color="auto" w:fill="auto"/>
            <w:vAlign w:val="center"/>
            <w:hideMark/>
          </w:tcPr>
          <w:p w14:paraId="0E40BF4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40 258</w:t>
            </w:r>
          </w:p>
        </w:tc>
        <w:tc>
          <w:tcPr>
            <w:tcW w:w="605" w:type="pct"/>
            <w:tcBorders>
              <w:top w:val="nil"/>
              <w:left w:val="nil"/>
              <w:bottom w:val="nil"/>
              <w:right w:val="nil"/>
            </w:tcBorders>
            <w:shd w:val="clear" w:color="auto" w:fill="auto"/>
            <w:vAlign w:val="center"/>
            <w:hideMark/>
          </w:tcPr>
          <w:p w14:paraId="64F5A93A"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11 444</w:t>
            </w:r>
          </w:p>
        </w:tc>
      </w:tr>
      <w:tr w:rsidR="004F7BCA" w:rsidRPr="001C3215" w14:paraId="6D061A87" w14:textId="77777777" w:rsidTr="00C35785">
        <w:trPr>
          <w:trHeight w:val="283"/>
          <w:jc w:val="center"/>
        </w:trPr>
        <w:tc>
          <w:tcPr>
            <w:tcW w:w="1173" w:type="pct"/>
            <w:vMerge w:val="restart"/>
            <w:tcBorders>
              <w:top w:val="nil"/>
              <w:left w:val="nil"/>
              <w:bottom w:val="nil"/>
              <w:right w:val="nil"/>
            </w:tcBorders>
            <w:shd w:val="clear" w:color="000000" w:fill="DEEAF6"/>
            <w:vAlign w:val="center"/>
            <w:hideMark/>
          </w:tcPr>
          <w:p w14:paraId="63417479"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vnútra SR</w:t>
            </w:r>
          </w:p>
        </w:tc>
        <w:tc>
          <w:tcPr>
            <w:tcW w:w="1395" w:type="pct"/>
            <w:tcBorders>
              <w:top w:val="nil"/>
              <w:left w:val="nil"/>
              <w:bottom w:val="nil"/>
              <w:right w:val="nil"/>
            </w:tcBorders>
            <w:shd w:val="clear" w:color="000000" w:fill="DEEAF6"/>
            <w:vAlign w:val="center"/>
            <w:hideMark/>
          </w:tcPr>
          <w:p w14:paraId="611E2411"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0D6 Efektívna a spoľahlivá štátna správa</w:t>
            </w:r>
          </w:p>
        </w:tc>
        <w:tc>
          <w:tcPr>
            <w:tcW w:w="644" w:type="pct"/>
            <w:tcBorders>
              <w:top w:val="nil"/>
              <w:left w:val="nil"/>
              <w:bottom w:val="nil"/>
              <w:right w:val="nil"/>
            </w:tcBorders>
            <w:shd w:val="clear" w:color="000000" w:fill="DEEAF6"/>
            <w:vAlign w:val="center"/>
            <w:hideMark/>
          </w:tcPr>
          <w:p w14:paraId="5C5A7F69"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1 586 035</w:t>
            </w:r>
          </w:p>
        </w:tc>
        <w:tc>
          <w:tcPr>
            <w:tcW w:w="597" w:type="pct"/>
            <w:tcBorders>
              <w:top w:val="nil"/>
              <w:left w:val="nil"/>
              <w:bottom w:val="nil"/>
              <w:right w:val="nil"/>
            </w:tcBorders>
            <w:shd w:val="clear" w:color="000000" w:fill="DEEAF6"/>
            <w:vAlign w:val="center"/>
            <w:hideMark/>
          </w:tcPr>
          <w:p w14:paraId="16D6B3D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1 448 052</w:t>
            </w:r>
          </w:p>
        </w:tc>
        <w:tc>
          <w:tcPr>
            <w:tcW w:w="586" w:type="pct"/>
            <w:tcBorders>
              <w:top w:val="nil"/>
              <w:left w:val="nil"/>
              <w:bottom w:val="nil"/>
              <w:right w:val="nil"/>
            </w:tcBorders>
            <w:shd w:val="clear" w:color="000000" w:fill="DEEAF6"/>
            <w:vAlign w:val="center"/>
            <w:hideMark/>
          </w:tcPr>
          <w:p w14:paraId="45BD1624"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1 543 453</w:t>
            </w:r>
          </w:p>
        </w:tc>
        <w:tc>
          <w:tcPr>
            <w:tcW w:w="605" w:type="pct"/>
            <w:tcBorders>
              <w:top w:val="nil"/>
              <w:left w:val="nil"/>
              <w:bottom w:val="nil"/>
              <w:right w:val="nil"/>
            </w:tcBorders>
            <w:shd w:val="clear" w:color="000000" w:fill="DEEAF6"/>
            <w:vAlign w:val="center"/>
            <w:hideMark/>
          </w:tcPr>
          <w:p w14:paraId="02074C4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95 401</w:t>
            </w:r>
          </w:p>
        </w:tc>
      </w:tr>
      <w:tr w:rsidR="004F7BCA" w:rsidRPr="001C3215" w14:paraId="101DDFF6" w14:textId="77777777" w:rsidTr="00C35785">
        <w:trPr>
          <w:trHeight w:val="283"/>
          <w:jc w:val="center"/>
        </w:trPr>
        <w:tc>
          <w:tcPr>
            <w:tcW w:w="1173" w:type="pct"/>
            <w:vMerge/>
            <w:tcBorders>
              <w:top w:val="nil"/>
              <w:left w:val="nil"/>
              <w:bottom w:val="nil"/>
              <w:right w:val="nil"/>
            </w:tcBorders>
            <w:vAlign w:val="center"/>
            <w:hideMark/>
          </w:tcPr>
          <w:p w14:paraId="1E34ABFA"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000000" w:fill="DEEAF6"/>
            <w:vAlign w:val="center"/>
            <w:hideMark/>
          </w:tcPr>
          <w:p w14:paraId="65B654D5"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0D5 Výchova a vzdelávanie mládeže</w:t>
            </w:r>
          </w:p>
        </w:tc>
        <w:tc>
          <w:tcPr>
            <w:tcW w:w="644" w:type="pct"/>
            <w:tcBorders>
              <w:top w:val="nil"/>
              <w:left w:val="nil"/>
              <w:bottom w:val="nil"/>
              <w:right w:val="nil"/>
            </w:tcBorders>
            <w:shd w:val="clear" w:color="000000" w:fill="DEEAF6"/>
            <w:vAlign w:val="center"/>
            <w:hideMark/>
          </w:tcPr>
          <w:p w14:paraId="1EE1665E"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1 698 811</w:t>
            </w:r>
          </w:p>
        </w:tc>
        <w:tc>
          <w:tcPr>
            <w:tcW w:w="597" w:type="pct"/>
            <w:tcBorders>
              <w:top w:val="nil"/>
              <w:left w:val="nil"/>
              <w:bottom w:val="nil"/>
              <w:right w:val="nil"/>
            </w:tcBorders>
            <w:shd w:val="clear" w:color="000000" w:fill="DEEAF6"/>
            <w:vAlign w:val="center"/>
            <w:hideMark/>
          </w:tcPr>
          <w:p w14:paraId="4820E8B5"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0</w:t>
            </w:r>
          </w:p>
        </w:tc>
        <w:tc>
          <w:tcPr>
            <w:tcW w:w="586" w:type="pct"/>
            <w:tcBorders>
              <w:top w:val="nil"/>
              <w:left w:val="nil"/>
              <w:bottom w:val="nil"/>
              <w:right w:val="nil"/>
            </w:tcBorders>
            <w:shd w:val="clear" w:color="000000" w:fill="DEEAF6"/>
            <w:vAlign w:val="center"/>
            <w:hideMark/>
          </w:tcPr>
          <w:p w14:paraId="318C495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0</w:t>
            </w:r>
          </w:p>
        </w:tc>
        <w:tc>
          <w:tcPr>
            <w:tcW w:w="605" w:type="pct"/>
            <w:tcBorders>
              <w:top w:val="nil"/>
              <w:left w:val="nil"/>
              <w:bottom w:val="nil"/>
              <w:right w:val="nil"/>
            </w:tcBorders>
            <w:shd w:val="clear" w:color="000000" w:fill="DEEAF6"/>
            <w:vAlign w:val="center"/>
            <w:hideMark/>
          </w:tcPr>
          <w:p w14:paraId="6DE5489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0</w:t>
            </w:r>
          </w:p>
        </w:tc>
      </w:tr>
      <w:tr w:rsidR="004F7BCA" w:rsidRPr="001C3215" w14:paraId="72D03110" w14:textId="77777777" w:rsidTr="00C35785">
        <w:trPr>
          <w:trHeight w:val="283"/>
          <w:jc w:val="center"/>
        </w:trPr>
        <w:tc>
          <w:tcPr>
            <w:tcW w:w="1173" w:type="pct"/>
            <w:vMerge w:val="restart"/>
            <w:tcBorders>
              <w:top w:val="nil"/>
              <w:left w:val="nil"/>
              <w:bottom w:val="nil"/>
              <w:right w:val="nil"/>
            </w:tcBorders>
            <w:shd w:val="clear" w:color="auto" w:fill="auto"/>
            <w:vAlign w:val="center"/>
            <w:hideMark/>
          </w:tcPr>
          <w:p w14:paraId="65258874"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zdravotníctva SR</w:t>
            </w:r>
          </w:p>
        </w:tc>
        <w:tc>
          <w:tcPr>
            <w:tcW w:w="1395" w:type="pct"/>
            <w:tcBorders>
              <w:top w:val="nil"/>
              <w:left w:val="nil"/>
              <w:bottom w:val="nil"/>
              <w:right w:val="nil"/>
            </w:tcBorders>
            <w:shd w:val="clear" w:color="auto" w:fill="auto"/>
            <w:vAlign w:val="center"/>
            <w:hideMark/>
          </w:tcPr>
          <w:p w14:paraId="6BF0AACC"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07A Zdravotná starostlivosť</w:t>
            </w:r>
          </w:p>
        </w:tc>
        <w:tc>
          <w:tcPr>
            <w:tcW w:w="644" w:type="pct"/>
            <w:tcBorders>
              <w:top w:val="nil"/>
              <w:left w:val="nil"/>
              <w:bottom w:val="nil"/>
              <w:right w:val="nil"/>
            </w:tcBorders>
            <w:shd w:val="clear" w:color="auto" w:fill="auto"/>
            <w:vAlign w:val="center"/>
            <w:hideMark/>
          </w:tcPr>
          <w:p w14:paraId="0AD53A17"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1 450 767</w:t>
            </w:r>
          </w:p>
        </w:tc>
        <w:tc>
          <w:tcPr>
            <w:tcW w:w="597" w:type="pct"/>
            <w:tcBorders>
              <w:top w:val="nil"/>
              <w:left w:val="nil"/>
              <w:bottom w:val="nil"/>
              <w:right w:val="nil"/>
            </w:tcBorders>
            <w:shd w:val="clear" w:color="auto" w:fill="auto"/>
            <w:vAlign w:val="center"/>
            <w:hideMark/>
          </w:tcPr>
          <w:p w14:paraId="3122401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1 346 056</w:t>
            </w:r>
          </w:p>
        </w:tc>
        <w:tc>
          <w:tcPr>
            <w:tcW w:w="586" w:type="pct"/>
            <w:tcBorders>
              <w:top w:val="nil"/>
              <w:left w:val="nil"/>
              <w:bottom w:val="nil"/>
              <w:right w:val="nil"/>
            </w:tcBorders>
            <w:shd w:val="clear" w:color="auto" w:fill="auto"/>
            <w:vAlign w:val="center"/>
            <w:hideMark/>
          </w:tcPr>
          <w:p w14:paraId="0A00E9D4"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1 576 789</w:t>
            </w:r>
          </w:p>
        </w:tc>
        <w:tc>
          <w:tcPr>
            <w:tcW w:w="605" w:type="pct"/>
            <w:tcBorders>
              <w:top w:val="nil"/>
              <w:left w:val="nil"/>
              <w:bottom w:val="nil"/>
              <w:right w:val="nil"/>
            </w:tcBorders>
            <w:shd w:val="clear" w:color="auto" w:fill="auto"/>
            <w:vAlign w:val="center"/>
            <w:hideMark/>
          </w:tcPr>
          <w:p w14:paraId="60172415"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230 733</w:t>
            </w:r>
          </w:p>
        </w:tc>
      </w:tr>
      <w:tr w:rsidR="004F7BCA" w:rsidRPr="001C3215" w14:paraId="0899E1C9" w14:textId="77777777" w:rsidTr="00C35785">
        <w:trPr>
          <w:trHeight w:val="283"/>
          <w:jc w:val="center"/>
        </w:trPr>
        <w:tc>
          <w:tcPr>
            <w:tcW w:w="1173" w:type="pct"/>
            <w:vMerge/>
            <w:tcBorders>
              <w:top w:val="nil"/>
              <w:left w:val="nil"/>
              <w:bottom w:val="nil"/>
              <w:right w:val="nil"/>
            </w:tcBorders>
            <w:vAlign w:val="center"/>
            <w:hideMark/>
          </w:tcPr>
          <w:p w14:paraId="37F7212F"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1EC0D0FB"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07B Tvorba a implementácia politík</w:t>
            </w:r>
          </w:p>
        </w:tc>
        <w:tc>
          <w:tcPr>
            <w:tcW w:w="644" w:type="pct"/>
            <w:tcBorders>
              <w:top w:val="nil"/>
              <w:left w:val="nil"/>
              <w:bottom w:val="nil"/>
              <w:right w:val="nil"/>
            </w:tcBorders>
            <w:shd w:val="clear" w:color="auto" w:fill="auto"/>
            <w:vAlign w:val="center"/>
            <w:hideMark/>
          </w:tcPr>
          <w:p w14:paraId="661DFCE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1 974 003</w:t>
            </w:r>
          </w:p>
        </w:tc>
        <w:tc>
          <w:tcPr>
            <w:tcW w:w="597" w:type="pct"/>
            <w:tcBorders>
              <w:top w:val="nil"/>
              <w:left w:val="nil"/>
              <w:bottom w:val="nil"/>
              <w:right w:val="nil"/>
            </w:tcBorders>
            <w:shd w:val="clear" w:color="auto" w:fill="auto"/>
            <w:vAlign w:val="center"/>
            <w:hideMark/>
          </w:tcPr>
          <w:p w14:paraId="277C345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188 365</w:t>
            </w:r>
          </w:p>
        </w:tc>
        <w:tc>
          <w:tcPr>
            <w:tcW w:w="586" w:type="pct"/>
            <w:tcBorders>
              <w:top w:val="nil"/>
              <w:left w:val="nil"/>
              <w:bottom w:val="nil"/>
              <w:right w:val="nil"/>
            </w:tcBorders>
            <w:shd w:val="clear" w:color="auto" w:fill="auto"/>
            <w:vAlign w:val="center"/>
            <w:hideMark/>
          </w:tcPr>
          <w:p w14:paraId="62EFA75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64 151</w:t>
            </w:r>
          </w:p>
        </w:tc>
        <w:tc>
          <w:tcPr>
            <w:tcW w:w="605" w:type="pct"/>
            <w:tcBorders>
              <w:top w:val="nil"/>
              <w:left w:val="nil"/>
              <w:bottom w:val="nil"/>
              <w:right w:val="nil"/>
            </w:tcBorders>
            <w:shd w:val="clear" w:color="auto" w:fill="auto"/>
            <w:vAlign w:val="center"/>
            <w:hideMark/>
          </w:tcPr>
          <w:p w14:paraId="1EF3C359"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-124 214</w:t>
            </w:r>
          </w:p>
        </w:tc>
      </w:tr>
      <w:tr w:rsidR="004F7BCA" w:rsidRPr="001C3215" w14:paraId="693B4762" w14:textId="77777777" w:rsidTr="00C35785">
        <w:trPr>
          <w:trHeight w:val="283"/>
          <w:jc w:val="center"/>
        </w:trPr>
        <w:tc>
          <w:tcPr>
            <w:tcW w:w="1173" w:type="pct"/>
            <w:vMerge/>
            <w:tcBorders>
              <w:top w:val="nil"/>
              <w:left w:val="nil"/>
              <w:bottom w:val="nil"/>
              <w:right w:val="nil"/>
            </w:tcBorders>
            <w:vAlign w:val="center"/>
            <w:hideMark/>
          </w:tcPr>
          <w:p w14:paraId="12779531"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10A342FC"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079 Prevencia a ochrana zdravia</w:t>
            </w:r>
          </w:p>
        </w:tc>
        <w:tc>
          <w:tcPr>
            <w:tcW w:w="644" w:type="pct"/>
            <w:tcBorders>
              <w:top w:val="nil"/>
              <w:left w:val="nil"/>
              <w:bottom w:val="nil"/>
              <w:right w:val="nil"/>
            </w:tcBorders>
            <w:shd w:val="clear" w:color="auto" w:fill="auto"/>
            <w:vAlign w:val="center"/>
            <w:hideMark/>
          </w:tcPr>
          <w:p w14:paraId="624D6A47"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109 025</w:t>
            </w:r>
          </w:p>
        </w:tc>
        <w:tc>
          <w:tcPr>
            <w:tcW w:w="597" w:type="pct"/>
            <w:tcBorders>
              <w:top w:val="nil"/>
              <w:left w:val="nil"/>
              <w:bottom w:val="nil"/>
              <w:right w:val="nil"/>
            </w:tcBorders>
            <w:shd w:val="clear" w:color="auto" w:fill="auto"/>
            <w:vAlign w:val="center"/>
            <w:hideMark/>
          </w:tcPr>
          <w:p w14:paraId="4EF3107E"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65 645</w:t>
            </w:r>
          </w:p>
        </w:tc>
        <w:tc>
          <w:tcPr>
            <w:tcW w:w="586" w:type="pct"/>
            <w:tcBorders>
              <w:top w:val="nil"/>
              <w:left w:val="nil"/>
              <w:bottom w:val="nil"/>
              <w:right w:val="nil"/>
            </w:tcBorders>
            <w:shd w:val="clear" w:color="auto" w:fill="auto"/>
            <w:vAlign w:val="center"/>
            <w:hideMark/>
          </w:tcPr>
          <w:p w14:paraId="5DCC7E6C"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74 091</w:t>
            </w:r>
          </w:p>
        </w:tc>
        <w:tc>
          <w:tcPr>
            <w:tcW w:w="605" w:type="pct"/>
            <w:tcBorders>
              <w:top w:val="nil"/>
              <w:left w:val="nil"/>
              <w:bottom w:val="nil"/>
              <w:right w:val="nil"/>
            </w:tcBorders>
            <w:shd w:val="clear" w:color="auto" w:fill="auto"/>
            <w:vAlign w:val="center"/>
            <w:hideMark/>
          </w:tcPr>
          <w:p w14:paraId="091AEE79"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8 446</w:t>
            </w:r>
          </w:p>
        </w:tc>
      </w:tr>
      <w:tr w:rsidR="004F7BCA" w:rsidRPr="001C3215" w14:paraId="77DEC511" w14:textId="77777777" w:rsidTr="00C35785">
        <w:trPr>
          <w:trHeight w:val="283"/>
          <w:jc w:val="center"/>
        </w:trPr>
        <w:tc>
          <w:tcPr>
            <w:tcW w:w="1173" w:type="pct"/>
            <w:tcBorders>
              <w:top w:val="nil"/>
              <w:left w:val="nil"/>
              <w:bottom w:val="nil"/>
              <w:right w:val="nil"/>
            </w:tcBorders>
            <w:shd w:val="clear" w:color="000000" w:fill="DEEAF6"/>
            <w:vAlign w:val="center"/>
            <w:hideMark/>
          </w:tcPr>
          <w:p w14:paraId="222E79FB"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životného prostredia SR</w:t>
            </w:r>
          </w:p>
        </w:tc>
        <w:tc>
          <w:tcPr>
            <w:tcW w:w="1395" w:type="pct"/>
            <w:tcBorders>
              <w:top w:val="nil"/>
              <w:left w:val="nil"/>
              <w:bottom w:val="nil"/>
              <w:right w:val="nil"/>
            </w:tcBorders>
            <w:shd w:val="clear" w:color="000000" w:fill="DEEAF6"/>
            <w:vAlign w:val="center"/>
            <w:hideMark/>
          </w:tcPr>
          <w:p w14:paraId="6C0A63EE"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075 Starostlivosť o životné prostredie</w:t>
            </w:r>
          </w:p>
        </w:tc>
        <w:tc>
          <w:tcPr>
            <w:tcW w:w="644" w:type="pct"/>
            <w:tcBorders>
              <w:top w:val="nil"/>
              <w:left w:val="nil"/>
              <w:bottom w:val="nil"/>
              <w:right w:val="nil"/>
            </w:tcBorders>
            <w:shd w:val="clear" w:color="000000" w:fill="DEEAF6"/>
            <w:vAlign w:val="center"/>
            <w:hideMark/>
          </w:tcPr>
          <w:p w14:paraId="65A881D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304 328</w:t>
            </w:r>
          </w:p>
        </w:tc>
        <w:tc>
          <w:tcPr>
            <w:tcW w:w="597" w:type="pct"/>
            <w:tcBorders>
              <w:top w:val="nil"/>
              <w:left w:val="nil"/>
              <w:bottom w:val="nil"/>
              <w:right w:val="nil"/>
            </w:tcBorders>
            <w:shd w:val="clear" w:color="000000" w:fill="DEEAF6"/>
            <w:vAlign w:val="center"/>
            <w:hideMark/>
          </w:tcPr>
          <w:p w14:paraId="0C891F8C"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439 975</w:t>
            </w:r>
          </w:p>
        </w:tc>
        <w:tc>
          <w:tcPr>
            <w:tcW w:w="586" w:type="pct"/>
            <w:tcBorders>
              <w:top w:val="nil"/>
              <w:left w:val="nil"/>
              <w:bottom w:val="nil"/>
              <w:right w:val="nil"/>
            </w:tcBorders>
            <w:shd w:val="clear" w:color="000000" w:fill="DEEAF6"/>
            <w:vAlign w:val="center"/>
            <w:hideMark/>
          </w:tcPr>
          <w:p w14:paraId="038BF19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1 496 667</w:t>
            </w:r>
          </w:p>
        </w:tc>
        <w:tc>
          <w:tcPr>
            <w:tcW w:w="605" w:type="pct"/>
            <w:tcBorders>
              <w:top w:val="nil"/>
              <w:left w:val="nil"/>
              <w:bottom w:val="nil"/>
              <w:right w:val="nil"/>
            </w:tcBorders>
            <w:shd w:val="clear" w:color="000000" w:fill="DEEAF6"/>
            <w:vAlign w:val="center"/>
            <w:hideMark/>
          </w:tcPr>
          <w:p w14:paraId="2ABEE187"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1 056 692</w:t>
            </w:r>
          </w:p>
        </w:tc>
      </w:tr>
      <w:tr w:rsidR="004F7BCA" w:rsidRPr="001C3215" w14:paraId="39E9FB01" w14:textId="77777777" w:rsidTr="00C35785">
        <w:trPr>
          <w:trHeight w:val="283"/>
          <w:jc w:val="center"/>
        </w:trPr>
        <w:tc>
          <w:tcPr>
            <w:tcW w:w="1173" w:type="pct"/>
            <w:vMerge w:val="restart"/>
            <w:tcBorders>
              <w:top w:val="nil"/>
              <w:left w:val="nil"/>
              <w:bottom w:val="nil"/>
              <w:right w:val="nil"/>
            </w:tcBorders>
            <w:shd w:val="clear" w:color="auto" w:fill="auto"/>
            <w:vAlign w:val="center"/>
            <w:hideMark/>
          </w:tcPr>
          <w:p w14:paraId="383B12E4"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pôdohospodárstva a rozvoja vidieka SR</w:t>
            </w:r>
          </w:p>
        </w:tc>
        <w:tc>
          <w:tcPr>
            <w:tcW w:w="1395" w:type="pct"/>
            <w:tcBorders>
              <w:top w:val="nil"/>
              <w:left w:val="nil"/>
              <w:bottom w:val="nil"/>
              <w:right w:val="nil"/>
            </w:tcBorders>
            <w:shd w:val="clear" w:color="auto" w:fill="auto"/>
            <w:vAlign w:val="center"/>
            <w:hideMark/>
          </w:tcPr>
          <w:p w14:paraId="4D507617"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0CC Stabilizácia poľnohospodárstva trhov s poľnohospodárskymi komoditami</w:t>
            </w:r>
          </w:p>
        </w:tc>
        <w:tc>
          <w:tcPr>
            <w:tcW w:w="644" w:type="pct"/>
            <w:tcBorders>
              <w:top w:val="nil"/>
              <w:left w:val="nil"/>
              <w:bottom w:val="nil"/>
              <w:right w:val="nil"/>
            </w:tcBorders>
            <w:shd w:val="clear" w:color="auto" w:fill="auto"/>
            <w:vAlign w:val="center"/>
            <w:hideMark/>
          </w:tcPr>
          <w:p w14:paraId="22CF3237"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401 244</w:t>
            </w:r>
          </w:p>
        </w:tc>
        <w:tc>
          <w:tcPr>
            <w:tcW w:w="597" w:type="pct"/>
            <w:tcBorders>
              <w:top w:val="nil"/>
              <w:left w:val="nil"/>
              <w:bottom w:val="nil"/>
              <w:right w:val="nil"/>
            </w:tcBorders>
            <w:shd w:val="clear" w:color="auto" w:fill="auto"/>
            <w:vAlign w:val="center"/>
            <w:hideMark/>
          </w:tcPr>
          <w:p w14:paraId="01C6240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457 387</w:t>
            </w:r>
          </w:p>
        </w:tc>
        <w:tc>
          <w:tcPr>
            <w:tcW w:w="586" w:type="pct"/>
            <w:tcBorders>
              <w:top w:val="nil"/>
              <w:left w:val="nil"/>
              <w:bottom w:val="nil"/>
              <w:right w:val="nil"/>
            </w:tcBorders>
            <w:shd w:val="clear" w:color="auto" w:fill="auto"/>
            <w:vAlign w:val="center"/>
            <w:hideMark/>
          </w:tcPr>
          <w:p w14:paraId="295FDA6F"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1 734</w:t>
            </w:r>
          </w:p>
        </w:tc>
        <w:tc>
          <w:tcPr>
            <w:tcW w:w="605" w:type="pct"/>
            <w:tcBorders>
              <w:top w:val="nil"/>
              <w:left w:val="nil"/>
              <w:bottom w:val="nil"/>
              <w:right w:val="nil"/>
            </w:tcBorders>
            <w:shd w:val="clear" w:color="auto" w:fill="auto"/>
            <w:vAlign w:val="center"/>
            <w:hideMark/>
          </w:tcPr>
          <w:p w14:paraId="5D4BA446"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-455 653</w:t>
            </w:r>
          </w:p>
        </w:tc>
      </w:tr>
      <w:tr w:rsidR="004F7BCA" w:rsidRPr="001C3215" w14:paraId="0C169EEC" w14:textId="77777777" w:rsidTr="00C35785">
        <w:trPr>
          <w:trHeight w:val="283"/>
          <w:jc w:val="center"/>
        </w:trPr>
        <w:tc>
          <w:tcPr>
            <w:tcW w:w="1173" w:type="pct"/>
            <w:vMerge/>
            <w:tcBorders>
              <w:top w:val="nil"/>
              <w:left w:val="nil"/>
              <w:bottom w:val="nil"/>
              <w:right w:val="nil"/>
            </w:tcBorders>
            <w:vAlign w:val="center"/>
            <w:hideMark/>
          </w:tcPr>
          <w:p w14:paraId="604F2C94"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586E1416" w14:textId="2D8262B5" w:rsidR="004F7BCA" w:rsidRPr="001C3215" w:rsidRDefault="004F7BCA" w:rsidP="005A30D1">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 xml:space="preserve">0CD Rozvoj vidieka SR 2014 </w:t>
            </w:r>
            <w:r w:rsidR="005A30D1">
              <w:rPr>
                <w:rFonts w:eastAsia="Times New Roman" w:cs="Segoe UI"/>
                <w:color w:val="000000"/>
                <w:sz w:val="16"/>
                <w:szCs w:val="16"/>
                <w:lang w:eastAsia="sk-SK"/>
              </w:rPr>
              <w:t xml:space="preserve">– </w:t>
            </w:r>
            <w:r w:rsidRPr="001C3215">
              <w:rPr>
                <w:rFonts w:eastAsia="Times New Roman" w:cs="Segoe UI"/>
                <w:color w:val="000000"/>
                <w:sz w:val="16"/>
                <w:szCs w:val="16"/>
                <w:lang w:eastAsia="sk-SK"/>
              </w:rPr>
              <w:t>2020</w:t>
            </w:r>
          </w:p>
        </w:tc>
        <w:tc>
          <w:tcPr>
            <w:tcW w:w="644" w:type="pct"/>
            <w:tcBorders>
              <w:top w:val="nil"/>
              <w:left w:val="nil"/>
              <w:bottom w:val="nil"/>
              <w:right w:val="nil"/>
            </w:tcBorders>
            <w:shd w:val="clear" w:color="auto" w:fill="auto"/>
            <w:vAlign w:val="center"/>
            <w:hideMark/>
          </w:tcPr>
          <w:p w14:paraId="1205868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171 455</w:t>
            </w:r>
          </w:p>
        </w:tc>
        <w:tc>
          <w:tcPr>
            <w:tcW w:w="597" w:type="pct"/>
            <w:tcBorders>
              <w:top w:val="nil"/>
              <w:left w:val="nil"/>
              <w:bottom w:val="nil"/>
              <w:right w:val="nil"/>
            </w:tcBorders>
            <w:shd w:val="clear" w:color="auto" w:fill="auto"/>
            <w:vAlign w:val="center"/>
            <w:hideMark/>
          </w:tcPr>
          <w:p w14:paraId="7906D084"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575 915</w:t>
            </w:r>
          </w:p>
        </w:tc>
        <w:tc>
          <w:tcPr>
            <w:tcW w:w="586" w:type="pct"/>
            <w:tcBorders>
              <w:top w:val="nil"/>
              <w:left w:val="nil"/>
              <w:bottom w:val="nil"/>
              <w:right w:val="nil"/>
            </w:tcBorders>
            <w:shd w:val="clear" w:color="auto" w:fill="auto"/>
            <w:vAlign w:val="center"/>
            <w:hideMark/>
          </w:tcPr>
          <w:p w14:paraId="157A523D"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74 217</w:t>
            </w:r>
          </w:p>
        </w:tc>
        <w:tc>
          <w:tcPr>
            <w:tcW w:w="605" w:type="pct"/>
            <w:tcBorders>
              <w:top w:val="nil"/>
              <w:left w:val="nil"/>
              <w:bottom w:val="nil"/>
              <w:right w:val="nil"/>
            </w:tcBorders>
            <w:shd w:val="clear" w:color="auto" w:fill="auto"/>
            <w:vAlign w:val="center"/>
            <w:hideMark/>
          </w:tcPr>
          <w:p w14:paraId="10B1B26C"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-501 698</w:t>
            </w:r>
          </w:p>
        </w:tc>
      </w:tr>
      <w:tr w:rsidR="004F7BCA" w:rsidRPr="001C3215" w14:paraId="0E1706A7" w14:textId="77777777" w:rsidTr="00C35785">
        <w:trPr>
          <w:trHeight w:val="283"/>
          <w:jc w:val="center"/>
        </w:trPr>
        <w:tc>
          <w:tcPr>
            <w:tcW w:w="1173" w:type="pct"/>
            <w:vMerge/>
            <w:tcBorders>
              <w:top w:val="nil"/>
              <w:left w:val="nil"/>
              <w:bottom w:val="nil"/>
              <w:right w:val="nil"/>
            </w:tcBorders>
            <w:vAlign w:val="center"/>
            <w:hideMark/>
          </w:tcPr>
          <w:p w14:paraId="5ADB745D"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300BE934" w14:textId="58F5A089" w:rsidR="004F7BCA" w:rsidRPr="001C3215" w:rsidRDefault="004F7BCA" w:rsidP="005A30D1">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 xml:space="preserve">0H4 STRATEGICKÝ PLÁN SPP 2023 </w:t>
            </w:r>
            <w:r w:rsidR="005A30D1">
              <w:rPr>
                <w:rFonts w:eastAsia="Times New Roman" w:cs="Segoe UI"/>
                <w:color w:val="000000"/>
                <w:sz w:val="16"/>
                <w:szCs w:val="16"/>
                <w:lang w:eastAsia="sk-SK"/>
              </w:rPr>
              <w:t xml:space="preserve">– </w:t>
            </w:r>
            <w:r w:rsidRPr="001C3215">
              <w:rPr>
                <w:rFonts w:eastAsia="Times New Roman" w:cs="Segoe UI"/>
                <w:color w:val="000000"/>
                <w:sz w:val="16"/>
                <w:szCs w:val="16"/>
                <w:lang w:eastAsia="sk-SK"/>
              </w:rPr>
              <w:t>2027</w:t>
            </w:r>
          </w:p>
        </w:tc>
        <w:tc>
          <w:tcPr>
            <w:tcW w:w="644" w:type="pct"/>
            <w:tcBorders>
              <w:top w:val="nil"/>
              <w:left w:val="nil"/>
              <w:bottom w:val="nil"/>
              <w:right w:val="nil"/>
            </w:tcBorders>
            <w:shd w:val="clear" w:color="auto" w:fill="auto"/>
            <w:vAlign w:val="center"/>
            <w:hideMark/>
          </w:tcPr>
          <w:p w14:paraId="53FE4C6D"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0</w:t>
            </w:r>
          </w:p>
        </w:tc>
        <w:tc>
          <w:tcPr>
            <w:tcW w:w="597" w:type="pct"/>
            <w:tcBorders>
              <w:top w:val="nil"/>
              <w:left w:val="nil"/>
              <w:bottom w:val="nil"/>
              <w:right w:val="nil"/>
            </w:tcBorders>
            <w:shd w:val="clear" w:color="auto" w:fill="auto"/>
            <w:vAlign w:val="center"/>
            <w:hideMark/>
          </w:tcPr>
          <w:p w14:paraId="5DC6D7F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0</w:t>
            </w:r>
          </w:p>
        </w:tc>
        <w:tc>
          <w:tcPr>
            <w:tcW w:w="586" w:type="pct"/>
            <w:tcBorders>
              <w:top w:val="nil"/>
              <w:left w:val="nil"/>
              <w:bottom w:val="nil"/>
              <w:right w:val="nil"/>
            </w:tcBorders>
            <w:shd w:val="clear" w:color="auto" w:fill="auto"/>
            <w:vAlign w:val="center"/>
            <w:hideMark/>
          </w:tcPr>
          <w:p w14:paraId="305763C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649 978</w:t>
            </w:r>
          </w:p>
        </w:tc>
        <w:tc>
          <w:tcPr>
            <w:tcW w:w="605" w:type="pct"/>
            <w:tcBorders>
              <w:top w:val="nil"/>
              <w:left w:val="nil"/>
              <w:bottom w:val="nil"/>
              <w:right w:val="nil"/>
            </w:tcBorders>
            <w:shd w:val="clear" w:color="auto" w:fill="auto"/>
            <w:vAlign w:val="center"/>
            <w:hideMark/>
          </w:tcPr>
          <w:p w14:paraId="239B0B8E"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649 978</w:t>
            </w:r>
          </w:p>
        </w:tc>
      </w:tr>
      <w:tr w:rsidR="004F7BCA" w:rsidRPr="001C3215" w14:paraId="734732CD" w14:textId="77777777" w:rsidTr="00C35785">
        <w:trPr>
          <w:trHeight w:val="283"/>
          <w:jc w:val="center"/>
        </w:trPr>
        <w:tc>
          <w:tcPr>
            <w:tcW w:w="1173" w:type="pct"/>
            <w:vMerge/>
            <w:tcBorders>
              <w:top w:val="nil"/>
              <w:left w:val="nil"/>
              <w:bottom w:val="nil"/>
              <w:right w:val="nil"/>
            </w:tcBorders>
            <w:vAlign w:val="center"/>
            <w:hideMark/>
          </w:tcPr>
          <w:p w14:paraId="2466F3C2"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1CA23112"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090 Tvorba, regulácia a implementácia politík</w:t>
            </w:r>
          </w:p>
        </w:tc>
        <w:tc>
          <w:tcPr>
            <w:tcW w:w="644" w:type="pct"/>
            <w:tcBorders>
              <w:top w:val="nil"/>
              <w:left w:val="nil"/>
              <w:bottom w:val="nil"/>
              <w:right w:val="nil"/>
            </w:tcBorders>
            <w:shd w:val="clear" w:color="auto" w:fill="auto"/>
            <w:vAlign w:val="center"/>
            <w:hideMark/>
          </w:tcPr>
          <w:p w14:paraId="15413FFB"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184 991</w:t>
            </w:r>
          </w:p>
        </w:tc>
        <w:tc>
          <w:tcPr>
            <w:tcW w:w="597" w:type="pct"/>
            <w:tcBorders>
              <w:top w:val="nil"/>
              <w:left w:val="nil"/>
              <w:bottom w:val="nil"/>
              <w:right w:val="nil"/>
            </w:tcBorders>
            <w:shd w:val="clear" w:color="auto" w:fill="auto"/>
            <w:vAlign w:val="center"/>
            <w:hideMark/>
          </w:tcPr>
          <w:p w14:paraId="03403BC1"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153 715</w:t>
            </w:r>
          </w:p>
        </w:tc>
        <w:tc>
          <w:tcPr>
            <w:tcW w:w="586" w:type="pct"/>
            <w:tcBorders>
              <w:top w:val="nil"/>
              <w:left w:val="nil"/>
              <w:bottom w:val="nil"/>
              <w:right w:val="nil"/>
            </w:tcBorders>
            <w:shd w:val="clear" w:color="auto" w:fill="auto"/>
            <w:vAlign w:val="center"/>
            <w:hideMark/>
          </w:tcPr>
          <w:p w14:paraId="52411E19"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174 321</w:t>
            </w:r>
          </w:p>
        </w:tc>
        <w:tc>
          <w:tcPr>
            <w:tcW w:w="605" w:type="pct"/>
            <w:tcBorders>
              <w:top w:val="nil"/>
              <w:left w:val="nil"/>
              <w:bottom w:val="nil"/>
              <w:right w:val="nil"/>
            </w:tcBorders>
            <w:shd w:val="clear" w:color="auto" w:fill="auto"/>
            <w:vAlign w:val="center"/>
            <w:hideMark/>
          </w:tcPr>
          <w:p w14:paraId="272C8DC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20 606</w:t>
            </w:r>
          </w:p>
        </w:tc>
      </w:tr>
      <w:tr w:rsidR="004F7BCA" w:rsidRPr="001C3215" w14:paraId="3C9C5806" w14:textId="77777777" w:rsidTr="00C35785">
        <w:trPr>
          <w:trHeight w:val="283"/>
          <w:jc w:val="center"/>
        </w:trPr>
        <w:tc>
          <w:tcPr>
            <w:tcW w:w="1173" w:type="pct"/>
            <w:vMerge w:val="restart"/>
            <w:tcBorders>
              <w:top w:val="nil"/>
              <w:left w:val="nil"/>
              <w:bottom w:val="nil"/>
              <w:right w:val="nil"/>
            </w:tcBorders>
            <w:shd w:val="clear" w:color="000000" w:fill="DEEAF6"/>
            <w:vAlign w:val="center"/>
            <w:hideMark/>
          </w:tcPr>
          <w:p w14:paraId="0D74CED3"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spravodlivosti SR</w:t>
            </w:r>
          </w:p>
        </w:tc>
        <w:tc>
          <w:tcPr>
            <w:tcW w:w="1395" w:type="pct"/>
            <w:tcBorders>
              <w:top w:val="nil"/>
              <w:left w:val="nil"/>
              <w:bottom w:val="nil"/>
              <w:right w:val="nil"/>
            </w:tcBorders>
            <w:shd w:val="clear" w:color="000000" w:fill="DEEAF6"/>
            <w:vAlign w:val="center"/>
            <w:hideMark/>
          </w:tcPr>
          <w:p w14:paraId="552F1AF1"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08P Financovanie systému súdnictva</w:t>
            </w:r>
          </w:p>
        </w:tc>
        <w:tc>
          <w:tcPr>
            <w:tcW w:w="644" w:type="pct"/>
            <w:tcBorders>
              <w:top w:val="nil"/>
              <w:left w:val="nil"/>
              <w:bottom w:val="nil"/>
              <w:right w:val="nil"/>
            </w:tcBorders>
            <w:shd w:val="clear" w:color="000000" w:fill="DEEAF6"/>
            <w:vAlign w:val="center"/>
            <w:hideMark/>
          </w:tcPr>
          <w:p w14:paraId="0B29626D"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247 282</w:t>
            </w:r>
          </w:p>
        </w:tc>
        <w:tc>
          <w:tcPr>
            <w:tcW w:w="597" w:type="pct"/>
            <w:tcBorders>
              <w:top w:val="nil"/>
              <w:left w:val="nil"/>
              <w:bottom w:val="nil"/>
              <w:right w:val="nil"/>
            </w:tcBorders>
            <w:shd w:val="clear" w:color="000000" w:fill="DEEAF6"/>
            <w:vAlign w:val="center"/>
            <w:hideMark/>
          </w:tcPr>
          <w:p w14:paraId="4DB19F07"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292 399</w:t>
            </w:r>
          </w:p>
        </w:tc>
        <w:tc>
          <w:tcPr>
            <w:tcW w:w="586" w:type="pct"/>
            <w:tcBorders>
              <w:top w:val="nil"/>
              <w:left w:val="nil"/>
              <w:bottom w:val="nil"/>
              <w:right w:val="nil"/>
            </w:tcBorders>
            <w:shd w:val="clear" w:color="000000" w:fill="DEEAF6"/>
            <w:vAlign w:val="center"/>
            <w:hideMark/>
          </w:tcPr>
          <w:p w14:paraId="322EA88F"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447 757</w:t>
            </w:r>
          </w:p>
        </w:tc>
        <w:tc>
          <w:tcPr>
            <w:tcW w:w="605" w:type="pct"/>
            <w:tcBorders>
              <w:top w:val="nil"/>
              <w:left w:val="nil"/>
              <w:bottom w:val="nil"/>
              <w:right w:val="nil"/>
            </w:tcBorders>
            <w:shd w:val="clear" w:color="000000" w:fill="DEEAF6"/>
            <w:vAlign w:val="center"/>
            <w:hideMark/>
          </w:tcPr>
          <w:p w14:paraId="430547B2"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155 358</w:t>
            </w:r>
          </w:p>
        </w:tc>
      </w:tr>
      <w:tr w:rsidR="004F7BCA" w:rsidRPr="001C3215" w14:paraId="584A4414" w14:textId="77777777" w:rsidTr="00C35785">
        <w:trPr>
          <w:trHeight w:val="283"/>
          <w:jc w:val="center"/>
        </w:trPr>
        <w:tc>
          <w:tcPr>
            <w:tcW w:w="1173" w:type="pct"/>
            <w:vMerge/>
            <w:tcBorders>
              <w:top w:val="nil"/>
              <w:left w:val="nil"/>
              <w:right w:val="nil"/>
            </w:tcBorders>
            <w:vAlign w:val="center"/>
            <w:hideMark/>
          </w:tcPr>
          <w:p w14:paraId="54E9A848"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right w:val="nil"/>
            </w:tcBorders>
            <w:shd w:val="clear" w:color="000000" w:fill="DEEAF6"/>
            <w:vAlign w:val="center"/>
            <w:hideMark/>
          </w:tcPr>
          <w:p w14:paraId="22E9C4A6"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070 Väzenstvo</w:t>
            </w:r>
          </w:p>
        </w:tc>
        <w:tc>
          <w:tcPr>
            <w:tcW w:w="644" w:type="pct"/>
            <w:tcBorders>
              <w:top w:val="nil"/>
              <w:left w:val="nil"/>
              <w:right w:val="nil"/>
            </w:tcBorders>
            <w:shd w:val="clear" w:color="000000" w:fill="DEEAF6"/>
            <w:vAlign w:val="center"/>
            <w:hideMark/>
          </w:tcPr>
          <w:p w14:paraId="7D29DCC2"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237 954</w:t>
            </w:r>
          </w:p>
        </w:tc>
        <w:tc>
          <w:tcPr>
            <w:tcW w:w="597" w:type="pct"/>
            <w:tcBorders>
              <w:top w:val="nil"/>
              <w:left w:val="nil"/>
              <w:right w:val="nil"/>
            </w:tcBorders>
            <w:shd w:val="clear" w:color="000000" w:fill="DEEAF6"/>
            <w:vAlign w:val="center"/>
            <w:hideMark/>
          </w:tcPr>
          <w:p w14:paraId="4A06F11E"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228 050</w:t>
            </w:r>
          </w:p>
        </w:tc>
        <w:tc>
          <w:tcPr>
            <w:tcW w:w="586" w:type="pct"/>
            <w:tcBorders>
              <w:top w:val="nil"/>
              <w:left w:val="nil"/>
              <w:right w:val="nil"/>
            </w:tcBorders>
            <w:shd w:val="clear" w:color="000000" w:fill="DEEAF6"/>
            <w:vAlign w:val="center"/>
            <w:hideMark/>
          </w:tcPr>
          <w:p w14:paraId="075CE272"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271 861</w:t>
            </w:r>
          </w:p>
        </w:tc>
        <w:tc>
          <w:tcPr>
            <w:tcW w:w="605" w:type="pct"/>
            <w:tcBorders>
              <w:top w:val="nil"/>
              <w:left w:val="nil"/>
              <w:right w:val="nil"/>
            </w:tcBorders>
            <w:shd w:val="clear" w:color="000000" w:fill="DEEAF6"/>
            <w:vAlign w:val="center"/>
            <w:hideMark/>
          </w:tcPr>
          <w:p w14:paraId="1167DB07"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43 811</w:t>
            </w:r>
          </w:p>
        </w:tc>
      </w:tr>
      <w:tr w:rsidR="004F7BCA" w:rsidRPr="001C3215" w14:paraId="06FA950C" w14:textId="77777777" w:rsidTr="00C35785">
        <w:trPr>
          <w:trHeight w:val="283"/>
          <w:jc w:val="center"/>
        </w:trPr>
        <w:tc>
          <w:tcPr>
            <w:tcW w:w="1173" w:type="pct"/>
            <w:vMerge w:val="restart"/>
            <w:tcBorders>
              <w:top w:val="nil"/>
              <w:left w:val="nil"/>
              <w:bottom w:val="single" w:sz="8" w:space="0" w:color="000000"/>
              <w:right w:val="nil"/>
            </w:tcBorders>
            <w:shd w:val="clear" w:color="auto" w:fill="auto"/>
            <w:vAlign w:val="center"/>
            <w:hideMark/>
          </w:tcPr>
          <w:p w14:paraId="3422975F"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Ministerstvo financií SR</w:t>
            </w:r>
          </w:p>
        </w:tc>
        <w:tc>
          <w:tcPr>
            <w:tcW w:w="1395" w:type="pct"/>
            <w:tcBorders>
              <w:top w:val="nil"/>
              <w:left w:val="nil"/>
              <w:bottom w:val="nil"/>
              <w:right w:val="nil"/>
            </w:tcBorders>
            <w:shd w:val="clear" w:color="auto" w:fill="auto"/>
            <w:vAlign w:val="center"/>
            <w:hideMark/>
          </w:tcPr>
          <w:p w14:paraId="2E15E4C4"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072 Výber daní a cla</w:t>
            </w:r>
          </w:p>
        </w:tc>
        <w:tc>
          <w:tcPr>
            <w:tcW w:w="644" w:type="pct"/>
            <w:tcBorders>
              <w:top w:val="nil"/>
              <w:left w:val="nil"/>
              <w:bottom w:val="nil"/>
              <w:right w:val="nil"/>
            </w:tcBorders>
            <w:shd w:val="clear" w:color="auto" w:fill="auto"/>
            <w:vAlign w:val="center"/>
            <w:hideMark/>
          </w:tcPr>
          <w:p w14:paraId="18F5F119"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320 599</w:t>
            </w:r>
          </w:p>
        </w:tc>
        <w:tc>
          <w:tcPr>
            <w:tcW w:w="597" w:type="pct"/>
            <w:tcBorders>
              <w:top w:val="nil"/>
              <w:left w:val="nil"/>
              <w:bottom w:val="nil"/>
              <w:right w:val="nil"/>
            </w:tcBorders>
            <w:shd w:val="clear" w:color="auto" w:fill="auto"/>
            <w:vAlign w:val="center"/>
            <w:hideMark/>
          </w:tcPr>
          <w:p w14:paraId="2E2F00E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338 338</w:t>
            </w:r>
          </w:p>
        </w:tc>
        <w:tc>
          <w:tcPr>
            <w:tcW w:w="586" w:type="pct"/>
            <w:tcBorders>
              <w:top w:val="nil"/>
              <w:left w:val="nil"/>
              <w:bottom w:val="nil"/>
              <w:right w:val="nil"/>
            </w:tcBorders>
            <w:shd w:val="clear" w:color="auto" w:fill="auto"/>
            <w:vAlign w:val="center"/>
            <w:hideMark/>
          </w:tcPr>
          <w:p w14:paraId="5C42A04B"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386 307</w:t>
            </w:r>
          </w:p>
        </w:tc>
        <w:tc>
          <w:tcPr>
            <w:tcW w:w="605" w:type="pct"/>
            <w:tcBorders>
              <w:top w:val="nil"/>
              <w:left w:val="nil"/>
              <w:bottom w:val="nil"/>
              <w:right w:val="nil"/>
            </w:tcBorders>
            <w:shd w:val="clear" w:color="auto" w:fill="auto"/>
            <w:vAlign w:val="center"/>
            <w:hideMark/>
          </w:tcPr>
          <w:p w14:paraId="030C3930"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47 969</w:t>
            </w:r>
          </w:p>
        </w:tc>
      </w:tr>
      <w:tr w:rsidR="004F7BCA" w:rsidRPr="001C3215" w14:paraId="291C3ED4" w14:textId="77777777" w:rsidTr="00C35785">
        <w:trPr>
          <w:trHeight w:val="283"/>
          <w:jc w:val="center"/>
        </w:trPr>
        <w:tc>
          <w:tcPr>
            <w:tcW w:w="1173" w:type="pct"/>
            <w:vMerge/>
            <w:tcBorders>
              <w:top w:val="nil"/>
              <w:left w:val="nil"/>
              <w:bottom w:val="single" w:sz="8" w:space="0" w:color="000000"/>
              <w:right w:val="nil"/>
            </w:tcBorders>
            <w:vAlign w:val="center"/>
            <w:hideMark/>
          </w:tcPr>
          <w:p w14:paraId="5634A016"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nil"/>
              <w:right w:val="nil"/>
            </w:tcBorders>
            <w:shd w:val="clear" w:color="auto" w:fill="auto"/>
            <w:vAlign w:val="center"/>
            <w:hideMark/>
          </w:tcPr>
          <w:p w14:paraId="3BEE5BB4"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0EK Informačné technológie financované zo štátneho rozpočtu</w:t>
            </w:r>
          </w:p>
        </w:tc>
        <w:tc>
          <w:tcPr>
            <w:tcW w:w="644" w:type="pct"/>
            <w:tcBorders>
              <w:top w:val="nil"/>
              <w:left w:val="nil"/>
              <w:bottom w:val="nil"/>
              <w:right w:val="nil"/>
            </w:tcBorders>
            <w:shd w:val="clear" w:color="auto" w:fill="auto"/>
            <w:vAlign w:val="center"/>
            <w:hideMark/>
          </w:tcPr>
          <w:p w14:paraId="4240CC47"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137 847</w:t>
            </w:r>
          </w:p>
        </w:tc>
        <w:tc>
          <w:tcPr>
            <w:tcW w:w="597" w:type="pct"/>
            <w:tcBorders>
              <w:top w:val="nil"/>
              <w:left w:val="nil"/>
              <w:bottom w:val="nil"/>
              <w:right w:val="nil"/>
            </w:tcBorders>
            <w:shd w:val="clear" w:color="auto" w:fill="auto"/>
            <w:vAlign w:val="center"/>
            <w:hideMark/>
          </w:tcPr>
          <w:p w14:paraId="4AE988FF"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124 194</w:t>
            </w:r>
          </w:p>
        </w:tc>
        <w:tc>
          <w:tcPr>
            <w:tcW w:w="586" w:type="pct"/>
            <w:tcBorders>
              <w:top w:val="nil"/>
              <w:left w:val="nil"/>
              <w:bottom w:val="nil"/>
              <w:right w:val="nil"/>
            </w:tcBorders>
            <w:shd w:val="clear" w:color="auto" w:fill="auto"/>
            <w:vAlign w:val="center"/>
            <w:hideMark/>
          </w:tcPr>
          <w:p w14:paraId="7C398A3B"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135 142</w:t>
            </w:r>
          </w:p>
        </w:tc>
        <w:tc>
          <w:tcPr>
            <w:tcW w:w="605" w:type="pct"/>
            <w:tcBorders>
              <w:top w:val="nil"/>
              <w:left w:val="nil"/>
              <w:bottom w:val="nil"/>
              <w:right w:val="nil"/>
            </w:tcBorders>
            <w:shd w:val="clear" w:color="auto" w:fill="auto"/>
            <w:vAlign w:val="center"/>
            <w:hideMark/>
          </w:tcPr>
          <w:p w14:paraId="4678F358"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10 948</w:t>
            </w:r>
          </w:p>
        </w:tc>
      </w:tr>
      <w:tr w:rsidR="004F7BCA" w:rsidRPr="001C3215" w14:paraId="1446FBBC" w14:textId="77777777" w:rsidTr="00C35785">
        <w:trPr>
          <w:trHeight w:val="283"/>
          <w:jc w:val="center"/>
        </w:trPr>
        <w:tc>
          <w:tcPr>
            <w:tcW w:w="1173" w:type="pct"/>
            <w:vMerge/>
            <w:tcBorders>
              <w:top w:val="nil"/>
              <w:left w:val="nil"/>
              <w:bottom w:val="single" w:sz="4" w:space="0" w:color="314364" w:themeColor="text2"/>
              <w:right w:val="nil"/>
            </w:tcBorders>
            <w:vAlign w:val="center"/>
            <w:hideMark/>
          </w:tcPr>
          <w:p w14:paraId="3BA305E9" w14:textId="77777777" w:rsidR="004F7BCA" w:rsidRPr="001C3215" w:rsidRDefault="004F7BCA" w:rsidP="00C35785">
            <w:pPr>
              <w:spacing w:after="0" w:line="240" w:lineRule="auto"/>
              <w:jc w:val="left"/>
              <w:rPr>
                <w:rFonts w:eastAsia="Times New Roman" w:cs="Segoe UI"/>
                <w:color w:val="000000"/>
                <w:sz w:val="16"/>
                <w:szCs w:val="16"/>
                <w:lang w:eastAsia="sk-SK"/>
              </w:rPr>
            </w:pPr>
          </w:p>
        </w:tc>
        <w:tc>
          <w:tcPr>
            <w:tcW w:w="1395" w:type="pct"/>
            <w:tcBorders>
              <w:top w:val="nil"/>
              <w:left w:val="nil"/>
              <w:bottom w:val="single" w:sz="4" w:space="0" w:color="314364" w:themeColor="text2"/>
              <w:right w:val="nil"/>
            </w:tcBorders>
            <w:shd w:val="clear" w:color="auto" w:fill="auto"/>
            <w:vAlign w:val="center"/>
            <w:hideMark/>
          </w:tcPr>
          <w:p w14:paraId="78268CA4" w14:textId="77777777" w:rsidR="004F7BCA" w:rsidRPr="001C3215" w:rsidRDefault="004F7BCA" w:rsidP="00C35785">
            <w:pPr>
              <w:spacing w:after="0" w:line="240" w:lineRule="auto"/>
              <w:jc w:val="left"/>
              <w:rPr>
                <w:rFonts w:eastAsia="Times New Roman" w:cs="Segoe UI"/>
                <w:color w:val="000000"/>
                <w:sz w:val="16"/>
                <w:szCs w:val="16"/>
                <w:lang w:eastAsia="sk-SK"/>
              </w:rPr>
            </w:pPr>
            <w:r w:rsidRPr="001C3215">
              <w:rPr>
                <w:rFonts w:eastAsia="Times New Roman" w:cs="Segoe UI"/>
                <w:color w:val="000000"/>
                <w:sz w:val="16"/>
                <w:szCs w:val="16"/>
                <w:lang w:eastAsia="sk-SK"/>
              </w:rPr>
              <w:t>074 Tvorba metodiky, riadenie, kontrola, vládny audit a vnútorný audit verejných financií</w:t>
            </w:r>
          </w:p>
        </w:tc>
        <w:tc>
          <w:tcPr>
            <w:tcW w:w="644" w:type="pct"/>
            <w:tcBorders>
              <w:top w:val="nil"/>
              <w:left w:val="nil"/>
              <w:bottom w:val="single" w:sz="4" w:space="0" w:color="314364" w:themeColor="text2"/>
              <w:right w:val="nil"/>
            </w:tcBorders>
            <w:shd w:val="clear" w:color="auto" w:fill="auto"/>
            <w:vAlign w:val="center"/>
            <w:hideMark/>
          </w:tcPr>
          <w:p w14:paraId="79EE56FA"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346 152</w:t>
            </w:r>
          </w:p>
        </w:tc>
        <w:tc>
          <w:tcPr>
            <w:tcW w:w="597" w:type="pct"/>
            <w:tcBorders>
              <w:top w:val="nil"/>
              <w:left w:val="nil"/>
              <w:bottom w:val="single" w:sz="4" w:space="0" w:color="314364" w:themeColor="text2"/>
              <w:right w:val="nil"/>
            </w:tcBorders>
            <w:shd w:val="clear" w:color="auto" w:fill="auto"/>
            <w:vAlign w:val="center"/>
            <w:hideMark/>
          </w:tcPr>
          <w:p w14:paraId="478BA82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78 786</w:t>
            </w:r>
          </w:p>
        </w:tc>
        <w:tc>
          <w:tcPr>
            <w:tcW w:w="586" w:type="pct"/>
            <w:tcBorders>
              <w:top w:val="nil"/>
              <w:left w:val="nil"/>
              <w:bottom w:val="single" w:sz="4" w:space="0" w:color="314364" w:themeColor="text2"/>
              <w:right w:val="nil"/>
            </w:tcBorders>
            <w:shd w:val="clear" w:color="auto" w:fill="auto"/>
            <w:vAlign w:val="center"/>
            <w:hideMark/>
          </w:tcPr>
          <w:p w14:paraId="53BE0F2B"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84 987</w:t>
            </w:r>
          </w:p>
        </w:tc>
        <w:tc>
          <w:tcPr>
            <w:tcW w:w="605" w:type="pct"/>
            <w:tcBorders>
              <w:top w:val="nil"/>
              <w:left w:val="nil"/>
              <w:bottom w:val="single" w:sz="4" w:space="0" w:color="314364" w:themeColor="text2"/>
              <w:right w:val="nil"/>
            </w:tcBorders>
            <w:shd w:val="clear" w:color="auto" w:fill="auto"/>
            <w:vAlign w:val="center"/>
            <w:hideMark/>
          </w:tcPr>
          <w:p w14:paraId="3D58D743" w14:textId="77777777" w:rsidR="004F7BCA" w:rsidRPr="001C3215" w:rsidRDefault="004F7BCA" w:rsidP="00C35785">
            <w:pPr>
              <w:spacing w:after="0" w:line="240" w:lineRule="auto"/>
              <w:jc w:val="right"/>
              <w:rPr>
                <w:rFonts w:eastAsia="Times New Roman" w:cs="Segoe UI"/>
                <w:color w:val="000000"/>
                <w:sz w:val="16"/>
                <w:szCs w:val="16"/>
                <w:lang w:eastAsia="sk-SK"/>
              </w:rPr>
            </w:pPr>
            <w:r w:rsidRPr="001C3215">
              <w:rPr>
                <w:rFonts w:eastAsia="Times New Roman" w:cs="Segoe UI"/>
                <w:color w:val="000000"/>
                <w:sz w:val="16"/>
                <w:szCs w:val="16"/>
                <w:lang w:eastAsia="sk-SK"/>
              </w:rPr>
              <w:t>6 201</w:t>
            </w:r>
          </w:p>
        </w:tc>
      </w:tr>
    </w:tbl>
    <w:p w14:paraId="64DB3FA4" w14:textId="77777777" w:rsidR="00AC372B" w:rsidRPr="005440F9" w:rsidRDefault="00AC372B" w:rsidP="00AE15D5">
      <w:pPr>
        <w:pStyle w:val="Popis"/>
        <w:ind w:left="-284"/>
        <w:rPr>
          <w:b w:val="0"/>
          <w:i/>
          <w:iCs w:val="0"/>
          <w:sz w:val="16"/>
          <w:szCs w:val="22"/>
        </w:rPr>
      </w:pPr>
      <w:r>
        <w:rPr>
          <w:b w:val="0"/>
          <w:i/>
          <w:iCs w:val="0"/>
          <w:sz w:val="16"/>
          <w:szCs w:val="22"/>
        </w:rPr>
        <w:t>Zdroj</w:t>
      </w:r>
      <w:r w:rsidRPr="005440F9">
        <w:rPr>
          <w:b w:val="0"/>
          <w:i/>
          <w:iCs w:val="0"/>
          <w:sz w:val="16"/>
          <w:szCs w:val="22"/>
        </w:rPr>
        <w:t>: RIS BI; S – skutočnosť, R – rozpočet, N – návrh</w:t>
      </w:r>
      <w:bookmarkEnd w:id="32"/>
    </w:p>
    <w:sectPr w:rsidR="00AC372B" w:rsidRPr="005440F9" w:rsidSect="00962F36">
      <w:headerReference w:type="default" r:id="rId37"/>
      <w:footerReference w:type="default" r:id="rId38"/>
      <w:pgSz w:w="11906" w:h="16838"/>
      <w:pgMar w:top="1418" w:right="1418"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B5289" w14:textId="77777777" w:rsidR="009D6953" w:rsidRDefault="009D6953" w:rsidP="004F10D0">
      <w:pPr>
        <w:spacing w:after="0" w:line="240" w:lineRule="auto"/>
      </w:pPr>
      <w:r>
        <w:separator/>
      </w:r>
    </w:p>
  </w:endnote>
  <w:endnote w:type="continuationSeparator" w:id="0">
    <w:p w14:paraId="64432FB8" w14:textId="77777777" w:rsidR="009D6953" w:rsidRDefault="009D6953" w:rsidP="004F1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Montserrat">
    <w:altName w:val="Montserrat"/>
    <w:panose1 w:val="00000500000000000000"/>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F6B56" w14:textId="52EEB0F8" w:rsidR="0054590C" w:rsidRPr="005C61DD" w:rsidRDefault="0054590C" w:rsidP="005C61DD">
    <w:pPr>
      <w:tabs>
        <w:tab w:val="left" w:pos="709"/>
      </w:tabs>
      <w:jc w:val="center"/>
      <w:rPr>
        <w:rFonts w:eastAsia="Calibri" w:cs="Segoe UI"/>
        <w:i/>
        <w:sz w:val="18"/>
        <w:szCs w:val="20"/>
      </w:rPr>
    </w:pPr>
    <w:r w:rsidRPr="005C61DD">
      <w:rPr>
        <w:rFonts w:eastAsia="Calibri" w:cs="Segoe UI"/>
        <w:i/>
        <w:sz w:val="18"/>
        <w:szCs w:val="20"/>
      </w:rPr>
      <w:t xml:space="preserve">Stanovisko NKÚ SR k návrhu </w:t>
    </w:r>
    <w:r>
      <w:rPr>
        <w:rFonts w:eastAsia="Calibri" w:cs="Segoe UI"/>
        <w:i/>
        <w:sz w:val="18"/>
        <w:szCs w:val="20"/>
      </w:rPr>
      <w:t>štátneho rozpočtu</w:t>
    </w:r>
    <w:r w:rsidRPr="005C61DD">
      <w:rPr>
        <w:rFonts w:eastAsia="Calibri" w:cs="Segoe UI"/>
        <w:i/>
        <w:sz w:val="18"/>
        <w:szCs w:val="20"/>
      </w:rPr>
      <w:t xml:space="preserve"> na rok 202</w:t>
    </w:r>
    <w:r>
      <w:rPr>
        <w:rFonts w:eastAsia="Calibri" w:cs="Segoe UI"/>
        <w:i/>
        <w:sz w:val="18"/>
        <w:szCs w:val="20"/>
      </w:rPr>
      <w:t>3</w:t>
    </w:r>
    <w:r w:rsidRPr="005C61DD">
      <w:rPr>
        <w:rFonts w:eastAsia="Calibri" w:cs="Segoe UI"/>
        <w:i/>
        <w:sz w:val="18"/>
        <w:szCs w:val="20"/>
      </w:rPr>
      <w:t xml:space="preserve"> bolo vypracované v súlade s § 5 ods. 1 zákona o NKÚ SR na základe kontroly vykonanej na M</w:t>
    </w:r>
    <w:r>
      <w:rPr>
        <w:rFonts w:eastAsia="Calibri" w:cs="Segoe UI"/>
        <w:i/>
        <w:sz w:val="18"/>
        <w:szCs w:val="20"/>
      </w:rPr>
      <w:t>inisterstve financií</w:t>
    </w:r>
    <w:r w:rsidRPr="005C61DD">
      <w:rPr>
        <w:rFonts w:eastAsia="Calibri" w:cs="Segoe UI"/>
        <w:i/>
        <w:sz w:val="18"/>
        <w:szCs w:val="20"/>
      </w:rPr>
      <w:t xml:space="preserve"> SR, ktoré podľa zákona o rozpočtových pravidlách VS zostavuje návrh </w:t>
    </w:r>
    <w:r>
      <w:rPr>
        <w:rFonts w:eastAsia="Calibri" w:cs="Segoe UI"/>
        <w:i/>
        <w:sz w:val="18"/>
        <w:szCs w:val="20"/>
      </w:rPr>
      <w:t>rozpočtu verejnej správy</w:t>
    </w:r>
    <w:r w:rsidRPr="005C61DD">
      <w:rPr>
        <w:rFonts w:eastAsia="Calibri" w:cs="Segoe UI"/>
        <w:i/>
        <w:sz w:val="18"/>
        <w:szCs w:val="20"/>
      </w:rPr>
      <w:t xml:space="preserve"> za </w:t>
    </w:r>
    <w:r>
      <w:rPr>
        <w:rFonts w:eastAsia="Calibri" w:cs="Segoe UI"/>
        <w:i/>
        <w:sz w:val="18"/>
        <w:szCs w:val="20"/>
      </w:rPr>
      <w:t>štátny rozpočet</w:t>
    </w:r>
    <w:r w:rsidRPr="005C61DD">
      <w:rPr>
        <w:rFonts w:eastAsia="Calibri" w:cs="Segoe UI"/>
        <w:i/>
        <w:sz w:val="18"/>
        <w:szCs w:val="20"/>
      </w:rPr>
      <w:t xml:space="preserve"> a súhrnné rozpočty ostatných subjektov VS.</w:t>
    </w:r>
  </w:p>
  <w:p w14:paraId="58356A1A" w14:textId="77777777" w:rsidR="0054590C" w:rsidRPr="00FF5DA3" w:rsidRDefault="0054590C" w:rsidP="008F0A84">
    <w:pPr>
      <w:pStyle w:val="Pta"/>
      <w:tabs>
        <w:tab w:val="clear" w:pos="4536"/>
        <w:tab w:val="clear" w:pos="9072"/>
        <w:tab w:val="center" w:pos="9070"/>
      </w:tabs>
      <w:jc w:val="center"/>
      <w:rPr>
        <w:b/>
        <w:color w:val="314364"/>
        <w:sz w:val="3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596585"/>
      <w:docPartObj>
        <w:docPartGallery w:val="Page Numbers (Bottom of Page)"/>
        <w:docPartUnique/>
      </w:docPartObj>
    </w:sdtPr>
    <w:sdtEndPr/>
    <w:sdtContent>
      <w:p w14:paraId="6E9853D5" w14:textId="2933D01E" w:rsidR="0054590C" w:rsidRDefault="0054590C" w:rsidP="00733BFD">
        <w:pPr>
          <w:pStyle w:val="Pta"/>
          <w:jc w:val="right"/>
        </w:pPr>
        <w:r>
          <w:fldChar w:fldCharType="begin"/>
        </w:r>
        <w:r>
          <w:instrText>PAGE   \* MERGEFORMAT</w:instrText>
        </w:r>
        <w:r>
          <w:fldChar w:fldCharType="separate"/>
        </w:r>
        <w:r w:rsidR="0054688A">
          <w:rPr>
            <w:noProof/>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359340"/>
      <w:docPartObj>
        <w:docPartGallery w:val="Page Numbers (Bottom of Page)"/>
        <w:docPartUnique/>
      </w:docPartObj>
    </w:sdtPr>
    <w:sdtEndPr/>
    <w:sdtContent>
      <w:p w14:paraId="1CF29EB5" w14:textId="6D3D466D" w:rsidR="0054590C" w:rsidRDefault="0054590C" w:rsidP="00733BFD">
        <w:pPr>
          <w:pStyle w:val="Pta"/>
          <w:jc w:val="right"/>
        </w:pPr>
        <w:r>
          <w:fldChar w:fldCharType="begin"/>
        </w:r>
        <w:r>
          <w:instrText>PAGE   \* MERGEFORMAT</w:instrText>
        </w:r>
        <w:r>
          <w:fldChar w:fldCharType="separate"/>
        </w:r>
        <w:r w:rsidR="0054688A">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1525E" w14:textId="77777777" w:rsidR="009D6953" w:rsidRDefault="009D6953" w:rsidP="004F10D0">
      <w:pPr>
        <w:spacing w:after="0" w:line="240" w:lineRule="auto"/>
      </w:pPr>
      <w:r>
        <w:separator/>
      </w:r>
    </w:p>
  </w:footnote>
  <w:footnote w:type="continuationSeparator" w:id="0">
    <w:p w14:paraId="4583FE17" w14:textId="77777777" w:rsidR="009D6953" w:rsidRDefault="009D6953" w:rsidP="004F10D0">
      <w:pPr>
        <w:spacing w:after="0" w:line="240" w:lineRule="auto"/>
      </w:pPr>
      <w:r>
        <w:continuationSeparator/>
      </w:r>
    </w:p>
  </w:footnote>
  <w:footnote w:id="1">
    <w:p w14:paraId="4CA64270" w14:textId="77777777" w:rsidR="0054590C" w:rsidRDefault="0054590C" w:rsidP="00681C49">
      <w:pPr>
        <w:pStyle w:val="Textpoznmkypodiarou"/>
      </w:pPr>
      <w:r>
        <w:rPr>
          <w:rStyle w:val="Odkaznapoznmkupodiarou"/>
        </w:rPr>
        <w:footnoteRef/>
      </w:r>
      <w:r>
        <w:t xml:space="preserve"> Programové vyhlásenie vlády SR na obdobie rokov 2021 – 2024. [</w:t>
      </w:r>
      <w:hyperlink r:id="rId1" w:history="1">
        <w:r w:rsidRPr="00451C0A">
          <w:rPr>
            <w:rStyle w:val="Hypertextovprepojenie"/>
            <w:sz w:val="16"/>
          </w:rPr>
          <w:t>online</w:t>
        </w:r>
      </w:hyperlink>
      <w:r>
        <w:t>].</w:t>
      </w:r>
    </w:p>
  </w:footnote>
  <w:footnote w:id="2">
    <w:p w14:paraId="1B23DEAF" w14:textId="77777777" w:rsidR="0054590C" w:rsidRDefault="0054590C" w:rsidP="00400C36">
      <w:pPr>
        <w:pStyle w:val="Textpoznmkypodiarou"/>
      </w:pPr>
      <w:r>
        <w:rPr>
          <w:rStyle w:val="Odkaznapoznmkupodiarou"/>
        </w:rPr>
        <w:footnoteRef/>
      </w:r>
      <w:r>
        <w:t xml:space="preserve"> Daň z </w:t>
      </w:r>
      <w:proofErr w:type="spellStart"/>
      <w:r>
        <w:t>mimořádných</w:t>
      </w:r>
      <w:proofErr w:type="spellEnd"/>
      <w:r>
        <w:t xml:space="preserve"> </w:t>
      </w:r>
      <w:proofErr w:type="spellStart"/>
      <w:r>
        <w:t>příjmů</w:t>
      </w:r>
      <w:proofErr w:type="spellEnd"/>
      <w:r>
        <w:t>/</w:t>
      </w:r>
      <w:proofErr w:type="spellStart"/>
      <w:r>
        <w:t>zisků</w:t>
      </w:r>
      <w:proofErr w:type="spellEnd"/>
      <w:r>
        <w:t xml:space="preserve"> (</w:t>
      </w:r>
      <w:proofErr w:type="spellStart"/>
      <w:r>
        <w:t>windfall</w:t>
      </w:r>
      <w:proofErr w:type="spellEnd"/>
      <w:r>
        <w:t xml:space="preserve"> </w:t>
      </w:r>
      <w:proofErr w:type="spellStart"/>
      <w:r>
        <w:t>tax</w:t>
      </w:r>
      <w:proofErr w:type="spellEnd"/>
      <w:r>
        <w:t xml:space="preserve">) v České </w:t>
      </w:r>
      <w:proofErr w:type="spellStart"/>
      <w:r>
        <w:t>republice</w:t>
      </w:r>
      <w:proofErr w:type="spellEnd"/>
      <w:r>
        <w:t>. [</w:t>
      </w:r>
      <w:hyperlink r:id="rId2" w:history="1">
        <w:r w:rsidRPr="00C07544">
          <w:rPr>
            <w:rStyle w:val="Hypertextovprepojenie"/>
            <w:sz w:val="16"/>
          </w:rPr>
          <w:t>online</w:t>
        </w:r>
      </w:hyperlink>
      <w:r>
        <w:t>].</w:t>
      </w:r>
    </w:p>
  </w:footnote>
  <w:footnote w:id="3">
    <w:p w14:paraId="2431EA53" w14:textId="649D9748" w:rsidR="0054590C" w:rsidRDefault="0054590C">
      <w:pPr>
        <w:pStyle w:val="Textpoznmkypodiarou"/>
      </w:pPr>
      <w:r>
        <w:rPr>
          <w:rStyle w:val="Odkaznapoznmkupodiarou"/>
        </w:rPr>
        <w:footnoteRef/>
      </w:r>
      <w:r>
        <w:t xml:space="preserve"> Stanovisko Republikovej únie zamestnávateľov. [</w:t>
      </w:r>
      <w:hyperlink r:id="rId3" w:history="1">
        <w:r w:rsidRPr="00F93D0B">
          <w:rPr>
            <w:rStyle w:val="Hypertextovprepojenie"/>
            <w:sz w:val="16"/>
          </w:rPr>
          <w:t>online</w:t>
        </w:r>
      </w:hyperlink>
      <w:r>
        <w:t>].</w:t>
      </w:r>
    </w:p>
  </w:footnote>
  <w:footnote w:id="4">
    <w:p w14:paraId="4A164647" w14:textId="15A2F1F6" w:rsidR="0054590C" w:rsidRDefault="0054590C">
      <w:pPr>
        <w:pStyle w:val="Textpoznmkypodiarou"/>
      </w:pPr>
      <w:r>
        <w:rPr>
          <w:rStyle w:val="Odkaznapoznmkupodiarou"/>
        </w:rPr>
        <w:footnoteRef/>
      </w:r>
      <w:r>
        <w:t xml:space="preserve"> Nariadenie EÚ, schválené ministrami hospodárstva EÚ dňa 30. 9. 2022, zavádza rámec pre nové príjmové opatrenia: a) solidárny príspevok z nadzisku a b) zastropovanie príjmov (na 180 eur/MWh).</w:t>
      </w:r>
    </w:p>
  </w:footnote>
  <w:footnote w:id="5">
    <w:p w14:paraId="3CEEB860" w14:textId="77777777" w:rsidR="0054590C" w:rsidRDefault="0054590C" w:rsidP="00580410">
      <w:pPr>
        <w:pStyle w:val="Textpoznmkypodiarou"/>
      </w:pPr>
      <w:r>
        <w:rPr>
          <w:rStyle w:val="Odkaznapoznmkupodiarou"/>
        </w:rPr>
        <w:footnoteRef/>
      </w:r>
      <w:r>
        <w:t xml:space="preserve"> MF SR – Program stability Slovenskej republiky na roky 2022 až 2025. 27. 4. 2022. [</w:t>
      </w:r>
      <w:hyperlink r:id="rId4" w:history="1">
        <w:r w:rsidRPr="00946701">
          <w:rPr>
            <w:rStyle w:val="Hypertextovprepojenie"/>
            <w:sz w:val="16"/>
          </w:rPr>
          <w:t>online</w:t>
        </w:r>
      </w:hyperlink>
      <w:r>
        <w:t>].</w:t>
      </w:r>
    </w:p>
  </w:footnote>
  <w:footnote w:id="6">
    <w:p w14:paraId="2D241B76" w14:textId="77777777" w:rsidR="0054590C" w:rsidRDefault="0054590C" w:rsidP="00580410">
      <w:pPr>
        <w:pStyle w:val="Textpoznmkypodiarou"/>
      </w:pPr>
      <w:r>
        <w:rPr>
          <w:rStyle w:val="Odkaznapoznmkupodiarou"/>
        </w:rPr>
        <w:footnoteRef/>
      </w:r>
      <w:r>
        <w:t xml:space="preserve"> RRZ – Metodika výpočtu, aktualizácie a hodnotenia plnenia limitov verejných výdavkov. 1. 6. 2022. [</w:t>
      </w:r>
      <w:hyperlink r:id="rId5" w:history="1">
        <w:r w:rsidRPr="00DF046C">
          <w:rPr>
            <w:rStyle w:val="Hypertextovprepojenie"/>
            <w:sz w:val="16"/>
          </w:rPr>
          <w:t>online</w:t>
        </w:r>
      </w:hyperlink>
      <w:r>
        <w:t>].</w:t>
      </w:r>
    </w:p>
  </w:footnote>
  <w:footnote w:id="7">
    <w:p w14:paraId="5D3E3683" w14:textId="77777777" w:rsidR="0054590C" w:rsidRDefault="0054590C" w:rsidP="00580410">
      <w:pPr>
        <w:pStyle w:val="Textpoznmkypodiarou"/>
      </w:pPr>
      <w:r>
        <w:rPr>
          <w:rStyle w:val="Odkaznapoznmkupodiarou"/>
        </w:rPr>
        <w:footnoteRef/>
      </w:r>
      <w:r>
        <w:t xml:space="preserve"> MF SR zverejnenú metodiku RRZ počas písania Stanoviska NKÚ SR k návrhu štátneho rozpočtu SR</w:t>
      </w:r>
      <w:r w:rsidRPr="0028558B">
        <w:t xml:space="preserve"> na rok 2023</w:t>
      </w:r>
      <w:r>
        <w:t xml:space="preserve"> neschválilo.</w:t>
      </w:r>
    </w:p>
  </w:footnote>
  <w:footnote w:id="8">
    <w:p w14:paraId="1F5023D2" w14:textId="2BE2B716" w:rsidR="0054590C" w:rsidRDefault="0054590C" w:rsidP="00656FA3">
      <w:pPr>
        <w:pStyle w:val="Textpoznmkypodiarou"/>
      </w:pPr>
      <w:r>
        <w:rPr>
          <w:rStyle w:val="Odkaznapoznmkupodiarou"/>
        </w:rPr>
        <w:footnoteRef/>
      </w:r>
      <w:r>
        <w:t xml:space="preserve"> RRZ – Ako nám zastropovanie sťažuje dobiehanie EÚ. 22. 7. 2021. [</w:t>
      </w:r>
      <w:hyperlink r:id="rId6" w:history="1">
        <w:r w:rsidRPr="00652AB5">
          <w:rPr>
            <w:rStyle w:val="Hypertextovprepojenie"/>
            <w:sz w:val="16"/>
          </w:rPr>
          <w:t>online</w:t>
        </w:r>
      </w:hyperlink>
      <w:r>
        <w:t>].</w:t>
      </w:r>
    </w:p>
  </w:footnote>
  <w:footnote w:id="9">
    <w:p w14:paraId="607B0408" w14:textId="77777777" w:rsidR="0054590C" w:rsidRDefault="0054590C" w:rsidP="00656FA3">
      <w:pPr>
        <w:pStyle w:val="Textpoznmkypodiarou"/>
      </w:pPr>
      <w:r>
        <w:rPr>
          <w:rStyle w:val="Odkaznapoznmkupodiarou"/>
        </w:rPr>
        <w:footnoteRef/>
      </w:r>
      <w:r>
        <w:t xml:space="preserve"> RRZ – Stanovisko k predloženému návrhu financovania rodičovského bonusu. [</w:t>
      </w:r>
      <w:hyperlink r:id="rId7" w:history="1">
        <w:r w:rsidRPr="006C09C5">
          <w:rPr>
            <w:rStyle w:val="Hypertextovprepojenie"/>
            <w:sz w:val="16"/>
          </w:rPr>
          <w:t>online</w:t>
        </w:r>
      </w:hyperlink>
      <w:r>
        <w:t>].</w:t>
      </w:r>
    </w:p>
  </w:footnote>
  <w:footnote w:id="10">
    <w:p w14:paraId="6A569174" w14:textId="77777777" w:rsidR="0054590C" w:rsidRDefault="0054590C" w:rsidP="00656FA3">
      <w:pPr>
        <w:pStyle w:val="Textpoznmkypodiarou"/>
      </w:pPr>
      <w:r>
        <w:rPr>
          <w:rStyle w:val="Odkaznapoznmkupodiarou"/>
        </w:rPr>
        <w:footnoteRef/>
      </w:r>
      <w:r>
        <w:t xml:space="preserve"> Analýza vplyvov na rozpočet VS, na zamestnanosť vo VS a financovanie návrhu. [</w:t>
      </w:r>
      <w:hyperlink r:id="rId8" w:history="1">
        <w:r w:rsidRPr="004A4EB7">
          <w:rPr>
            <w:rStyle w:val="Hypertextovprepojenie"/>
            <w:sz w:val="16"/>
          </w:rPr>
          <w:t>online</w:t>
        </w:r>
      </w:hyperlink>
      <w:r>
        <w:t>].</w:t>
      </w:r>
    </w:p>
  </w:footnote>
  <w:footnote w:id="11">
    <w:p w14:paraId="37C80392" w14:textId="5C6BEC11" w:rsidR="0054590C" w:rsidRDefault="0054590C" w:rsidP="000218FC">
      <w:pPr>
        <w:pStyle w:val="Textpoznmkypodiarou"/>
      </w:pPr>
      <w:r>
        <w:rPr>
          <w:rStyle w:val="Odkaznapoznmkupodiarou"/>
        </w:rPr>
        <w:footnoteRef/>
      </w:r>
      <w:r>
        <w:t xml:space="preserve"> Čerpanie EŠIF bez PRV je uvádzané z dôvodu, že Program rozvoja vidieka patrí pod Spoločnú poľnohospodársku politiku a v porovnaní s ostatnými fondmi EŠIF funguje v odlišnej štruktúre riadenia na základe rozhodnutia vlády.</w:t>
      </w:r>
    </w:p>
  </w:footnote>
  <w:footnote w:id="12">
    <w:p w14:paraId="0F3DCC90" w14:textId="1F88158E" w:rsidR="0054590C" w:rsidRDefault="0054590C" w:rsidP="000218FC">
      <w:pPr>
        <w:pStyle w:val="Textpoznmkypodiarou"/>
      </w:pPr>
      <w:r>
        <w:rPr>
          <w:rStyle w:val="Odkaznapoznmkupodiarou"/>
        </w:rPr>
        <w:footnoteRef/>
      </w:r>
      <w:r>
        <w:t xml:space="preserve"> Pod pojmom "nezrovnalosť“ sa rozumie akékoľvek porušenie práva EÚ alebo vnútroštátneho práva týkajúceho sa jeho uplatňovania, vyplývajúce z konania alebo opomenutia hospodárskeho subjektu, ktorý sa zúčastňuje na vykonávaní EŠIF, dôsledkom čoho je alebo by bol negatívny dopad na rozpočet EÚ zaťažením všeobecného rozpočtu neoprávneným výdavkom.</w:t>
      </w:r>
    </w:p>
  </w:footnote>
  <w:footnote w:id="13">
    <w:p w14:paraId="328F4330" w14:textId="5941A7AD" w:rsidR="00EE271A" w:rsidRDefault="00EE271A">
      <w:pPr>
        <w:pStyle w:val="Textpoznmkypodiarou"/>
      </w:pPr>
      <w:r>
        <w:rPr>
          <w:rStyle w:val="Odkaznapoznmkupodiarou"/>
        </w:rPr>
        <w:footnoteRef/>
      </w:r>
      <w:r>
        <w:t xml:space="preserve"> </w:t>
      </w:r>
      <w:r w:rsidRPr="00EE271A">
        <w:t>V</w:t>
      </w:r>
      <w:r w:rsidR="00F955CB">
        <w:t xml:space="preserve"> informačnom systéme </w:t>
      </w:r>
      <w:r w:rsidRPr="00EE271A">
        <w:t>PO 2014 – 2020 sú k 15. 11. 2022 evidované ďalšie nezrovnalosti v sume takmer 3,6 mld. eur</w:t>
      </w:r>
      <w:r w:rsidR="0005332F">
        <w:t>.</w:t>
      </w:r>
      <w:r w:rsidRPr="00EE271A">
        <w:t xml:space="preserve"> </w:t>
      </w:r>
      <w:r w:rsidR="0005332F">
        <w:t>Tieto nezrovnalosti</w:t>
      </w:r>
      <w:r>
        <w:t xml:space="preserve"> </w:t>
      </w:r>
      <w:r w:rsidR="0005332F" w:rsidRPr="0005332F">
        <w:t>bud</w:t>
      </w:r>
      <w:r w:rsidR="0005332F">
        <w:t>ú</w:t>
      </w:r>
      <w:r w:rsidR="0005332F" w:rsidRPr="0005332F">
        <w:t xml:space="preserve"> podliehať procedúram, ktoré budú zistené nezrovnalosti potvrdzovať</w:t>
      </w:r>
      <w:r w:rsidR="0005332F">
        <w:t>.</w:t>
      </w:r>
      <w:r w:rsidRPr="00EE271A">
        <w:t xml:space="preserve"> </w:t>
      </w:r>
      <w:r w:rsidR="0005332F">
        <w:t>K</w:t>
      </w:r>
      <w:r w:rsidRPr="00EE271A">
        <w:t xml:space="preserve">onečná suma nezrovnalostí </w:t>
      </w:r>
      <w:r w:rsidR="0005332F">
        <w:t xml:space="preserve">tak </w:t>
      </w:r>
      <w:r w:rsidRPr="00EE271A">
        <w:t>môže byť vyššia.</w:t>
      </w:r>
      <w:r w:rsidR="00F955CB">
        <w:t xml:space="preserve"> Zdroj: ITMS2014+.</w:t>
      </w:r>
    </w:p>
  </w:footnote>
  <w:footnote w:id="14">
    <w:p w14:paraId="2D2D94ED" w14:textId="550A02C4" w:rsidR="0054590C" w:rsidRDefault="0054590C">
      <w:pPr>
        <w:pStyle w:val="Textpoznmkypodiarou"/>
      </w:pPr>
      <w:r>
        <w:rPr>
          <w:rStyle w:val="Odkaznapoznmkupodiarou"/>
        </w:rPr>
        <w:footnoteRef/>
      </w:r>
      <w:r>
        <w:t xml:space="preserve"> </w:t>
      </w:r>
      <w:r w:rsidRPr="00073B47">
        <w:t>Na základe pravidiel EK hrozí  v prípade nového PO problém s prepadnutím finančných prostriedkov podľa pravidla n+2</w:t>
      </w:r>
      <w:r>
        <w:t>.</w:t>
      </w:r>
    </w:p>
  </w:footnote>
  <w:footnote w:id="15">
    <w:p w14:paraId="3C4CC5F1" w14:textId="77777777" w:rsidR="0054590C" w:rsidRDefault="0054590C" w:rsidP="005171D1">
      <w:pPr>
        <w:pStyle w:val="Textpoznmkypodiarou"/>
      </w:pPr>
      <w:r>
        <w:rPr>
          <w:rStyle w:val="Odkaznapoznmkupodiarou"/>
        </w:rPr>
        <w:footnoteRef/>
      </w:r>
      <w:r>
        <w:t xml:space="preserve"> IFP – Pripravte sa na horšie časy, varujú finančné trhy. 26. 10. 2022. [</w:t>
      </w:r>
      <w:hyperlink r:id="rId9" w:history="1">
        <w:r w:rsidRPr="0087110B">
          <w:rPr>
            <w:rStyle w:val="Hypertextovprepojenie"/>
            <w:sz w:val="16"/>
          </w:rPr>
          <w:t>online</w:t>
        </w:r>
      </w:hyperlink>
      <w:r>
        <w:t>].</w:t>
      </w:r>
    </w:p>
  </w:footnote>
  <w:footnote w:id="16">
    <w:p w14:paraId="4CD85061" w14:textId="12CC14E4" w:rsidR="0054590C" w:rsidRDefault="0054590C">
      <w:pPr>
        <w:pStyle w:val="Textpoznmkypodiarou"/>
      </w:pPr>
      <w:r>
        <w:rPr>
          <w:rStyle w:val="Odkaznapoznmkupodiarou"/>
        </w:rPr>
        <w:footnoteRef/>
      </w:r>
      <w:r>
        <w:t xml:space="preserve"> Z</w:t>
      </w:r>
      <w:r w:rsidRPr="005E02E1">
        <w:t xml:space="preserve"> toho v kapitole M</w:t>
      </w:r>
      <w:r>
        <w:t>H</w:t>
      </w:r>
      <w:r w:rsidRPr="005E02E1">
        <w:t xml:space="preserve"> SR sa rozpočtujú výdavky v sume 1,4 mld. eur, v kapitole M</w:t>
      </w:r>
      <w:r>
        <w:t>PSVR SR</w:t>
      </w:r>
      <w:r w:rsidRPr="005E02E1">
        <w:t xml:space="preserve"> </w:t>
      </w:r>
      <w:r>
        <w:t xml:space="preserve">v </w:t>
      </w:r>
      <w:r w:rsidRPr="005E02E1">
        <w:t>sum</w:t>
      </w:r>
      <w:r>
        <w:t>e</w:t>
      </w:r>
      <w:r w:rsidRPr="005E02E1">
        <w:t xml:space="preserve"> 900 mil. eur, v kapitole V</w:t>
      </w:r>
      <w:r>
        <w:t xml:space="preserve">PS </w:t>
      </w:r>
      <w:r w:rsidRPr="005E02E1">
        <w:t>940 mil. eur. Pre železničné spoločnosti a Slovenskú správu ciest</w:t>
      </w:r>
      <w:r>
        <w:t>,</w:t>
      </w:r>
      <w:r w:rsidRPr="005E02E1">
        <w:t xml:space="preserve"> patriace pod M</w:t>
      </w:r>
      <w:r>
        <w:t>D</w:t>
      </w:r>
      <w:r w:rsidRPr="005E02E1">
        <w:t xml:space="preserve"> SR s</w:t>
      </w:r>
      <w:r>
        <w:t>a rozpočtuje suma 160 mil. eur.</w:t>
      </w:r>
    </w:p>
  </w:footnote>
  <w:footnote w:id="17">
    <w:p w14:paraId="256066C9" w14:textId="38D92CBA" w:rsidR="0054590C" w:rsidRDefault="0054590C">
      <w:pPr>
        <w:pStyle w:val="Textpoznmkypodiarou"/>
      </w:pPr>
      <w:r>
        <w:rPr>
          <w:rStyle w:val="Odkaznapoznmkupodiarou"/>
        </w:rPr>
        <w:footnoteRef/>
      </w:r>
      <w:r>
        <w:t xml:space="preserve"> Len v</w:t>
      </w:r>
      <w:r w:rsidRPr="00E335AB">
        <w:t xml:space="preserve"> prípade rezervy na riešenie krízových situácií a vykonávanie povodňových prác sa postupuje v súlade s platnou právnou úpravou.</w:t>
      </w:r>
    </w:p>
  </w:footnote>
  <w:footnote w:id="18">
    <w:p w14:paraId="3FBF8716" w14:textId="37D4F895" w:rsidR="0054590C" w:rsidRDefault="0054590C" w:rsidP="00226656">
      <w:pPr>
        <w:pStyle w:val="Textpoznmkypodiarou"/>
      </w:pPr>
      <w:r>
        <w:rPr>
          <w:rStyle w:val="Odkaznapoznmkupodiarou"/>
        </w:rPr>
        <w:footnoteRef/>
      </w:r>
      <w:r>
        <w:t xml:space="preserve"> NKÚ SR, 2020: Stanovisko Najvyššieho kontrolného úradu SR k návrhu ŠZÚ za rok 2019. [</w:t>
      </w:r>
      <w:hyperlink r:id="rId10" w:history="1">
        <w:r>
          <w:rPr>
            <w:rStyle w:val="Hypertextovprepojenie"/>
            <w:sz w:val="16"/>
          </w:rPr>
          <w:t>online</w:t>
        </w:r>
      </w:hyperlink>
      <w:r>
        <w:rPr>
          <w:rStyle w:val="Hypertextovprepojenie"/>
          <w:sz w:val="16"/>
        </w:rPr>
        <w:t>].</w:t>
      </w:r>
    </w:p>
  </w:footnote>
  <w:footnote w:id="19">
    <w:p w14:paraId="30CCE5AC" w14:textId="7F402709" w:rsidR="0054590C" w:rsidRDefault="0054590C" w:rsidP="00226656">
      <w:pPr>
        <w:pStyle w:val="Textpoznmkypodiarou"/>
      </w:pPr>
      <w:r>
        <w:rPr>
          <w:rStyle w:val="Odkaznapoznmkupodiarou"/>
        </w:rPr>
        <w:footnoteRef/>
      </w:r>
      <w:r>
        <w:t xml:space="preserve"> NKÚ SR, 2021: Stanovisko Najvyššieho kontrolného úradu SR k návrhu ŠZÚ za rok 2020. [</w:t>
      </w:r>
      <w:hyperlink r:id="rId11" w:history="1">
        <w:r>
          <w:rPr>
            <w:rStyle w:val="Hypertextovprepojenie"/>
            <w:sz w:val="16"/>
          </w:rPr>
          <w:t>online</w:t>
        </w:r>
      </w:hyperlink>
      <w:r>
        <w:rPr>
          <w:rStyle w:val="Hypertextovprepojenie"/>
          <w:sz w:val="16"/>
        </w:rPr>
        <w:t>].</w:t>
      </w:r>
    </w:p>
  </w:footnote>
  <w:footnote w:id="20">
    <w:p w14:paraId="60CC7E86" w14:textId="35A00FA7" w:rsidR="0054590C" w:rsidRDefault="0054590C" w:rsidP="00F4156D">
      <w:pPr>
        <w:pStyle w:val="Textpoznmkypodiarou"/>
      </w:pPr>
      <w:r>
        <w:rPr>
          <w:rStyle w:val="Odkaznapoznmkupodiarou"/>
        </w:rPr>
        <w:footnoteRef/>
      </w:r>
      <w:r>
        <w:t xml:space="preserve"> S priemernými kapitálovými výdavkami nad 20 mil. eur ročne.</w:t>
      </w:r>
    </w:p>
  </w:footnote>
  <w:footnote w:id="21">
    <w:p w14:paraId="18B81755" w14:textId="4823142F" w:rsidR="0054590C" w:rsidRDefault="0054590C" w:rsidP="00352A55">
      <w:pPr>
        <w:pStyle w:val="Textpoznmkypodiarou"/>
      </w:pPr>
      <w:r>
        <w:rPr>
          <w:rStyle w:val="Odkaznapoznmkupodiarou"/>
        </w:rPr>
        <w:footnoteRef/>
      </w:r>
      <w:r>
        <w:t xml:space="preserve"> Prostriedky v rámci programu 0EB – Operačný program Integrovaná infraštruktúra.</w:t>
      </w:r>
    </w:p>
  </w:footnote>
  <w:footnote w:id="22">
    <w:p w14:paraId="465374F2" w14:textId="61A14CC0" w:rsidR="0054590C" w:rsidRDefault="0054590C" w:rsidP="007A289A">
      <w:pPr>
        <w:pStyle w:val="Textpoznmkypodiarou"/>
      </w:pPr>
      <w:r>
        <w:rPr>
          <w:rStyle w:val="Odkaznapoznmkupodiarou"/>
        </w:rPr>
        <w:footnoteRef/>
      </w:r>
      <w:r>
        <w:t xml:space="preserve"> Časť prostriedkov z alokovanej sumy cca 23 mil. eur, určenej na projekty Slovenskej správy ciest, bude použitá aj na mosty. Nie je však známe, koľko projektov a v akej výške sa bude týkať výlučne rekonštrukcie mostov.</w:t>
      </w:r>
    </w:p>
  </w:footnote>
  <w:footnote w:id="23">
    <w:p w14:paraId="1AF21D84" w14:textId="647F4BB9" w:rsidR="0054590C" w:rsidRPr="002117A7" w:rsidRDefault="0054590C" w:rsidP="00952413">
      <w:pPr>
        <w:pStyle w:val="Textpoznmkypodiarou"/>
        <w:rPr>
          <w:szCs w:val="16"/>
        </w:rPr>
      </w:pPr>
      <w:r w:rsidRPr="002117A7">
        <w:rPr>
          <w:rStyle w:val="Odkaznapoznmkupodiarou"/>
          <w:szCs w:val="16"/>
        </w:rPr>
        <w:footnoteRef/>
      </w:r>
      <w:r w:rsidRPr="002117A7">
        <w:rPr>
          <w:szCs w:val="16"/>
        </w:rPr>
        <w:t xml:space="preserve"> NKÚ SR</w:t>
      </w:r>
      <w:r>
        <w:rPr>
          <w:szCs w:val="16"/>
        </w:rPr>
        <w:t xml:space="preserve"> – </w:t>
      </w:r>
      <w:r w:rsidRPr="002117A7">
        <w:rPr>
          <w:szCs w:val="16"/>
        </w:rPr>
        <w:t>Nákup lietadiel F-16.</w:t>
      </w:r>
      <w:r w:rsidRPr="0056274F">
        <w:rPr>
          <w:szCs w:val="16"/>
        </w:rPr>
        <w:t xml:space="preserve"> </w:t>
      </w:r>
      <w:r>
        <w:rPr>
          <w:szCs w:val="16"/>
        </w:rPr>
        <w:t>Jún</w:t>
      </w:r>
      <w:r w:rsidRPr="002117A7">
        <w:rPr>
          <w:szCs w:val="16"/>
        </w:rPr>
        <w:t xml:space="preserve"> 2021</w:t>
      </w:r>
      <w:r>
        <w:rPr>
          <w:szCs w:val="16"/>
        </w:rPr>
        <w:t>.</w:t>
      </w:r>
      <w:r w:rsidRPr="002117A7">
        <w:rPr>
          <w:szCs w:val="16"/>
        </w:rPr>
        <w:t xml:space="preserve"> [</w:t>
      </w:r>
      <w:hyperlink r:id="rId12" w:history="1">
        <w:r w:rsidRPr="002117A7">
          <w:rPr>
            <w:rStyle w:val="Hypertextovprepojenie"/>
            <w:sz w:val="16"/>
            <w:szCs w:val="16"/>
          </w:rPr>
          <w:t>online</w:t>
        </w:r>
      </w:hyperlink>
      <w:r w:rsidRPr="002117A7">
        <w:rPr>
          <w:szCs w:val="16"/>
        </w:rPr>
        <w:t>]</w:t>
      </w:r>
      <w:r>
        <w:rPr>
          <w:szCs w:val="16"/>
        </w:rPr>
        <w:t>.</w:t>
      </w:r>
    </w:p>
  </w:footnote>
  <w:footnote w:id="24">
    <w:p w14:paraId="55630E9E" w14:textId="2AFE7AED" w:rsidR="0054590C" w:rsidRDefault="0054590C" w:rsidP="00952413">
      <w:pPr>
        <w:pStyle w:val="Textpoznmkypodiarou"/>
      </w:pPr>
      <w:r w:rsidRPr="002117A7">
        <w:rPr>
          <w:rStyle w:val="Odkaznapoznmkupodiarou"/>
          <w:szCs w:val="16"/>
        </w:rPr>
        <w:footnoteRef/>
      </w:r>
      <w:r w:rsidRPr="002117A7">
        <w:rPr>
          <w:szCs w:val="16"/>
        </w:rPr>
        <w:t xml:space="preserve"> Kompenzačné programy sú </w:t>
      </w:r>
      <w:r w:rsidRPr="00386027">
        <w:rPr>
          <w:szCs w:val="16"/>
        </w:rPr>
        <w:t>programy priemyselnej spolupráce</w:t>
      </w:r>
      <w:r w:rsidRPr="002117A7">
        <w:rPr>
          <w:szCs w:val="16"/>
        </w:rPr>
        <w:t xml:space="preserve">, ktorými vláda ako obstarávateľ vojenskej techniky a služieb získava kompenzáciu za vynaložené peniaze. </w:t>
      </w:r>
      <w:r w:rsidRPr="002117A7">
        <w:rPr>
          <w:rFonts w:cs="Segoe UI"/>
          <w:noProof/>
          <w:szCs w:val="16"/>
        </w:rPr>
        <w:t xml:space="preserve">Podrobnejší popis je uvedený v prílohe 9 analytického komentára. </w:t>
      </w:r>
      <w:r w:rsidRPr="002117A7">
        <w:rPr>
          <w:szCs w:val="16"/>
          <w:lang w:val="en-US"/>
        </w:rPr>
        <w:t>[</w:t>
      </w:r>
      <w:hyperlink r:id="rId13" w:history="1">
        <w:r w:rsidRPr="002117A7">
          <w:rPr>
            <w:rStyle w:val="Hypertextovprepojenie"/>
            <w:sz w:val="16"/>
            <w:szCs w:val="16"/>
          </w:rPr>
          <w:t>online]</w:t>
        </w:r>
      </w:hyperlink>
      <w:r>
        <w:rPr>
          <w:rStyle w:val="Hypertextovprepojenie"/>
          <w:sz w:val="16"/>
          <w:szCs w:val="16"/>
        </w:rPr>
        <w:t>.</w:t>
      </w:r>
    </w:p>
  </w:footnote>
  <w:footnote w:id="25">
    <w:p w14:paraId="5434B00B" w14:textId="77777777" w:rsidR="0054590C" w:rsidRPr="00873CC3" w:rsidRDefault="0054590C" w:rsidP="00952413">
      <w:pPr>
        <w:pStyle w:val="Textpoznmkypodiarou"/>
        <w:rPr>
          <w:szCs w:val="16"/>
        </w:rPr>
      </w:pPr>
      <w:r w:rsidRPr="00873CC3">
        <w:rPr>
          <w:rStyle w:val="Odkaznapoznmkupodiarou"/>
          <w:szCs w:val="16"/>
        </w:rPr>
        <w:footnoteRef/>
      </w:r>
      <w:r w:rsidRPr="00873CC3">
        <w:rPr>
          <w:szCs w:val="16"/>
        </w:rPr>
        <w:t xml:space="preserve"> Úrad pre verejné obstarávanie. [</w:t>
      </w:r>
      <w:hyperlink r:id="rId14" w:history="1">
        <w:r w:rsidRPr="00873CC3">
          <w:rPr>
            <w:rStyle w:val="Hypertextovprepojenie"/>
            <w:sz w:val="16"/>
            <w:szCs w:val="16"/>
          </w:rPr>
          <w:t>online</w:t>
        </w:r>
      </w:hyperlink>
      <w:r w:rsidRPr="00873CC3">
        <w:rPr>
          <w:szCs w:val="16"/>
        </w:rPr>
        <w:t>]</w:t>
      </w:r>
      <w:r>
        <w:rPr>
          <w:szCs w:val="16"/>
        </w:rPr>
        <w:t>.</w:t>
      </w:r>
    </w:p>
  </w:footnote>
  <w:footnote w:id="26">
    <w:p w14:paraId="04527E60" w14:textId="34304E8A" w:rsidR="0054590C" w:rsidRPr="002117A7" w:rsidRDefault="0054590C" w:rsidP="00952413">
      <w:pPr>
        <w:pStyle w:val="Textpoznmkypodiarou"/>
        <w:rPr>
          <w:szCs w:val="16"/>
        </w:rPr>
      </w:pPr>
      <w:r w:rsidRPr="00457DB3">
        <w:rPr>
          <w:rStyle w:val="Odkaznapoznmkupodiarou"/>
        </w:rPr>
        <w:footnoteRef/>
      </w:r>
      <w:r w:rsidRPr="00457DB3">
        <w:t xml:space="preserve"> </w:t>
      </w:r>
      <w:r w:rsidRPr="002117A7">
        <w:rPr>
          <w:szCs w:val="16"/>
        </w:rPr>
        <w:t xml:space="preserve">Zdroje: </w:t>
      </w:r>
      <w:hyperlink r:id="rId15" w:history="1">
        <w:r w:rsidRPr="009169FD">
          <w:rPr>
            <w:rStyle w:val="Hypertextovprepojenie"/>
            <w:noProof/>
            <w:color w:val="314364" w:themeColor="text2"/>
            <w:sz w:val="16"/>
            <w:szCs w:val="16"/>
            <w:lang w:eastAsia="sk-SK"/>
          </w:rPr>
          <w:t>Ministerstvo práce a hospodárstva Rakúska</w:t>
        </w:r>
      </w:hyperlink>
      <w:r w:rsidRPr="002117A7">
        <w:rPr>
          <w:noProof/>
          <w:szCs w:val="16"/>
          <w:lang w:eastAsia="sk-SK"/>
        </w:rPr>
        <w:t xml:space="preserve">, </w:t>
      </w:r>
      <w:hyperlink r:id="rId16" w:history="1">
        <w:r w:rsidRPr="009169FD">
          <w:rPr>
            <w:rStyle w:val="Hypertextovprepojenie"/>
            <w:noProof/>
            <w:color w:val="314364" w:themeColor="text2"/>
            <w:sz w:val="16"/>
            <w:szCs w:val="16"/>
            <w:lang w:eastAsia="sk-SK"/>
          </w:rPr>
          <w:t>Ministerstvo obrany Českej republiky</w:t>
        </w:r>
      </w:hyperlink>
      <w:r w:rsidRPr="002117A7">
        <w:rPr>
          <w:noProof/>
          <w:szCs w:val="16"/>
          <w:lang w:eastAsia="sk-SK"/>
        </w:rPr>
        <w:t xml:space="preserve">, </w:t>
      </w:r>
      <w:hyperlink r:id="rId17" w:history="1">
        <w:r w:rsidRPr="009169FD">
          <w:rPr>
            <w:rStyle w:val="Hypertextovprepojenie"/>
            <w:noProof/>
            <w:color w:val="314364" w:themeColor="text2"/>
            <w:sz w:val="16"/>
            <w:szCs w:val="16"/>
            <w:lang w:eastAsia="sk-SK"/>
          </w:rPr>
          <w:t>Defence24</w:t>
        </w:r>
      </w:hyperlink>
      <w:r w:rsidRPr="002117A7">
        <w:rPr>
          <w:noProof/>
          <w:szCs w:val="16"/>
          <w:lang w:eastAsia="sk-SK"/>
        </w:rPr>
        <w:t xml:space="preserve">, </w:t>
      </w:r>
      <w:hyperlink r:id="rId18" w:history="1">
        <w:r w:rsidRPr="009169FD">
          <w:rPr>
            <w:rStyle w:val="Hypertextovprepojenie"/>
            <w:noProof/>
            <w:color w:val="314364" w:themeColor="text2"/>
            <w:sz w:val="16"/>
            <w:szCs w:val="16"/>
            <w:lang w:eastAsia="sk-SK"/>
          </w:rPr>
          <w:t>SAAB</w:t>
        </w:r>
      </w:hyperlink>
      <w:r w:rsidRPr="002117A7">
        <w:rPr>
          <w:noProof/>
          <w:szCs w:val="16"/>
          <w:lang w:eastAsia="sk-SK"/>
        </w:rPr>
        <w:t xml:space="preserve">, </w:t>
      </w:r>
      <w:hyperlink r:id="rId19" w:history="1">
        <w:r w:rsidRPr="009169FD">
          <w:rPr>
            <w:rStyle w:val="Hypertextovprepojenie"/>
            <w:noProof/>
            <w:color w:val="314364" w:themeColor="text2"/>
            <w:sz w:val="16"/>
            <w:szCs w:val="16"/>
            <w:lang w:eastAsia="sk-SK"/>
          </w:rPr>
          <w:t>Defence Update</w:t>
        </w:r>
      </w:hyperlink>
      <w:r w:rsidRPr="002117A7">
        <w:rPr>
          <w:rStyle w:val="Hypertextovprepojenie"/>
          <w:noProof/>
          <w:color w:val="auto"/>
          <w:sz w:val="16"/>
          <w:szCs w:val="16"/>
          <w:lang w:eastAsia="sk-SK"/>
        </w:rPr>
        <w:t>,</w:t>
      </w:r>
      <w:r w:rsidRPr="002117A7">
        <w:rPr>
          <w:noProof/>
          <w:szCs w:val="16"/>
          <w:lang w:eastAsia="sk-SK"/>
        </w:rPr>
        <w:t xml:space="preserve"> </w:t>
      </w:r>
      <w:hyperlink r:id="rId20" w:history="1">
        <w:r w:rsidRPr="002117A7">
          <w:rPr>
            <w:rStyle w:val="Hypertextovprepojenie"/>
            <w:noProof/>
            <w:sz w:val="16"/>
            <w:szCs w:val="16"/>
            <w:lang w:eastAsia="sk-SK"/>
          </w:rPr>
          <w:t>ARMY TECHNOLOGY</w:t>
        </w:r>
      </w:hyperlink>
      <w:r w:rsidRPr="002117A7">
        <w:rPr>
          <w:noProof/>
          <w:szCs w:val="16"/>
          <w:lang w:eastAsia="sk-SK"/>
        </w:rPr>
        <w:t xml:space="preserve">, </w:t>
      </w:r>
      <w:hyperlink r:id="rId21" w:history="1">
        <w:r w:rsidRPr="002117A7">
          <w:rPr>
            <w:rStyle w:val="Hypertextovprepojenie"/>
            <w:noProof/>
            <w:sz w:val="16"/>
            <w:szCs w:val="16"/>
            <w:lang w:eastAsia="sk-SK"/>
          </w:rPr>
          <w:t>France24</w:t>
        </w:r>
      </w:hyperlink>
      <w:r>
        <w:rPr>
          <w:rStyle w:val="Hypertextovprepojenie"/>
          <w:noProof/>
          <w:sz w:val="16"/>
          <w:szCs w:val="16"/>
          <w:lang w:eastAsia="sk-SK"/>
        </w:rPr>
        <w:t>,</w:t>
      </w:r>
      <w:r>
        <w:rPr>
          <w:rFonts w:cs="Segoe UI"/>
          <w:szCs w:val="16"/>
        </w:rPr>
        <w:t xml:space="preserve"> odborná literatúra napr.: </w:t>
      </w:r>
      <w:proofErr w:type="spellStart"/>
      <w:r w:rsidRPr="002525C2">
        <w:rPr>
          <w:rFonts w:cs="Segoe UI"/>
          <w:szCs w:val="16"/>
        </w:rPr>
        <w:t>Cambridge</w:t>
      </w:r>
      <w:proofErr w:type="spellEnd"/>
      <w:r w:rsidRPr="002525C2">
        <w:rPr>
          <w:rFonts w:cs="Segoe UI"/>
          <w:szCs w:val="16"/>
        </w:rPr>
        <w:t xml:space="preserve"> </w:t>
      </w:r>
      <w:proofErr w:type="spellStart"/>
      <w:r w:rsidRPr="002525C2">
        <w:rPr>
          <w:rFonts w:cs="Segoe UI"/>
          <w:szCs w:val="16"/>
        </w:rPr>
        <w:t>University</w:t>
      </w:r>
      <w:proofErr w:type="spellEnd"/>
      <w:r w:rsidRPr="002525C2">
        <w:rPr>
          <w:rFonts w:cs="Segoe UI"/>
          <w:szCs w:val="16"/>
        </w:rPr>
        <w:t xml:space="preserve"> Press, 2014, </w:t>
      </w:r>
      <w:proofErr w:type="spellStart"/>
      <w:r w:rsidRPr="002525C2">
        <w:rPr>
          <w:rFonts w:cs="Segoe UI"/>
          <w:szCs w:val="16"/>
        </w:rPr>
        <w:t>Buying</w:t>
      </w:r>
      <w:proofErr w:type="spellEnd"/>
      <w:r w:rsidRPr="002525C2">
        <w:rPr>
          <w:rFonts w:cs="Segoe UI"/>
          <w:szCs w:val="16"/>
        </w:rPr>
        <w:t xml:space="preserve"> </w:t>
      </w:r>
      <w:proofErr w:type="spellStart"/>
      <w:r w:rsidRPr="002525C2">
        <w:rPr>
          <w:rFonts w:cs="Segoe UI"/>
          <w:szCs w:val="16"/>
        </w:rPr>
        <w:t>D</w:t>
      </w:r>
      <w:r>
        <w:rPr>
          <w:rFonts w:cs="Segoe UI"/>
          <w:szCs w:val="16"/>
        </w:rPr>
        <w:t>efence</w:t>
      </w:r>
      <w:proofErr w:type="spellEnd"/>
      <w:r>
        <w:rPr>
          <w:rFonts w:cs="Segoe UI"/>
          <w:szCs w:val="16"/>
        </w:rPr>
        <w:t xml:space="preserve"> and </w:t>
      </w:r>
      <w:proofErr w:type="spellStart"/>
      <w:r>
        <w:rPr>
          <w:rFonts w:cs="Segoe UI"/>
          <w:szCs w:val="16"/>
        </w:rPr>
        <w:t>Security</w:t>
      </w:r>
      <w:proofErr w:type="spellEnd"/>
      <w:r>
        <w:rPr>
          <w:rFonts w:cs="Segoe UI"/>
          <w:szCs w:val="16"/>
        </w:rPr>
        <w:t xml:space="preserve"> in </w:t>
      </w:r>
      <w:proofErr w:type="spellStart"/>
      <w:r>
        <w:rPr>
          <w:rFonts w:cs="Segoe UI"/>
          <w:szCs w:val="16"/>
        </w:rPr>
        <w:t>Europe</w:t>
      </w:r>
      <w:proofErr w:type="spellEnd"/>
      <w:r>
        <w:rPr>
          <w:rFonts w:cs="Segoe UI"/>
          <w:szCs w:val="16"/>
        </w:rPr>
        <w:t xml:space="preserve">. </w:t>
      </w:r>
      <w:r w:rsidRPr="002525C2">
        <w:rPr>
          <w:rFonts w:cs="Segoe UI"/>
          <w:szCs w:val="16"/>
        </w:rPr>
        <w:t>[</w:t>
      </w:r>
      <w:hyperlink r:id="rId22" w:history="1">
        <w:r w:rsidRPr="002525C2">
          <w:rPr>
            <w:rStyle w:val="Hypertextovprepojenie"/>
            <w:rFonts w:cs="Segoe UI"/>
            <w:sz w:val="16"/>
            <w:szCs w:val="16"/>
          </w:rPr>
          <w:t>online</w:t>
        </w:r>
      </w:hyperlink>
      <w:r w:rsidRPr="002525C2">
        <w:rPr>
          <w:rFonts w:cs="Segoe UI"/>
          <w:szCs w:val="16"/>
        </w:rPr>
        <w:t>]</w:t>
      </w:r>
      <w:r>
        <w:rPr>
          <w:rFonts w:cs="Segoe UI"/>
          <w:szCs w:val="16"/>
        </w:rPr>
        <w:t>.</w:t>
      </w:r>
      <w:r w:rsidRPr="002117A7">
        <w:rPr>
          <w:noProof/>
          <w:szCs w:val="16"/>
          <w:lang w:eastAsia="sk-SK"/>
        </w:rPr>
        <w:t xml:space="preserve"> Ministerstvo obrany Nórska na základe komunikácie s NKÚ SR potvrdilo túto skutočnosť.</w:t>
      </w:r>
    </w:p>
  </w:footnote>
  <w:footnote w:id="27">
    <w:p w14:paraId="6BC6DD53" w14:textId="48C6636D" w:rsidR="0054590C" w:rsidRDefault="0054590C" w:rsidP="00952413">
      <w:pPr>
        <w:pStyle w:val="Textpoznmkypodiarou"/>
      </w:pPr>
      <w:r>
        <w:rPr>
          <w:rStyle w:val="Odkaznapoznmkupodiarou"/>
        </w:rPr>
        <w:footnoteRef/>
      </w:r>
      <w:r>
        <w:t xml:space="preserve"> MO SR na základe vyžiadania NKÚ SR potvrdilo, že </w:t>
      </w:r>
      <w:r w:rsidRPr="002117A7">
        <w:t xml:space="preserve">slovenský legislatívny regulačný rámec (zákony, predpisy, vyhlášky, opatrenia, smernice a pod.) pre kompenzačné programy v súčasnosti </w:t>
      </w:r>
      <w:r>
        <w:t xml:space="preserve">neexistuje. Preto NKÚ SR v súčasnosti nemôže metodicky na základe platnej legislatívy a dostupných údajov kvantifikovať a overiť výšku kompenzačných programov. </w:t>
      </w:r>
      <w:r w:rsidRPr="003B4FA0">
        <w:t xml:space="preserve">Ak by aj bol zrealizovaný objem kompenzačných programov vo výške 40 % hodnoty kontraktu, na základe týchto údajov a podľa platnej legislatívy EÚ prišla SR </w:t>
      </w:r>
      <w:r>
        <w:t xml:space="preserve">pri podpísanej zmluve na BOV </w:t>
      </w:r>
      <w:r w:rsidRPr="003B4FA0">
        <w:t xml:space="preserve">o možnosť </w:t>
      </w:r>
      <w:r>
        <w:t xml:space="preserve">podpory ekonomiky </w:t>
      </w:r>
      <w:r w:rsidRPr="003B4FA0">
        <w:t>do výšky 60 % hodnoty podpísaného kontraktu.</w:t>
      </w:r>
    </w:p>
  </w:footnote>
  <w:footnote w:id="28">
    <w:p w14:paraId="472598B0" w14:textId="77777777" w:rsidR="0054590C" w:rsidRDefault="0054590C" w:rsidP="00952413">
      <w:pPr>
        <w:pStyle w:val="Textpoznmkypodiarou"/>
      </w:pPr>
      <w:r>
        <w:rPr>
          <w:rStyle w:val="Odkaznapoznmkupodiarou"/>
        </w:rPr>
        <w:footnoteRef/>
      </w:r>
      <w:r>
        <w:t xml:space="preserve"> Z</w:t>
      </w:r>
      <w:r w:rsidRPr="004C26C0">
        <w:t>mluvne dohodnutá čiastka 404 mil. eur s</w:t>
      </w:r>
      <w:r>
        <w:t> </w:t>
      </w:r>
      <w:r w:rsidRPr="004C26C0">
        <w:t>DPH</w:t>
      </w:r>
      <w:r>
        <w:t xml:space="preserve">. </w:t>
      </w:r>
      <w:r w:rsidRPr="00873CC3">
        <w:rPr>
          <w:szCs w:val="16"/>
        </w:rPr>
        <w:t>[</w:t>
      </w:r>
      <w:hyperlink r:id="rId23" w:history="1">
        <w:r w:rsidRPr="00873CC3">
          <w:rPr>
            <w:rStyle w:val="Hypertextovprepojenie"/>
            <w:sz w:val="16"/>
            <w:szCs w:val="16"/>
          </w:rPr>
          <w:t>online</w:t>
        </w:r>
      </w:hyperlink>
      <w:r w:rsidRPr="00873CC3">
        <w:rPr>
          <w:szCs w:val="16"/>
        </w:rPr>
        <w:t>]</w:t>
      </w:r>
      <w:r>
        <w:rPr>
          <w:szCs w:val="16"/>
        </w:rPr>
        <w:t>.</w:t>
      </w:r>
    </w:p>
  </w:footnote>
  <w:footnote w:id="29">
    <w:p w14:paraId="085F6232" w14:textId="77777777" w:rsidR="0054590C" w:rsidRDefault="0054590C" w:rsidP="00952413">
      <w:pPr>
        <w:pStyle w:val="Textpoznmkypodiarou"/>
      </w:pPr>
      <w:r>
        <w:rPr>
          <w:rStyle w:val="Odkaznapoznmkupodiarou"/>
        </w:rPr>
        <w:footnoteRef/>
      </w:r>
      <w:r>
        <w:t xml:space="preserve"> </w:t>
      </w:r>
      <w:r w:rsidRPr="0095030E">
        <w:t>Zdroj: MO Nórska, M</w:t>
      </w:r>
      <w:r>
        <w:t>P</w:t>
      </w:r>
      <w:r w:rsidRPr="0095030E">
        <w:t>O ČR</w:t>
      </w:r>
      <w:r>
        <w:t>.</w:t>
      </w:r>
    </w:p>
  </w:footnote>
  <w:footnote w:id="30">
    <w:p w14:paraId="4E46CBDD" w14:textId="3C41DA9A" w:rsidR="0054590C" w:rsidRDefault="0054590C" w:rsidP="00952413">
      <w:pPr>
        <w:pStyle w:val="Textpoznmkypodiarou"/>
      </w:pPr>
      <w:r>
        <w:rPr>
          <w:rStyle w:val="Odkaznapoznmkupodiarou"/>
        </w:rPr>
        <w:footnoteRef/>
      </w:r>
      <w:r>
        <w:t xml:space="preserve"> Schválený Dlhodobý plán rozvoja rezortu MO SR s výhľadom do roku 2035. </w:t>
      </w:r>
      <w:r w:rsidRPr="002525C2">
        <w:rPr>
          <w:rFonts w:cs="Segoe UI"/>
          <w:szCs w:val="16"/>
        </w:rPr>
        <w:t>[</w:t>
      </w:r>
      <w:hyperlink r:id="rId24" w:history="1">
        <w:r w:rsidRPr="002525C2">
          <w:rPr>
            <w:rStyle w:val="Hypertextovprepojenie"/>
            <w:rFonts w:cs="Segoe UI"/>
            <w:sz w:val="16"/>
            <w:szCs w:val="16"/>
          </w:rPr>
          <w:t>online</w:t>
        </w:r>
      </w:hyperlink>
      <w:r w:rsidRPr="002525C2">
        <w:rPr>
          <w:rFonts w:cs="Segoe UI"/>
          <w:szCs w:val="16"/>
        </w:rPr>
        <w:t>]</w:t>
      </w:r>
      <w:r>
        <w:rPr>
          <w:rFonts w:cs="Segoe UI"/>
          <w:szCs w:val="16"/>
        </w:rPr>
        <w:t>.</w:t>
      </w:r>
    </w:p>
  </w:footnote>
  <w:footnote w:id="31">
    <w:p w14:paraId="63539C27" w14:textId="77777777" w:rsidR="0054590C" w:rsidRDefault="0054590C" w:rsidP="00AE5D31">
      <w:pPr>
        <w:pStyle w:val="Textpoznmkypodiarou"/>
      </w:pPr>
      <w:r>
        <w:rPr>
          <w:rStyle w:val="Odkaznapoznmkupodiarou"/>
        </w:rPr>
        <w:footnoteRef/>
      </w:r>
      <w:r>
        <w:t xml:space="preserve"> Ako príklad úspešného riešenia má NKÚ SR na základe komunikácie s MO Nórska a OS Nórska (</w:t>
      </w:r>
      <w:proofErr w:type="spellStart"/>
      <w:r w:rsidRPr="00EF2826">
        <w:t>Norwegian</w:t>
      </w:r>
      <w:proofErr w:type="spellEnd"/>
      <w:r w:rsidRPr="00EF2826">
        <w:t xml:space="preserve"> </w:t>
      </w:r>
      <w:proofErr w:type="spellStart"/>
      <w:r w:rsidRPr="00EF2826">
        <w:t>Defence</w:t>
      </w:r>
      <w:proofErr w:type="spellEnd"/>
      <w:r w:rsidRPr="00EF2826">
        <w:t xml:space="preserve"> </w:t>
      </w:r>
      <w:proofErr w:type="spellStart"/>
      <w:r w:rsidRPr="00EF2826">
        <w:t>Materiel</w:t>
      </w:r>
      <w:proofErr w:type="spellEnd"/>
      <w:r w:rsidRPr="00EF2826">
        <w:t xml:space="preserve"> </w:t>
      </w:r>
      <w:proofErr w:type="spellStart"/>
      <w:r w:rsidRPr="00EF2826">
        <w:t>Agency</w:t>
      </w:r>
      <w:proofErr w:type="spellEnd"/>
      <w:r>
        <w:t xml:space="preserve">) k dispozícii regulačný predpis Nórskeho kráľovstva. Regulačný predpis Českej republiky je dostupný na web stránke Ministerstva </w:t>
      </w:r>
      <w:proofErr w:type="spellStart"/>
      <w:r w:rsidRPr="00F20700">
        <w:t>průmyslu</w:t>
      </w:r>
      <w:proofErr w:type="spellEnd"/>
      <w:r w:rsidRPr="00F20700">
        <w:t xml:space="preserve"> a</w:t>
      </w:r>
      <w:r>
        <w:t> </w:t>
      </w:r>
      <w:r w:rsidRPr="00F20700">
        <w:t>obchodu</w:t>
      </w:r>
      <w:r>
        <w:t xml:space="preserve">. </w:t>
      </w:r>
      <w:r w:rsidRPr="002525C2">
        <w:rPr>
          <w:rFonts w:cs="Segoe UI"/>
          <w:szCs w:val="16"/>
        </w:rPr>
        <w:t>[</w:t>
      </w:r>
      <w:hyperlink r:id="rId25" w:history="1">
        <w:r w:rsidRPr="002525C2">
          <w:rPr>
            <w:rStyle w:val="Hypertextovprepojenie"/>
            <w:rFonts w:cs="Segoe UI"/>
            <w:sz w:val="16"/>
            <w:szCs w:val="16"/>
          </w:rPr>
          <w:t>online</w:t>
        </w:r>
      </w:hyperlink>
      <w:r w:rsidRPr="002525C2">
        <w:rPr>
          <w:rFonts w:cs="Segoe UI"/>
          <w:szCs w:val="16"/>
        </w:rPr>
        <w:t>]</w:t>
      </w:r>
      <w:r>
        <w:rPr>
          <w:rFonts w:cs="Segoe UI"/>
          <w:szCs w:val="16"/>
        </w:rPr>
        <w:t>.</w:t>
      </w:r>
    </w:p>
  </w:footnote>
  <w:footnote w:id="32">
    <w:p w14:paraId="7A3247F5" w14:textId="6676B915" w:rsidR="0054590C" w:rsidRPr="00891846" w:rsidRDefault="0054590C" w:rsidP="0088656D">
      <w:pPr>
        <w:pStyle w:val="Textpoznmkypodiarou"/>
      </w:pPr>
      <w:r>
        <w:rPr>
          <w:rStyle w:val="Odkaznapoznmkupodiarou"/>
        </w:rPr>
        <w:footnoteRef/>
      </w:r>
      <w:r>
        <w:t xml:space="preserve"> M</w:t>
      </w:r>
      <w:r w:rsidR="0067655E">
        <w:t>Z SR</w:t>
      </w:r>
      <w:r>
        <w:t xml:space="preserve"> – </w:t>
      </w:r>
      <w:proofErr w:type="spellStart"/>
      <w:r w:rsidRPr="005D6325">
        <w:t>Prioritizovaný</w:t>
      </w:r>
      <w:proofErr w:type="spellEnd"/>
      <w:r w:rsidRPr="005D6325">
        <w:t xml:space="preserve"> investičný plán pre zdroj financovania: Plán obnovy a odolnosti</w:t>
      </w:r>
      <w:r>
        <w:t xml:space="preserve">. </w:t>
      </w:r>
      <w:hyperlink r:id="rId26" w:history="1">
        <w:r w:rsidRPr="00891846">
          <w:rPr>
            <w:rStyle w:val="Hypertextovprepojenie"/>
            <w:sz w:val="16"/>
            <w:lang w:val="en-US"/>
          </w:rPr>
          <w:t>[online]</w:t>
        </w:r>
      </w:hyperlink>
      <w:r>
        <w:rPr>
          <w:rStyle w:val="Hypertextovprepojenie"/>
          <w:sz w:val="16"/>
          <w:lang w:val="en-US"/>
        </w:rPr>
        <w:t>.</w:t>
      </w:r>
    </w:p>
  </w:footnote>
  <w:footnote w:id="33">
    <w:p w14:paraId="75FF7A43" w14:textId="77777777" w:rsidR="0054590C" w:rsidRDefault="0054590C" w:rsidP="0088656D">
      <w:pPr>
        <w:pStyle w:val="Textpoznmkypodiarou"/>
      </w:pPr>
      <w:r>
        <w:rPr>
          <w:rStyle w:val="Odkaznapoznmkupodiarou"/>
        </w:rPr>
        <w:footnoteRef/>
      </w:r>
      <w:r>
        <w:t xml:space="preserve"> Návrh RVS na roky 2023 – 2025, s.33.</w:t>
      </w:r>
    </w:p>
  </w:footnote>
  <w:footnote w:id="34">
    <w:p w14:paraId="4AFD9C83" w14:textId="343380C0" w:rsidR="0054590C" w:rsidRDefault="0054590C">
      <w:pPr>
        <w:pStyle w:val="Textpoznmkypodiarou"/>
      </w:pPr>
      <w:r>
        <w:rPr>
          <w:rStyle w:val="Odkaznapoznmkupodiarou"/>
        </w:rPr>
        <w:footnoteRef/>
      </w:r>
      <w:r>
        <w:t xml:space="preserve"> </w:t>
      </w:r>
      <w:r w:rsidRPr="009E22E5">
        <w:t>Podľa MF SR investičný plán MZ SR predstavuje odhad čerpania kapitálových prostriedkov v najbližších šiestich roko</w:t>
      </w:r>
      <w:r w:rsidR="0067655E">
        <w:t>ch</w:t>
      </w:r>
      <w:r w:rsidRPr="009E22E5">
        <w:t xml:space="preserve"> a aktualizuje sa na ročnej báze. Výška skutočne rozpočtovaných výdavkov je výsledkom rozpočtových rokovaní medzi MZ SR a MF SR. Nesúlad medzi investičným plánom a rozpočtom môže vyplývať zo skutočnosti, že konkrétne projekty uvedené v investičnom pláne nie sú dostatočne pripravené, prípadne týmto projektom bol určený iný zdroj financovania (POO), resp. sú iné závery z rokovaní. Dlhodobou snahou MF SR je zabezpečiť čo najužšie previazanie investičných plánov s reálnymi rozpočtami.</w:t>
      </w:r>
    </w:p>
  </w:footnote>
  <w:footnote w:id="35">
    <w:p w14:paraId="10A9F134" w14:textId="31C3AABA" w:rsidR="0054590C" w:rsidRDefault="0054590C" w:rsidP="005D6325">
      <w:pPr>
        <w:pStyle w:val="Textpoznmkypodiarou"/>
      </w:pPr>
      <w:r>
        <w:rPr>
          <w:rStyle w:val="Odkaznapoznmkupodiarou"/>
        </w:rPr>
        <w:footnoteRef/>
      </w:r>
      <w:r>
        <w:t xml:space="preserve"> ÚHP – Revízia výdavkov zamestnanosti a odmeňovania vo verejnej správe. Marec 2022.</w:t>
      </w:r>
      <w:r>
        <w:rPr>
          <w:lang w:val="en-US"/>
        </w:rPr>
        <w:t xml:space="preserve"> [</w:t>
      </w:r>
      <w:hyperlink r:id="rId27" w:history="1">
        <w:r w:rsidRPr="009C1181">
          <w:rPr>
            <w:rStyle w:val="Hypertextovprepojenie"/>
            <w:sz w:val="16"/>
          </w:rPr>
          <w:t>online</w:t>
        </w:r>
      </w:hyperlink>
      <w:r>
        <w:t>].</w:t>
      </w:r>
    </w:p>
  </w:footnote>
  <w:footnote w:id="36">
    <w:p w14:paraId="035EE518" w14:textId="2A3717B8" w:rsidR="0054590C" w:rsidRPr="00E2136D" w:rsidRDefault="0054590C">
      <w:pPr>
        <w:pStyle w:val="Textpoznmkypodiarou"/>
      </w:pPr>
      <w:r>
        <w:rPr>
          <w:rStyle w:val="Odkaznapoznmkupodiarou"/>
        </w:rPr>
        <w:footnoteRef/>
      </w:r>
      <w:r>
        <w:t xml:space="preserve"> Úrad na ochranu osobných údajov SR</w:t>
      </w:r>
      <w:r>
        <w:rPr>
          <w:lang w:val="en-US"/>
        </w:rPr>
        <w:t xml:space="preserve"> – </w:t>
      </w:r>
      <w:r>
        <w:t>Správa o stave ochrany osobných údajov za rok 2021. Marec 2022.</w:t>
      </w:r>
      <w:r>
        <w:rPr>
          <w:lang w:val="en-US"/>
        </w:rPr>
        <w:t xml:space="preserve"> [</w:t>
      </w:r>
      <w:hyperlink r:id="rId28" w:history="1">
        <w:r w:rsidRPr="00E2136D">
          <w:rPr>
            <w:rStyle w:val="Hypertextovprepojenie"/>
            <w:sz w:val="16"/>
            <w:lang w:val="en-US"/>
          </w:rPr>
          <w:t>online</w:t>
        </w:r>
      </w:hyperlink>
      <w:r>
        <w:rPr>
          <w:lang w:val="en-US"/>
        </w:rPr>
        <w:t>].</w:t>
      </w:r>
    </w:p>
  </w:footnote>
  <w:footnote w:id="37">
    <w:p w14:paraId="0D7B9DE9" w14:textId="64C99C3C" w:rsidR="0054590C" w:rsidRPr="00D06C00" w:rsidRDefault="0054590C">
      <w:pPr>
        <w:pStyle w:val="Textpoznmkypodiarou"/>
      </w:pPr>
      <w:r w:rsidRPr="00D06C00">
        <w:rPr>
          <w:rStyle w:val="Odkaznapoznmkupodiarou"/>
        </w:rPr>
        <w:footnoteRef/>
      </w:r>
      <w:r w:rsidRPr="00D06C00">
        <w:t xml:space="preserve"> </w:t>
      </w:r>
      <w:r>
        <w:t>Programové vyhlásenie vlády SR na obdobie rokov 2021 – 2024. [</w:t>
      </w:r>
      <w:hyperlink r:id="rId29" w:history="1">
        <w:r w:rsidRPr="00451C0A">
          <w:rPr>
            <w:rStyle w:val="Hypertextovprepojenie"/>
            <w:sz w:val="16"/>
          </w:rPr>
          <w:t>online</w:t>
        </w:r>
      </w:hyperlink>
      <w:r>
        <w:t>].</w:t>
      </w:r>
    </w:p>
  </w:footnote>
  <w:footnote w:id="38">
    <w:p w14:paraId="34C2B613" w14:textId="20CB16F9" w:rsidR="0054590C" w:rsidRPr="00D06C00" w:rsidRDefault="0054590C" w:rsidP="0088656D">
      <w:pPr>
        <w:pStyle w:val="Textpoznmkypodiarou"/>
      </w:pPr>
      <w:r w:rsidRPr="00D06C00">
        <w:rPr>
          <w:rStyle w:val="Odkaznapoznmkupodiarou"/>
        </w:rPr>
        <w:footnoteRef/>
      </w:r>
      <w:r w:rsidRPr="00D06C00">
        <w:t xml:space="preserve"> </w:t>
      </w:r>
      <w:r>
        <w:t>Cieľ n</w:t>
      </w:r>
      <w:r w:rsidRPr="00D06C00">
        <w:t>a rok 2020: 195 mil. eu</w:t>
      </w:r>
      <w:r>
        <w:t>r,</w:t>
      </w:r>
      <w:r w:rsidRPr="00D06C00">
        <w:t xml:space="preserve"> plnenie 86,6 mil. eur</w:t>
      </w:r>
      <w:r>
        <w:t>; cieľ na</w:t>
      </w:r>
      <w:r w:rsidRPr="00D06C00">
        <w:t xml:space="preserve"> rok 2021: 304,5 mil. eur</w:t>
      </w:r>
      <w:r>
        <w:t>,</w:t>
      </w:r>
      <w:r w:rsidRPr="00D06C00">
        <w:t xml:space="preserve"> plnenie 115,9 mil. eur</w:t>
      </w:r>
      <w:r>
        <w:t>. Z</w:t>
      </w:r>
      <w:r w:rsidRPr="00D06C00">
        <w:t>droj: ISA ÚV SR; Súhrnná implementačná správa za rok 2021, str. 135</w:t>
      </w:r>
      <w:r>
        <w:t>.</w:t>
      </w:r>
    </w:p>
  </w:footnote>
  <w:footnote w:id="39">
    <w:p w14:paraId="2CCFCB6C" w14:textId="77777777" w:rsidR="0054590C" w:rsidRPr="00D06C00" w:rsidRDefault="0054590C" w:rsidP="0088656D">
      <w:pPr>
        <w:pStyle w:val="Textpoznmkypodiarou"/>
      </w:pPr>
      <w:r w:rsidRPr="00D06C00">
        <w:rPr>
          <w:rStyle w:val="Odkaznapoznmkupodiarou"/>
        </w:rPr>
        <w:footnoteRef/>
      </w:r>
      <w:r w:rsidRPr="00D06C00">
        <w:t xml:space="preserve"> PVV</w:t>
      </w:r>
      <w:r>
        <w:t xml:space="preserve"> na roky 2021 – 2024</w:t>
      </w:r>
      <w:r w:rsidRPr="00D06C00">
        <w:t>, s. 41</w:t>
      </w:r>
      <w:r>
        <w:t xml:space="preserve">. </w:t>
      </w:r>
      <w:r w:rsidRPr="00D06C00">
        <w:rPr>
          <w:lang w:val="en-US"/>
        </w:rPr>
        <w:t>[</w:t>
      </w:r>
      <w:hyperlink r:id="rId30" w:history="1">
        <w:r w:rsidRPr="00D37BC7">
          <w:rPr>
            <w:rStyle w:val="Hypertextovprepojenie"/>
            <w:sz w:val="16"/>
          </w:rPr>
          <w:t>online</w:t>
        </w:r>
      </w:hyperlink>
      <w:r w:rsidRPr="00D06C00">
        <w:t>].</w:t>
      </w:r>
    </w:p>
  </w:footnote>
  <w:footnote w:id="40">
    <w:p w14:paraId="3ABBC3E1" w14:textId="58F55F0E" w:rsidR="0054590C" w:rsidRPr="00D06C00" w:rsidRDefault="0054590C" w:rsidP="0088656D">
      <w:pPr>
        <w:pStyle w:val="Textpoznmkypodiarou"/>
      </w:pPr>
      <w:r w:rsidRPr="00D06C00">
        <w:rPr>
          <w:rStyle w:val="Odkaznapoznmkupodiarou"/>
        </w:rPr>
        <w:footnoteRef/>
      </w:r>
      <w:r w:rsidRPr="00D06C00">
        <w:t xml:space="preserve"> Súhrnná správa o vývoji v Strategickom rámci starostlivosti o zdravie pre roky 2014</w:t>
      </w:r>
      <w:r>
        <w:t xml:space="preserve"> – </w:t>
      </w:r>
      <w:r w:rsidRPr="00D06C00">
        <w:t>2030 za obdobie od začiatku realizácie Strategického rámca starostlivosti o zdravie do konca roka 2021</w:t>
      </w:r>
      <w:r>
        <w:t>.</w:t>
      </w:r>
      <w:r w:rsidRPr="00D06C00">
        <w:t xml:space="preserve"> </w:t>
      </w:r>
      <w:r w:rsidRPr="00D06C00">
        <w:rPr>
          <w:lang w:val="en-US"/>
        </w:rPr>
        <w:t>[</w:t>
      </w:r>
      <w:hyperlink r:id="rId31" w:history="1">
        <w:r w:rsidRPr="00D06C00">
          <w:rPr>
            <w:rStyle w:val="Hypertextovprepojenie"/>
            <w:sz w:val="16"/>
            <w:lang w:val="en-US"/>
          </w:rPr>
          <w:t>online</w:t>
        </w:r>
      </w:hyperlink>
      <w:r w:rsidRPr="00D06C00">
        <w:rPr>
          <w:lang w:val="en-US"/>
        </w:rPr>
        <w:t>]</w:t>
      </w:r>
      <w:r>
        <w:rPr>
          <w:lang w:val="en-US"/>
        </w:rPr>
        <w:t>.</w:t>
      </w:r>
    </w:p>
  </w:footnote>
  <w:footnote w:id="41">
    <w:p w14:paraId="119F53BD" w14:textId="091EEC93" w:rsidR="0054590C" w:rsidRDefault="0054590C" w:rsidP="00BF6CDC">
      <w:pPr>
        <w:pStyle w:val="Textpoznmkypodiarou"/>
      </w:pPr>
      <w:r>
        <w:rPr>
          <w:rStyle w:val="Odkaznapoznmkupodiarou"/>
        </w:rPr>
        <w:footnoteRef/>
      </w:r>
      <w:r>
        <w:t xml:space="preserve"> Podľa MF SR boli ciele stanovené </w:t>
      </w:r>
      <w:r w:rsidRPr="004F30D9">
        <w:t xml:space="preserve">podľa štúdie IFP </w:t>
      </w:r>
      <w:r>
        <w:t xml:space="preserve">– </w:t>
      </w:r>
      <w:r w:rsidRPr="004F30D9">
        <w:t>Reformný kompas slovenskej ekonomiky</w:t>
      </w:r>
      <w:r>
        <w:t xml:space="preserve">. </w:t>
      </w:r>
      <w:r>
        <w:rPr>
          <w:lang w:val="en-US"/>
        </w:rPr>
        <w:t>[</w:t>
      </w:r>
      <w:hyperlink r:id="rId32" w:history="1">
        <w:r w:rsidRPr="004F30D9">
          <w:rPr>
            <w:rStyle w:val="Hypertextovprepojenie"/>
            <w:sz w:val="16"/>
            <w:lang w:val="en-US"/>
          </w:rPr>
          <w:t>online</w:t>
        </w:r>
      </w:hyperlink>
      <w:r>
        <w:rPr>
          <w:lang w:val="en-US"/>
        </w:rPr>
        <w:t>]</w:t>
      </w:r>
      <w:r w:rsidRPr="004F30D9">
        <w:t>. Cieľová hodnota bola stanovená pre rok 2030. V prípade národného cieľa v ukazovateli úmrtnos</w:t>
      </w:r>
      <w:r>
        <w:t>ť</w:t>
      </w:r>
      <w:r w:rsidRPr="004F30D9">
        <w:t xml:space="preserve"> odvrátiteľnej zdravotnou starostlivosťou trajektória pre cieľovú hodnotu (začiatok od roku 2022) pozostáva z priemerného posunu piatich krajín s najväčším zlepšením v období 2011 </w:t>
      </w:r>
      <w:r>
        <w:t xml:space="preserve">– </w:t>
      </w:r>
      <w:r w:rsidRPr="004F30D9">
        <w:t xml:space="preserve"> 2018 (aj vzhľadom na výrazn</w:t>
      </w:r>
      <w:r>
        <w:t>e</w:t>
      </w:r>
      <w:r w:rsidRPr="004F30D9">
        <w:t xml:space="preserve"> horšie výsledky oproti priemeru EÚ). Keďže už počiatočné výsledky S</w:t>
      </w:r>
      <w:r>
        <w:t>R</w:t>
      </w:r>
      <w:r w:rsidRPr="004F30D9">
        <w:t xml:space="preserve"> v tomto ukazovateli patria k najhorším, pozitívny vývoj do roku 2025 nemusí stále znamenať dosiahnutie úrovne Poľska (ďalšej krajiny v poradí).</w:t>
      </w:r>
    </w:p>
  </w:footnote>
  <w:footnote w:id="42">
    <w:p w14:paraId="0C10B31E" w14:textId="41CA94A6" w:rsidR="0054590C" w:rsidRPr="001244BE" w:rsidRDefault="0054590C" w:rsidP="00B702F4">
      <w:pPr>
        <w:pStyle w:val="Textpoznmkypodiarou"/>
      </w:pPr>
      <w:r w:rsidRPr="001244BE">
        <w:rPr>
          <w:rStyle w:val="Odkaznapoznmkupodiarou"/>
          <w:szCs w:val="16"/>
        </w:rPr>
        <w:footnoteRef/>
      </w:r>
      <w:r w:rsidRPr="001244BE">
        <w:t xml:space="preserve"> </w:t>
      </w:r>
      <w:r w:rsidRPr="00E76370">
        <w:t>Úrad vlády Slovenskej republiky</w:t>
      </w:r>
      <w:r>
        <w:t xml:space="preserve"> – </w:t>
      </w:r>
      <w:r w:rsidRPr="00E76370">
        <w:t>Súhrnná implementačná správa za rok 2021</w:t>
      </w:r>
      <w:r>
        <w:t xml:space="preserve">. 14. 10. 2022 </w:t>
      </w:r>
      <w:r w:rsidRPr="001244BE">
        <w:rPr>
          <w:color w:val="314364" w:themeColor="text2"/>
          <w:lang w:val="en-US"/>
        </w:rPr>
        <w:t>[</w:t>
      </w:r>
      <w:hyperlink r:id="rId33" w:history="1">
        <w:r w:rsidRPr="008660D9">
          <w:rPr>
            <w:rStyle w:val="Hypertextovprepojenie"/>
            <w:sz w:val="16"/>
            <w:szCs w:val="16"/>
            <w:lang w:val="en-US"/>
          </w:rPr>
          <w:t>online</w:t>
        </w:r>
      </w:hyperlink>
      <w:r w:rsidRPr="001244BE">
        <w:rPr>
          <w:color w:val="314364" w:themeColor="text2"/>
          <w:lang w:val="en-US"/>
        </w:rPr>
        <w:t>]</w:t>
      </w:r>
      <w:r>
        <w:rPr>
          <w:color w:val="314364" w:themeColor="text2"/>
          <w:lang w:val="en-US"/>
        </w:rPr>
        <w:t>.</w:t>
      </w:r>
    </w:p>
  </w:footnote>
  <w:footnote w:id="43">
    <w:p w14:paraId="77B43074" w14:textId="71ED7875" w:rsidR="0054590C" w:rsidRPr="001244BE" w:rsidRDefault="0054590C" w:rsidP="00B702F4">
      <w:pPr>
        <w:pStyle w:val="Textpoznmkypodiarou"/>
      </w:pPr>
      <w:r w:rsidRPr="001244BE">
        <w:rPr>
          <w:rStyle w:val="Odkaznapoznmkupodiarou"/>
          <w:szCs w:val="16"/>
        </w:rPr>
        <w:footnoteRef/>
      </w:r>
      <w:r w:rsidRPr="001244BE">
        <w:t xml:space="preserve"> </w:t>
      </w:r>
      <w:r w:rsidRPr="00E76370">
        <w:t xml:space="preserve">Ministerstvo financií Slovenskej republiky </w:t>
      </w:r>
      <w:r>
        <w:t xml:space="preserve">– </w:t>
      </w:r>
      <w:r w:rsidRPr="00E76370">
        <w:t>Návrh Revízie výdavkov na zdravotníctvo</w:t>
      </w:r>
      <w:r>
        <w:t xml:space="preserve">. 12. 10. 2022. </w:t>
      </w:r>
      <w:r w:rsidRPr="001244BE">
        <w:rPr>
          <w:color w:val="314364" w:themeColor="text2"/>
          <w:lang w:val="en-US"/>
        </w:rPr>
        <w:t>[</w:t>
      </w:r>
      <w:hyperlink r:id="rId34" w:history="1">
        <w:r w:rsidRPr="008660D9">
          <w:rPr>
            <w:rStyle w:val="Hypertextovprepojenie"/>
            <w:sz w:val="16"/>
            <w:szCs w:val="16"/>
            <w:lang w:val="en-US"/>
          </w:rPr>
          <w:t>online</w:t>
        </w:r>
      </w:hyperlink>
      <w:r w:rsidRPr="001244BE">
        <w:rPr>
          <w:color w:val="314364" w:themeColor="text2"/>
          <w:lang w:val="en-US"/>
        </w:rPr>
        <w:t>]</w:t>
      </w:r>
      <w:r>
        <w:rPr>
          <w:color w:val="314364" w:themeColor="text2"/>
          <w:lang w:val="en-US"/>
        </w:rPr>
        <w:t>.</w:t>
      </w:r>
    </w:p>
  </w:footnote>
  <w:footnote w:id="44">
    <w:p w14:paraId="3CB23F81" w14:textId="58CA519C" w:rsidR="0054590C" w:rsidRPr="001244BE" w:rsidRDefault="0054590C" w:rsidP="00B702F4">
      <w:pPr>
        <w:pStyle w:val="Textpoznmkypodiarou"/>
      </w:pPr>
      <w:r w:rsidRPr="001244BE">
        <w:rPr>
          <w:rStyle w:val="Odkaznapoznmkupodiarou"/>
          <w:szCs w:val="16"/>
        </w:rPr>
        <w:footnoteRef/>
      </w:r>
      <w:r w:rsidRPr="001244BE">
        <w:t xml:space="preserve"> </w:t>
      </w:r>
      <w:proofErr w:type="spellStart"/>
      <w:r w:rsidRPr="001244BE">
        <w:t>Orphany</w:t>
      </w:r>
      <w:proofErr w:type="spellEnd"/>
      <w:r w:rsidRPr="001244BE">
        <w:t xml:space="preserve"> sú lieky určené pre diagn</w:t>
      </w:r>
      <w:r>
        <w:t>ostiku</w:t>
      </w:r>
      <w:r w:rsidRPr="001244BE">
        <w:t xml:space="preserve">, prevenciu alebo liečbu zriedkavých ochorení. </w:t>
      </w:r>
    </w:p>
  </w:footnote>
  <w:footnote w:id="45">
    <w:p w14:paraId="1D3B16E0" w14:textId="3AB2B72F" w:rsidR="0054590C" w:rsidRPr="001244BE" w:rsidRDefault="0054590C" w:rsidP="00387ED9">
      <w:pPr>
        <w:pStyle w:val="Textpoznmkypodiarou"/>
        <w:rPr>
          <w:szCs w:val="16"/>
        </w:rPr>
      </w:pPr>
      <w:r w:rsidRPr="001244BE">
        <w:rPr>
          <w:rStyle w:val="Odkaznapoznmkupodiarou"/>
          <w:szCs w:val="16"/>
        </w:rPr>
        <w:footnoteRef/>
      </w:r>
      <w:r w:rsidRPr="001244BE">
        <w:rPr>
          <w:szCs w:val="16"/>
        </w:rPr>
        <w:t xml:space="preserve"> </w:t>
      </w:r>
      <w:r>
        <w:rPr>
          <w:szCs w:val="16"/>
        </w:rPr>
        <w:t>NKÚ SR – R</w:t>
      </w:r>
      <w:r w:rsidRPr="00B702F4">
        <w:rPr>
          <w:szCs w:val="16"/>
        </w:rPr>
        <w:t xml:space="preserve">iziká </w:t>
      </w:r>
      <w:r>
        <w:rPr>
          <w:szCs w:val="16"/>
        </w:rPr>
        <w:t>procesu posudzovania liekov v SR. Júl 2021.</w:t>
      </w:r>
      <w:r w:rsidRPr="00B702F4">
        <w:rPr>
          <w:szCs w:val="16"/>
        </w:rPr>
        <w:t xml:space="preserve"> </w:t>
      </w:r>
      <w:r w:rsidRPr="001244BE">
        <w:rPr>
          <w:color w:val="314364" w:themeColor="text2"/>
          <w:szCs w:val="16"/>
          <w:lang w:val="en-US"/>
        </w:rPr>
        <w:t>[</w:t>
      </w:r>
      <w:hyperlink r:id="rId35" w:history="1">
        <w:r w:rsidRPr="001244BE">
          <w:rPr>
            <w:rStyle w:val="Hypertextovprepojenie"/>
            <w:sz w:val="16"/>
            <w:szCs w:val="16"/>
            <w:lang w:val="en-US"/>
          </w:rPr>
          <w:t>online</w:t>
        </w:r>
      </w:hyperlink>
      <w:r w:rsidRPr="001244BE">
        <w:rPr>
          <w:color w:val="314364" w:themeColor="text2"/>
          <w:szCs w:val="16"/>
          <w:lang w:val="en-US"/>
        </w:rPr>
        <w:t>]</w:t>
      </w:r>
      <w:r>
        <w:rPr>
          <w:color w:val="314364" w:themeColor="text2"/>
          <w:szCs w:val="16"/>
          <w:lang w:val="en-US"/>
        </w:rPr>
        <w:t>.</w:t>
      </w:r>
    </w:p>
  </w:footnote>
  <w:footnote w:id="46">
    <w:p w14:paraId="7EE94F23" w14:textId="77777777" w:rsidR="0054590C" w:rsidRPr="001244BE" w:rsidRDefault="0054590C" w:rsidP="00387ED9">
      <w:pPr>
        <w:pStyle w:val="Textpoznmkypodiarou"/>
        <w:rPr>
          <w:szCs w:val="16"/>
        </w:rPr>
      </w:pPr>
      <w:r w:rsidRPr="001244BE">
        <w:rPr>
          <w:rStyle w:val="Odkaznapoznmkupodiarou"/>
          <w:szCs w:val="16"/>
        </w:rPr>
        <w:footnoteRef/>
      </w:r>
      <w:r w:rsidRPr="001244BE">
        <w:rPr>
          <w:szCs w:val="16"/>
        </w:rPr>
        <w:t xml:space="preserve"> MZ SR je po uplynutí obdobia podmienenej úhrady povinné v prípade podmienene zaradeného lieku začať konanie o tzv. vyrovnávacom rozdiele, t. j. posúdiť podľa § 21 zákona č. 363/2011 Z. z. (resp. podľa § 21 ods. 7 zákona č. 363/2011 Z. z. v znení účinnom do 31. 12. 2017), či reálna suma úhrad ZP za liek je vyššia ako v rozhodnutí o podmienenom zaradení lieku určená maximálna výška úhrady ZP. Ak je reálna suma vyššia, MZ SR je povinné rozhodnutím určiť výšku vyrovnávacieho rozdielu, ktorú je držiteľ registrácie tohto lieku povinný vrátiť ZP, výšku podielu ZP na vyrovnávacom rozdiele a lehotu jeho splatnosti.</w:t>
      </w:r>
    </w:p>
  </w:footnote>
  <w:footnote w:id="47">
    <w:p w14:paraId="578DE1A8" w14:textId="77777777" w:rsidR="0054590C" w:rsidRDefault="0054590C" w:rsidP="00387ED9">
      <w:pPr>
        <w:pStyle w:val="Textpoznmkypodiarou"/>
      </w:pPr>
      <w:r>
        <w:rPr>
          <w:rStyle w:val="Odkaznapoznmkupodiarou"/>
        </w:rPr>
        <w:footnoteRef/>
      </w:r>
      <w:r>
        <w:t xml:space="preserve"> Generické lieky a biologicky podobné lieky sú registrované lieky obsahujúce účinné látky, u ktorých skončila patentová ochrana. Uvedené lieky sú menej nákladné pre VZP, pretože do ceny týchto liekov nebolo potrebné  zahrnúť výskum a vývoj účinných látok.</w:t>
      </w:r>
    </w:p>
  </w:footnote>
  <w:footnote w:id="48">
    <w:p w14:paraId="58CA35B6" w14:textId="77777777" w:rsidR="0054590C" w:rsidRPr="00E53E77" w:rsidRDefault="0054590C" w:rsidP="00B075BB">
      <w:pPr>
        <w:pStyle w:val="Textpoznmkypodiarou"/>
      </w:pPr>
      <w:r w:rsidRPr="00E53E77">
        <w:rPr>
          <w:rStyle w:val="Odkaznapoznmkupodiarou"/>
        </w:rPr>
        <w:footnoteRef/>
      </w:r>
      <w:r w:rsidRPr="00E53E77">
        <w:t xml:space="preserve"> Tri percentá pre všetkých zamestnancov v školstve od polovice roka.</w:t>
      </w:r>
    </w:p>
  </w:footnote>
  <w:footnote w:id="49">
    <w:p w14:paraId="607B7124" w14:textId="77777777" w:rsidR="0054590C" w:rsidRPr="00E53E77" w:rsidRDefault="0054590C" w:rsidP="00B075BB">
      <w:pPr>
        <w:pStyle w:val="Textpoznmkypodiarou"/>
      </w:pPr>
      <w:r w:rsidRPr="00E53E77">
        <w:rPr>
          <w:rStyle w:val="Odkaznapoznmkupodiarou"/>
        </w:rPr>
        <w:footnoteRef/>
      </w:r>
      <w:r w:rsidRPr="00E53E77">
        <w:t xml:space="preserve"> V januári a septembri o 10 % a 12 % v prípade pedagogických a odborných zamestnancoch a o 7 % a 10 % v prípade nepedagogických zamestnancov.</w:t>
      </w:r>
    </w:p>
  </w:footnote>
  <w:footnote w:id="50">
    <w:p w14:paraId="7AB04CBD" w14:textId="77777777" w:rsidR="0054590C" w:rsidRPr="00E53E77" w:rsidRDefault="0054590C" w:rsidP="00B075BB">
      <w:pPr>
        <w:pStyle w:val="Textpoznmkypodiarou"/>
      </w:pPr>
      <w:r w:rsidRPr="00E53E77">
        <w:rPr>
          <w:rStyle w:val="Odkaznapoznmkupodiarou"/>
        </w:rPr>
        <w:footnoteRef/>
      </w:r>
      <w:r w:rsidRPr="00E53E77">
        <w:t xml:space="preserve"> Stanovisko NKÚ SR k Návrhu štátneho rozpočtu SR na rok 2022. [</w:t>
      </w:r>
      <w:hyperlink r:id="rId36" w:history="1">
        <w:r w:rsidRPr="00E53E77">
          <w:rPr>
            <w:rStyle w:val="Hypertextovprepojenie"/>
            <w:sz w:val="16"/>
          </w:rPr>
          <w:t>online</w:t>
        </w:r>
      </w:hyperlink>
      <w:r w:rsidRPr="00E53E77">
        <w:t>].</w:t>
      </w:r>
    </w:p>
  </w:footnote>
  <w:footnote w:id="51">
    <w:p w14:paraId="7B7AA870" w14:textId="77777777" w:rsidR="0054590C" w:rsidRPr="00E53E77" w:rsidRDefault="0054590C" w:rsidP="00BF22C2">
      <w:pPr>
        <w:pStyle w:val="Textpoznmkypodiarou"/>
      </w:pPr>
      <w:r w:rsidRPr="00E53E77">
        <w:rPr>
          <w:rStyle w:val="Odkaznapoznmkupodiarou"/>
        </w:rPr>
        <w:footnoteRef/>
      </w:r>
      <w:r w:rsidRPr="00E53E77">
        <w:t xml:space="preserve"> Vrátane jednorazovej odmeny 500 eur.</w:t>
      </w:r>
    </w:p>
  </w:footnote>
  <w:footnote w:id="52">
    <w:p w14:paraId="700F6002" w14:textId="77777777" w:rsidR="0054590C" w:rsidRPr="00672111" w:rsidRDefault="0054590C" w:rsidP="00FB7690">
      <w:pPr>
        <w:pStyle w:val="Textpoznmkypodiarou"/>
        <w:rPr>
          <w:szCs w:val="16"/>
        </w:rPr>
      </w:pPr>
      <w:r w:rsidRPr="00672111">
        <w:rPr>
          <w:rStyle w:val="Odkaznapoznmkupodiarou"/>
          <w:rFonts w:cs="Segoe UI"/>
          <w:szCs w:val="16"/>
        </w:rPr>
        <w:footnoteRef/>
      </w:r>
      <w:r w:rsidRPr="00672111">
        <w:rPr>
          <w:rFonts w:cs="Segoe UI"/>
          <w:szCs w:val="16"/>
        </w:rPr>
        <w:t xml:space="preserve"> V EPSP je pre SR stanovených 21 ukazovateľov v troch oblastiach: Rovnaké príležitosti a prístup na trh práce, Spravodlivé pracovné podmienky a Sociálna ochrana a začleňovanie. V Akčnom pláne EPSP sú určené tri záväzné ukazovatele, ktoré by mala SR plniť: </w:t>
      </w:r>
      <w:r w:rsidRPr="00672111">
        <w:rPr>
          <w:rFonts w:eastAsia="Times New Roman" w:cs="Segoe UI"/>
          <w:color w:val="000000"/>
          <w:szCs w:val="16"/>
          <w:lang w:eastAsia="sk-SK"/>
        </w:rPr>
        <w:t>účasť dospelých na vzdelávaní (%, 25-64 rokov) v oblasti rovnaké príležitosti a prístup na trh práce, miera zamestnanosti (%, 20-64 rokov) v oblasti spravodlivé pracovné podmienky a miera rizika chudoby alebo sociálneho vylúčenia (po transferoch, % populácie) v oblasti sociálna ochrana a začleňovanie.</w:t>
      </w:r>
      <w:r w:rsidRPr="00672111">
        <w:rPr>
          <w:szCs w:val="16"/>
        </w:rPr>
        <w:t xml:space="preserve"> NPR SR 2022. </w:t>
      </w:r>
      <w:hyperlink r:id="rId37" w:history="1">
        <w:r w:rsidRPr="00672111">
          <w:rPr>
            <w:rStyle w:val="Hypertextovprepojenie"/>
            <w:sz w:val="16"/>
            <w:szCs w:val="16"/>
          </w:rPr>
          <w:t>[online]</w:t>
        </w:r>
      </w:hyperlink>
      <w:r w:rsidRPr="00672111">
        <w:rPr>
          <w:szCs w:val="16"/>
        </w:rPr>
        <w:t>.</w:t>
      </w:r>
    </w:p>
  </w:footnote>
  <w:footnote w:id="53">
    <w:p w14:paraId="485B166D" w14:textId="77777777" w:rsidR="0054590C" w:rsidRPr="00297931" w:rsidRDefault="0054590C" w:rsidP="00297931">
      <w:pPr>
        <w:spacing w:after="0" w:line="240" w:lineRule="auto"/>
        <w:rPr>
          <w:rFonts w:cs="Segoe UI"/>
          <w:sz w:val="16"/>
          <w:szCs w:val="16"/>
        </w:rPr>
      </w:pPr>
      <w:r w:rsidRPr="00297931">
        <w:rPr>
          <w:rStyle w:val="Odkaznapoznmkupodiarou"/>
          <w:rFonts w:cs="Segoe UI"/>
          <w:sz w:val="16"/>
          <w:szCs w:val="16"/>
        </w:rPr>
        <w:footnoteRef/>
      </w:r>
      <w:r w:rsidRPr="00297931">
        <w:rPr>
          <w:rFonts w:cs="Segoe UI"/>
          <w:sz w:val="16"/>
          <w:szCs w:val="16"/>
        </w:rPr>
        <w:t xml:space="preserve"> V roku 2023 mali stúpnuť príspevky do II. piliera na starobné dôchodkové sporenie na 5,75 % a v roku 2024 na 6 %.  Podľa nového návrhu v roku 2023 a 2024 zostanú na úrovni 5,5 %, v rokoch 2025 a 2026 sa zvýšia na 5,75 % a od roku 2027 na 6 %.</w:t>
      </w:r>
    </w:p>
  </w:footnote>
  <w:footnote w:id="54">
    <w:p w14:paraId="553B302E" w14:textId="0324CC17" w:rsidR="0054590C" w:rsidRDefault="0054590C">
      <w:pPr>
        <w:pStyle w:val="Textpoznmkypodiarou"/>
      </w:pPr>
      <w:r>
        <w:rPr>
          <w:rStyle w:val="Odkaznapoznmkupodiarou"/>
        </w:rPr>
        <w:footnoteRef/>
      </w:r>
      <w:r>
        <w:t xml:space="preserve"> Z</w:t>
      </w:r>
      <w:r w:rsidRPr="00630B37">
        <w:t>avedenie predvolenej investičnej stratégie, uprednostnenie dlhodobého vyplácania nasporenej sumy sporiteľov v starobe, zdanenie nárazového výberu nasporenej sumy pri dosiahnutí dôchodkového veku a od mája 2023 automatickú účasť v II. pilieri pre ľudí vo veku do 40 rokov s možnosťou vystúpenia do dvoch rokov od vstupu</w:t>
      </w:r>
      <w:r>
        <w:t>.</w:t>
      </w:r>
    </w:p>
  </w:footnote>
  <w:footnote w:id="55">
    <w:p w14:paraId="163F46C7" w14:textId="77777777" w:rsidR="0054590C" w:rsidRPr="003A3262" w:rsidRDefault="0054590C" w:rsidP="002C141E">
      <w:pPr>
        <w:pStyle w:val="Textpoznmkypodiarou"/>
      </w:pPr>
      <w:r w:rsidRPr="00297931">
        <w:rPr>
          <w:rStyle w:val="Odkaznapoznmkupodiarou"/>
          <w:rFonts w:cs="Segoe UI"/>
          <w:szCs w:val="16"/>
        </w:rPr>
        <w:footnoteRef/>
      </w:r>
      <w:r w:rsidRPr="00297931">
        <w:rPr>
          <w:rFonts w:cs="Segoe UI"/>
          <w:szCs w:val="16"/>
        </w:rPr>
        <w:t xml:space="preserve"> Vzťah priemernej výšky vyplácaného starobného sólo dôchodku a priemernej mesačnej mzdy v hospodárstve SR.</w:t>
      </w:r>
      <w:r w:rsidRPr="003A3262">
        <w:rPr>
          <w:rFonts w:cs="Segoe UI"/>
          <w:szCs w:val="16"/>
        </w:rPr>
        <w:t xml:space="preserve"> </w:t>
      </w:r>
      <w:hyperlink r:id="rId38" w:history="1">
        <w:r w:rsidRPr="003A3262">
          <w:rPr>
            <w:rStyle w:val="Hypertextovprepojenie"/>
            <w:rFonts w:cs="Segoe UI"/>
            <w:sz w:val="16"/>
            <w:szCs w:val="16"/>
          </w:rPr>
          <w:t>[online]</w:t>
        </w:r>
      </w:hyperlink>
      <w:r w:rsidRPr="003A3262">
        <w:rPr>
          <w:rFonts w:cs="Segoe UI"/>
          <w:szCs w:val="16"/>
        </w:rPr>
        <w:t>.</w:t>
      </w:r>
    </w:p>
  </w:footnote>
  <w:footnote w:id="56">
    <w:p w14:paraId="4A0FA7C8" w14:textId="77777777" w:rsidR="0054590C" w:rsidRDefault="0054590C" w:rsidP="00805BE8">
      <w:pPr>
        <w:pStyle w:val="Textpoznmkypodiarou"/>
      </w:pPr>
      <w:r>
        <w:rPr>
          <w:rStyle w:val="Odkaznapoznmkupodiarou"/>
        </w:rPr>
        <w:footnoteRef/>
      </w:r>
      <w:r>
        <w:t xml:space="preserve"> Pre rok 2024 je naplánovaná alokácia 793 mil. eur a pre rok 2025 927 mil. eur. </w:t>
      </w:r>
      <w:r>
        <w:rPr>
          <w:lang w:val="en-US"/>
        </w:rPr>
        <w:t>[</w:t>
      </w:r>
      <w:hyperlink r:id="rId39" w:history="1">
        <w:r>
          <w:rPr>
            <w:rStyle w:val="Hypertextovprepojenie"/>
            <w:sz w:val="16"/>
          </w:rPr>
          <w:t>online</w:t>
        </w:r>
      </w:hyperlink>
      <w:r>
        <w:rPr>
          <w:rStyle w:val="Hypertextovprepojenie"/>
          <w:sz w:val="16"/>
        </w:rPr>
        <w:t>].</w:t>
      </w:r>
      <w:r>
        <w:t xml:space="preserve"> </w:t>
      </w:r>
    </w:p>
  </w:footnote>
  <w:footnote w:id="57">
    <w:p w14:paraId="55A473D4" w14:textId="77777777" w:rsidR="0054590C" w:rsidRPr="000A7B59" w:rsidRDefault="0054590C" w:rsidP="00805BE8">
      <w:pPr>
        <w:pStyle w:val="Textpoznmkypodiarou"/>
        <w:rPr>
          <w:color w:val="314364" w:themeColor="hyperlink"/>
          <w:u w:val="single"/>
        </w:rPr>
      </w:pPr>
      <w:r>
        <w:rPr>
          <w:rStyle w:val="Odkaznapoznmkupodiarou"/>
        </w:rPr>
        <w:footnoteRef/>
      </w:r>
      <w:r>
        <w:t xml:space="preserve"> Napr.: </w:t>
      </w:r>
      <w:proofErr w:type="spellStart"/>
      <w:r>
        <w:t>Envirostratégia</w:t>
      </w:r>
      <w:proofErr w:type="spellEnd"/>
      <w:r>
        <w:t xml:space="preserve"> 2030. </w:t>
      </w:r>
      <w:r>
        <w:rPr>
          <w:lang w:val="en-US"/>
        </w:rPr>
        <w:t>[</w:t>
      </w:r>
      <w:hyperlink r:id="rId40" w:history="1">
        <w:r>
          <w:rPr>
            <w:rStyle w:val="Hypertextovprepojenie"/>
            <w:sz w:val="16"/>
          </w:rPr>
          <w:t>online</w:t>
        </w:r>
      </w:hyperlink>
      <w:r>
        <w:rPr>
          <w:rStyle w:val="Hypertextovprepojenie"/>
          <w:sz w:val="16"/>
        </w:rPr>
        <w:t>]</w:t>
      </w:r>
      <w:r>
        <w:rPr>
          <w:rStyle w:val="Hypertextovprepojenie"/>
          <w:sz w:val="16"/>
          <w:lang w:val="en-US"/>
        </w:rPr>
        <w:t>;</w:t>
      </w:r>
      <w:r>
        <w:t xml:space="preserve"> Vodný plán Slovenska. [</w:t>
      </w:r>
      <w:hyperlink r:id="rId41" w:history="1">
        <w:r>
          <w:rPr>
            <w:rStyle w:val="Hypertextovprepojenie"/>
            <w:sz w:val="16"/>
          </w:rPr>
          <w:t>online</w:t>
        </w:r>
      </w:hyperlink>
      <w:r>
        <w:rPr>
          <w:rStyle w:val="Hypertextovprepojenie"/>
          <w:sz w:val="16"/>
        </w:rPr>
        <w:t>]</w:t>
      </w:r>
      <w:r>
        <w:rPr>
          <w:rStyle w:val="Hypertextovprepojenie"/>
          <w:sz w:val="16"/>
          <w:lang w:val="en-US"/>
        </w:rPr>
        <w:t>;</w:t>
      </w:r>
      <w:r w:rsidRPr="006C635E">
        <w:t xml:space="preserve"> </w:t>
      </w:r>
      <w:proofErr w:type="spellStart"/>
      <w:r>
        <w:t>Priorizácia</w:t>
      </w:r>
      <w:proofErr w:type="spellEnd"/>
      <w:r>
        <w:t xml:space="preserve"> investičných projektov. [</w:t>
      </w:r>
      <w:hyperlink r:id="rId42" w:history="1">
        <w:r>
          <w:rPr>
            <w:rStyle w:val="Hypertextovprepojenie"/>
            <w:sz w:val="16"/>
          </w:rPr>
          <w:t>online</w:t>
        </w:r>
      </w:hyperlink>
      <w:r>
        <w:rPr>
          <w:rStyle w:val="Hypertextovprepojenie"/>
          <w:sz w:val="16"/>
        </w:rPr>
        <w:t>]</w:t>
      </w:r>
      <w:r>
        <w:rPr>
          <w:rStyle w:val="Hypertextovprepojenie"/>
          <w:sz w:val="16"/>
          <w:lang w:val="en-US"/>
        </w:rPr>
        <w:t>;</w:t>
      </w:r>
      <w:r w:rsidRPr="006C635E">
        <w:t xml:space="preserve"> </w:t>
      </w:r>
      <w:r>
        <w:t>Investičný plán 2023 – 2027. [</w:t>
      </w:r>
      <w:hyperlink r:id="rId43" w:history="1">
        <w:r>
          <w:rPr>
            <w:rStyle w:val="Hypertextovprepojenie"/>
            <w:sz w:val="16"/>
          </w:rPr>
          <w:t>online</w:t>
        </w:r>
      </w:hyperlink>
      <w:r>
        <w:rPr>
          <w:rStyle w:val="Hypertextovprepojenie"/>
          <w:sz w:val="16"/>
        </w:rPr>
        <w:t>]</w:t>
      </w:r>
      <w:r>
        <w:rPr>
          <w:rStyle w:val="Hypertextovprepojenie"/>
          <w:sz w:val="16"/>
          <w:lang w:val="en-US"/>
        </w:rPr>
        <w:t>;</w:t>
      </w:r>
      <w:r>
        <w:t xml:space="preserve"> Plán rozvoja verejných kanalizácií, Plán rozvoja verejných vodovodov. [</w:t>
      </w:r>
      <w:hyperlink r:id="rId44" w:history="1">
        <w:r>
          <w:rPr>
            <w:rStyle w:val="Hypertextovprepojenie"/>
            <w:sz w:val="16"/>
          </w:rPr>
          <w:t>online</w:t>
        </w:r>
      </w:hyperlink>
      <w:r>
        <w:rPr>
          <w:rStyle w:val="Hypertextovprepojenie"/>
          <w:sz w:val="16"/>
        </w:rPr>
        <w:t>]</w:t>
      </w:r>
    </w:p>
  </w:footnote>
  <w:footnote w:id="58">
    <w:p w14:paraId="20FC737E" w14:textId="77777777" w:rsidR="0054590C" w:rsidRDefault="0054590C" w:rsidP="00805BE8">
      <w:pPr>
        <w:pStyle w:val="Textpoznmkypodiarou"/>
      </w:pPr>
      <w:r>
        <w:rPr>
          <w:rStyle w:val="Odkaznapoznmkupodiarou"/>
        </w:rPr>
        <w:footnoteRef/>
      </w:r>
      <w:r>
        <w:t xml:space="preserve"> NKÚ SR, 2021:  Pripravenosť SR na riešenie sucha. </w:t>
      </w:r>
      <w:r>
        <w:rPr>
          <w:lang w:val="en-US"/>
        </w:rPr>
        <w:t>[</w:t>
      </w:r>
      <w:hyperlink r:id="rId45" w:history="1">
        <w:r>
          <w:rPr>
            <w:rStyle w:val="Hypertextovprepojenie"/>
            <w:sz w:val="16"/>
          </w:rPr>
          <w:t>online</w:t>
        </w:r>
      </w:hyperlink>
      <w:r>
        <w:rPr>
          <w:rStyle w:val="Hypertextovprepojenie"/>
          <w:sz w:val="16"/>
        </w:rPr>
        <w:t>]</w:t>
      </w:r>
      <w:r>
        <w:t>.</w:t>
      </w:r>
    </w:p>
  </w:footnote>
  <w:footnote w:id="59">
    <w:p w14:paraId="3A7055C8" w14:textId="77777777" w:rsidR="0054590C" w:rsidRDefault="0054590C" w:rsidP="00805BE8">
      <w:pPr>
        <w:pStyle w:val="Textpoznmkypodiarou"/>
      </w:pPr>
      <w:r>
        <w:rPr>
          <w:rStyle w:val="Odkaznapoznmkupodiarou"/>
        </w:rPr>
        <w:footnoteRef/>
      </w:r>
      <w:r>
        <w:t xml:space="preserve"> NKÚ SR, 2021: Stanovisko NKÚ SR k návrhu štátneho rozpočtu na rok 2022.</w:t>
      </w:r>
    </w:p>
  </w:footnote>
  <w:footnote w:id="60">
    <w:p w14:paraId="0297B0A7" w14:textId="77777777" w:rsidR="0054590C" w:rsidRDefault="0054590C" w:rsidP="00805BE8">
      <w:pPr>
        <w:shd w:val="clear" w:color="auto" w:fill="FFFFFF"/>
        <w:spacing w:after="0" w:line="240" w:lineRule="auto"/>
      </w:pPr>
      <w:r w:rsidRPr="00023691">
        <w:rPr>
          <w:sz w:val="16"/>
          <w:szCs w:val="20"/>
          <w:vertAlign w:val="superscript"/>
        </w:rPr>
        <w:footnoteRef/>
      </w:r>
      <w:r w:rsidRPr="00023691">
        <w:rPr>
          <w:sz w:val="16"/>
          <w:szCs w:val="20"/>
        </w:rPr>
        <w:t xml:space="preserve"> </w:t>
      </w:r>
      <w:r>
        <w:rPr>
          <w:sz w:val="16"/>
          <w:szCs w:val="20"/>
        </w:rPr>
        <w:t>EK, 2022: Rozhodnutia o neplnení povinností. [</w:t>
      </w:r>
      <w:hyperlink r:id="rId46" w:history="1">
        <w:r>
          <w:rPr>
            <w:rStyle w:val="Hypertextovprepojenie"/>
            <w:sz w:val="16"/>
            <w:szCs w:val="20"/>
          </w:rPr>
          <w:t>online</w:t>
        </w:r>
      </w:hyperlink>
      <w:r>
        <w:rPr>
          <w:rStyle w:val="Hypertextovprepojenie"/>
          <w:sz w:val="16"/>
          <w:szCs w:val="20"/>
        </w:rPr>
        <w:t>].</w:t>
      </w:r>
      <w:r>
        <w:rPr>
          <w:sz w:val="16"/>
          <w:szCs w:val="20"/>
        </w:rPr>
        <w:t xml:space="preserve"> </w:t>
      </w:r>
    </w:p>
  </w:footnote>
  <w:footnote w:id="61">
    <w:p w14:paraId="1060A5BA" w14:textId="77777777" w:rsidR="0054590C" w:rsidRPr="00622267" w:rsidRDefault="0054590C" w:rsidP="00805BE8">
      <w:pPr>
        <w:spacing w:after="0" w:line="240" w:lineRule="auto"/>
        <w:contextualSpacing/>
        <w:rPr>
          <w:sz w:val="16"/>
          <w:szCs w:val="16"/>
        </w:rPr>
      </w:pPr>
      <w:r w:rsidRPr="00622267">
        <w:rPr>
          <w:sz w:val="16"/>
          <w:szCs w:val="16"/>
          <w:vertAlign w:val="superscript"/>
        </w:rPr>
        <w:footnoteRef/>
      </w:r>
      <w:r w:rsidRPr="00622267">
        <w:rPr>
          <w:sz w:val="16"/>
          <w:szCs w:val="16"/>
          <w:vertAlign w:val="superscript"/>
        </w:rPr>
        <w:t xml:space="preserve"> </w:t>
      </w:r>
      <w:r w:rsidRPr="00622267">
        <w:rPr>
          <w:sz w:val="16"/>
          <w:szCs w:val="16"/>
        </w:rPr>
        <w:t>Zabezpečenie a udržanie dobrej kvality ovzdušia je hlavným cieľom návrhu zákona o ochrane ovzdušia. Aktuálne na programe októbrovej schôdze NR SR</w:t>
      </w:r>
      <w:r>
        <w:rPr>
          <w:sz w:val="16"/>
          <w:szCs w:val="16"/>
        </w:rPr>
        <w:t>.</w:t>
      </w:r>
      <w:r w:rsidRPr="00622267">
        <w:rPr>
          <w:sz w:val="16"/>
          <w:szCs w:val="16"/>
        </w:rPr>
        <w:t xml:space="preserve"> </w:t>
      </w:r>
      <w:r>
        <w:rPr>
          <w:sz w:val="16"/>
          <w:szCs w:val="16"/>
        </w:rPr>
        <w:t>[</w:t>
      </w:r>
      <w:hyperlink r:id="rId47" w:history="1">
        <w:r w:rsidRPr="00622267">
          <w:rPr>
            <w:rStyle w:val="Hypertextovprepojenie"/>
            <w:sz w:val="16"/>
            <w:szCs w:val="16"/>
          </w:rPr>
          <w:t>online</w:t>
        </w:r>
      </w:hyperlink>
      <w:r>
        <w:rPr>
          <w:rStyle w:val="Hypertextovprepojenie"/>
          <w:sz w:val="16"/>
          <w:szCs w:val="16"/>
        </w:rPr>
        <w:t>]</w:t>
      </w:r>
      <w:r w:rsidRPr="00622267">
        <w:rPr>
          <w:sz w:val="16"/>
          <w:szCs w:val="16"/>
        </w:rPr>
        <w:t xml:space="preserve">. Slovensko očakáva, že záväzky znižovania emisií pre všetky látky znečisťujúce ovzdušie podľa smernice dosiahne v rokoch 2020 – 2029 a pre väčšinu znečisťujúcich látok od roku 2030. </w:t>
      </w:r>
    </w:p>
  </w:footnote>
  <w:footnote w:id="62">
    <w:p w14:paraId="66C286BE" w14:textId="69799A8B" w:rsidR="0054590C" w:rsidRDefault="0054590C" w:rsidP="00805BE8">
      <w:pPr>
        <w:pStyle w:val="Textpoznmkypodiarou"/>
      </w:pPr>
      <w:r>
        <w:rPr>
          <w:rStyle w:val="Odkaznapoznmkupodiarou"/>
        </w:rPr>
        <w:footnoteRef/>
      </w:r>
      <w:r>
        <w:t xml:space="preserve"> </w:t>
      </w:r>
      <w:r w:rsidRPr="00622267">
        <w:t>V súlade s </w:t>
      </w:r>
      <w:hyperlink r:id="rId48" w:history="1">
        <w:r w:rsidRPr="00622267">
          <w:t>Programovým vyhlásením vlády Slovenskej republiky</w:t>
        </w:r>
      </w:hyperlink>
      <w:r w:rsidRPr="00622267">
        <w:t> a </w:t>
      </w:r>
      <w:proofErr w:type="spellStart"/>
      <w:r w:rsidRPr="00622267">
        <w:t>Nízkouhlíkovou</w:t>
      </w:r>
      <w:proofErr w:type="spellEnd"/>
      <w:r w:rsidRPr="00622267">
        <w:t xml:space="preserve"> stratégiou rozvoja </w:t>
      </w:r>
      <w:r>
        <w:t>SR</w:t>
      </w:r>
      <w:r w:rsidRPr="00622267">
        <w:t xml:space="preserve"> pripravuje MŽP</w:t>
      </w:r>
      <w:r>
        <w:t xml:space="preserve"> SR</w:t>
      </w:r>
      <w:r w:rsidRPr="00622267">
        <w:t xml:space="preserve"> zákon o zmene klímy.</w:t>
      </w:r>
      <w:r>
        <w:t xml:space="preserve"> </w:t>
      </w:r>
      <w:r w:rsidRPr="00622267">
        <w:t>Cieľom nového zákona o zmene klímy je sprehľadnenie právneho klimatického rámca</w:t>
      </w:r>
      <w:r w:rsidRPr="00706E85">
        <w:rPr>
          <w:rFonts w:ascii="Times New Roman" w:eastAsia="Times New Roman" w:hAnsi="Times New Roman" w:cs="Times New Roman"/>
          <w:color w:val="000000"/>
          <w:sz w:val="24"/>
          <w:szCs w:val="24"/>
          <w:lang w:eastAsia="cs-CZ"/>
        </w:rPr>
        <w:t xml:space="preserve"> </w:t>
      </w:r>
      <w:r w:rsidRPr="00622267">
        <w:t>na Slovensku tak</w:t>
      </w:r>
      <w:r>
        <w:t>,</w:t>
      </w:r>
      <w:r w:rsidRPr="00622267">
        <w:t xml:space="preserve"> aby bolo jasné, že cieľom klimatickej politiky nie je len znižovanie dôsledkov zmeny klímy (tzv. </w:t>
      </w:r>
      <w:proofErr w:type="spellStart"/>
      <w:r w:rsidRPr="00622267">
        <w:t>mitigácia</w:t>
      </w:r>
      <w:proofErr w:type="spellEnd"/>
      <w:r w:rsidRPr="00622267">
        <w:t xml:space="preserve">) a prispôsobovanie sa jej (tzv. adaptácia), ale hlavne </w:t>
      </w:r>
      <w:proofErr w:type="spellStart"/>
      <w:r w:rsidRPr="00622267">
        <w:t>nízkouhlíkova</w:t>
      </w:r>
      <w:proofErr w:type="spellEnd"/>
      <w:r w:rsidRPr="00622267">
        <w:t xml:space="preserve"> transformácia Slovenska s cieľom dosiahnuť klimatickú neutralitu čo najskôr</w:t>
      </w:r>
      <w:r>
        <w:t>.</w:t>
      </w:r>
    </w:p>
  </w:footnote>
  <w:footnote w:id="63">
    <w:p w14:paraId="4FB82461" w14:textId="2475F6B4" w:rsidR="0054590C" w:rsidRDefault="0054590C" w:rsidP="00805BE8">
      <w:pPr>
        <w:pStyle w:val="Textpoznmkypodiarou"/>
      </w:pPr>
      <w:r>
        <w:rPr>
          <w:rStyle w:val="Odkaznapoznmkupodiarou"/>
        </w:rPr>
        <w:footnoteRef/>
      </w:r>
      <w:r>
        <w:t xml:space="preserve"> EK, 2022: Správa o Slovensku za rok 2022. [</w:t>
      </w:r>
      <w:hyperlink r:id="rId49" w:history="1">
        <w:r>
          <w:rPr>
            <w:rStyle w:val="Hypertextovprepojenie"/>
            <w:sz w:val="16"/>
          </w:rPr>
          <w:t>online</w:t>
        </w:r>
      </w:hyperlink>
      <w:r>
        <w:t>].</w:t>
      </w:r>
    </w:p>
  </w:footnote>
  <w:footnote w:id="64">
    <w:p w14:paraId="665872A8" w14:textId="25CC8799" w:rsidR="0054590C" w:rsidRDefault="0054590C" w:rsidP="00805BE8">
      <w:pPr>
        <w:pStyle w:val="Textpoznmkypodiarou"/>
      </w:pPr>
      <w:r>
        <w:rPr>
          <w:rStyle w:val="Odkaznapoznmkupodiarou"/>
        </w:rPr>
        <w:footnoteRef/>
      </w:r>
      <w:r>
        <w:t xml:space="preserve"> MŽP SR, 2021 – </w:t>
      </w:r>
      <w:proofErr w:type="spellStart"/>
      <w:r>
        <w:t>Priorizácia</w:t>
      </w:r>
      <w:proofErr w:type="spellEnd"/>
      <w:r>
        <w:t xml:space="preserve"> investičných projektov v rezorte MŽP SR. </w:t>
      </w:r>
      <w:r>
        <w:rPr>
          <w:lang w:val="en-US"/>
        </w:rPr>
        <w:t>[</w:t>
      </w:r>
      <w:hyperlink r:id="rId50" w:history="1">
        <w:r>
          <w:rPr>
            <w:rStyle w:val="Hypertextovprepojenie"/>
            <w:sz w:val="16"/>
          </w:rPr>
          <w:t>online</w:t>
        </w:r>
      </w:hyperlink>
      <w:r>
        <w:rPr>
          <w:rStyle w:val="Hypertextovprepojenie"/>
          <w:sz w:val="16"/>
        </w:rPr>
        <w:t>].</w:t>
      </w:r>
      <w:r>
        <w:t xml:space="preserve"> </w:t>
      </w:r>
      <w:r w:rsidRPr="00A837B8">
        <w:t>Mechanizmus spravodlivej transformácie alokuje pre prvý pilier (tzv. Fond na spravodlivú transformáciu) pre SR 459 mil. eur. Európska investičná banka (EIB) potvrdila (11. októbra 2022) schému štátnej pomoci na dekarbonizáciu priemyslu ako prioritnú investíciu. Prostriedky budú na tento prioritný investičný zámer poskytované z Modernizačného fondu (predpokladaná celková výška je 750 mil. eur na obdobie rokov 2022 – 2030).</w:t>
      </w:r>
      <w:r>
        <w:rPr>
          <w:rStyle w:val="Odkaznakomentr"/>
        </w:rPr>
        <w:t xml:space="preserve"> </w:t>
      </w:r>
    </w:p>
  </w:footnote>
  <w:footnote w:id="65">
    <w:p w14:paraId="52E56807" w14:textId="7D2D0250" w:rsidR="0054590C" w:rsidRDefault="0054590C" w:rsidP="00805BE8">
      <w:pPr>
        <w:pStyle w:val="Textpoznmkypodiarou"/>
      </w:pPr>
      <w:r>
        <w:rPr>
          <w:rStyle w:val="Odkaznapoznmkupodiarou"/>
        </w:rPr>
        <w:footnoteRef/>
      </w:r>
      <w:r>
        <w:t xml:space="preserve"> MF SR – Moderné a úspešné Slovensko. [</w:t>
      </w:r>
      <w:hyperlink r:id="rId51" w:history="1">
        <w:r>
          <w:rPr>
            <w:rStyle w:val="Hypertextovprepojenie"/>
            <w:sz w:val="16"/>
          </w:rPr>
          <w:t>online</w:t>
        </w:r>
      </w:hyperlink>
      <w:r>
        <w:rPr>
          <w:rStyle w:val="Hypertextovprepojenie"/>
          <w:sz w:val="16"/>
        </w:rPr>
        <w:t>]</w:t>
      </w:r>
      <w:r>
        <w:rPr>
          <w:rStyle w:val="Hypertextovprepojenie"/>
          <w:sz w:val="16"/>
          <w:u w:val="none"/>
        </w:rPr>
        <w:t xml:space="preserve">. </w:t>
      </w:r>
      <w:r w:rsidRPr="003E0903">
        <w:rPr>
          <w:rStyle w:val="Hypertextovprepojenie"/>
          <w:color w:val="auto"/>
          <w:sz w:val="16"/>
          <w:u w:val="none"/>
        </w:rPr>
        <w:t>N</w:t>
      </w:r>
      <w:r w:rsidRPr="00B836D4">
        <w:rPr>
          <w:rFonts w:cs="Segoe UI"/>
        </w:rPr>
        <w:t>apr.</w:t>
      </w:r>
      <w:r w:rsidRPr="00F71C2E">
        <w:rPr>
          <w:rFonts w:cs="Segoe UI"/>
        </w:rPr>
        <w:t xml:space="preserve"> dobudovanie </w:t>
      </w:r>
      <w:r w:rsidRPr="00F71C2E">
        <w:t>množstevného zberu 100 mil. eur, podpora</w:t>
      </w:r>
      <w:r w:rsidRPr="002E6E2A">
        <w:t xml:space="preserve"> triedenia a kompostovania bioodpadu 96 mil. eur, vybudovanie centier opätovného použitia v každom okresnom meste cca 100 mil. </w:t>
      </w:r>
      <w:r w:rsidRPr="004A7AE1">
        <w:t>eur</w:t>
      </w:r>
      <w:r>
        <w:t>.</w:t>
      </w:r>
    </w:p>
  </w:footnote>
  <w:footnote w:id="66">
    <w:p w14:paraId="45D4B307" w14:textId="3431321F" w:rsidR="0054590C" w:rsidRDefault="0054590C" w:rsidP="00805BE8">
      <w:pPr>
        <w:pStyle w:val="Textpoznmkypodiarou"/>
      </w:pPr>
      <w:r>
        <w:rPr>
          <w:rStyle w:val="Odkaznapoznmkupodiarou"/>
        </w:rPr>
        <w:footnoteRef/>
      </w:r>
      <w:r>
        <w:t xml:space="preserve"> IEP – Ako sa zbaviť najdrahších hrozieb v životnom prostredí. 2022. [</w:t>
      </w:r>
      <w:hyperlink r:id="rId52" w:history="1">
        <w:r w:rsidRPr="004A7AE1">
          <w:rPr>
            <w:rStyle w:val="Hypertextovprepojenie"/>
            <w:sz w:val="16"/>
          </w:rPr>
          <w:t>online</w:t>
        </w:r>
      </w:hyperlink>
      <w:r>
        <w:rPr>
          <w:rStyle w:val="Hypertextovprepojenie"/>
          <w:sz w:val="16"/>
        </w:rPr>
        <w:t>]</w:t>
      </w:r>
      <w:r>
        <w:t>.</w:t>
      </w:r>
    </w:p>
  </w:footnote>
  <w:footnote w:id="67">
    <w:p w14:paraId="684EB027" w14:textId="2033919B" w:rsidR="0054590C" w:rsidRDefault="0054590C">
      <w:pPr>
        <w:pStyle w:val="Textpoznmkypodiarou"/>
      </w:pPr>
      <w:r>
        <w:rPr>
          <w:rStyle w:val="Odkaznapoznmkupodiarou"/>
        </w:rPr>
        <w:footnoteRef/>
      </w:r>
      <w:r>
        <w:t xml:space="preserve"> K</w:t>
      </w:r>
      <w:r w:rsidRPr="00775CC3">
        <w:t>onanie EK  č. 2017/2035</w:t>
      </w:r>
      <w:r>
        <w:t>.</w:t>
      </w:r>
    </w:p>
  </w:footnote>
  <w:footnote w:id="68">
    <w:p w14:paraId="60287F2F" w14:textId="77777777" w:rsidR="0054590C" w:rsidRDefault="0054590C" w:rsidP="005F5F9D">
      <w:pPr>
        <w:pStyle w:val="Textpoznmkypodiarou"/>
      </w:pPr>
      <w:r>
        <w:rPr>
          <w:rStyle w:val="Odkaznapoznmkupodiarou"/>
        </w:rPr>
        <w:footnoteRef/>
      </w:r>
      <w:r>
        <w:t xml:space="preserve"> Správy národných parkov sú príspevkovými organizáciami rezortu MŽP SR, ktoré im poskytli práva hospodárenia na lesných pozemkoch.</w:t>
      </w:r>
    </w:p>
  </w:footnote>
  <w:footnote w:id="69">
    <w:p w14:paraId="0CA419AD" w14:textId="590D2F39" w:rsidR="0054590C" w:rsidRPr="00036FF9" w:rsidRDefault="0054590C" w:rsidP="005F5F9D">
      <w:pPr>
        <w:pStyle w:val="Textpoznmkypodiarou"/>
        <w:rPr>
          <w:szCs w:val="16"/>
        </w:rPr>
      </w:pPr>
      <w:r w:rsidRPr="00036FF9">
        <w:rPr>
          <w:rStyle w:val="Odkaznapoznmkupodiarou"/>
          <w:szCs w:val="16"/>
        </w:rPr>
        <w:footnoteRef/>
      </w:r>
      <w:r w:rsidRPr="00036FF9">
        <w:rPr>
          <w:szCs w:val="16"/>
        </w:rPr>
        <w:t xml:space="preserve"> MŽP SR, 2021 – </w:t>
      </w:r>
      <w:proofErr w:type="spellStart"/>
      <w:r w:rsidRPr="00036FF9">
        <w:rPr>
          <w:szCs w:val="16"/>
        </w:rPr>
        <w:t>Priorizácia</w:t>
      </w:r>
      <w:proofErr w:type="spellEnd"/>
      <w:r w:rsidRPr="00036FF9">
        <w:rPr>
          <w:szCs w:val="16"/>
        </w:rPr>
        <w:t xml:space="preserve"> investičných projektov v rezorte MŽP SR. </w:t>
      </w:r>
      <w:r w:rsidRPr="00036FF9">
        <w:rPr>
          <w:szCs w:val="16"/>
          <w:lang w:val="en-US"/>
        </w:rPr>
        <w:t>[</w:t>
      </w:r>
      <w:hyperlink r:id="rId53" w:history="1">
        <w:r w:rsidRPr="00036FF9">
          <w:rPr>
            <w:rStyle w:val="Hypertextovprepojenie"/>
            <w:sz w:val="16"/>
            <w:szCs w:val="16"/>
          </w:rPr>
          <w:t>online</w:t>
        </w:r>
      </w:hyperlink>
      <w:r w:rsidRPr="00036FF9">
        <w:rPr>
          <w:rStyle w:val="Hypertextovprepojenie"/>
          <w:sz w:val="16"/>
          <w:szCs w:val="16"/>
        </w:rPr>
        <w:t>]</w:t>
      </w:r>
      <w:r>
        <w:rPr>
          <w:rStyle w:val="Hypertextovprepojenie"/>
          <w:sz w:val="16"/>
          <w:szCs w:val="16"/>
        </w:rPr>
        <w:t>.</w:t>
      </w:r>
    </w:p>
  </w:footnote>
  <w:footnote w:id="70">
    <w:p w14:paraId="510F9B7B" w14:textId="3ABD0C8A" w:rsidR="0054590C" w:rsidRDefault="0054590C" w:rsidP="00D84CB0">
      <w:pPr>
        <w:pStyle w:val="Textpoznmkypodiarou"/>
      </w:pPr>
      <w:r>
        <w:rPr>
          <w:rStyle w:val="Odkaznapoznmkupodiarou"/>
        </w:rPr>
        <w:footnoteRef/>
      </w:r>
      <w:r>
        <w:t xml:space="preserve"> </w:t>
      </w:r>
      <w:r w:rsidRPr="0050074F">
        <w:t>Daňový bonus na dieťa sa zvyšuje v</w:t>
      </w:r>
      <w:r>
        <w:t>o</w:t>
      </w:r>
      <w:r w:rsidRPr="0050074F">
        <w:t xml:space="preserve"> dvoch krokoch </w:t>
      </w:r>
      <w:r>
        <w:t xml:space="preserve">– </w:t>
      </w:r>
      <w:r w:rsidRPr="0050074F">
        <w:t xml:space="preserve">od 1. júla 2022 a následne od 1. januára 2023. Na dieťa do veku 15 rokov daňový bonus od polky roka 2022 vzrástol na 70 eur </w:t>
      </w:r>
      <w:r>
        <w:t xml:space="preserve">a </w:t>
      </w:r>
      <w:r w:rsidRPr="0050074F">
        <w:t>od januára 2023 bude jeho výška 100 eur</w:t>
      </w:r>
      <w:r>
        <w:t>, pričom v nových legislatívnych návrhoch vláda SR uvažuje so zvýšením až na 140 eur</w:t>
      </w:r>
      <w:r w:rsidRPr="0050074F">
        <w:t xml:space="preserve"> </w:t>
      </w:r>
      <w:r>
        <w:t>N</w:t>
      </w:r>
      <w:r w:rsidRPr="0050074F">
        <w:t>a dieťa nad 15 rokov vzrástol na 40 eur (od januára 2023 bude jeho výška 50 eur). Zároveň sa upravujú podmienky pre jeho získanie. Po novom vzniká nárok na daňový bonus od prvého zarobeného eura, avšak jeho celková výška je obmedzená najviac do určitého percenta čiastkového základu dane, ktoré závisí od počtu detí.</w:t>
      </w:r>
    </w:p>
  </w:footnote>
  <w:footnote w:id="71">
    <w:p w14:paraId="5ECC8EC1" w14:textId="4E64EAA4" w:rsidR="0054590C" w:rsidRDefault="0054590C" w:rsidP="00D84CB0">
      <w:pPr>
        <w:pStyle w:val="Textpoznmkypodiarou"/>
      </w:pPr>
      <w:r>
        <w:rPr>
          <w:rStyle w:val="Odkaznapoznmkupodiarou"/>
        </w:rPr>
        <w:footnoteRef/>
      </w:r>
      <w:r>
        <w:t xml:space="preserve"> Suma predstavuje rozdiel odhadnutých daňových kreditov za daňový bonus na rok 2023 medzi návrhmi RVS 2022 – 2024 a RVS 2023 a 2025. Kým v prvom návrhu (pred zvýšením bonusu) bola na rok 2023 výška daňových kreditov odhadnutá na 499 mil. eur, v druhom návrhu (po zvýšení bonusu) dosahuje táto hodnota 1 095 mil. eur. Pri porovnaní návrhu RVS 2023 – 2025 s očakávanou skutočnosťou za rok 2022 (už po zavedení vyššieho bonusu) predstavuje rozdiel 471 mil. eur.</w:t>
      </w:r>
    </w:p>
  </w:footnote>
  <w:footnote w:id="72">
    <w:p w14:paraId="625C1276" w14:textId="77777777" w:rsidR="0054590C" w:rsidRPr="00934BB0" w:rsidRDefault="0054590C" w:rsidP="0041674F">
      <w:pPr>
        <w:pStyle w:val="Textpoznmkypodiarou"/>
      </w:pPr>
      <w:r w:rsidRPr="00844599">
        <w:rPr>
          <w:rStyle w:val="Odkaznapoznmkupodiarou"/>
        </w:rPr>
        <w:footnoteRef/>
      </w:r>
      <w:r w:rsidRPr="00844599">
        <w:t xml:space="preserve"> Dáta Eurostat</w:t>
      </w:r>
      <w:r>
        <w:t>u</w:t>
      </w:r>
      <w:r w:rsidRPr="00844599">
        <w:t xml:space="preserve"> a OECD o podiele SZČO s jedným klientom alebo s jedným klientom a jedným dominantným klientom.</w:t>
      </w:r>
    </w:p>
  </w:footnote>
  <w:footnote w:id="73">
    <w:p w14:paraId="27516AB0" w14:textId="57283646" w:rsidR="0054590C" w:rsidRPr="00F70777" w:rsidRDefault="0054590C">
      <w:pPr>
        <w:pStyle w:val="Textpoznmkypodiarou"/>
        <w:rPr>
          <w:szCs w:val="16"/>
        </w:rPr>
      </w:pPr>
      <w:r w:rsidRPr="00F70777">
        <w:rPr>
          <w:rStyle w:val="Odkaznapoznmkupodiarou"/>
          <w:szCs w:val="16"/>
        </w:rPr>
        <w:footnoteRef/>
      </w:r>
      <w:r w:rsidRPr="00F70777">
        <w:rPr>
          <w:szCs w:val="16"/>
        </w:rPr>
        <w:t xml:space="preserve"> Európska komisia, 2014. </w:t>
      </w:r>
      <w:proofErr w:type="spellStart"/>
      <w:r w:rsidRPr="00F70777">
        <w:rPr>
          <w:szCs w:val="16"/>
        </w:rPr>
        <w:t>Undeclared</w:t>
      </w:r>
      <w:proofErr w:type="spellEnd"/>
      <w:r w:rsidRPr="00F70777">
        <w:rPr>
          <w:szCs w:val="16"/>
        </w:rPr>
        <w:t xml:space="preserve"> </w:t>
      </w:r>
      <w:proofErr w:type="spellStart"/>
      <w:r w:rsidRPr="00F70777">
        <w:rPr>
          <w:szCs w:val="16"/>
        </w:rPr>
        <w:t>work</w:t>
      </w:r>
      <w:proofErr w:type="spellEnd"/>
      <w:r w:rsidRPr="00F70777">
        <w:rPr>
          <w:szCs w:val="16"/>
        </w:rPr>
        <w:t xml:space="preserve">: </w:t>
      </w:r>
      <w:proofErr w:type="spellStart"/>
      <w:r w:rsidRPr="00F70777">
        <w:rPr>
          <w:szCs w:val="16"/>
        </w:rPr>
        <w:t>Commission</w:t>
      </w:r>
      <w:proofErr w:type="spellEnd"/>
      <w:r w:rsidRPr="00F70777">
        <w:rPr>
          <w:szCs w:val="16"/>
        </w:rPr>
        <w:t xml:space="preserve"> </w:t>
      </w:r>
      <w:proofErr w:type="spellStart"/>
      <w:r w:rsidRPr="00F70777">
        <w:rPr>
          <w:szCs w:val="16"/>
        </w:rPr>
        <w:t>proposes</w:t>
      </w:r>
      <w:proofErr w:type="spellEnd"/>
      <w:r w:rsidRPr="00F70777">
        <w:rPr>
          <w:szCs w:val="16"/>
        </w:rPr>
        <w:t xml:space="preserve"> a new </w:t>
      </w:r>
      <w:proofErr w:type="spellStart"/>
      <w:r w:rsidRPr="00F70777">
        <w:rPr>
          <w:szCs w:val="16"/>
        </w:rPr>
        <w:t>Platform</w:t>
      </w:r>
      <w:proofErr w:type="spellEnd"/>
      <w:r w:rsidRPr="00F70777">
        <w:rPr>
          <w:szCs w:val="16"/>
        </w:rPr>
        <w:t xml:space="preserve"> to </w:t>
      </w:r>
      <w:proofErr w:type="spellStart"/>
      <w:r w:rsidRPr="00F70777">
        <w:rPr>
          <w:szCs w:val="16"/>
        </w:rPr>
        <w:t>improve</w:t>
      </w:r>
      <w:proofErr w:type="spellEnd"/>
      <w:r w:rsidRPr="00F70777">
        <w:rPr>
          <w:szCs w:val="16"/>
        </w:rPr>
        <w:t xml:space="preserve"> </w:t>
      </w:r>
      <w:proofErr w:type="spellStart"/>
      <w:r w:rsidRPr="00F70777">
        <w:rPr>
          <w:szCs w:val="16"/>
        </w:rPr>
        <w:t>prevention</w:t>
      </w:r>
      <w:proofErr w:type="spellEnd"/>
      <w:r w:rsidRPr="00F70777">
        <w:rPr>
          <w:szCs w:val="16"/>
        </w:rPr>
        <w:t xml:space="preserve"> and </w:t>
      </w:r>
      <w:proofErr w:type="spellStart"/>
      <w:r w:rsidRPr="00F70777">
        <w:rPr>
          <w:szCs w:val="16"/>
        </w:rPr>
        <w:t>deterrence</w:t>
      </w:r>
      <w:proofErr w:type="spellEnd"/>
      <w:r w:rsidRPr="00F70777">
        <w:rPr>
          <w:szCs w:val="16"/>
        </w:rPr>
        <w:t xml:space="preserve"> – </w:t>
      </w:r>
      <w:proofErr w:type="spellStart"/>
      <w:r w:rsidRPr="00F70777">
        <w:rPr>
          <w:szCs w:val="16"/>
        </w:rPr>
        <w:t>frequently</w:t>
      </w:r>
      <w:proofErr w:type="spellEnd"/>
      <w:r w:rsidRPr="00F70777">
        <w:rPr>
          <w:szCs w:val="16"/>
        </w:rPr>
        <w:t xml:space="preserve"> </w:t>
      </w:r>
      <w:proofErr w:type="spellStart"/>
      <w:r w:rsidRPr="00F70777">
        <w:rPr>
          <w:szCs w:val="16"/>
        </w:rPr>
        <w:t>asked</w:t>
      </w:r>
      <w:proofErr w:type="spellEnd"/>
      <w:r w:rsidRPr="00F70777">
        <w:rPr>
          <w:szCs w:val="16"/>
        </w:rPr>
        <w:t xml:space="preserve"> </w:t>
      </w:r>
      <w:proofErr w:type="spellStart"/>
      <w:r w:rsidRPr="00F70777">
        <w:rPr>
          <w:szCs w:val="16"/>
        </w:rPr>
        <w:t>questions</w:t>
      </w:r>
      <w:proofErr w:type="spellEnd"/>
      <w:r w:rsidRPr="00F70777">
        <w:rPr>
          <w:szCs w:val="16"/>
        </w:rPr>
        <w:t>. [</w:t>
      </w:r>
      <w:hyperlink r:id="rId54" w:history="1">
        <w:r w:rsidRPr="00F70777">
          <w:rPr>
            <w:rStyle w:val="Hypertextovprepojenie"/>
            <w:sz w:val="16"/>
            <w:szCs w:val="16"/>
          </w:rPr>
          <w:t>online</w:t>
        </w:r>
      </w:hyperlink>
      <w:r w:rsidRPr="00F70777">
        <w:rPr>
          <w:szCs w:val="16"/>
        </w:rPr>
        <w:t>].</w:t>
      </w:r>
    </w:p>
  </w:footnote>
  <w:footnote w:id="74">
    <w:p w14:paraId="013D12EF" w14:textId="77777777" w:rsidR="0054590C" w:rsidRDefault="0054590C" w:rsidP="0041674F">
      <w:pPr>
        <w:pStyle w:val="Textpoznmkypodiarou"/>
      </w:pPr>
      <w:r>
        <w:rPr>
          <w:rStyle w:val="Odkaznapoznmkupodiarou"/>
        </w:rPr>
        <w:footnoteRef/>
      </w:r>
      <w:r>
        <w:t xml:space="preserve"> </w:t>
      </w:r>
      <w:r w:rsidRPr="00D60427">
        <w:t>Táto novelizácia zákona o dani z príjmov zvýšila sadzbu paušálnych výdavkov zo 40 % na 60 % z úhrnu príjmov, zrušila mesačný limit (420 eur) a zvýšila ročný limit sumy paušálnych výdavkov z 5 040 eur na 20 000 eur.</w:t>
      </w:r>
    </w:p>
  </w:footnote>
  <w:footnote w:id="75">
    <w:p w14:paraId="1F0C1B0A" w14:textId="25F1B348" w:rsidR="0054590C" w:rsidRDefault="0054590C" w:rsidP="0041674F">
      <w:pPr>
        <w:pStyle w:val="Textpoznmkypodiarou"/>
      </w:pPr>
      <w:r>
        <w:rPr>
          <w:rStyle w:val="Odkaznapoznmkupodiarou"/>
        </w:rPr>
        <w:footnoteRef/>
      </w:r>
      <w:r>
        <w:t xml:space="preserve"> </w:t>
      </w:r>
      <w:r w:rsidRPr="00120212">
        <w:t>V prípade vyslaných zamestnancov ide o osoby zamestnané na území členského štátu</w:t>
      </w:r>
      <w:r>
        <w:t xml:space="preserve"> EÚ</w:t>
      </w:r>
      <w:r w:rsidRPr="00120212">
        <w:t xml:space="preserve"> zamestnávateľom, ktoré tento zamestnávateľ vyslal na územie iného členského štátu vykonávať pre neho prácu. </w:t>
      </w:r>
      <w:r>
        <w:t>Viac na [</w:t>
      </w:r>
      <w:hyperlink r:id="rId55" w:history="1">
        <w:r w:rsidRPr="00EF1A84">
          <w:rPr>
            <w:rStyle w:val="Hypertextovprepojenie"/>
            <w:sz w:val="16"/>
          </w:rPr>
          <w:t>online</w:t>
        </w:r>
      </w:hyperlink>
      <w:r>
        <w:t>].</w:t>
      </w:r>
    </w:p>
  </w:footnote>
  <w:footnote w:id="76">
    <w:p w14:paraId="2E761BA9" w14:textId="29C6CEA2" w:rsidR="0054590C" w:rsidRPr="0041674F" w:rsidRDefault="0054590C" w:rsidP="0041674F">
      <w:pPr>
        <w:pStyle w:val="Textpoznmkypodiarou"/>
        <w:rPr>
          <w:sz w:val="14"/>
        </w:rPr>
      </w:pPr>
      <w:r w:rsidRPr="0041674F">
        <w:rPr>
          <w:rStyle w:val="Odkaznapoznmkupodiarou"/>
        </w:rPr>
        <w:footnoteRef/>
      </w:r>
      <w:r w:rsidRPr="0041674F">
        <w:t xml:space="preserve"> Porovnávali sme štruktúru skupiny rovnakých osôb počas/medzi rôznymi obdobiami (napríklad september 2016 až marec 2017 či novem</w:t>
      </w:r>
      <w:r>
        <w:t>ber 2016 verzus november 2017).</w:t>
      </w:r>
    </w:p>
  </w:footnote>
  <w:footnote w:id="77">
    <w:p w14:paraId="00749CB4" w14:textId="3EC9C379" w:rsidR="0054590C" w:rsidRDefault="0054590C" w:rsidP="00E23D9C">
      <w:pPr>
        <w:pStyle w:val="Textpoznmkypodiarou"/>
      </w:pPr>
      <w:r>
        <w:rPr>
          <w:rStyle w:val="Odkaznapoznmkupodiarou"/>
        </w:rPr>
        <w:footnoteRef/>
      </w:r>
      <w:r>
        <w:t xml:space="preserve"> VÚC nedisponujú vlastnými daňovými príjmami.</w:t>
      </w:r>
    </w:p>
  </w:footnote>
  <w:footnote w:id="78">
    <w:p w14:paraId="14AC59C5" w14:textId="77777777" w:rsidR="0054590C" w:rsidRDefault="0054590C" w:rsidP="00E23D9C">
      <w:pPr>
        <w:pStyle w:val="Textpoznmkypodiarou"/>
      </w:pPr>
      <w:r>
        <w:rPr>
          <w:rStyle w:val="Odkaznapoznmkupodiarou"/>
        </w:rPr>
        <w:footnoteRef/>
      </w:r>
      <w:r>
        <w:t xml:space="preserve"> </w:t>
      </w:r>
      <w:r w:rsidRPr="007A5482">
        <w:t>Medzi príjmové finančné operácie patria najmä prostriedky z predchádzajúcich rokov, prostriedky z rezervného fondu a iných fondov obce a prostriedky z peňažných fondov iného subjektu.</w:t>
      </w:r>
      <w:r>
        <w:t xml:space="preserve"> Medzi výdavkové finančné operácie patria úvery a splácanie istín.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803" w:type="pct"/>
      <w:tblInd w:w="-1418"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2341"/>
    </w:tblGrid>
    <w:tr w:rsidR="0054590C" w14:paraId="6078A1EE" w14:textId="77777777" w:rsidTr="00D368ED">
      <w:trPr>
        <w:trHeight w:val="1911"/>
      </w:trPr>
      <w:tc>
        <w:tcPr>
          <w:tcW w:w="5000" w:type="pct"/>
          <w:shd w:val="clear" w:color="auto" w:fill="314364"/>
          <w:vAlign w:val="center"/>
        </w:tcPr>
        <w:p w14:paraId="0129F68B" w14:textId="77777777" w:rsidR="0054590C" w:rsidRPr="00D368ED" w:rsidRDefault="0054590C" w:rsidP="000B6CC9">
          <w:pPr>
            <w:pStyle w:val="Hlavika"/>
            <w:tabs>
              <w:tab w:val="clear" w:pos="9072"/>
              <w:tab w:val="right" w:pos="10239"/>
            </w:tabs>
            <w:spacing w:before="240" w:after="120"/>
            <w:ind w:left="1308"/>
            <w:jc w:val="left"/>
            <w:rPr>
              <w:rFonts w:cs="Segoe UI"/>
              <w:b/>
              <w:caps/>
              <w:color w:val="FFFFFF" w:themeColor="background1"/>
              <w:sz w:val="40"/>
              <w:szCs w:val="40"/>
            </w:rPr>
          </w:pPr>
          <w:r w:rsidRPr="0060315B">
            <w:rPr>
              <w:rFonts w:cs="Segoe UI"/>
              <w:noProof/>
              <w:color w:val="FFFFFF" w:themeColor="background1"/>
              <w:sz w:val="40"/>
              <w:lang w:eastAsia="sk-SK"/>
            </w:rPr>
            <w:drawing>
              <wp:anchor distT="0" distB="0" distL="114300" distR="114300" simplePos="0" relativeHeight="251661312" behindDoc="0" locked="0" layoutInCell="1" allowOverlap="1" wp14:anchorId="375CB54A" wp14:editId="30DC9E20">
                <wp:simplePos x="0" y="0"/>
                <wp:positionH relativeFrom="margin">
                  <wp:posOffset>5177155</wp:posOffset>
                </wp:positionH>
                <wp:positionV relativeFrom="margin">
                  <wp:posOffset>135255</wp:posOffset>
                </wp:positionV>
                <wp:extent cx="1371600" cy="1009650"/>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ok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1009650"/>
                        </a:xfrm>
                        <a:prstGeom prst="rect">
                          <a:avLst/>
                        </a:prstGeom>
                      </pic:spPr>
                    </pic:pic>
                  </a:graphicData>
                </a:graphic>
                <wp14:sizeRelH relativeFrom="margin">
                  <wp14:pctWidth>0</wp14:pctWidth>
                </wp14:sizeRelH>
                <wp14:sizeRelV relativeFrom="margin">
                  <wp14:pctHeight>0</wp14:pctHeight>
                </wp14:sizeRelV>
              </wp:anchor>
            </w:drawing>
          </w:r>
          <w:r w:rsidRPr="00D368ED">
            <w:rPr>
              <w:rFonts w:cs="Segoe UI"/>
              <w:b/>
              <w:caps/>
              <w:color w:val="FFFFFF" w:themeColor="background1"/>
              <w:sz w:val="40"/>
              <w:szCs w:val="40"/>
            </w:rPr>
            <w:t>NAJVYŠŠÍ KONTROLNÝ ÚRAD</w:t>
          </w:r>
          <w:r w:rsidRPr="00D368ED">
            <w:rPr>
              <w:rFonts w:cs="Segoe UI"/>
              <w:b/>
              <w:caps/>
              <w:color w:val="FFFFFF" w:themeColor="background1"/>
              <w:sz w:val="40"/>
              <w:szCs w:val="40"/>
            </w:rPr>
            <w:br/>
            <w:t>SLOVENSKEJ REPUBLIKY</w:t>
          </w:r>
        </w:p>
        <w:p w14:paraId="41E3EFF0" w14:textId="77777777" w:rsidR="0054590C" w:rsidRPr="00452B4A" w:rsidRDefault="0054590C" w:rsidP="00D368ED">
          <w:pPr>
            <w:pStyle w:val="Hlavika"/>
            <w:ind w:left="1308"/>
            <w:jc w:val="left"/>
            <w:rPr>
              <w:rFonts w:ascii="Montserrat" w:hAnsi="Montserrat"/>
              <w:caps/>
              <w:color w:val="FFFFFF" w:themeColor="background1"/>
            </w:rPr>
          </w:pPr>
          <w:r>
            <w:rPr>
              <w:rFonts w:cs="Segoe UI"/>
              <w:color w:val="FFFFFF" w:themeColor="background1"/>
              <w:sz w:val="24"/>
            </w:rPr>
            <w:t>www.nku.gov.sk</w:t>
          </w:r>
        </w:p>
      </w:tc>
    </w:tr>
  </w:tbl>
  <w:p w14:paraId="0EE9014E" w14:textId="77777777" w:rsidR="0054590C" w:rsidRDefault="0054590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54590C" w14:paraId="365F62EA" w14:textId="77777777" w:rsidTr="0056118C">
      <w:trPr>
        <w:trHeight w:val="1134"/>
      </w:trPr>
      <w:tc>
        <w:tcPr>
          <w:tcW w:w="5000" w:type="pct"/>
          <w:shd w:val="clear" w:color="auto" w:fill="314364"/>
          <w:vAlign w:val="center"/>
        </w:tcPr>
        <w:p w14:paraId="48927A01" w14:textId="77777777" w:rsidR="0054590C" w:rsidRPr="00962F36" w:rsidRDefault="0054590C" w:rsidP="00092577">
          <w:pPr>
            <w:pStyle w:val="Hlavika"/>
            <w:tabs>
              <w:tab w:val="clear" w:pos="4536"/>
              <w:tab w:val="center" w:pos="309"/>
            </w:tabs>
            <w:spacing w:before="120"/>
            <w:ind w:left="309" w:right="1296"/>
            <w:jc w:val="right"/>
            <w:rPr>
              <w:rFonts w:cs="Segoe UI"/>
              <w:color w:val="FFFFFF" w:themeColor="background1"/>
              <w:sz w:val="24"/>
            </w:rPr>
          </w:pPr>
          <w:r>
            <w:rPr>
              <w:rFonts w:cs="Segoe UI"/>
              <w:color w:val="FFFFFF" w:themeColor="background1"/>
              <w:sz w:val="24"/>
            </w:rPr>
            <w:br/>
            <w:t>www.nku.gov.sk</w:t>
          </w:r>
        </w:p>
      </w:tc>
    </w:tr>
  </w:tbl>
  <w:p w14:paraId="046269BA" w14:textId="77777777" w:rsidR="0054590C" w:rsidRDefault="0054590C">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54590C" w14:paraId="7A36DCFD" w14:textId="77777777" w:rsidTr="0056118C">
      <w:trPr>
        <w:trHeight w:val="1134"/>
      </w:trPr>
      <w:tc>
        <w:tcPr>
          <w:tcW w:w="5000" w:type="pct"/>
          <w:shd w:val="clear" w:color="auto" w:fill="314364"/>
          <w:vAlign w:val="center"/>
        </w:tcPr>
        <w:p w14:paraId="6D97F8F6" w14:textId="5CC4F8FA" w:rsidR="0054590C" w:rsidRPr="00962F36" w:rsidRDefault="0054590C" w:rsidP="00092577">
          <w:pPr>
            <w:pStyle w:val="Hlavika"/>
            <w:tabs>
              <w:tab w:val="clear" w:pos="4536"/>
              <w:tab w:val="center" w:pos="309"/>
            </w:tabs>
            <w:spacing w:before="120"/>
            <w:ind w:left="309" w:right="1296"/>
            <w:jc w:val="right"/>
            <w:rPr>
              <w:rFonts w:cs="Segoe UI"/>
              <w:color w:val="FFFFFF" w:themeColor="background1"/>
              <w:sz w:val="24"/>
            </w:rPr>
          </w:pPr>
          <w:r>
            <w:rPr>
              <w:rFonts w:cs="Segoe UI"/>
              <w:color w:val="FFFFFF" w:themeColor="background1"/>
              <w:sz w:val="24"/>
            </w:rPr>
            <w:br/>
            <w:t>www.nku.gov.sk</w:t>
          </w:r>
        </w:p>
      </w:tc>
    </w:tr>
  </w:tbl>
  <w:p w14:paraId="25C8DE35" w14:textId="77777777" w:rsidR="0054590C" w:rsidRDefault="0054590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577B7"/>
    <w:multiLevelType w:val="hybridMultilevel"/>
    <w:tmpl w:val="D6CAA94C"/>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8E12307"/>
    <w:multiLevelType w:val="hybridMultilevel"/>
    <w:tmpl w:val="96B65B0E"/>
    <w:lvl w:ilvl="0" w:tplc="8B50E60A">
      <w:numFmt w:val="bullet"/>
      <w:lvlText w:val="-"/>
      <w:lvlJc w:val="left"/>
      <w:pPr>
        <w:ind w:left="420" w:hanging="360"/>
      </w:pPr>
      <w:rPr>
        <w:rFonts w:ascii="Segoe UI" w:eastAsiaTheme="minorHAnsi" w:hAnsi="Segoe UI" w:cs="Segoe UI"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2" w15:restartNumberingAfterBreak="0">
    <w:nsid w:val="23D3117A"/>
    <w:multiLevelType w:val="hybridMultilevel"/>
    <w:tmpl w:val="7752E580"/>
    <w:lvl w:ilvl="0" w:tplc="F3E2CCE2">
      <w:numFmt w:val="bullet"/>
      <w:lvlText w:val="-"/>
      <w:lvlJc w:val="left"/>
      <w:pPr>
        <w:ind w:left="720" w:hanging="360"/>
      </w:pPr>
      <w:rPr>
        <w:rFonts w:ascii="Segoe UI" w:eastAsiaTheme="minorHAns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5252800"/>
    <w:multiLevelType w:val="hybridMultilevel"/>
    <w:tmpl w:val="4BC8AB12"/>
    <w:lvl w:ilvl="0" w:tplc="B0789EE6">
      <w:start w:val="1"/>
      <w:numFmt w:val="lowerRoman"/>
      <w:lvlText w:val="%1."/>
      <w:lvlJc w:val="left"/>
      <w:pPr>
        <w:ind w:left="1440" w:hanging="72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2CCB1AD7"/>
    <w:multiLevelType w:val="hybridMultilevel"/>
    <w:tmpl w:val="E2AEDFE0"/>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5" w15:restartNumberingAfterBreak="0">
    <w:nsid w:val="56A70942"/>
    <w:multiLevelType w:val="hybridMultilevel"/>
    <w:tmpl w:val="E9C253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60D3C0F"/>
    <w:multiLevelType w:val="hybridMultilevel"/>
    <w:tmpl w:val="7936AE06"/>
    <w:lvl w:ilvl="0" w:tplc="980C73D2">
      <w:start w:val="1"/>
      <w:numFmt w:val="decimal"/>
      <w:pStyle w:val="Pouitliteratra"/>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7584282E"/>
    <w:multiLevelType w:val="multilevel"/>
    <w:tmpl w:val="623AD604"/>
    <w:lvl w:ilvl="0">
      <w:start w:val="1"/>
      <w:numFmt w:val="decimal"/>
      <w:pStyle w:val="Nadpis1"/>
      <w:lvlText w:val="%1"/>
      <w:lvlJc w:val="left"/>
      <w:pPr>
        <w:ind w:left="5464" w:hanging="360"/>
      </w:pPr>
      <w:rPr>
        <w:rFonts w:hint="default"/>
      </w:rPr>
    </w:lvl>
    <w:lvl w:ilvl="1">
      <w:start w:val="1"/>
      <w:numFmt w:val="decimal"/>
      <w:pStyle w:val="Nadpis2"/>
      <w:lvlText w:val="%1.%2"/>
      <w:lvlJc w:val="left"/>
      <w:pPr>
        <w:ind w:left="2559" w:hanging="432"/>
      </w:pPr>
      <w:rPr>
        <w:rFonts w:hint="default"/>
      </w:rPr>
    </w:lvl>
    <w:lvl w:ilvl="2">
      <w:start w:val="1"/>
      <w:numFmt w:val="decimal"/>
      <w:pStyle w:val="Nadpis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5C902E8"/>
    <w:multiLevelType w:val="hybridMultilevel"/>
    <w:tmpl w:val="7D5A8598"/>
    <w:lvl w:ilvl="0" w:tplc="041B001B">
      <w:start w:val="1"/>
      <w:numFmt w:val="lowerRoman"/>
      <w:lvlText w:val="%1."/>
      <w:lvlJc w:val="righ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15:restartNumberingAfterBreak="0">
    <w:nsid w:val="7B0D6303"/>
    <w:multiLevelType w:val="hybridMultilevel"/>
    <w:tmpl w:val="5CE40F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1"/>
  </w:num>
  <w:num w:numId="5">
    <w:abstractNumId w:val="9"/>
  </w:num>
  <w:num w:numId="6">
    <w:abstractNumId w:val="4"/>
  </w:num>
  <w:num w:numId="7">
    <w:abstractNumId w:val="2"/>
  </w:num>
  <w:num w:numId="8">
    <w:abstractNumId w:val="3"/>
  </w:num>
  <w:num w:numId="9">
    <w:abstractNumId w:val="5"/>
  </w:num>
  <w:num w:numId="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6C2"/>
    <w:rsid w:val="00000222"/>
    <w:rsid w:val="00000294"/>
    <w:rsid w:val="00000584"/>
    <w:rsid w:val="00002667"/>
    <w:rsid w:val="00002D2F"/>
    <w:rsid w:val="00004033"/>
    <w:rsid w:val="00004764"/>
    <w:rsid w:val="000059A5"/>
    <w:rsid w:val="00006CF3"/>
    <w:rsid w:val="0001060E"/>
    <w:rsid w:val="000112C8"/>
    <w:rsid w:val="000114AB"/>
    <w:rsid w:val="00011639"/>
    <w:rsid w:val="00011DEB"/>
    <w:rsid w:val="0001554E"/>
    <w:rsid w:val="000156D3"/>
    <w:rsid w:val="00015A0B"/>
    <w:rsid w:val="00015CB4"/>
    <w:rsid w:val="00016D01"/>
    <w:rsid w:val="00016FD0"/>
    <w:rsid w:val="000218FC"/>
    <w:rsid w:val="00022837"/>
    <w:rsid w:val="00023340"/>
    <w:rsid w:val="00024757"/>
    <w:rsid w:val="000248C3"/>
    <w:rsid w:val="00024931"/>
    <w:rsid w:val="00024E9A"/>
    <w:rsid w:val="00025225"/>
    <w:rsid w:val="00030D77"/>
    <w:rsid w:val="000347E2"/>
    <w:rsid w:val="00034CF4"/>
    <w:rsid w:val="0003553D"/>
    <w:rsid w:val="00035D8F"/>
    <w:rsid w:val="00036FF9"/>
    <w:rsid w:val="00037A18"/>
    <w:rsid w:val="00040825"/>
    <w:rsid w:val="000410C9"/>
    <w:rsid w:val="00041751"/>
    <w:rsid w:val="00046FC0"/>
    <w:rsid w:val="00047A70"/>
    <w:rsid w:val="00050F6E"/>
    <w:rsid w:val="0005233D"/>
    <w:rsid w:val="0005332F"/>
    <w:rsid w:val="00055469"/>
    <w:rsid w:val="000555E4"/>
    <w:rsid w:val="0005675B"/>
    <w:rsid w:val="00056B89"/>
    <w:rsid w:val="00057683"/>
    <w:rsid w:val="000601AC"/>
    <w:rsid w:val="00060491"/>
    <w:rsid w:val="00060EFA"/>
    <w:rsid w:val="000615A9"/>
    <w:rsid w:val="00061F1F"/>
    <w:rsid w:val="0006328F"/>
    <w:rsid w:val="000634F6"/>
    <w:rsid w:val="00066A87"/>
    <w:rsid w:val="00071405"/>
    <w:rsid w:val="000714A7"/>
    <w:rsid w:val="000728FA"/>
    <w:rsid w:val="00073366"/>
    <w:rsid w:val="00073B47"/>
    <w:rsid w:val="00074731"/>
    <w:rsid w:val="00077243"/>
    <w:rsid w:val="000813B4"/>
    <w:rsid w:val="00081734"/>
    <w:rsid w:val="00081DDE"/>
    <w:rsid w:val="00083097"/>
    <w:rsid w:val="000840D6"/>
    <w:rsid w:val="0008430D"/>
    <w:rsid w:val="00085D9A"/>
    <w:rsid w:val="00086CFA"/>
    <w:rsid w:val="00087BA2"/>
    <w:rsid w:val="00087F3C"/>
    <w:rsid w:val="00091260"/>
    <w:rsid w:val="00091866"/>
    <w:rsid w:val="00092577"/>
    <w:rsid w:val="00092E55"/>
    <w:rsid w:val="000940C2"/>
    <w:rsid w:val="00095320"/>
    <w:rsid w:val="00095CF4"/>
    <w:rsid w:val="0009606A"/>
    <w:rsid w:val="00097920"/>
    <w:rsid w:val="000A0207"/>
    <w:rsid w:val="000A1761"/>
    <w:rsid w:val="000A2B1F"/>
    <w:rsid w:val="000A2FC4"/>
    <w:rsid w:val="000A451D"/>
    <w:rsid w:val="000A532A"/>
    <w:rsid w:val="000A6863"/>
    <w:rsid w:val="000A6AE0"/>
    <w:rsid w:val="000A7226"/>
    <w:rsid w:val="000B0099"/>
    <w:rsid w:val="000B17E1"/>
    <w:rsid w:val="000B1C0A"/>
    <w:rsid w:val="000B379D"/>
    <w:rsid w:val="000B39F4"/>
    <w:rsid w:val="000B3F25"/>
    <w:rsid w:val="000B5622"/>
    <w:rsid w:val="000B6CC9"/>
    <w:rsid w:val="000B7C4A"/>
    <w:rsid w:val="000C0903"/>
    <w:rsid w:val="000C1766"/>
    <w:rsid w:val="000C2C14"/>
    <w:rsid w:val="000C33D4"/>
    <w:rsid w:val="000C42D7"/>
    <w:rsid w:val="000C671E"/>
    <w:rsid w:val="000C6EEF"/>
    <w:rsid w:val="000C77CD"/>
    <w:rsid w:val="000C7B37"/>
    <w:rsid w:val="000D05F7"/>
    <w:rsid w:val="000D08CC"/>
    <w:rsid w:val="000D0904"/>
    <w:rsid w:val="000D3F9A"/>
    <w:rsid w:val="000D44E2"/>
    <w:rsid w:val="000D556A"/>
    <w:rsid w:val="000D6535"/>
    <w:rsid w:val="000D6973"/>
    <w:rsid w:val="000D73EA"/>
    <w:rsid w:val="000D752F"/>
    <w:rsid w:val="000E0405"/>
    <w:rsid w:val="000E1E08"/>
    <w:rsid w:val="000E5CB3"/>
    <w:rsid w:val="000E7CF9"/>
    <w:rsid w:val="000F0B44"/>
    <w:rsid w:val="000F3491"/>
    <w:rsid w:val="000F53F1"/>
    <w:rsid w:val="000F6D77"/>
    <w:rsid w:val="000F74DC"/>
    <w:rsid w:val="00100936"/>
    <w:rsid w:val="00104F9C"/>
    <w:rsid w:val="00105203"/>
    <w:rsid w:val="00105E47"/>
    <w:rsid w:val="00106354"/>
    <w:rsid w:val="001067DB"/>
    <w:rsid w:val="00106BF8"/>
    <w:rsid w:val="00107DD4"/>
    <w:rsid w:val="00110271"/>
    <w:rsid w:val="001123B7"/>
    <w:rsid w:val="00112ACD"/>
    <w:rsid w:val="00113C5D"/>
    <w:rsid w:val="0011508D"/>
    <w:rsid w:val="0011737A"/>
    <w:rsid w:val="0011791E"/>
    <w:rsid w:val="00117D53"/>
    <w:rsid w:val="00122526"/>
    <w:rsid w:val="0012273E"/>
    <w:rsid w:val="00123133"/>
    <w:rsid w:val="001238DA"/>
    <w:rsid w:val="001244BE"/>
    <w:rsid w:val="001256A4"/>
    <w:rsid w:val="0012662E"/>
    <w:rsid w:val="00126D81"/>
    <w:rsid w:val="00127302"/>
    <w:rsid w:val="001273CF"/>
    <w:rsid w:val="00130FFB"/>
    <w:rsid w:val="00134A6E"/>
    <w:rsid w:val="0013594B"/>
    <w:rsid w:val="00135BC5"/>
    <w:rsid w:val="00136C45"/>
    <w:rsid w:val="00136FE7"/>
    <w:rsid w:val="0013791A"/>
    <w:rsid w:val="0014071A"/>
    <w:rsid w:val="0014156E"/>
    <w:rsid w:val="00141CC4"/>
    <w:rsid w:val="00142E40"/>
    <w:rsid w:val="0014343D"/>
    <w:rsid w:val="0014391C"/>
    <w:rsid w:val="0014479C"/>
    <w:rsid w:val="0014533F"/>
    <w:rsid w:val="00145644"/>
    <w:rsid w:val="00145BA9"/>
    <w:rsid w:val="00147883"/>
    <w:rsid w:val="00151147"/>
    <w:rsid w:val="0015153D"/>
    <w:rsid w:val="001555F8"/>
    <w:rsid w:val="001576E9"/>
    <w:rsid w:val="00157B21"/>
    <w:rsid w:val="001609D9"/>
    <w:rsid w:val="00160B33"/>
    <w:rsid w:val="00160CCF"/>
    <w:rsid w:val="00162997"/>
    <w:rsid w:val="00163252"/>
    <w:rsid w:val="00164108"/>
    <w:rsid w:val="00164D3C"/>
    <w:rsid w:val="00164DF3"/>
    <w:rsid w:val="00165813"/>
    <w:rsid w:val="00165F25"/>
    <w:rsid w:val="0016639E"/>
    <w:rsid w:val="0016758F"/>
    <w:rsid w:val="00167F21"/>
    <w:rsid w:val="00170FF5"/>
    <w:rsid w:val="001732E5"/>
    <w:rsid w:val="001736C2"/>
    <w:rsid w:val="001768FA"/>
    <w:rsid w:val="001778A6"/>
    <w:rsid w:val="00177BA1"/>
    <w:rsid w:val="00181C89"/>
    <w:rsid w:val="00182145"/>
    <w:rsid w:val="00184758"/>
    <w:rsid w:val="0018540D"/>
    <w:rsid w:val="0018541D"/>
    <w:rsid w:val="00185FA1"/>
    <w:rsid w:val="00192A7B"/>
    <w:rsid w:val="001931C5"/>
    <w:rsid w:val="001932C8"/>
    <w:rsid w:val="00194C12"/>
    <w:rsid w:val="001951F6"/>
    <w:rsid w:val="00195E84"/>
    <w:rsid w:val="00196D31"/>
    <w:rsid w:val="001970DE"/>
    <w:rsid w:val="00197492"/>
    <w:rsid w:val="0019785D"/>
    <w:rsid w:val="001A1C0E"/>
    <w:rsid w:val="001A28EF"/>
    <w:rsid w:val="001A2FF8"/>
    <w:rsid w:val="001A3160"/>
    <w:rsid w:val="001A3D08"/>
    <w:rsid w:val="001A3E7D"/>
    <w:rsid w:val="001A6381"/>
    <w:rsid w:val="001A6FB8"/>
    <w:rsid w:val="001A7BA2"/>
    <w:rsid w:val="001A7ECB"/>
    <w:rsid w:val="001B03A6"/>
    <w:rsid w:val="001B10CB"/>
    <w:rsid w:val="001B3E13"/>
    <w:rsid w:val="001B4846"/>
    <w:rsid w:val="001B5440"/>
    <w:rsid w:val="001B5A17"/>
    <w:rsid w:val="001B71A9"/>
    <w:rsid w:val="001B7A14"/>
    <w:rsid w:val="001C09E9"/>
    <w:rsid w:val="001C375A"/>
    <w:rsid w:val="001C47F4"/>
    <w:rsid w:val="001C4899"/>
    <w:rsid w:val="001C5FF2"/>
    <w:rsid w:val="001C62BC"/>
    <w:rsid w:val="001C7997"/>
    <w:rsid w:val="001D29DE"/>
    <w:rsid w:val="001D4049"/>
    <w:rsid w:val="001D4805"/>
    <w:rsid w:val="001D56CD"/>
    <w:rsid w:val="001D5E57"/>
    <w:rsid w:val="001D7483"/>
    <w:rsid w:val="001E0A12"/>
    <w:rsid w:val="001E109F"/>
    <w:rsid w:val="001E116F"/>
    <w:rsid w:val="001E128A"/>
    <w:rsid w:val="001E2C3B"/>
    <w:rsid w:val="001E2E3E"/>
    <w:rsid w:val="001E3DBD"/>
    <w:rsid w:val="001E4A2A"/>
    <w:rsid w:val="001E7442"/>
    <w:rsid w:val="001E7633"/>
    <w:rsid w:val="001E7A80"/>
    <w:rsid w:val="001E7F04"/>
    <w:rsid w:val="001F0609"/>
    <w:rsid w:val="001F153B"/>
    <w:rsid w:val="001F3866"/>
    <w:rsid w:val="001F4513"/>
    <w:rsid w:val="001F4AA2"/>
    <w:rsid w:val="001F7057"/>
    <w:rsid w:val="00201215"/>
    <w:rsid w:val="00202081"/>
    <w:rsid w:val="0020314A"/>
    <w:rsid w:val="002038B4"/>
    <w:rsid w:val="00204919"/>
    <w:rsid w:val="00205613"/>
    <w:rsid w:val="00207111"/>
    <w:rsid w:val="0020796B"/>
    <w:rsid w:val="002109DF"/>
    <w:rsid w:val="00210CF0"/>
    <w:rsid w:val="002158AB"/>
    <w:rsid w:val="00215FBF"/>
    <w:rsid w:val="00216FF6"/>
    <w:rsid w:val="002173A5"/>
    <w:rsid w:val="00217DFF"/>
    <w:rsid w:val="00220608"/>
    <w:rsid w:val="002206E5"/>
    <w:rsid w:val="00225950"/>
    <w:rsid w:val="00226656"/>
    <w:rsid w:val="00227DB9"/>
    <w:rsid w:val="002305E5"/>
    <w:rsid w:val="002317A5"/>
    <w:rsid w:val="0023186B"/>
    <w:rsid w:val="00234FB9"/>
    <w:rsid w:val="00235889"/>
    <w:rsid w:val="002375A0"/>
    <w:rsid w:val="00237F46"/>
    <w:rsid w:val="002407D6"/>
    <w:rsid w:val="0024149A"/>
    <w:rsid w:val="002414F1"/>
    <w:rsid w:val="00241FDE"/>
    <w:rsid w:val="002426E0"/>
    <w:rsid w:val="00243A51"/>
    <w:rsid w:val="00243D49"/>
    <w:rsid w:val="00246009"/>
    <w:rsid w:val="002529B9"/>
    <w:rsid w:val="002529E9"/>
    <w:rsid w:val="002556FB"/>
    <w:rsid w:val="00256C28"/>
    <w:rsid w:val="00256E24"/>
    <w:rsid w:val="002604A2"/>
    <w:rsid w:val="0026362C"/>
    <w:rsid w:val="0026414E"/>
    <w:rsid w:val="0026421C"/>
    <w:rsid w:val="0026439C"/>
    <w:rsid w:val="002649EE"/>
    <w:rsid w:val="00265217"/>
    <w:rsid w:val="00270220"/>
    <w:rsid w:val="0027333D"/>
    <w:rsid w:val="00273456"/>
    <w:rsid w:val="0027377E"/>
    <w:rsid w:val="002741AA"/>
    <w:rsid w:val="00274EED"/>
    <w:rsid w:val="00276436"/>
    <w:rsid w:val="00277C8B"/>
    <w:rsid w:val="002818B5"/>
    <w:rsid w:val="00283EF9"/>
    <w:rsid w:val="002846CB"/>
    <w:rsid w:val="00286679"/>
    <w:rsid w:val="00287025"/>
    <w:rsid w:val="002926E5"/>
    <w:rsid w:val="0029286C"/>
    <w:rsid w:val="00292D37"/>
    <w:rsid w:val="00294C28"/>
    <w:rsid w:val="002957AD"/>
    <w:rsid w:val="00296624"/>
    <w:rsid w:val="00297931"/>
    <w:rsid w:val="002A0E16"/>
    <w:rsid w:val="002A1496"/>
    <w:rsid w:val="002A20BC"/>
    <w:rsid w:val="002A245A"/>
    <w:rsid w:val="002A24A1"/>
    <w:rsid w:val="002A2DEC"/>
    <w:rsid w:val="002A31B8"/>
    <w:rsid w:val="002A3A7F"/>
    <w:rsid w:val="002A3AE6"/>
    <w:rsid w:val="002A5217"/>
    <w:rsid w:val="002A599C"/>
    <w:rsid w:val="002B0AFD"/>
    <w:rsid w:val="002B1C07"/>
    <w:rsid w:val="002B2A28"/>
    <w:rsid w:val="002B6671"/>
    <w:rsid w:val="002B6E2B"/>
    <w:rsid w:val="002C0824"/>
    <w:rsid w:val="002C141E"/>
    <w:rsid w:val="002C16C4"/>
    <w:rsid w:val="002C1933"/>
    <w:rsid w:val="002C2BAB"/>
    <w:rsid w:val="002C5FFA"/>
    <w:rsid w:val="002C61B7"/>
    <w:rsid w:val="002C7A6A"/>
    <w:rsid w:val="002D0A8C"/>
    <w:rsid w:val="002D14C1"/>
    <w:rsid w:val="002D2F95"/>
    <w:rsid w:val="002D389F"/>
    <w:rsid w:val="002D3CCA"/>
    <w:rsid w:val="002D4645"/>
    <w:rsid w:val="002D4ED0"/>
    <w:rsid w:val="002D4FA6"/>
    <w:rsid w:val="002D50F1"/>
    <w:rsid w:val="002D54D7"/>
    <w:rsid w:val="002E0AA8"/>
    <w:rsid w:val="002E130C"/>
    <w:rsid w:val="002E22DA"/>
    <w:rsid w:val="002E3AB9"/>
    <w:rsid w:val="002E4C15"/>
    <w:rsid w:val="002E4CC5"/>
    <w:rsid w:val="002E4FF4"/>
    <w:rsid w:val="002E5856"/>
    <w:rsid w:val="002F059C"/>
    <w:rsid w:val="002F06F6"/>
    <w:rsid w:val="002F199C"/>
    <w:rsid w:val="002F2E0D"/>
    <w:rsid w:val="002F30A4"/>
    <w:rsid w:val="002F5727"/>
    <w:rsid w:val="002F5B66"/>
    <w:rsid w:val="002F69BE"/>
    <w:rsid w:val="002F731B"/>
    <w:rsid w:val="00304609"/>
    <w:rsid w:val="00305D3C"/>
    <w:rsid w:val="0030692D"/>
    <w:rsid w:val="0031008D"/>
    <w:rsid w:val="00311DA9"/>
    <w:rsid w:val="00312033"/>
    <w:rsid w:val="0031270C"/>
    <w:rsid w:val="003131B6"/>
    <w:rsid w:val="00313BE3"/>
    <w:rsid w:val="003141CA"/>
    <w:rsid w:val="003149DB"/>
    <w:rsid w:val="00316917"/>
    <w:rsid w:val="00320044"/>
    <w:rsid w:val="00320202"/>
    <w:rsid w:val="00321D00"/>
    <w:rsid w:val="0032280E"/>
    <w:rsid w:val="003302F6"/>
    <w:rsid w:val="00330871"/>
    <w:rsid w:val="0033128A"/>
    <w:rsid w:val="00331365"/>
    <w:rsid w:val="00333744"/>
    <w:rsid w:val="00335A7C"/>
    <w:rsid w:val="00337BD2"/>
    <w:rsid w:val="003415BC"/>
    <w:rsid w:val="003445E1"/>
    <w:rsid w:val="003465F3"/>
    <w:rsid w:val="00346601"/>
    <w:rsid w:val="00346C5D"/>
    <w:rsid w:val="00347074"/>
    <w:rsid w:val="003470FF"/>
    <w:rsid w:val="0035040C"/>
    <w:rsid w:val="00351391"/>
    <w:rsid w:val="0035167C"/>
    <w:rsid w:val="00352A55"/>
    <w:rsid w:val="00353534"/>
    <w:rsid w:val="00354AFA"/>
    <w:rsid w:val="00354CC9"/>
    <w:rsid w:val="00354F33"/>
    <w:rsid w:val="0035673A"/>
    <w:rsid w:val="003567A1"/>
    <w:rsid w:val="00361E85"/>
    <w:rsid w:val="00362C0F"/>
    <w:rsid w:val="00363203"/>
    <w:rsid w:val="00364B1D"/>
    <w:rsid w:val="00365DD1"/>
    <w:rsid w:val="00366245"/>
    <w:rsid w:val="003671FA"/>
    <w:rsid w:val="003709F8"/>
    <w:rsid w:val="003712F4"/>
    <w:rsid w:val="003731BB"/>
    <w:rsid w:val="003733BE"/>
    <w:rsid w:val="003742B7"/>
    <w:rsid w:val="00374332"/>
    <w:rsid w:val="003751C4"/>
    <w:rsid w:val="0037525E"/>
    <w:rsid w:val="00375593"/>
    <w:rsid w:val="00375629"/>
    <w:rsid w:val="0037567D"/>
    <w:rsid w:val="00376172"/>
    <w:rsid w:val="00376D38"/>
    <w:rsid w:val="00380732"/>
    <w:rsid w:val="00380B72"/>
    <w:rsid w:val="00381348"/>
    <w:rsid w:val="003819C3"/>
    <w:rsid w:val="00382BA0"/>
    <w:rsid w:val="00386027"/>
    <w:rsid w:val="00387ED9"/>
    <w:rsid w:val="003914D9"/>
    <w:rsid w:val="00391708"/>
    <w:rsid w:val="00391D7C"/>
    <w:rsid w:val="00392952"/>
    <w:rsid w:val="00392CE4"/>
    <w:rsid w:val="00393658"/>
    <w:rsid w:val="00393A4D"/>
    <w:rsid w:val="0039655A"/>
    <w:rsid w:val="00396AD5"/>
    <w:rsid w:val="00397688"/>
    <w:rsid w:val="003A04B8"/>
    <w:rsid w:val="003A151A"/>
    <w:rsid w:val="003A15C9"/>
    <w:rsid w:val="003A3262"/>
    <w:rsid w:val="003A44A0"/>
    <w:rsid w:val="003A5A60"/>
    <w:rsid w:val="003A6C19"/>
    <w:rsid w:val="003A71A7"/>
    <w:rsid w:val="003A74A2"/>
    <w:rsid w:val="003B0102"/>
    <w:rsid w:val="003B0361"/>
    <w:rsid w:val="003B1E6E"/>
    <w:rsid w:val="003B2E00"/>
    <w:rsid w:val="003B321A"/>
    <w:rsid w:val="003B4011"/>
    <w:rsid w:val="003B5630"/>
    <w:rsid w:val="003B7F8F"/>
    <w:rsid w:val="003C26C9"/>
    <w:rsid w:val="003C484F"/>
    <w:rsid w:val="003D05CC"/>
    <w:rsid w:val="003D2273"/>
    <w:rsid w:val="003D315C"/>
    <w:rsid w:val="003D3AB4"/>
    <w:rsid w:val="003D3C9D"/>
    <w:rsid w:val="003D4D45"/>
    <w:rsid w:val="003D4F20"/>
    <w:rsid w:val="003D50E6"/>
    <w:rsid w:val="003D6267"/>
    <w:rsid w:val="003D7A71"/>
    <w:rsid w:val="003E0903"/>
    <w:rsid w:val="003E0952"/>
    <w:rsid w:val="003E0E2F"/>
    <w:rsid w:val="003E125B"/>
    <w:rsid w:val="003E257A"/>
    <w:rsid w:val="003E2E1A"/>
    <w:rsid w:val="003F19FB"/>
    <w:rsid w:val="003F248C"/>
    <w:rsid w:val="003F28BE"/>
    <w:rsid w:val="003F4194"/>
    <w:rsid w:val="003F4239"/>
    <w:rsid w:val="003F69EA"/>
    <w:rsid w:val="003F7659"/>
    <w:rsid w:val="003F7961"/>
    <w:rsid w:val="003F7B4F"/>
    <w:rsid w:val="00400A50"/>
    <w:rsid w:val="00400C36"/>
    <w:rsid w:val="0040115A"/>
    <w:rsid w:val="00402C95"/>
    <w:rsid w:val="00410092"/>
    <w:rsid w:val="004105B3"/>
    <w:rsid w:val="004117E6"/>
    <w:rsid w:val="00411AF8"/>
    <w:rsid w:val="00412486"/>
    <w:rsid w:val="00413AF0"/>
    <w:rsid w:val="00413DDE"/>
    <w:rsid w:val="004160F1"/>
    <w:rsid w:val="0041674F"/>
    <w:rsid w:val="0041685A"/>
    <w:rsid w:val="004207C0"/>
    <w:rsid w:val="00422249"/>
    <w:rsid w:val="0042291D"/>
    <w:rsid w:val="004250A1"/>
    <w:rsid w:val="00426946"/>
    <w:rsid w:val="00427568"/>
    <w:rsid w:val="00430AA6"/>
    <w:rsid w:val="00431505"/>
    <w:rsid w:val="0043240A"/>
    <w:rsid w:val="00432AD8"/>
    <w:rsid w:val="00434C03"/>
    <w:rsid w:val="0043565C"/>
    <w:rsid w:val="00436314"/>
    <w:rsid w:val="00436A49"/>
    <w:rsid w:val="00440A40"/>
    <w:rsid w:val="00440A81"/>
    <w:rsid w:val="00442CE6"/>
    <w:rsid w:val="00443BF5"/>
    <w:rsid w:val="00444649"/>
    <w:rsid w:val="004508DB"/>
    <w:rsid w:val="00451613"/>
    <w:rsid w:val="0045165B"/>
    <w:rsid w:val="00451C0A"/>
    <w:rsid w:val="00451D11"/>
    <w:rsid w:val="00452609"/>
    <w:rsid w:val="004527DD"/>
    <w:rsid w:val="00452FAE"/>
    <w:rsid w:val="0045441E"/>
    <w:rsid w:val="00454845"/>
    <w:rsid w:val="00454AE6"/>
    <w:rsid w:val="004579C4"/>
    <w:rsid w:val="00462C0B"/>
    <w:rsid w:val="0046587D"/>
    <w:rsid w:val="004673B5"/>
    <w:rsid w:val="0047208E"/>
    <w:rsid w:val="00472DC8"/>
    <w:rsid w:val="00483C1B"/>
    <w:rsid w:val="00484808"/>
    <w:rsid w:val="004848BF"/>
    <w:rsid w:val="00484C62"/>
    <w:rsid w:val="00490A38"/>
    <w:rsid w:val="0049128E"/>
    <w:rsid w:val="0049259C"/>
    <w:rsid w:val="00492B4C"/>
    <w:rsid w:val="00492D45"/>
    <w:rsid w:val="00493BE3"/>
    <w:rsid w:val="00497955"/>
    <w:rsid w:val="00497CAB"/>
    <w:rsid w:val="004A1372"/>
    <w:rsid w:val="004A147A"/>
    <w:rsid w:val="004A1673"/>
    <w:rsid w:val="004A308C"/>
    <w:rsid w:val="004A3F2C"/>
    <w:rsid w:val="004A4470"/>
    <w:rsid w:val="004A4EB7"/>
    <w:rsid w:val="004A5262"/>
    <w:rsid w:val="004A5459"/>
    <w:rsid w:val="004A7AEC"/>
    <w:rsid w:val="004B0250"/>
    <w:rsid w:val="004B0540"/>
    <w:rsid w:val="004B0E21"/>
    <w:rsid w:val="004B2632"/>
    <w:rsid w:val="004C00A0"/>
    <w:rsid w:val="004C1252"/>
    <w:rsid w:val="004C31A4"/>
    <w:rsid w:val="004C3AFC"/>
    <w:rsid w:val="004C4E08"/>
    <w:rsid w:val="004C501B"/>
    <w:rsid w:val="004C691A"/>
    <w:rsid w:val="004C6D1F"/>
    <w:rsid w:val="004D09C6"/>
    <w:rsid w:val="004D22B8"/>
    <w:rsid w:val="004D3016"/>
    <w:rsid w:val="004D4473"/>
    <w:rsid w:val="004D46D8"/>
    <w:rsid w:val="004D4B8F"/>
    <w:rsid w:val="004D5D6A"/>
    <w:rsid w:val="004E051A"/>
    <w:rsid w:val="004E1B7C"/>
    <w:rsid w:val="004E2E79"/>
    <w:rsid w:val="004E415F"/>
    <w:rsid w:val="004E6991"/>
    <w:rsid w:val="004E6F9A"/>
    <w:rsid w:val="004F018B"/>
    <w:rsid w:val="004F0587"/>
    <w:rsid w:val="004F10D0"/>
    <w:rsid w:val="004F207A"/>
    <w:rsid w:val="004F2E30"/>
    <w:rsid w:val="004F5917"/>
    <w:rsid w:val="004F5F23"/>
    <w:rsid w:val="004F61AA"/>
    <w:rsid w:val="004F7122"/>
    <w:rsid w:val="004F7BCA"/>
    <w:rsid w:val="0050732D"/>
    <w:rsid w:val="0051160B"/>
    <w:rsid w:val="00513E0C"/>
    <w:rsid w:val="0051510D"/>
    <w:rsid w:val="005158D2"/>
    <w:rsid w:val="00516B80"/>
    <w:rsid w:val="005171D1"/>
    <w:rsid w:val="00517BC9"/>
    <w:rsid w:val="0052079F"/>
    <w:rsid w:val="005217B4"/>
    <w:rsid w:val="005224B6"/>
    <w:rsid w:val="00523C0B"/>
    <w:rsid w:val="00524ADE"/>
    <w:rsid w:val="00526AD0"/>
    <w:rsid w:val="0052787E"/>
    <w:rsid w:val="005302BF"/>
    <w:rsid w:val="00530B10"/>
    <w:rsid w:val="0053105A"/>
    <w:rsid w:val="00531584"/>
    <w:rsid w:val="00532F40"/>
    <w:rsid w:val="00534688"/>
    <w:rsid w:val="005346E7"/>
    <w:rsid w:val="00534BDB"/>
    <w:rsid w:val="00534DE5"/>
    <w:rsid w:val="0053790A"/>
    <w:rsid w:val="0054027D"/>
    <w:rsid w:val="00541E71"/>
    <w:rsid w:val="00543240"/>
    <w:rsid w:val="00544EBD"/>
    <w:rsid w:val="00545880"/>
    <w:rsid w:val="0054590C"/>
    <w:rsid w:val="0054688A"/>
    <w:rsid w:val="0055004D"/>
    <w:rsid w:val="0055027E"/>
    <w:rsid w:val="00550DAB"/>
    <w:rsid w:val="0055104C"/>
    <w:rsid w:val="0055168A"/>
    <w:rsid w:val="00552FA4"/>
    <w:rsid w:val="00553554"/>
    <w:rsid w:val="00553F8A"/>
    <w:rsid w:val="00560160"/>
    <w:rsid w:val="0056096B"/>
    <w:rsid w:val="00560B1D"/>
    <w:rsid w:val="0056118C"/>
    <w:rsid w:val="0056274F"/>
    <w:rsid w:val="005634D1"/>
    <w:rsid w:val="005636BF"/>
    <w:rsid w:val="00566C98"/>
    <w:rsid w:val="00567CCE"/>
    <w:rsid w:val="00571526"/>
    <w:rsid w:val="005718D5"/>
    <w:rsid w:val="0057191D"/>
    <w:rsid w:val="005719B3"/>
    <w:rsid w:val="00571A80"/>
    <w:rsid w:val="00571D72"/>
    <w:rsid w:val="0057351D"/>
    <w:rsid w:val="005752DC"/>
    <w:rsid w:val="005759C4"/>
    <w:rsid w:val="00580410"/>
    <w:rsid w:val="00581D5F"/>
    <w:rsid w:val="00582A6C"/>
    <w:rsid w:val="00583ADF"/>
    <w:rsid w:val="00584101"/>
    <w:rsid w:val="00584854"/>
    <w:rsid w:val="005852A6"/>
    <w:rsid w:val="00585A84"/>
    <w:rsid w:val="00585F3E"/>
    <w:rsid w:val="00587DF9"/>
    <w:rsid w:val="005905FB"/>
    <w:rsid w:val="00590730"/>
    <w:rsid w:val="00590B0F"/>
    <w:rsid w:val="0059120A"/>
    <w:rsid w:val="0059169C"/>
    <w:rsid w:val="00593B17"/>
    <w:rsid w:val="00593D0A"/>
    <w:rsid w:val="005A0044"/>
    <w:rsid w:val="005A0F86"/>
    <w:rsid w:val="005A30D1"/>
    <w:rsid w:val="005A4438"/>
    <w:rsid w:val="005A4C1A"/>
    <w:rsid w:val="005A519C"/>
    <w:rsid w:val="005A61C5"/>
    <w:rsid w:val="005A6C82"/>
    <w:rsid w:val="005A7563"/>
    <w:rsid w:val="005B0A15"/>
    <w:rsid w:val="005B144E"/>
    <w:rsid w:val="005B2030"/>
    <w:rsid w:val="005B253E"/>
    <w:rsid w:val="005B513E"/>
    <w:rsid w:val="005B56E7"/>
    <w:rsid w:val="005B6D7F"/>
    <w:rsid w:val="005B7AEF"/>
    <w:rsid w:val="005B7CF2"/>
    <w:rsid w:val="005C0A5A"/>
    <w:rsid w:val="005C0F36"/>
    <w:rsid w:val="005C1FD3"/>
    <w:rsid w:val="005C20DB"/>
    <w:rsid w:val="005C28F3"/>
    <w:rsid w:val="005C3B91"/>
    <w:rsid w:val="005C3D76"/>
    <w:rsid w:val="005C5355"/>
    <w:rsid w:val="005C55A0"/>
    <w:rsid w:val="005C61DD"/>
    <w:rsid w:val="005C64AC"/>
    <w:rsid w:val="005C7ED9"/>
    <w:rsid w:val="005D061E"/>
    <w:rsid w:val="005D0B91"/>
    <w:rsid w:val="005D1B52"/>
    <w:rsid w:val="005D2701"/>
    <w:rsid w:val="005D2BD4"/>
    <w:rsid w:val="005D3AAF"/>
    <w:rsid w:val="005D3DC8"/>
    <w:rsid w:val="005D6325"/>
    <w:rsid w:val="005D6D0F"/>
    <w:rsid w:val="005E02E1"/>
    <w:rsid w:val="005E1FFA"/>
    <w:rsid w:val="005E276B"/>
    <w:rsid w:val="005E312A"/>
    <w:rsid w:val="005E3614"/>
    <w:rsid w:val="005E3E18"/>
    <w:rsid w:val="005E582F"/>
    <w:rsid w:val="005E58BC"/>
    <w:rsid w:val="005E5D1E"/>
    <w:rsid w:val="005E7C37"/>
    <w:rsid w:val="005E7D60"/>
    <w:rsid w:val="005F0F5B"/>
    <w:rsid w:val="005F2BDE"/>
    <w:rsid w:val="005F3517"/>
    <w:rsid w:val="005F383C"/>
    <w:rsid w:val="005F5E3D"/>
    <w:rsid w:val="005F5F9D"/>
    <w:rsid w:val="005F64E6"/>
    <w:rsid w:val="006023A2"/>
    <w:rsid w:val="00602BEC"/>
    <w:rsid w:val="00604FA0"/>
    <w:rsid w:val="006064B3"/>
    <w:rsid w:val="00606C83"/>
    <w:rsid w:val="006079E6"/>
    <w:rsid w:val="00607D51"/>
    <w:rsid w:val="00607ED0"/>
    <w:rsid w:val="00610070"/>
    <w:rsid w:val="006119C0"/>
    <w:rsid w:val="006125F4"/>
    <w:rsid w:val="00612D23"/>
    <w:rsid w:val="006139F5"/>
    <w:rsid w:val="00613D4B"/>
    <w:rsid w:val="00614192"/>
    <w:rsid w:val="006144C6"/>
    <w:rsid w:val="00614590"/>
    <w:rsid w:val="006147D5"/>
    <w:rsid w:val="006168DC"/>
    <w:rsid w:val="00621100"/>
    <w:rsid w:val="00622B42"/>
    <w:rsid w:val="00624D44"/>
    <w:rsid w:val="0062544B"/>
    <w:rsid w:val="00626D05"/>
    <w:rsid w:val="00630B37"/>
    <w:rsid w:val="00630BD8"/>
    <w:rsid w:val="00631C44"/>
    <w:rsid w:val="00633EEC"/>
    <w:rsid w:val="00635F0B"/>
    <w:rsid w:val="00635FF4"/>
    <w:rsid w:val="00636D10"/>
    <w:rsid w:val="00640ABF"/>
    <w:rsid w:val="0064125B"/>
    <w:rsid w:val="00643CA4"/>
    <w:rsid w:val="00645469"/>
    <w:rsid w:val="006458B4"/>
    <w:rsid w:val="00647A23"/>
    <w:rsid w:val="006509D9"/>
    <w:rsid w:val="00650EAB"/>
    <w:rsid w:val="006541BE"/>
    <w:rsid w:val="00654270"/>
    <w:rsid w:val="00656939"/>
    <w:rsid w:val="00656FA3"/>
    <w:rsid w:val="006637D8"/>
    <w:rsid w:val="006643CF"/>
    <w:rsid w:val="00664B90"/>
    <w:rsid w:val="00666EFE"/>
    <w:rsid w:val="00671411"/>
    <w:rsid w:val="006718AC"/>
    <w:rsid w:val="00672111"/>
    <w:rsid w:val="00672640"/>
    <w:rsid w:val="00672C38"/>
    <w:rsid w:val="00673170"/>
    <w:rsid w:val="00673E85"/>
    <w:rsid w:val="0067655E"/>
    <w:rsid w:val="00676943"/>
    <w:rsid w:val="00677008"/>
    <w:rsid w:val="00681C49"/>
    <w:rsid w:val="00683058"/>
    <w:rsid w:val="00684647"/>
    <w:rsid w:val="00684F50"/>
    <w:rsid w:val="00690557"/>
    <w:rsid w:val="0069077B"/>
    <w:rsid w:val="00691C61"/>
    <w:rsid w:val="00691E3F"/>
    <w:rsid w:val="00691F57"/>
    <w:rsid w:val="006936AB"/>
    <w:rsid w:val="00693DCF"/>
    <w:rsid w:val="00694846"/>
    <w:rsid w:val="00694F30"/>
    <w:rsid w:val="00695BA7"/>
    <w:rsid w:val="00696621"/>
    <w:rsid w:val="006A2BFC"/>
    <w:rsid w:val="006A6B05"/>
    <w:rsid w:val="006A6B9D"/>
    <w:rsid w:val="006A708E"/>
    <w:rsid w:val="006A7E56"/>
    <w:rsid w:val="006B0082"/>
    <w:rsid w:val="006B152B"/>
    <w:rsid w:val="006B1E23"/>
    <w:rsid w:val="006B1F90"/>
    <w:rsid w:val="006B27E9"/>
    <w:rsid w:val="006B2AE8"/>
    <w:rsid w:val="006B71B7"/>
    <w:rsid w:val="006B7790"/>
    <w:rsid w:val="006C09C5"/>
    <w:rsid w:val="006C0A47"/>
    <w:rsid w:val="006C125B"/>
    <w:rsid w:val="006C1ACC"/>
    <w:rsid w:val="006C2FCA"/>
    <w:rsid w:val="006C47F4"/>
    <w:rsid w:val="006C557F"/>
    <w:rsid w:val="006C699E"/>
    <w:rsid w:val="006D0283"/>
    <w:rsid w:val="006D053A"/>
    <w:rsid w:val="006D094C"/>
    <w:rsid w:val="006D16ED"/>
    <w:rsid w:val="006D2563"/>
    <w:rsid w:val="006D336B"/>
    <w:rsid w:val="006D40BF"/>
    <w:rsid w:val="006D418D"/>
    <w:rsid w:val="006D5E21"/>
    <w:rsid w:val="006D5ECF"/>
    <w:rsid w:val="006D6F6D"/>
    <w:rsid w:val="006E0B5A"/>
    <w:rsid w:val="006E0B99"/>
    <w:rsid w:val="006E1C75"/>
    <w:rsid w:val="006E1CA2"/>
    <w:rsid w:val="006E4D9B"/>
    <w:rsid w:val="006E61D7"/>
    <w:rsid w:val="006E7157"/>
    <w:rsid w:val="006F2B5B"/>
    <w:rsid w:val="006F2F8A"/>
    <w:rsid w:val="006F3595"/>
    <w:rsid w:val="006F3C69"/>
    <w:rsid w:val="006F418A"/>
    <w:rsid w:val="006F48F9"/>
    <w:rsid w:val="006F529C"/>
    <w:rsid w:val="006F57AB"/>
    <w:rsid w:val="006F7935"/>
    <w:rsid w:val="00700E5A"/>
    <w:rsid w:val="00701ECE"/>
    <w:rsid w:val="0070456C"/>
    <w:rsid w:val="00705071"/>
    <w:rsid w:val="0070595E"/>
    <w:rsid w:val="007077C6"/>
    <w:rsid w:val="00711042"/>
    <w:rsid w:val="00711BAD"/>
    <w:rsid w:val="00712A2B"/>
    <w:rsid w:val="00712B22"/>
    <w:rsid w:val="00712B57"/>
    <w:rsid w:val="00713B4A"/>
    <w:rsid w:val="00715123"/>
    <w:rsid w:val="00716CA1"/>
    <w:rsid w:val="007170AE"/>
    <w:rsid w:val="00721698"/>
    <w:rsid w:val="00722849"/>
    <w:rsid w:val="00724FE4"/>
    <w:rsid w:val="0072665F"/>
    <w:rsid w:val="00726CEA"/>
    <w:rsid w:val="00733BFD"/>
    <w:rsid w:val="00735C7A"/>
    <w:rsid w:val="00741B19"/>
    <w:rsid w:val="00744E13"/>
    <w:rsid w:val="00745B03"/>
    <w:rsid w:val="00752628"/>
    <w:rsid w:val="00752C16"/>
    <w:rsid w:val="00753778"/>
    <w:rsid w:val="007550B4"/>
    <w:rsid w:val="00755B69"/>
    <w:rsid w:val="0075636D"/>
    <w:rsid w:val="00757117"/>
    <w:rsid w:val="00760850"/>
    <w:rsid w:val="00763F13"/>
    <w:rsid w:val="0076443F"/>
    <w:rsid w:val="00764F23"/>
    <w:rsid w:val="00770191"/>
    <w:rsid w:val="00770B78"/>
    <w:rsid w:val="00773D17"/>
    <w:rsid w:val="00773FB8"/>
    <w:rsid w:val="00774249"/>
    <w:rsid w:val="00775CC3"/>
    <w:rsid w:val="0077629D"/>
    <w:rsid w:val="00776847"/>
    <w:rsid w:val="0078173C"/>
    <w:rsid w:val="00781956"/>
    <w:rsid w:val="00781EE3"/>
    <w:rsid w:val="00782207"/>
    <w:rsid w:val="00782F8D"/>
    <w:rsid w:val="00783E97"/>
    <w:rsid w:val="00785ABE"/>
    <w:rsid w:val="00792C08"/>
    <w:rsid w:val="00794A50"/>
    <w:rsid w:val="00795EEC"/>
    <w:rsid w:val="00796113"/>
    <w:rsid w:val="00797376"/>
    <w:rsid w:val="007A0C9E"/>
    <w:rsid w:val="007A289A"/>
    <w:rsid w:val="007A28FB"/>
    <w:rsid w:val="007A3A37"/>
    <w:rsid w:val="007A3FEB"/>
    <w:rsid w:val="007A4609"/>
    <w:rsid w:val="007A5018"/>
    <w:rsid w:val="007A512A"/>
    <w:rsid w:val="007A7169"/>
    <w:rsid w:val="007A7D70"/>
    <w:rsid w:val="007B003F"/>
    <w:rsid w:val="007B045C"/>
    <w:rsid w:val="007B1259"/>
    <w:rsid w:val="007B1C9F"/>
    <w:rsid w:val="007B3867"/>
    <w:rsid w:val="007B3F1F"/>
    <w:rsid w:val="007B6665"/>
    <w:rsid w:val="007B7DCB"/>
    <w:rsid w:val="007C160D"/>
    <w:rsid w:val="007C165D"/>
    <w:rsid w:val="007C219E"/>
    <w:rsid w:val="007C274A"/>
    <w:rsid w:val="007C35A1"/>
    <w:rsid w:val="007C571E"/>
    <w:rsid w:val="007C5FEF"/>
    <w:rsid w:val="007C7C30"/>
    <w:rsid w:val="007D1156"/>
    <w:rsid w:val="007D130C"/>
    <w:rsid w:val="007D2232"/>
    <w:rsid w:val="007D2717"/>
    <w:rsid w:val="007D45D5"/>
    <w:rsid w:val="007D6309"/>
    <w:rsid w:val="007E10B2"/>
    <w:rsid w:val="007E17E1"/>
    <w:rsid w:val="007E32D0"/>
    <w:rsid w:val="007E39D7"/>
    <w:rsid w:val="007E4912"/>
    <w:rsid w:val="007E51E3"/>
    <w:rsid w:val="007E597A"/>
    <w:rsid w:val="007E630A"/>
    <w:rsid w:val="007E7567"/>
    <w:rsid w:val="007F0058"/>
    <w:rsid w:val="007F0B66"/>
    <w:rsid w:val="007F0D96"/>
    <w:rsid w:val="007F13D4"/>
    <w:rsid w:val="007F1555"/>
    <w:rsid w:val="007F21CD"/>
    <w:rsid w:val="007F267B"/>
    <w:rsid w:val="007F3C5A"/>
    <w:rsid w:val="007F4C04"/>
    <w:rsid w:val="007F50B2"/>
    <w:rsid w:val="007F5B8E"/>
    <w:rsid w:val="007F7294"/>
    <w:rsid w:val="007F7533"/>
    <w:rsid w:val="00800226"/>
    <w:rsid w:val="00800852"/>
    <w:rsid w:val="008012FB"/>
    <w:rsid w:val="00802EBB"/>
    <w:rsid w:val="00804BDF"/>
    <w:rsid w:val="00805BE8"/>
    <w:rsid w:val="0080666B"/>
    <w:rsid w:val="00806701"/>
    <w:rsid w:val="00806B4A"/>
    <w:rsid w:val="00810083"/>
    <w:rsid w:val="00811646"/>
    <w:rsid w:val="00811BD1"/>
    <w:rsid w:val="008122BD"/>
    <w:rsid w:val="00812F47"/>
    <w:rsid w:val="00813390"/>
    <w:rsid w:val="00813E8F"/>
    <w:rsid w:val="008148FD"/>
    <w:rsid w:val="00814EA5"/>
    <w:rsid w:val="00814EC4"/>
    <w:rsid w:val="008150DC"/>
    <w:rsid w:val="00817123"/>
    <w:rsid w:val="00817F70"/>
    <w:rsid w:val="008203E1"/>
    <w:rsid w:val="00821497"/>
    <w:rsid w:val="008244A9"/>
    <w:rsid w:val="00824E0D"/>
    <w:rsid w:val="00825127"/>
    <w:rsid w:val="00825872"/>
    <w:rsid w:val="008323C1"/>
    <w:rsid w:val="00832A16"/>
    <w:rsid w:val="00833079"/>
    <w:rsid w:val="00833CD5"/>
    <w:rsid w:val="00835DF6"/>
    <w:rsid w:val="00836590"/>
    <w:rsid w:val="008372E5"/>
    <w:rsid w:val="008376F3"/>
    <w:rsid w:val="008379F5"/>
    <w:rsid w:val="0084021B"/>
    <w:rsid w:val="0084186B"/>
    <w:rsid w:val="00843078"/>
    <w:rsid w:val="00843815"/>
    <w:rsid w:val="00843A1C"/>
    <w:rsid w:val="00844599"/>
    <w:rsid w:val="00846BA3"/>
    <w:rsid w:val="0084722A"/>
    <w:rsid w:val="00854FFC"/>
    <w:rsid w:val="008551B6"/>
    <w:rsid w:val="008554D4"/>
    <w:rsid w:val="008558FF"/>
    <w:rsid w:val="00856AB5"/>
    <w:rsid w:val="00856B6C"/>
    <w:rsid w:val="00857649"/>
    <w:rsid w:val="00857CB1"/>
    <w:rsid w:val="0086259F"/>
    <w:rsid w:val="00862D4B"/>
    <w:rsid w:val="0086387D"/>
    <w:rsid w:val="008641DB"/>
    <w:rsid w:val="00864506"/>
    <w:rsid w:val="00864616"/>
    <w:rsid w:val="008647C7"/>
    <w:rsid w:val="00864EAB"/>
    <w:rsid w:val="008700C7"/>
    <w:rsid w:val="008713BA"/>
    <w:rsid w:val="008749D2"/>
    <w:rsid w:val="00877B40"/>
    <w:rsid w:val="00880466"/>
    <w:rsid w:val="00880694"/>
    <w:rsid w:val="008807A4"/>
    <w:rsid w:val="00881650"/>
    <w:rsid w:val="00881F10"/>
    <w:rsid w:val="00885B6E"/>
    <w:rsid w:val="00885BA3"/>
    <w:rsid w:val="0088656D"/>
    <w:rsid w:val="008876BA"/>
    <w:rsid w:val="00887C94"/>
    <w:rsid w:val="00887EE8"/>
    <w:rsid w:val="0089102A"/>
    <w:rsid w:val="00891DC2"/>
    <w:rsid w:val="008924D3"/>
    <w:rsid w:val="00893A9B"/>
    <w:rsid w:val="00893E45"/>
    <w:rsid w:val="00893E88"/>
    <w:rsid w:val="00894E07"/>
    <w:rsid w:val="008958F9"/>
    <w:rsid w:val="0089621C"/>
    <w:rsid w:val="0089676B"/>
    <w:rsid w:val="00897B62"/>
    <w:rsid w:val="008A116D"/>
    <w:rsid w:val="008A1788"/>
    <w:rsid w:val="008A269E"/>
    <w:rsid w:val="008A4CE4"/>
    <w:rsid w:val="008A506A"/>
    <w:rsid w:val="008B1906"/>
    <w:rsid w:val="008B2472"/>
    <w:rsid w:val="008B3C14"/>
    <w:rsid w:val="008B489B"/>
    <w:rsid w:val="008B5B66"/>
    <w:rsid w:val="008B650D"/>
    <w:rsid w:val="008C2BDF"/>
    <w:rsid w:val="008C3570"/>
    <w:rsid w:val="008C54F9"/>
    <w:rsid w:val="008C76F7"/>
    <w:rsid w:val="008D0CDE"/>
    <w:rsid w:val="008D3FA5"/>
    <w:rsid w:val="008D4ABD"/>
    <w:rsid w:val="008D7FD2"/>
    <w:rsid w:val="008E05D6"/>
    <w:rsid w:val="008E0B4D"/>
    <w:rsid w:val="008E0CEC"/>
    <w:rsid w:val="008E33D8"/>
    <w:rsid w:val="008E38E2"/>
    <w:rsid w:val="008E3920"/>
    <w:rsid w:val="008E5EE3"/>
    <w:rsid w:val="008E6998"/>
    <w:rsid w:val="008F011D"/>
    <w:rsid w:val="008F0416"/>
    <w:rsid w:val="008F0A84"/>
    <w:rsid w:val="008F35B4"/>
    <w:rsid w:val="008F3A63"/>
    <w:rsid w:val="008F527D"/>
    <w:rsid w:val="008F7084"/>
    <w:rsid w:val="008F7241"/>
    <w:rsid w:val="008F7413"/>
    <w:rsid w:val="008F7C1F"/>
    <w:rsid w:val="008F7CA4"/>
    <w:rsid w:val="00900E47"/>
    <w:rsid w:val="00901F08"/>
    <w:rsid w:val="009021B1"/>
    <w:rsid w:val="0090686A"/>
    <w:rsid w:val="00911BCE"/>
    <w:rsid w:val="009125DC"/>
    <w:rsid w:val="00913B03"/>
    <w:rsid w:val="00915019"/>
    <w:rsid w:val="0091611C"/>
    <w:rsid w:val="009169FD"/>
    <w:rsid w:val="00916CDE"/>
    <w:rsid w:val="00916FF1"/>
    <w:rsid w:val="00917D7F"/>
    <w:rsid w:val="009211EA"/>
    <w:rsid w:val="00926E61"/>
    <w:rsid w:val="00927A04"/>
    <w:rsid w:val="00930256"/>
    <w:rsid w:val="00931696"/>
    <w:rsid w:val="00932082"/>
    <w:rsid w:val="0093244D"/>
    <w:rsid w:val="009333BF"/>
    <w:rsid w:val="00933C9F"/>
    <w:rsid w:val="00933D73"/>
    <w:rsid w:val="00934BB0"/>
    <w:rsid w:val="009375B5"/>
    <w:rsid w:val="00941459"/>
    <w:rsid w:val="00942375"/>
    <w:rsid w:val="00942986"/>
    <w:rsid w:val="00952413"/>
    <w:rsid w:val="00952AF9"/>
    <w:rsid w:val="009531BA"/>
    <w:rsid w:val="0095388D"/>
    <w:rsid w:val="00953CFC"/>
    <w:rsid w:val="00954B34"/>
    <w:rsid w:val="00955742"/>
    <w:rsid w:val="00957C35"/>
    <w:rsid w:val="00960991"/>
    <w:rsid w:val="00961651"/>
    <w:rsid w:val="00962E3F"/>
    <w:rsid w:val="00962F36"/>
    <w:rsid w:val="009658E7"/>
    <w:rsid w:val="00965AC7"/>
    <w:rsid w:val="00966501"/>
    <w:rsid w:val="00970578"/>
    <w:rsid w:val="009711B5"/>
    <w:rsid w:val="00971FC2"/>
    <w:rsid w:val="00972D87"/>
    <w:rsid w:val="00973297"/>
    <w:rsid w:val="00974D21"/>
    <w:rsid w:val="009757BD"/>
    <w:rsid w:val="00975E3C"/>
    <w:rsid w:val="00977050"/>
    <w:rsid w:val="00981325"/>
    <w:rsid w:val="009822C4"/>
    <w:rsid w:val="00982972"/>
    <w:rsid w:val="0098451B"/>
    <w:rsid w:val="00985051"/>
    <w:rsid w:val="009869CE"/>
    <w:rsid w:val="00986A6B"/>
    <w:rsid w:val="009873BD"/>
    <w:rsid w:val="009874C4"/>
    <w:rsid w:val="00991A07"/>
    <w:rsid w:val="00992839"/>
    <w:rsid w:val="00993907"/>
    <w:rsid w:val="00993B2E"/>
    <w:rsid w:val="00993E8C"/>
    <w:rsid w:val="00995B3F"/>
    <w:rsid w:val="00995C5F"/>
    <w:rsid w:val="00996E34"/>
    <w:rsid w:val="00997E77"/>
    <w:rsid w:val="009A075A"/>
    <w:rsid w:val="009A4A3A"/>
    <w:rsid w:val="009A531F"/>
    <w:rsid w:val="009A5502"/>
    <w:rsid w:val="009A64E6"/>
    <w:rsid w:val="009B072B"/>
    <w:rsid w:val="009B19D8"/>
    <w:rsid w:val="009B3AD0"/>
    <w:rsid w:val="009B3CC9"/>
    <w:rsid w:val="009B66D6"/>
    <w:rsid w:val="009C1181"/>
    <w:rsid w:val="009C1B89"/>
    <w:rsid w:val="009C3E77"/>
    <w:rsid w:val="009C4845"/>
    <w:rsid w:val="009C630C"/>
    <w:rsid w:val="009C6D23"/>
    <w:rsid w:val="009D0146"/>
    <w:rsid w:val="009D0A81"/>
    <w:rsid w:val="009D0D58"/>
    <w:rsid w:val="009D23BE"/>
    <w:rsid w:val="009D3B76"/>
    <w:rsid w:val="009D4566"/>
    <w:rsid w:val="009D56A6"/>
    <w:rsid w:val="009D6953"/>
    <w:rsid w:val="009E017A"/>
    <w:rsid w:val="009E0940"/>
    <w:rsid w:val="009E1D77"/>
    <w:rsid w:val="009E22E5"/>
    <w:rsid w:val="009E2744"/>
    <w:rsid w:val="009E303A"/>
    <w:rsid w:val="009E3651"/>
    <w:rsid w:val="009E62FF"/>
    <w:rsid w:val="009E6D7B"/>
    <w:rsid w:val="009E7408"/>
    <w:rsid w:val="009E7E3C"/>
    <w:rsid w:val="009F2CC0"/>
    <w:rsid w:val="009F2FCD"/>
    <w:rsid w:val="009F301C"/>
    <w:rsid w:val="009F31AA"/>
    <w:rsid w:val="009F5B70"/>
    <w:rsid w:val="009F63ED"/>
    <w:rsid w:val="009F7296"/>
    <w:rsid w:val="00A001BC"/>
    <w:rsid w:val="00A00EF9"/>
    <w:rsid w:val="00A01122"/>
    <w:rsid w:val="00A0186A"/>
    <w:rsid w:val="00A02DD1"/>
    <w:rsid w:val="00A036D5"/>
    <w:rsid w:val="00A0443D"/>
    <w:rsid w:val="00A066A9"/>
    <w:rsid w:val="00A1212A"/>
    <w:rsid w:val="00A1276B"/>
    <w:rsid w:val="00A142F5"/>
    <w:rsid w:val="00A150E5"/>
    <w:rsid w:val="00A167A1"/>
    <w:rsid w:val="00A17CD8"/>
    <w:rsid w:val="00A17E5E"/>
    <w:rsid w:val="00A20626"/>
    <w:rsid w:val="00A20E05"/>
    <w:rsid w:val="00A21668"/>
    <w:rsid w:val="00A2391E"/>
    <w:rsid w:val="00A2393C"/>
    <w:rsid w:val="00A26B56"/>
    <w:rsid w:val="00A2786F"/>
    <w:rsid w:val="00A30ECD"/>
    <w:rsid w:val="00A321F2"/>
    <w:rsid w:val="00A33FD6"/>
    <w:rsid w:val="00A36BE9"/>
    <w:rsid w:val="00A37128"/>
    <w:rsid w:val="00A428D0"/>
    <w:rsid w:val="00A42B5E"/>
    <w:rsid w:val="00A42EAA"/>
    <w:rsid w:val="00A44E78"/>
    <w:rsid w:val="00A4701A"/>
    <w:rsid w:val="00A4753C"/>
    <w:rsid w:val="00A47CB6"/>
    <w:rsid w:val="00A5183A"/>
    <w:rsid w:val="00A51B02"/>
    <w:rsid w:val="00A55614"/>
    <w:rsid w:val="00A55625"/>
    <w:rsid w:val="00A56D41"/>
    <w:rsid w:val="00A61649"/>
    <w:rsid w:val="00A633BF"/>
    <w:rsid w:val="00A63F4A"/>
    <w:rsid w:val="00A64840"/>
    <w:rsid w:val="00A6568C"/>
    <w:rsid w:val="00A65987"/>
    <w:rsid w:val="00A65BA4"/>
    <w:rsid w:val="00A723B6"/>
    <w:rsid w:val="00A729F9"/>
    <w:rsid w:val="00A75B9B"/>
    <w:rsid w:val="00A77D98"/>
    <w:rsid w:val="00A817A6"/>
    <w:rsid w:val="00A8212A"/>
    <w:rsid w:val="00A825AB"/>
    <w:rsid w:val="00A82AD4"/>
    <w:rsid w:val="00A837B8"/>
    <w:rsid w:val="00A83DC1"/>
    <w:rsid w:val="00A923E7"/>
    <w:rsid w:val="00A92E80"/>
    <w:rsid w:val="00A93250"/>
    <w:rsid w:val="00A954BB"/>
    <w:rsid w:val="00A9575B"/>
    <w:rsid w:val="00A95C4C"/>
    <w:rsid w:val="00A97910"/>
    <w:rsid w:val="00AA01EB"/>
    <w:rsid w:val="00AA0263"/>
    <w:rsid w:val="00AA0B4B"/>
    <w:rsid w:val="00AA2141"/>
    <w:rsid w:val="00AA2A3B"/>
    <w:rsid w:val="00AA3F1E"/>
    <w:rsid w:val="00AA5909"/>
    <w:rsid w:val="00AA78EA"/>
    <w:rsid w:val="00AA7DF5"/>
    <w:rsid w:val="00AA7F29"/>
    <w:rsid w:val="00AB0D9A"/>
    <w:rsid w:val="00AB10BC"/>
    <w:rsid w:val="00AB27A4"/>
    <w:rsid w:val="00AB2CC2"/>
    <w:rsid w:val="00AB2ED7"/>
    <w:rsid w:val="00AB4331"/>
    <w:rsid w:val="00AB4EAD"/>
    <w:rsid w:val="00AB6A67"/>
    <w:rsid w:val="00AC0874"/>
    <w:rsid w:val="00AC1034"/>
    <w:rsid w:val="00AC248C"/>
    <w:rsid w:val="00AC372B"/>
    <w:rsid w:val="00AC3D1E"/>
    <w:rsid w:val="00AC446E"/>
    <w:rsid w:val="00AC6430"/>
    <w:rsid w:val="00AD3A60"/>
    <w:rsid w:val="00AD4100"/>
    <w:rsid w:val="00AD7720"/>
    <w:rsid w:val="00AE01AE"/>
    <w:rsid w:val="00AE05AC"/>
    <w:rsid w:val="00AE0A59"/>
    <w:rsid w:val="00AE0BCF"/>
    <w:rsid w:val="00AE1089"/>
    <w:rsid w:val="00AE15D5"/>
    <w:rsid w:val="00AE2333"/>
    <w:rsid w:val="00AE5D31"/>
    <w:rsid w:val="00AE640E"/>
    <w:rsid w:val="00AE75ED"/>
    <w:rsid w:val="00AE7D66"/>
    <w:rsid w:val="00AE7D69"/>
    <w:rsid w:val="00AF0600"/>
    <w:rsid w:val="00AF09AC"/>
    <w:rsid w:val="00AF2AE6"/>
    <w:rsid w:val="00AF6796"/>
    <w:rsid w:val="00AF7A57"/>
    <w:rsid w:val="00B018BC"/>
    <w:rsid w:val="00B021DA"/>
    <w:rsid w:val="00B02C7C"/>
    <w:rsid w:val="00B0325D"/>
    <w:rsid w:val="00B055DB"/>
    <w:rsid w:val="00B06BE5"/>
    <w:rsid w:val="00B075BB"/>
    <w:rsid w:val="00B07608"/>
    <w:rsid w:val="00B1054C"/>
    <w:rsid w:val="00B10EC5"/>
    <w:rsid w:val="00B117EB"/>
    <w:rsid w:val="00B11C94"/>
    <w:rsid w:val="00B128B0"/>
    <w:rsid w:val="00B12B30"/>
    <w:rsid w:val="00B1349E"/>
    <w:rsid w:val="00B13837"/>
    <w:rsid w:val="00B15392"/>
    <w:rsid w:val="00B16A78"/>
    <w:rsid w:val="00B16B2F"/>
    <w:rsid w:val="00B20867"/>
    <w:rsid w:val="00B2231D"/>
    <w:rsid w:val="00B22A82"/>
    <w:rsid w:val="00B24BEB"/>
    <w:rsid w:val="00B26EBA"/>
    <w:rsid w:val="00B272E9"/>
    <w:rsid w:val="00B302E9"/>
    <w:rsid w:val="00B30F15"/>
    <w:rsid w:val="00B31388"/>
    <w:rsid w:val="00B315E2"/>
    <w:rsid w:val="00B366DF"/>
    <w:rsid w:val="00B37332"/>
    <w:rsid w:val="00B37CA4"/>
    <w:rsid w:val="00B40115"/>
    <w:rsid w:val="00B40476"/>
    <w:rsid w:val="00B419A2"/>
    <w:rsid w:val="00B42065"/>
    <w:rsid w:val="00B427B7"/>
    <w:rsid w:val="00B4495E"/>
    <w:rsid w:val="00B44E57"/>
    <w:rsid w:val="00B45069"/>
    <w:rsid w:val="00B45EA9"/>
    <w:rsid w:val="00B47D3A"/>
    <w:rsid w:val="00B52098"/>
    <w:rsid w:val="00B559C2"/>
    <w:rsid w:val="00B567DB"/>
    <w:rsid w:val="00B56A6B"/>
    <w:rsid w:val="00B60BD9"/>
    <w:rsid w:val="00B615AC"/>
    <w:rsid w:val="00B61C21"/>
    <w:rsid w:val="00B61F29"/>
    <w:rsid w:val="00B62F20"/>
    <w:rsid w:val="00B670AF"/>
    <w:rsid w:val="00B702F4"/>
    <w:rsid w:val="00B70CA3"/>
    <w:rsid w:val="00B76344"/>
    <w:rsid w:val="00B76E71"/>
    <w:rsid w:val="00B772C9"/>
    <w:rsid w:val="00B80596"/>
    <w:rsid w:val="00B80661"/>
    <w:rsid w:val="00B8159B"/>
    <w:rsid w:val="00B822DA"/>
    <w:rsid w:val="00B836D4"/>
    <w:rsid w:val="00B84766"/>
    <w:rsid w:val="00B850C6"/>
    <w:rsid w:val="00B85D12"/>
    <w:rsid w:val="00B86F8F"/>
    <w:rsid w:val="00B91688"/>
    <w:rsid w:val="00B92A44"/>
    <w:rsid w:val="00B93132"/>
    <w:rsid w:val="00B94A96"/>
    <w:rsid w:val="00B975C1"/>
    <w:rsid w:val="00B976B6"/>
    <w:rsid w:val="00BA0CB9"/>
    <w:rsid w:val="00BA1310"/>
    <w:rsid w:val="00BA173B"/>
    <w:rsid w:val="00BA21D3"/>
    <w:rsid w:val="00BA2FEB"/>
    <w:rsid w:val="00BA4D8D"/>
    <w:rsid w:val="00BA4F62"/>
    <w:rsid w:val="00BA59D9"/>
    <w:rsid w:val="00BA6B9B"/>
    <w:rsid w:val="00BA6F05"/>
    <w:rsid w:val="00BA7479"/>
    <w:rsid w:val="00BB0010"/>
    <w:rsid w:val="00BB0999"/>
    <w:rsid w:val="00BB1EAF"/>
    <w:rsid w:val="00BB2F66"/>
    <w:rsid w:val="00BB3314"/>
    <w:rsid w:val="00BB6815"/>
    <w:rsid w:val="00BB6B3C"/>
    <w:rsid w:val="00BB78FD"/>
    <w:rsid w:val="00BB7970"/>
    <w:rsid w:val="00BC05B0"/>
    <w:rsid w:val="00BC1349"/>
    <w:rsid w:val="00BC3C75"/>
    <w:rsid w:val="00BC3CA3"/>
    <w:rsid w:val="00BC4AB9"/>
    <w:rsid w:val="00BC4FAB"/>
    <w:rsid w:val="00BD0A4F"/>
    <w:rsid w:val="00BD1526"/>
    <w:rsid w:val="00BD1B35"/>
    <w:rsid w:val="00BD2E2C"/>
    <w:rsid w:val="00BD3507"/>
    <w:rsid w:val="00BD3AA3"/>
    <w:rsid w:val="00BD3C31"/>
    <w:rsid w:val="00BD49F0"/>
    <w:rsid w:val="00BD4DD4"/>
    <w:rsid w:val="00BD72E0"/>
    <w:rsid w:val="00BE13A9"/>
    <w:rsid w:val="00BE1B44"/>
    <w:rsid w:val="00BE49F7"/>
    <w:rsid w:val="00BE4CFE"/>
    <w:rsid w:val="00BE5A0E"/>
    <w:rsid w:val="00BE6EED"/>
    <w:rsid w:val="00BE76AF"/>
    <w:rsid w:val="00BE7E9E"/>
    <w:rsid w:val="00BF22C2"/>
    <w:rsid w:val="00BF2818"/>
    <w:rsid w:val="00BF2B01"/>
    <w:rsid w:val="00BF354C"/>
    <w:rsid w:val="00BF44C0"/>
    <w:rsid w:val="00BF486D"/>
    <w:rsid w:val="00BF55A1"/>
    <w:rsid w:val="00BF5742"/>
    <w:rsid w:val="00BF5BF5"/>
    <w:rsid w:val="00BF6CDC"/>
    <w:rsid w:val="00C00543"/>
    <w:rsid w:val="00C03A34"/>
    <w:rsid w:val="00C05EE2"/>
    <w:rsid w:val="00C0649D"/>
    <w:rsid w:val="00C073DD"/>
    <w:rsid w:val="00C07544"/>
    <w:rsid w:val="00C07838"/>
    <w:rsid w:val="00C07E21"/>
    <w:rsid w:val="00C108E6"/>
    <w:rsid w:val="00C12043"/>
    <w:rsid w:val="00C136FA"/>
    <w:rsid w:val="00C14033"/>
    <w:rsid w:val="00C14AC2"/>
    <w:rsid w:val="00C160CB"/>
    <w:rsid w:val="00C1712A"/>
    <w:rsid w:val="00C20BD7"/>
    <w:rsid w:val="00C20ED1"/>
    <w:rsid w:val="00C216FC"/>
    <w:rsid w:val="00C22782"/>
    <w:rsid w:val="00C24EDC"/>
    <w:rsid w:val="00C264AE"/>
    <w:rsid w:val="00C264C6"/>
    <w:rsid w:val="00C2700D"/>
    <w:rsid w:val="00C27040"/>
    <w:rsid w:val="00C30CC5"/>
    <w:rsid w:val="00C3197B"/>
    <w:rsid w:val="00C31E3C"/>
    <w:rsid w:val="00C3271C"/>
    <w:rsid w:val="00C35563"/>
    <w:rsid w:val="00C35785"/>
    <w:rsid w:val="00C3651C"/>
    <w:rsid w:val="00C40A27"/>
    <w:rsid w:val="00C41459"/>
    <w:rsid w:val="00C4150B"/>
    <w:rsid w:val="00C41F32"/>
    <w:rsid w:val="00C42616"/>
    <w:rsid w:val="00C43119"/>
    <w:rsid w:val="00C45B18"/>
    <w:rsid w:val="00C46278"/>
    <w:rsid w:val="00C46921"/>
    <w:rsid w:val="00C478C4"/>
    <w:rsid w:val="00C5329C"/>
    <w:rsid w:val="00C55005"/>
    <w:rsid w:val="00C55C5A"/>
    <w:rsid w:val="00C61DA3"/>
    <w:rsid w:val="00C64408"/>
    <w:rsid w:val="00C658CE"/>
    <w:rsid w:val="00C65AC4"/>
    <w:rsid w:val="00C66343"/>
    <w:rsid w:val="00C66472"/>
    <w:rsid w:val="00C668D7"/>
    <w:rsid w:val="00C669C6"/>
    <w:rsid w:val="00C71065"/>
    <w:rsid w:val="00C7172A"/>
    <w:rsid w:val="00C72B95"/>
    <w:rsid w:val="00C73D30"/>
    <w:rsid w:val="00C740FE"/>
    <w:rsid w:val="00C75228"/>
    <w:rsid w:val="00C763ED"/>
    <w:rsid w:val="00C76969"/>
    <w:rsid w:val="00C76DB9"/>
    <w:rsid w:val="00C77A5A"/>
    <w:rsid w:val="00C80036"/>
    <w:rsid w:val="00C809F6"/>
    <w:rsid w:val="00C81CC2"/>
    <w:rsid w:val="00C824C8"/>
    <w:rsid w:val="00C82E31"/>
    <w:rsid w:val="00C85DC4"/>
    <w:rsid w:val="00C85E0E"/>
    <w:rsid w:val="00C91BD4"/>
    <w:rsid w:val="00C9200D"/>
    <w:rsid w:val="00C9511C"/>
    <w:rsid w:val="00C9567A"/>
    <w:rsid w:val="00C95AC6"/>
    <w:rsid w:val="00CA024B"/>
    <w:rsid w:val="00CA12EF"/>
    <w:rsid w:val="00CA1767"/>
    <w:rsid w:val="00CA19B2"/>
    <w:rsid w:val="00CA2AF1"/>
    <w:rsid w:val="00CA3405"/>
    <w:rsid w:val="00CA6554"/>
    <w:rsid w:val="00CA6AE8"/>
    <w:rsid w:val="00CA703E"/>
    <w:rsid w:val="00CA7D0E"/>
    <w:rsid w:val="00CB30A2"/>
    <w:rsid w:val="00CB5937"/>
    <w:rsid w:val="00CB6343"/>
    <w:rsid w:val="00CB79D0"/>
    <w:rsid w:val="00CC017D"/>
    <w:rsid w:val="00CC180B"/>
    <w:rsid w:val="00CC1B95"/>
    <w:rsid w:val="00CC1C5C"/>
    <w:rsid w:val="00CC29F6"/>
    <w:rsid w:val="00CC3260"/>
    <w:rsid w:val="00CC3433"/>
    <w:rsid w:val="00CC3868"/>
    <w:rsid w:val="00CC3DB1"/>
    <w:rsid w:val="00CC56C2"/>
    <w:rsid w:val="00CC62B5"/>
    <w:rsid w:val="00CD04CD"/>
    <w:rsid w:val="00CD06D4"/>
    <w:rsid w:val="00CD108B"/>
    <w:rsid w:val="00CD22C4"/>
    <w:rsid w:val="00CD2C07"/>
    <w:rsid w:val="00CD51AC"/>
    <w:rsid w:val="00CD60BA"/>
    <w:rsid w:val="00CD64D6"/>
    <w:rsid w:val="00CD6BEC"/>
    <w:rsid w:val="00CD7042"/>
    <w:rsid w:val="00CE11CC"/>
    <w:rsid w:val="00CE1EEE"/>
    <w:rsid w:val="00CE3628"/>
    <w:rsid w:val="00CE4E84"/>
    <w:rsid w:val="00CE504F"/>
    <w:rsid w:val="00CE50AC"/>
    <w:rsid w:val="00CE55ED"/>
    <w:rsid w:val="00CF0CCD"/>
    <w:rsid w:val="00CF1FD3"/>
    <w:rsid w:val="00CF3E11"/>
    <w:rsid w:val="00D02D74"/>
    <w:rsid w:val="00D0376D"/>
    <w:rsid w:val="00D03DD1"/>
    <w:rsid w:val="00D03FE5"/>
    <w:rsid w:val="00D04509"/>
    <w:rsid w:val="00D04572"/>
    <w:rsid w:val="00D06487"/>
    <w:rsid w:val="00D06C00"/>
    <w:rsid w:val="00D1325C"/>
    <w:rsid w:val="00D13D5E"/>
    <w:rsid w:val="00D14772"/>
    <w:rsid w:val="00D14A4D"/>
    <w:rsid w:val="00D1721D"/>
    <w:rsid w:val="00D203FB"/>
    <w:rsid w:val="00D21A62"/>
    <w:rsid w:val="00D22B6B"/>
    <w:rsid w:val="00D259F0"/>
    <w:rsid w:val="00D2614D"/>
    <w:rsid w:val="00D27D29"/>
    <w:rsid w:val="00D3118D"/>
    <w:rsid w:val="00D31C24"/>
    <w:rsid w:val="00D32768"/>
    <w:rsid w:val="00D32A67"/>
    <w:rsid w:val="00D33606"/>
    <w:rsid w:val="00D34201"/>
    <w:rsid w:val="00D34389"/>
    <w:rsid w:val="00D34F96"/>
    <w:rsid w:val="00D368ED"/>
    <w:rsid w:val="00D37117"/>
    <w:rsid w:val="00D40AB4"/>
    <w:rsid w:val="00D41A74"/>
    <w:rsid w:val="00D43160"/>
    <w:rsid w:val="00D43F00"/>
    <w:rsid w:val="00D45587"/>
    <w:rsid w:val="00D46617"/>
    <w:rsid w:val="00D5008A"/>
    <w:rsid w:val="00D50530"/>
    <w:rsid w:val="00D51325"/>
    <w:rsid w:val="00D5188C"/>
    <w:rsid w:val="00D52F05"/>
    <w:rsid w:val="00D53139"/>
    <w:rsid w:val="00D53DA0"/>
    <w:rsid w:val="00D5495E"/>
    <w:rsid w:val="00D55B59"/>
    <w:rsid w:val="00D5600D"/>
    <w:rsid w:val="00D56222"/>
    <w:rsid w:val="00D6055B"/>
    <w:rsid w:val="00D60605"/>
    <w:rsid w:val="00D6190A"/>
    <w:rsid w:val="00D640E7"/>
    <w:rsid w:val="00D65D01"/>
    <w:rsid w:val="00D65FAE"/>
    <w:rsid w:val="00D66A7C"/>
    <w:rsid w:val="00D66A89"/>
    <w:rsid w:val="00D67541"/>
    <w:rsid w:val="00D7052E"/>
    <w:rsid w:val="00D711EE"/>
    <w:rsid w:val="00D75456"/>
    <w:rsid w:val="00D76914"/>
    <w:rsid w:val="00D769B9"/>
    <w:rsid w:val="00D76A57"/>
    <w:rsid w:val="00D77CAE"/>
    <w:rsid w:val="00D83DB2"/>
    <w:rsid w:val="00D84C1F"/>
    <w:rsid w:val="00D84CB0"/>
    <w:rsid w:val="00D8560A"/>
    <w:rsid w:val="00D86321"/>
    <w:rsid w:val="00D86DC7"/>
    <w:rsid w:val="00D9335F"/>
    <w:rsid w:val="00D953D5"/>
    <w:rsid w:val="00D95554"/>
    <w:rsid w:val="00D975EC"/>
    <w:rsid w:val="00DA19C7"/>
    <w:rsid w:val="00DA2247"/>
    <w:rsid w:val="00DA2C25"/>
    <w:rsid w:val="00DA2D01"/>
    <w:rsid w:val="00DA35DC"/>
    <w:rsid w:val="00DA65F4"/>
    <w:rsid w:val="00DA6F5B"/>
    <w:rsid w:val="00DA7566"/>
    <w:rsid w:val="00DB1343"/>
    <w:rsid w:val="00DB192A"/>
    <w:rsid w:val="00DB3893"/>
    <w:rsid w:val="00DB4539"/>
    <w:rsid w:val="00DB7453"/>
    <w:rsid w:val="00DB758F"/>
    <w:rsid w:val="00DC0175"/>
    <w:rsid w:val="00DC03BF"/>
    <w:rsid w:val="00DC087B"/>
    <w:rsid w:val="00DC0C84"/>
    <w:rsid w:val="00DC0E4E"/>
    <w:rsid w:val="00DC1F91"/>
    <w:rsid w:val="00DC244C"/>
    <w:rsid w:val="00DC2792"/>
    <w:rsid w:val="00DC2BCA"/>
    <w:rsid w:val="00DC34B7"/>
    <w:rsid w:val="00DC38D7"/>
    <w:rsid w:val="00DC4D9A"/>
    <w:rsid w:val="00DC6284"/>
    <w:rsid w:val="00DC7527"/>
    <w:rsid w:val="00DC7B96"/>
    <w:rsid w:val="00DD07DF"/>
    <w:rsid w:val="00DD0FBA"/>
    <w:rsid w:val="00DD78CB"/>
    <w:rsid w:val="00DD7F99"/>
    <w:rsid w:val="00DE0673"/>
    <w:rsid w:val="00DE07FA"/>
    <w:rsid w:val="00DE0873"/>
    <w:rsid w:val="00DE1013"/>
    <w:rsid w:val="00DE1C0A"/>
    <w:rsid w:val="00DE29B9"/>
    <w:rsid w:val="00DE5A38"/>
    <w:rsid w:val="00DE614C"/>
    <w:rsid w:val="00DE61E3"/>
    <w:rsid w:val="00DF068C"/>
    <w:rsid w:val="00DF10EB"/>
    <w:rsid w:val="00DF12C2"/>
    <w:rsid w:val="00DF1FBE"/>
    <w:rsid w:val="00DF32F4"/>
    <w:rsid w:val="00DF6599"/>
    <w:rsid w:val="00E003AF"/>
    <w:rsid w:val="00E02AC9"/>
    <w:rsid w:val="00E05800"/>
    <w:rsid w:val="00E058A7"/>
    <w:rsid w:val="00E068D4"/>
    <w:rsid w:val="00E11826"/>
    <w:rsid w:val="00E11C5F"/>
    <w:rsid w:val="00E11CAC"/>
    <w:rsid w:val="00E1284F"/>
    <w:rsid w:val="00E13713"/>
    <w:rsid w:val="00E16669"/>
    <w:rsid w:val="00E20209"/>
    <w:rsid w:val="00E20790"/>
    <w:rsid w:val="00E2136D"/>
    <w:rsid w:val="00E21371"/>
    <w:rsid w:val="00E21552"/>
    <w:rsid w:val="00E216EF"/>
    <w:rsid w:val="00E22A2F"/>
    <w:rsid w:val="00E23D9C"/>
    <w:rsid w:val="00E23E0D"/>
    <w:rsid w:val="00E23F80"/>
    <w:rsid w:val="00E244F6"/>
    <w:rsid w:val="00E247AB"/>
    <w:rsid w:val="00E24BE7"/>
    <w:rsid w:val="00E25E31"/>
    <w:rsid w:val="00E2702C"/>
    <w:rsid w:val="00E27398"/>
    <w:rsid w:val="00E3117F"/>
    <w:rsid w:val="00E328BC"/>
    <w:rsid w:val="00E32DAA"/>
    <w:rsid w:val="00E335AB"/>
    <w:rsid w:val="00E34BBA"/>
    <w:rsid w:val="00E373B2"/>
    <w:rsid w:val="00E37DC8"/>
    <w:rsid w:val="00E407CC"/>
    <w:rsid w:val="00E410DB"/>
    <w:rsid w:val="00E4206A"/>
    <w:rsid w:val="00E42E2A"/>
    <w:rsid w:val="00E44248"/>
    <w:rsid w:val="00E44343"/>
    <w:rsid w:val="00E44A45"/>
    <w:rsid w:val="00E45C76"/>
    <w:rsid w:val="00E47613"/>
    <w:rsid w:val="00E47FDE"/>
    <w:rsid w:val="00E53658"/>
    <w:rsid w:val="00E536AD"/>
    <w:rsid w:val="00E53E77"/>
    <w:rsid w:val="00E548E6"/>
    <w:rsid w:val="00E56181"/>
    <w:rsid w:val="00E57A1E"/>
    <w:rsid w:val="00E607A6"/>
    <w:rsid w:val="00E6264C"/>
    <w:rsid w:val="00E63183"/>
    <w:rsid w:val="00E65596"/>
    <w:rsid w:val="00E66178"/>
    <w:rsid w:val="00E663D2"/>
    <w:rsid w:val="00E6729B"/>
    <w:rsid w:val="00E705E3"/>
    <w:rsid w:val="00E71242"/>
    <w:rsid w:val="00E71A03"/>
    <w:rsid w:val="00E74FAF"/>
    <w:rsid w:val="00E758EA"/>
    <w:rsid w:val="00E75B1E"/>
    <w:rsid w:val="00E76370"/>
    <w:rsid w:val="00E7689D"/>
    <w:rsid w:val="00E77A6D"/>
    <w:rsid w:val="00E8007F"/>
    <w:rsid w:val="00E80893"/>
    <w:rsid w:val="00E81967"/>
    <w:rsid w:val="00E82085"/>
    <w:rsid w:val="00E83EE0"/>
    <w:rsid w:val="00E8769A"/>
    <w:rsid w:val="00E91732"/>
    <w:rsid w:val="00E92D78"/>
    <w:rsid w:val="00E9386E"/>
    <w:rsid w:val="00E940D9"/>
    <w:rsid w:val="00E950DE"/>
    <w:rsid w:val="00E953F4"/>
    <w:rsid w:val="00E962EA"/>
    <w:rsid w:val="00E973EC"/>
    <w:rsid w:val="00E97CF6"/>
    <w:rsid w:val="00EA1011"/>
    <w:rsid w:val="00EA14A3"/>
    <w:rsid w:val="00EA16ED"/>
    <w:rsid w:val="00EA1DE5"/>
    <w:rsid w:val="00EA282D"/>
    <w:rsid w:val="00EA2E34"/>
    <w:rsid w:val="00EA30E4"/>
    <w:rsid w:val="00EA359B"/>
    <w:rsid w:val="00EA3918"/>
    <w:rsid w:val="00EA3BCA"/>
    <w:rsid w:val="00EA47E2"/>
    <w:rsid w:val="00EA4F45"/>
    <w:rsid w:val="00EA78CD"/>
    <w:rsid w:val="00EB08B3"/>
    <w:rsid w:val="00EB2A3B"/>
    <w:rsid w:val="00EB7629"/>
    <w:rsid w:val="00EB7DEE"/>
    <w:rsid w:val="00EC09B7"/>
    <w:rsid w:val="00EC0A6F"/>
    <w:rsid w:val="00EC3685"/>
    <w:rsid w:val="00EC61E9"/>
    <w:rsid w:val="00EC6270"/>
    <w:rsid w:val="00EC6BE2"/>
    <w:rsid w:val="00EC6F47"/>
    <w:rsid w:val="00EC7D1F"/>
    <w:rsid w:val="00ED06D6"/>
    <w:rsid w:val="00ED0EBB"/>
    <w:rsid w:val="00ED2BAE"/>
    <w:rsid w:val="00ED2EF3"/>
    <w:rsid w:val="00ED4013"/>
    <w:rsid w:val="00ED63BB"/>
    <w:rsid w:val="00ED6CD0"/>
    <w:rsid w:val="00ED739A"/>
    <w:rsid w:val="00ED76F3"/>
    <w:rsid w:val="00ED78A9"/>
    <w:rsid w:val="00EE0646"/>
    <w:rsid w:val="00EE0C8A"/>
    <w:rsid w:val="00EE121E"/>
    <w:rsid w:val="00EE15B5"/>
    <w:rsid w:val="00EE17DE"/>
    <w:rsid w:val="00EE1C17"/>
    <w:rsid w:val="00EE1CA6"/>
    <w:rsid w:val="00EE20CC"/>
    <w:rsid w:val="00EE271A"/>
    <w:rsid w:val="00EE33CC"/>
    <w:rsid w:val="00EE638D"/>
    <w:rsid w:val="00EE7E5F"/>
    <w:rsid w:val="00EF02A4"/>
    <w:rsid w:val="00EF1030"/>
    <w:rsid w:val="00EF1A84"/>
    <w:rsid w:val="00EF210B"/>
    <w:rsid w:val="00EF21D2"/>
    <w:rsid w:val="00EF22CA"/>
    <w:rsid w:val="00EF44E7"/>
    <w:rsid w:val="00EF59AC"/>
    <w:rsid w:val="00EF5F31"/>
    <w:rsid w:val="00EF6C45"/>
    <w:rsid w:val="00EF760C"/>
    <w:rsid w:val="00EF7A27"/>
    <w:rsid w:val="00F00D5D"/>
    <w:rsid w:val="00F0126B"/>
    <w:rsid w:val="00F0230E"/>
    <w:rsid w:val="00F0317B"/>
    <w:rsid w:val="00F04382"/>
    <w:rsid w:val="00F05471"/>
    <w:rsid w:val="00F057A5"/>
    <w:rsid w:val="00F06180"/>
    <w:rsid w:val="00F071B7"/>
    <w:rsid w:val="00F11A0F"/>
    <w:rsid w:val="00F11B9D"/>
    <w:rsid w:val="00F158F7"/>
    <w:rsid w:val="00F20159"/>
    <w:rsid w:val="00F20A36"/>
    <w:rsid w:val="00F2127D"/>
    <w:rsid w:val="00F21943"/>
    <w:rsid w:val="00F2349C"/>
    <w:rsid w:val="00F23965"/>
    <w:rsid w:val="00F2647B"/>
    <w:rsid w:val="00F26F35"/>
    <w:rsid w:val="00F2766C"/>
    <w:rsid w:val="00F32AAE"/>
    <w:rsid w:val="00F333AD"/>
    <w:rsid w:val="00F36F51"/>
    <w:rsid w:val="00F3726F"/>
    <w:rsid w:val="00F4156D"/>
    <w:rsid w:val="00F42833"/>
    <w:rsid w:val="00F43F1B"/>
    <w:rsid w:val="00F47310"/>
    <w:rsid w:val="00F5040B"/>
    <w:rsid w:val="00F50F0D"/>
    <w:rsid w:val="00F51BB8"/>
    <w:rsid w:val="00F51D0D"/>
    <w:rsid w:val="00F53824"/>
    <w:rsid w:val="00F539EB"/>
    <w:rsid w:val="00F5498A"/>
    <w:rsid w:val="00F61490"/>
    <w:rsid w:val="00F61656"/>
    <w:rsid w:val="00F61BBD"/>
    <w:rsid w:val="00F639C6"/>
    <w:rsid w:val="00F641D4"/>
    <w:rsid w:val="00F650C3"/>
    <w:rsid w:val="00F66052"/>
    <w:rsid w:val="00F66EC7"/>
    <w:rsid w:val="00F70777"/>
    <w:rsid w:val="00F70AC8"/>
    <w:rsid w:val="00F71C2E"/>
    <w:rsid w:val="00F73C62"/>
    <w:rsid w:val="00F73CA4"/>
    <w:rsid w:val="00F77423"/>
    <w:rsid w:val="00F80233"/>
    <w:rsid w:val="00F80B8E"/>
    <w:rsid w:val="00F81151"/>
    <w:rsid w:val="00F84C88"/>
    <w:rsid w:val="00F85D31"/>
    <w:rsid w:val="00F87499"/>
    <w:rsid w:val="00F9012C"/>
    <w:rsid w:val="00F92556"/>
    <w:rsid w:val="00F9334A"/>
    <w:rsid w:val="00F9378C"/>
    <w:rsid w:val="00F93D0B"/>
    <w:rsid w:val="00F94437"/>
    <w:rsid w:val="00F955CB"/>
    <w:rsid w:val="00F969E3"/>
    <w:rsid w:val="00FA4826"/>
    <w:rsid w:val="00FA5403"/>
    <w:rsid w:val="00FA62F3"/>
    <w:rsid w:val="00FB117B"/>
    <w:rsid w:val="00FB3A40"/>
    <w:rsid w:val="00FB46FE"/>
    <w:rsid w:val="00FB5019"/>
    <w:rsid w:val="00FB6475"/>
    <w:rsid w:val="00FB7690"/>
    <w:rsid w:val="00FC1F46"/>
    <w:rsid w:val="00FC2F23"/>
    <w:rsid w:val="00FC3317"/>
    <w:rsid w:val="00FC3C28"/>
    <w:rsid w:val="00FC3E8B"/>
    <w:rsid w:val="00FC495E"/>
    <w:rsid w:val="00FC5AAF"/>
    <w:rsid w:val="00FC7162"/>
    <w:rsid w:val="00FC7636"/>
    <w:rsid w:val="00FD08CE"/>
    <w:rsid w:val="00FD1647"/>
    <w:rsid w:val="00FD1E1F"/>
    <w:rsid w:val="00FD2D0E"/>
    <w:rsid w:val="00FD430D"/>
    <w:rsid w:val="00FD4A08"/>
    <w:rsid w:val="00FD54AD"/>
    <w:rsid w:val="00FD70AA"/>
    <w:rsid w:val="00FD7EC8"/>
    <w:rsid w:val="00FE013E"/>
    <w:rsid w:val="00FE09C5"/>
    <w:rsid w:val="00FE0DC3"/>
    <w:rsid w:val="00FE1AB8"/>
    <w:rsid w:val="00FE2501"/>
    <w:rsid w:val="00FE41A4"/>
    <w:rsid w:val="00FE5284"/>
    <w:rsid w:val="00FE5698"/>
    <w:rsid w:val="00FE66B2"/>
    <w:rsid w:val="00FF0BD2"/>
    <w:rsid w:val="00FF14EB"/>
    <w:rsid w:val="00FF325C"/>
    <w:rsid w:val="00FF3CAA"/>
    <w:rsid w:val="00FF42B5"/>
    <w:rsid w:val="00FF49BF"/>
    <w:rsid w:val="00FF4CB2"/>
    <w:rsid w:val="00FF5DA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DFCE0"/>
  <w15:chartTrackingRefBased/>
  <w15:docId w15:val="{06CE96BB-E470-42DD-91AF-A0EF22FB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148FD"/>
    <w:pPr>
      <w:spacing w:after="120" w:line="276" w:lineRule="auto"/>
      <w:jc w:val="both"/>
    </w:pPr>
    <w:rPr>
      <w:rFonts w:ascii="Segoe UI" w:hAnsi="Segoe UI"/>
      <w:sz w:val="20"/>
    </w:rPr>
  </w:style>
  <w:style w:type="paragraph" w:styleId="Nadpis1">
    <w:name w:val="heading 1"/>
    <w:basedOn w:val="Normlny"/>
    <w:next w:val="Normlny"/>
    <w:link w:val="Nadpis1Char"/>
    <w:uiPriority w:val="9"/>
    <w:qFormat/>
    <w:rsid w:val="00277C8B"/>
    <w:pPr>
      <w:keepNext/>
      <w:keepLines/>
      <w:pageBreakBefore/>
      <w:numPr>
        <w:numId w:val="2"/>
      </w:numPr>
      <w:spacing w:before="120"/>
      <w:ind w:left="360"/>
      <w:outlineLvl w:val="0"/>
    </w:pPr>
    <w:rPr>
      <w:rFonts w:eastAsiaTheme="majorEastAsia" w:cstheme="majorBidi"/>
      <w:b/>
      <w:color w:val="314364"/>
      <w:position w:val="10"/>
      <w:sz w:val="32"/>
      <w:szCs w:val="32"/>
    </w:rPr>
  </w:style>
  <w:style w:type="paragraph" w:styleId="Nadpis2">
    <w:name w:val="heading 2"/>
    <w:basedOn w:val="Normlny"/>
    <w:next w:val="Normlny"/>
    <w:link w:val="Nadpis2Char"/>
    <w:uiPriority w:val="9"/>
    <w:unhideWhenUsed/>
    <w:qFormat/>
    <w:rsid w:val="00432AD8"/>
    <w:pPr>
      <w:keepNext/>
      <w:keepLines/>
      <w:numPr>
        <w:ilvl w:val="1"/>
        <w:numId w:val="2"/>
      </w:numPr>
      <w:spacing w:before="120"/>
      <w:ind w:left="998" w:hanging="431"/>
      <w:outlineLvl w:val="1"/>
    </w:pPr>
    <w:rPr>
      <w:rFonts w:eastAsiaTheme="majorEastAsia" w:cstheme="majorBidi"/>
      <w:color w:val="314364"/>
      <w:sz w:val="28"/>
      <w:szCs w:val="26"/>
    </w:rPr>
  </w:style>
  <w:style w:type="paragraph" w:styleId="Nadpis3">
    <w:name w:val="heading 3"/>
    <w:basedOn w:val="Normlny"/>
    <w:next w:val="Normlny"/>
    <w:link w:val="Nadpis3Char"/>
    <w:uiPriority w:val="9"/>
    <w:unhideWhenUsed/>
    <w:qFormat/>
    <w:rsid w:val="003D6267"/>
    <w:pPr>
      <w:keepNext/>
      <w:keepLines/>
      <w:numPr>
        <w:ilvl w:val="2"/>
        <w:numId w:val="2"/>
      </w:numPr>
      <w:spacing w:before="40" w:after="0"/>
      <w:outlineLvl w:val="2"/>
    </w:pPr>
    <w:rPr>
      <w:rFonts w:eastAsiaTheme="majorEastAsia" w:cstheme="majorBidi"/>
      <w:color w:val="314364"/>
      <w:sz w:val="24"/>
      <w:szCs w:val="24"/>
    </w:rPr>
  </w:style>
  <w:style w:type="paragraph" w:styleId="Nadpis4">
    <w:name w:val="heading 4"/>
    <w:basedOn w:val="Normlny"/>
    <w:next w:val="Normlny"/>
    <w:link w:val="Nadpis4Char"/>
    <w:uiPriority w:val="9"/>
    <w:unhideWhenUsed/>
    <w:qFormat/>
    <w:rsid w:val="002A599C"/>
    <w:pPr>
      <w:keepNext/>
      <w:keepLines/>
      <w:spacing w:before="40" w:after="0"/>
      <w:outlineLvl w:val="3"/>
    </w:pPr>
    <w:rPr>
      <w:rFonts w:asciiTheme="majorHAnsi" w:eastAsiaTheme="majorEastAsia" w:hAnsiTheme="majorHAnsi" w:cstheme="majorBidi"/>
      <w:i/>
      <w:iCs/>
      <w:color w:val="24324A" w:themeColor="accent1" w:themeShade="BF"/>
    </w:rPr>
  </w:style>
  <w:style w:type="paragraph" w:styleId="Nadpis5">
    <w:name w:val="heading 5"/>
    <w:basedOn w:val="Normlny"/>
    <w:next w:val="Normlny"/>
    <w:link w:val="Nadpis5Char"/>
    <w:uiPriority w:val="9"/>
    <w:unhideWhenUsed/>
    <w:qFormat/>
    <w:rsid w:val="00AC6430"/>
    <w:pPr>
      <w:keepNext/>
      <w:keepLines/>
      <w:spacing w:before="40" w:after="0"/>
      <w:outlineLvl w:val="4"/>
    </w:pPr>
    <w:rPr>
      <w:rFonts w:asciiTheme="majorHAnsi" w:eastAsiaTheme="majorEastAsia" w:hAnsiTheme="majorHAnsi" w:cstheme="majorBidi"/>
      <w:color w:val="24324A"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77C8B"/>
    <w:rPr>
      <w:rFonts w:ascii="Segoe UI" w:eastAsiaTheme="majorEastAsia" w:hAnsi="Segoe UI" w:cstheme="majorBidi"/>
      <w:b/>
      <w:color w:val="314364"/>
      <w:position w:val="10"/>
      <w:sz w:val="32"/>
      <w:szCs w:val="32"/>
    </w:rPr>
  </w:style>
  <w:style w:type="character" w:customStyle="1" w:styleId="Nadpis2Char">
    <w:name w:val="Nadpis 2 Char"/>
    <w:basedOn w:val="Predvolenpsmoodseku"/>
    <w:link w:val="Nadpis2"/>
    <w:uiPriority w:val="9"/>
    <w:rsid w:val="00432AD8"/>
    <w:rPr>
      <w:rFonts w:ascii="Segoe UI" w:eastAsiaTheme="majorEastAsia" w:hAnsi="Segoe UI" w:cstheme="majorBidi"/>
      <w:color w:val="314364"/>
      <w:sz w:val="28"/>
      <w:szCs w:val="26"/>
    </w:rPr>
  </w:style>
  <w:style w:type="paragraph" w:styleId="Hlavika">
    <w:name w:val="header"/>
    <w:basedOn w:val="Normlny"/>
    <w:link w:val="HlavikaChar"/>
    <w:uiPriority w:val="99"/>
    <w:unhideWhenUsed/>
    <w:rsid w:val="004F10D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F10D0"/>
  </w:style>
  <w:style w:type="paragraph" w:styleId="Pta">
    <w:name w:val="footer"/>
    <w:basedOn w:val="Normlny"/>
    <w:link w:val="PtaChar"/>
    <w:uiPriority w:val="99"/>
    <w:unhideWhenUsed/>
    <w:rsid w:val="004F10D0"/>
    <w:pPr>
      <w:tabs>
        <w:tab w:val="center" w:pos="4536"/>
        <w:tab w:val="right" w:pos="9072"/>
      </w:tabs>
      <w:spacing w:after="0" w:line="240" w:lineRule="auto"/>
    </w:pPr>
  </w:style>
  <w:style w:type="character" w:customStyle="1" w:styleId="PtaChar">
    <w:name w:val="Päta Char"/>
    <w:basedOn w:val="Predvolenpsmoodseku"/>
    <w:link w:val="Pta"/>
    <w:uiPriority w:val="99"/>
    <w:rsid w:val="004F10D0"/>
  </w:style>
  <w:style w:type="character" w:styleId="Zstupntext">
    <w:name w:val="Placeholder Text"/>
    <w:basedOn w:val="Predvolenpsmoodseku"/>
    <w:uiPriority w:val="99"/>
    <w:semiHidden/>
    <w:rsid w:val="00F539EB"/>
    <w:rPr>
      <w:color w:val="808080"/>
    </w:rPr>
  </w:style>
  <w:style w:type="paragraph" w:styleId="Nzov">
    <w:name w:val="Title"/>
    <w:basedOn w:val="Normlny"/>
    <w:next w:val="Normlny"/>
    <w:link w:val="NzovChar"/>
    <w:uiPriority w:val="10"/>
    <w:qFormat/>
    <w:rsid w:val="00FF5DA3"/>
    <w:pPr>
      <w:spacing w:before="240" w:after="240" w:line="240" w:lineRule="auto"/>
      <w:contextualSpacing/>
      <w:jc w:val="center"/>
    </w:pPr>
    <w:rPr>
      <w:rFonts w:eastAsiaTheme="majorEastAsia" w:cstheme="majorBidi"/>
      <w:b/>
      <w:smallCaps/>
      <w:color w:val="314364"/>
      <w:spacing w:val="-10"/>
      <w:kern w:val="28"/>
      <w:sz w:val="44"/>
      <w:szCs w:val="56"/>
    </w:rPr>
  </w:style>
  <w:style w:type="character" w:customStyle="1" w:styleId="NzovChar">
    <w:name w:val="Názov Char"/>
    <w:basedOn w:val="Predvolenpsmoodseku"/>
    <w:link w:val="Nzov"/>
    <w:uiPriority w:val="10"/>
    <w:rsid w:val="00FF5DA3"/>
    <w:rPr>
      <w:rFonts w:ascii="Segoe UI" w:eastAsiaTheme="majorEastAsia" w:hAnsi="Segoe UI" w:cstheme="majorBidi"/>
      <w:b/>
      <w:smallCaps/>
      <w:color w:val="314364"/>
      <w:spacing w:val="-10"/>
      <w:kern w:val="28"/>
      <w:sz w:val="44"/>
      <w:szCs w:val="56"/>
    </w:rPr>
  </w:style>
  <w:style w:type="paragraph" w:styleId="Podtitul">
    <w:name w:val="Subtitle"/>
    <w:basedOn w:val="Normlny"/>
    <w:next w:val="Normlny"/>
    <w:link w:val="PodtitulChar"/>
    <w:uiPriority w:val="11"/>
    <w:qFormat/>
    <w:rsid w:val="001778A6"/>
    <w:pPr>
      <w:numPr>
        <w:ilvl w:val="1"/>
      </w:numPr>
      <w:spacing w:before="240" w:after="240"/>
      <w:jc w:val="center"/>
    </w:pPr>
    <w:rPr>
      <w:rFonts w:eastAsiaTheme="minorEastAsia"/>
      <w:color w:val="314364"/>
      <w:spacing w:val="15"/>
      <w:sz w:val="28"/>
    </w:rPr>
  </w:style>
  <w:style w:type="character" w:customStyle="1" w:styleId="PodtitulChar">
    <w:name w:val="Podtitul Char"/>
    <w:basedOn w:val="Predvolenpsmoodseku"/>
    <w:link w:val="Podtitul"/>
    <w:uiPriority w:val="11"/>
    <w:rsid w:val="001778A6"/>
    <w:rPr>
      <w:rFonts w:ascii="Segoe UI" w:eastAsiaTheme="minorEastAsia" w:hAnsi="Segoe UI"/>
      <w:color w:val="314364"/>
      <w:spacing w:val="15"/>
      <w:sz w:val="28"/>
    </w:rPr>
  </w:style>
  <w:style w:type="paragraph" w:customStyle="1" w:styleId="Zhrnutie">
    <w:name w:val="Zhrnutie"/>
    <w:basedOn w:val="Normlny"/>
    <w:qFormat/>
    <w:rsid w:val="001778A6"/>
    <w:pPr>
      <w:spacing w:before="120"/>
      <w:jc w:val="left"/>
    </w:pPr>
    <w:rPr>
      <w:b/>
      <w:color w:val="314364"/>
      <w:sz w:val="32"/>
    </w:rPr>
  </w:style>
  <w:style w:type="paragraph" w:styleId="Odsekzoznamu">
    <w:name w:val="List Paragraph"/>
    <w:aliases w:val="body,Odsek zoznamu2,Odsek,Odsek zoznamu1,Dot pt,No Spacing1,List Paragraph Char Char Char,Indicator Text,Numbered Para 1,List Paragraph à moi,Odsek zoznamu4,LISTA,Listaszerű bekezdés2,Listaszerű bekezdés3,Listaszerű bekezdés1,Bullet 1,3"/>
    <w:basedOn w:val="Normlny"/>
    <w:link w:val="OdsekzoznamuChar"/>
    <w:uiPriority w:val="34"/>
    <w:qFormat/>
    <w:rsid w:val="0015153D"/>
    <w:pPr>
      <w:ind w:left="720"/>
      <w:contextualSpacing/>
    </w:pPr>
  </w:style>
  <w:style w:type="paragraph" w:customStyle="1" w:styleId="Poakovanie">
    <w:name w:val="Poďakovanie"/>
    <w:basedOn w:val="Normlny"/>
    <w:qFormat/>
    <w:rsid w:val="00BD3507"/>
    <w:pPr>
      <w:spacing w:before="120"/>
      <w:jc w:val="left"/>
    </w:pPr>
    <w:rPr>
      <w:color w:val="314364"/>
      <w:sz w:val="28"/>
    </w:rPr>
  </w:style>
  <w:style w:type="character" w:styleId="Hypertextovprepojenie">
    <w:name w:val="Hyperlink"/>
    <w:basedOn w:val="Predvolenpsmoodseku"/>
    <w:uiPriority w:val="99"/>
    <w:unhideWhenUsed/>
    <w:rsid w:val="00C824C8"/>
    <w:rPr>
      <w:rFonts w:ascii="Segoe UI" w:hAnsi="Segoe UI"/>
      <w:color w:val="314364" w:themeColor="hyperlink"/>
      <w:sz w:val="20"/>
      <w:u w:val="single"/>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Footnote Text Char1,f,Plonk"/>
    <w:basedOn w:val="Normlny"/>
    <w:link w:val="TextpoznmkypodiarouChar"/>
    <w:uiPriority w:val="99"/>
    <w:qFormat/>
    <w:rsid w:val="00110271"/>
    <w:pPr>
      <w:spacing w:after="0" w:line="240" w:lineRule="auto"/>
    </w:pPr>
    <w:rPr>
      <w:sz w:val="16"/>
      <w:szCs w:val="20"/>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ootnote Text Char1 Char1,f Char,Plonk Char"/>
    <w:basedOn w:val="Predvolenpsmoodseku"/>
    <w:link w:val="Textpoznmkypodiarou"/>
    <w:uiPriority w:val="99"/>
    <w:rsid w:val="008148FD"/>
    <w:rPr>
      <w:rFonts w:ascii="Segoe UI" w:hAnsi="Segoe UI"/>
      <w:sz w:val="16"/>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2407D6"/>
    <w:rPr>
      <w:vertAlign w:val="superscript"/>
    </w:rPr>
  </w:style>
  <w:style w:type="paragraph" w:customStyle="1" w:styleId="vodZverZhrnutie">
    <w:name w:val="Úvod/Záver/Zhrnutie"/>
    <w:basedOn w:val="Nadpis1"/>
    <w:next w:val="Textpoznmkypodiarou"/>
    <w:rsid w:val="00277C8B"/>
    <w:pPr>
      <w:numPr>
        <w:numId w:val="0"/>
      </w:numPr>
    </w:pPr>
  </w:style>
  <w:style w:type="paragraph" w:customStyle="1" w:styleId="Zdroj">
    <w:name w:val="Zdroj"/>
    <w:basedOn w:val="Normlny"/>
    <w:qFormat/>
    <w:rsid w:val="00C71065"/>
    <w:pPr>
      <w:spacing w:line="240" w:lineRule="auto"/>
      <w:jc w:val="left"/>
    </w:pPr>
    <w:rPr>
      <w:i/>
      <w:color w:val="314364" w:themeColor="text2"/>
      <w:sz w:val="16"/>
    </w:rPr>
  </w:style>
  <w:style w:type="paragraph" w:styleId="Popis">
    <w:name w:val="caption"/>
    <w:basedOn w:val="Normlny"/>
    <w:next w:val="Normlny"/>
    <w:uiPriority w:val="35"/>
    <w:unhideWhenUsed/>
    <w:qFormat/>
    <w:rsid w:val="002407D6"/>
    <w:pPr>
      <w:spacing w:after="0" w:line="240" w:lineRule="auto"/>
    </w:pPr>
    <w:rPr>
      <w:b/>
      <w:iCs/>
      <w:color w:val="314364" w:themeColor="text2"/>
      <w:szCs w:val="18"/>
    </w:rPr>
  </w:style>
  <w:style w:type="table" w:styleId="Mriekatabuky">
    <w:name w:val="Table Grid"/>
    <w:basedOn w:val="Normlnatabuka"/>
    <w:uiPriority w:val="39"/>
    <w:rsid w:val="0066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uiPriority w:val="1"/>
    <w:qFormat/>
    <w:rsid w:val="00664B90"/>
    <w:pPr>
      <w:spacing w:after="0" w:line="240" w:lineRule="auto"/>
    </w:pPr>
    <w:rPr>
      <w:rFonts w:asciiTheme="minorHAnsi" w:eastAsiaTheme="minorEastAsia" w:hAnsiTheme="minorHAnsi"/>
      <w:lang w:eastAsia="sk-SK"/>
    </w:rPr>
  </w:style>
  <w:style w:type="character" w:customStyle="1" w:styleId="BezriadkovaniaChar">
    <w:name w:val="Bez riadkovania Char"/>
    <w:basedOn w:val="Predvolenpsmoodseku"/>
    <w:link w:val="Bezriadkovania"/>
    <w:uiPriority w:val="1"/>
    <w:locked/>
    <w:rsid w:val="00664B90"/>
    <w:rPr>
      <w:rFonts w:asciiTheme="minorHAnsi" w:eastAsiaTheme="minorEastAsia" w:hAnsiTheme="minorHAnsi"/>
      <w:lang w:eastAsia="sk-SK"/>
    </w:rPr>
  </w:style>
  <w:style w:type="paragraph" w:customStyle="1" w:styleId="Pouitliteratra">
    <w:name w:val="Použitá literatúra"/>
    <w:basedOn w:val="Odsekzoznamu"/>
    <w:qFormat/>
    <w:rsid w:val="0070595E"/>
    <w:pPr>
      <w:numPr>
        <w:numId w:val="1"/>
      </w:numPr>
      <w:ind w:left="357" w:hanging="357"/>
    </w:pPr>
  </w:style>
  <w:style w:type="paragraph" w:styleId="Hlavikaobsahu">
    <w:name w:val="TOC Heading"/>
    <w:basedOn w:val="Nadpis1"/>
    <w:next w:val="Normlny"/>
    <w:uiPriority w:val="39"/>
    <w:unhideWhenUsed/>
    <w:qFormat/>
    <w:rsid w:val="00277C8B"/>
    <w:pPr>
      <w:numPr>
        <w:numId w:val="0"/>
      </w:numPr>
      <w:spacing w:before="240" w:after="0" w:line="259" w:lineRule="auto"/>
      <w:jc w:val="left"/>
      <w:outlineLvl w:val="9"/>
    </w:pPr>
    <w:rPr>
      <w:b w:val="0"/>
      <w:position w:val="0"/>
      <w:lang w:eastAsia="sk-SK"/>
    </w:rPr>
  </w:style>
  <w:style w:type="paragraph" w:styleId="Obsah1">
    <w:name w:val="toc 1"/>
    <w:basedOn w:val="Normlny"/>
    <w:next w:val="Normlny"/>
    <w:autoRedefine/>
    <w:uiPriority w:val="39"/>
    <w:unhideWhenUsed/>
    <w:rsid w:val="006C125B"/>
    <w:pPr>
      <w:tabs>
        <w:tab w:val="left" w:pos="400"/>
        <w:tab w:val="right" w:leader="dot" w:pos="9060"/>
      </w:tabs>
      <w:spacing w:before="120"/>
      <w:jc w:val="left"/>
    </w:pPr>
    <w:rPr>
      <w:rFonts w:asciiTheme="minorHAnsi" w:hAnsiTheme="minorHAnsi" w:cstheme="minorHAnsi"/>
      <w:b/>
      <w:bCs/>
      <w:caps/>
      <w:noProof/>
      <w:color w:val="314364" w:themeColor="text2"/>
      <w:szCs w:val="20"/>
    </w:rPr>
  </w:style>
  <w:style w:type="paragraph" w:styleId="Obsah2">
    <w:name w:val="toc 2"/>
    <w:basedOn w:val="Normlny"/>
    <w:next w:val="Normlny"/>
    <w:autoRedefine/>
    <w:uiPriority w:val="39"/>
    <w:unhideWhenUsed/>
    <w:rsid w:val="00004033"/>
    <w:pPr>
      <w:spacing w:after="0"/>
      <w:ind w:left="200"/>
      <w:jc w:val="left"/>
    </w:pPr>
    <w:rPr>
      <w:rFonts w:asciiTheme="minorHAnsi" w:hAnsiTheme="minorHAnsi" w:cstheme="minorHAnsi"/>
      <w:smallCaps/>
      <w:szCs w:val="20"/>
    </w:rPr>
  </w:style>
  <w:style w:type="paragraph" w:styleId="Obsah3">
    <w:name w:val="toc 3"/>
    <w:basedOn w:val="Normlny"/>
    <w:next w:val="Normlny"/>
    <w:autoRedefine/>
    <w:uiPriority w:val="39"/>
    <w:unhideWhenUsed/>
    <w:rsid w:val="00004033"/>
    <w:pPr>
      <w:spacing w:after="0"/>
      <w:ind w:left="400"/>
      <w:jc w:val="left"/>
    </w:pPr>
    <w:rPr>
      <w:rFonts w:asciiTheme="minorHAnsi" w:hAnsiTheme="minorHAnsi" w:cstheme="minorHAnsi"/>
      <w:i/>
      <w:iCs/>
      <w:szCs w:val="20"/>
    </w:rPr>
  </w:style>
  <w:style w:type="character" w:customStyle="1" w:styleId="Nadpis3Char">
    <w:name w:val="Nadpis 3 Char"/>
    <w:basedOn w:val="Predvolenpsmoodseku"/>
    <w:link w:val="Nadpis3"/>
    <w:uiPriority w:val="9"/>
    <w:rsid w:val="003D6267"/>
    <w:rPr>
      <w:rFonts w:ascii="Segoe UI" w:eastAsiaTheme="majorEastAsia" w:hAnsi="Segoe UI" w:cstheme="majorBidi"/>
      <w:color w:val="314364"/>
      <w:sz w:val="24"/>
      <w:szCs w:val="24"/>
    </w:rPr>
  </w:style>
  <w:style w:type="paragraph" w:styleId="Textbubliny">
    <w:name w:val="Balloon Text"/>
    <w:basedOn w:val="Normlny"/>
    <w:link w:val="TextbublinyChar"/>
    <w:uiPriority w:val="99"/>
    <w:semiHidden/>
    <w:unhideWhenUsed/>
    <w:rsid w:val="00442CE6"/>
    <w:pPr>
      <w:spacing w:after="0" w:line="240" w:lineRule="auto"/>
    </w:pPr>
    <w:rPr>
      <w:rFonts w:cs="Segoe UI"/>
      <w:sz w:val="18"/>
      <w:szCs w:val="18"/>
    </w:rPr>
  </w:style>
  <w:style w:type="character" w:customStyle="1" w:styleId="TextbublinyChar">
    <w:name w:val="Text bubliny Char"/>
    <w:basedOn w:val="Predvolenpsmoodseku"/>
    <w:link w:val="Textbubliny"/>
    <w:uiPriority w:val="99"/>
    <w:semiHidden/>
    <w:rsid w:val="00442CE6"/>
    <w:rPr>
      <w:rFonts w:ascii="Segoe UI" w:hAnsi="Segoe UI" w:cs="Segoe UI"/>
      <w:sz w:val="18"/>
      <w:szCs w:val="18"/>
    </w:rPr>
  </w:style>
  <w:style w:type="character" w:styleId="Odkaznakomentr">
    <w:name w:val="annotation reference"/>
    <w:basedOn w:val="Predvolenpsmoodseku"/>
    <w:uiPriority w:val="99"/>
    <w:semiHidden/>
    <w:unhideWhenUsed/>
    <w:rsid w:val="003733BE"/>
    <w:rPr>
      <w:sz w:val="16"/>
      <w:szCs w:val="16"/>
    </w:rPr>
  </w:style>
  <w:style w:type="paragraph" w:styleId="Textkomentra">
    <w:name w:val="annotation text"/>
    <w:basedOn w:val="Normlny"/>
    <w:link w:val="TextkomentraChar"/>
    <w:uiPriority w:val="99"/>
    <w:unhideWhenUsed/>
    <w:rsid w:val="003733BE"/>
    <w:pPr>
      <w:spacing w:line="240" w:lineRule="auto"/>
    </w:pPr>
    <w:rPr>
      <w:szCs w:val="20"/>
    </w:rPr>
  </w:style>
  <w:style w:type="character" w:customStyle="1" w:styleId="TextkomentraChar">
    <w:name w:val="Text komentára Char"/>
    <w:basedOn w:val="Predvolenpsmoodseku"/>
    <w:link w:val="Textkomentra"/>
    <w:uiPriority w:val="99"/>
    <w:rsid w:val="003733BE"/>
    <w:rPr>
      <w:rFonts w:ascii="Segoe UI" w:hAnsi="Segoe UI"/>
      <w:sz w:val="20"/>
      <w:szCs w:val="20"/>
    </w:rPr>
  </w:style>
  <w:style w:type="paragraph" w:styleId="Predmetkomentra">
    <w:name w:val="annotation subject"/>
    <w:basedOn w:val="Textkomentra"/>
    <w:next w:val="Textkomentra"/>
    <w:link w:val="PredmetkomentraChar"/>
    <w:uiPriority w:val="99"/>
    <w:semiHidden/>
    <w:unhideWhenUsed/>
    <w:rsid w:val="002D4645"/>
    <w:rPr>
      <w:b/>
      <w:bCs/>
    </w:rPr>
  </w:style>
  <w:style w:type="character" w:customStyle="1" w:styleId="PredmetkomentraChar">
    <w:name w:val="Predmet komentára Char"/>
    <w:basedOn w:val="TextkomentraChar"/>
    <w:link w:val="Predmetkomentra"/>
    <w:uiPriority w:val="99"/>
    <w:semiHidden/>
    <w:rsid w:val="002D4645"/>
    <w:rPr>
      <w:rFonts w:ascii="Segoe UI" w:hAnsi="Segoe UI"/>
      <w:b/>
      <w:bCs/>
      <w:sz w:val="20"/>
      <w:szCs w:val="20"/>
    </w:rPr>
  </w:style>
  <w:style w:type="character" w:customStyle="1" w:styleId="In">
    <w:name w:val="Iné_"/>
    <w:basedOn w:val="Predvolenpsmoodseku"/>
    <w:link w:val="In0"/>
    <w:rsid w:val="0070456C"/>
    <w:rPr>
      <w:rFonts w:ascii="Times New Roman" w:eastAsia="Times New Roman" w:hAnsi="Times New Roman" w:cs="Times New Roman"/>
      <w:shd w:val="clear" w:color="auto" w:fill="FFFFFF"/>
    </w:rPr>
  </w:style>
  <w:style w:type="paragraph" w:customStyle="1" w:styleId="In0">
    <w:name w:val="Iné"/>
    <w:basedOn w:val="Normlny"/>
    <w:link w:val="In"/>
    <w:rsid w:val="0070456C"/>
    <w:pPr>
      <w:widowControl w:val="0"/>
      <w:shd w:val="clear" w:color="auto" w:fill="FFFFFF"/>
      <w:spacing w:after="260" w:line="240" w:lineRule="auto"/>
    </w:pPr>
    <w:rPr>
      <w:rFonts w:ascii="Times New Roman" w:eastAsia="Times New Roman" w:hAnsi="Times New Roman" w:cs="Times New Roman"/>
      <w:sz w:val="22"/>
    </w:rPr>
  </w:style>
  <w:style w:type="table" w:customStyle="1" w:styleId="Mriekatabuky1">
    <w:name w:val="Mriežka tabuľky1"/>
    <w:basedOn w:val="Normlnatabuka"/>
    <w:next w:val="Mriekatabuky"/>
    <w:uiPriority w:val="3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3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
    <w:name w:val="Základný text_"/>
    <w:basedOn w:val="Predvolenpsmoodseku"/>
    <w:link w:val="Zkladntext1"/>
    <w:rsid w:val="00422249"/>
    <w:rPr>
      <w:rFonts w:ascii="Times New Roman" w:eastAsia="Times New Roman" w:hAnsi="Times New Roman" w:cs="Times New Roman"/>
      <w:shd w:val="clear" w:color="auto" w:fill="FFFFFF"/>
    </w:rPr>
  </w:style>
  <w:style w:type="paragraph" w:customStyle="1" w:styleId="Zkladntext1">
    <w:name w:val="Základný text1"/>
    <w:basedOn w:val="Normlny"/>
    <w:link w:val="Zkladntext"/>
    <w:rsid w:val="00422249"/>
    <w:pPr>
      <w:widowControl w:val="0"/>
      <w:shd w:val="clear" w:color="auto" w:fill="FFFFFF"/>
      <w:spacing w:after="260" w:line="240" w:lineRule="auto"/>
    </w:pPr>
    <w:rPr>
      <w:rFonts w:ascii="Times New Roman" w:eastAsia="Times New Roman" w:hAnsi="Times New Roman" w:cs="Times New Roman"/>
      <w:sz w:val="22"/>
    </w:rPr>
  </w:style>
  <w:style w:type="character" w:customStyle="1" w:styleId="OdsekzoznamuChar">
    <w:name w:val="Odsek zoznamu Char"/>
    <w:aliases w:val="body Char,Odsek zoznamu2 Char,Odsek Char,Odsek zoznamu1 Char,Dot pt Char,No Spacing1 Char,List Paragraph Char Char Char Char,Indicator Text Char,Numbered Para 1 Char,List Paragraph à moi Char,Odsek zoznamu4 Char,LISTA Char,3 Char"/>
    <w:basedOn w:val="Predvolenpsmoodseku"/>
    <w:link w:val="Odsekzoznamu"/>
    <w:uiPriority w:val="34"/>
    <w:qFormat/>
    <w:locked/>
    <w:rsid w:val="00571A80"/>
    <w:rPr>
      <w:rFonts w:ascii="Segoe UI" w:hAnsi="Segoe UI"/>
      <w:sz w:val="20"/>
    </w:rPr>
  </w:style>
  <w:style w:type="paragraph" w:customStyle="1" w:styleId="2stlpce">
    <w:name w:val="2 stlpce"/>
    <w:basedOn w:val="Normlny"/>
    <w:link w:val="2stlpceChar"/>
    <w:qFormat/>
    <w:rsid w:val="00A33FD6"/>
    <w:pPr>
      <w:spacing w:line="240" w:lineRule="auto"/>
    </w:pPr>
    <w:rPr>
      <w:rFonts w:ascii="Calibri" w:hAnsi="Calibri"/>
      <w:sz w:val="22"/>
    </w:rPr>
  </w:style>
  <w:style w:type="character" w:customStyle="1" w:styleId="2stlpceChar">
    <w:name w:val="2 stlpce Char"/>
    <w:basedOn w:val="Predvolenpsmoodseku"/>
    <w:link w:val="2stlpce"/>
    <w:rsid w:val="00A33FD6"/>
    <w:rPr>
      <w:rFonts w:ascii="Calibri" w:hAnsi="Calibri"/>
    </w:rPr>
  </w:style>
  <w:style w:type="character" w:styleId="PouitHypertextovPrepojenie">
    <w:name w:val="FollowedHyperlink"/>
    <w:basedOn w:val="Predvolenpsmoodseku"/>
    <w:uiPriority w:val="99"/>
    <w:semiHidden/>
    <w:unhideWhenUsed/>
    <w:rsid w:val="00582A6C"/>
    <w:rPr>
      <w:color w:val="314364" w:themeColor="followedHyperlink"/>
      <w:u w:val="single"/>
    </w:rPr>
  </w:style>
  <w:style w:type="paragraph" w:customStyle="1" w:styleId="Default">
    <w:name w:val="Default"/>
    <w:rsid w:val="00DC0C8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4Char">
    <w:name w:val="Nadpis 4 Char"/>
    <w:basedOn w:val="Predvolenpsmoodseku"/>
    <w:link w:val="Nadpis4"/>
    <w:uiPriority w:val="9"/>
    <w:rsid w:val="002A599C"/>
    <w:rPr>
      <w:rFonts w:asciiTheme="majorHAnsi" w:eastAsiaTheme="majorEastAsia" w:hAnsiTheme="majorHAnsi" w:cstheme="majorBidi"/>
      <w:i/>
      <w:iCs/>
      <w:color w:val="24324A" w:themeColor="accent1" w:themeShade="BF"/>
      <w:sz w:val="20"/>
    </w:rPr>
  </w:style>
  <w:style w:type="character" w:customStyle="1" w:styleId="Nadpis5Char">
    <w:name w:val="Nadpis 5 Char"/>
    <w:basedOn w:val="Predvolenpsmoodseku"/>
    <w:link w:val="Nadpis5"/>
    <w:uiPriority w:val="9"/>
    <w:rsid w:val="00AC6430"/>
    <w:rPr>
      <w:rFonts w:asciiTheme="majorHAnsi" w:eastAsiaTheme="majorEastAsia" w:hAnsiTheme="majorHAnsi" w:cstheme="majorBidi"/>
      <w:color w:val="24324A" w:themeColor="accent1" w:themeShade="BF"/>
      <w:sz w:val="20"/>
    </w:rPr>
  </w:style>
  <w:style w:type="character" w:styleId="Zvraznenie">
    <w:name w:val="Emphasis"/>
    <w:basedOn w:val="Predvolenpsmoodseku"/>
    <w:uiPriority w:val="20"/>
    <w:qFormat/>
    <w:rsid w:val="00AC6430"/>
    <w:rPr>
      <w:i/>
      <w:iCs/>
    </w:rPr>
  </w:style>
  <w:style w:type="character" w:styleId="Siln">
    <w:name w:val="Strong"/>
    <w:basedOn w:val="Predvolenpsmoodseku"/>
    <w:uiPriority w:val="22"/>
    <w:qFormat/>
    <w:rsid w:val="00AC6430"/>
    <w:rPr>
      <w:b/>
      <w:bCs/>
    </w:rPr>
  </w:style>
  <w:style w:type="character" w:styleId="Nzovknihy">
    <w:name w:val="Book Title"/>
    <w:basedOn w:val="Predvolenpsmoodseku"/>
    <w:uiPriority w:val="33"/>
    <w:qFormat/>
    <w:rsid w:val="00AC6430"/>
    <w:rPr>
      <w:b/>
      <w:bCs/>
      <w:i/>
      <w:iCs/>
      <w:spacing w:val="5"/>
    </w:rPr>
  </w:style>
  <w:style w:type="table" w:customStyle="1" w:styleId="Mriekatabuky5">
    <w:name w:val="Mriežka tabuľky5"/>
    <w:basedOn w:val="Normlnatabuka"/>
    <w:next w:val="Mriekatabuky"/>
    <w:uiPriority w:val="39"/>
    <w:rsid w:val="00427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edvolenpsmoodseku"/>
    <w:rsid w:val="005F0F5B"/>
  </w:style>
  <w:style w:type="paragraph" w:styleId="Obsah4">
    <w:name w:val="toc 4"/>
    <w:basedOn w:val="Normlny"/>
    <w:next w:val="Normlny"/>
    <w:autoRedefine/>
    <w:uiPriority w:val="39"/>
    <w:unhideWhenUsed/>
    <w:rsid w:val="006C125B"/>
    <w:pPr>
      <w:spacing w:after="0"/>
      <w:ind w:left="600"/>
      <w:jc w:val="left"/>
    </w:pPr>
    <w:rPr>
      <w:rFonts w:asciiTheme="minorHAnsi" w:hAnsiTheme="minorHAnsi" w:cstheme="minorHAnsi"/>
      <w:sz w:val="18"/>
      <w:szCs w:val="18"/>
    </w:rPr>
  </w:style>
  <w:style w:type="paragraph" w:styleId="Obsah5">
    <w:name w:val="toc 5"/>
    <w:basedOn w:val="Normlny"/>
    <w:next w:val="Normlny"/>
    <w:autoRedefine/>
    <w:uiPriority w:val="39"/>
    <w:unhideWhenUsed/>
    <w:rsid w:val="006C125B"/>
    <w:pPr>
      <w:spacing w:after="0"/>
      <w:ind w:left="800"/>
      <w:jc w:val="left"/>
    </w:pPr>
    <w:rPr>
      <w:rFonts w:asciiTheme="minorHAnsi" w:hAnsiTheme="minorHAnsi" w:cstheme="minorHAnsi"/>
      <w:sz w:val="18"/>
      <w:szCs w:val="18"/>
    </w:rPr>
  </w:style>
  <w:style w:type="paragraph" w:styleId="Obsah6">
    <w:name w:val="toc 6"/>
    <w:basedOn w:val="Normlny"/>
    <w:next w:val="Normlny"/>
    <w:autoRedefine/>
    <w:uiPriority w:val="39"/>
    <w:unhideWhenUsed/>
    <w:rsid w:val="006C125B"/>
    <w:pPr>
      <w:spacing w:after="0"/>
      <w:ind w:left="1000"/>
      <w:jc w:val="left"/>
    </w:pPr>
    <w:rPr>
      <w:rFonts w:asciiTheme="minorHAnsi" w:hAnsiTheme="minorHAnsi" w:cstheme="minorHAnsi"/>
      <w:sz w:val="18"/>
      <w:szCs w:val="18"/>
    </w:rPr>
  </w:style>
  <w:style w:type="paragraph" w:styleId="Obsah7">
    <w:name w:val="toc 7"/>
    <w:basedOn w:val="Normlny"/>
    <w:next w:val="Normlny"/>
    <w:autoRedefine/>
    <w:uiPriority w:val="39"/>
    <w:unhideWhenUsed/>
    <w:rsid w:val="006C125B"/>
    <w:pPr>
      <w:spacing w:after="0"/>
      <w:ind w:left="1200"/>
      <w:jc w:val="left"/>
    </w:pPr>
    <w:rPr>
      <w:rFonts w:asciiTheme="minorHAnsi" w:hAnsiTheme="minorHAnsi" w:cstheme="minorHAnsi"/>
      <w:sz w:val="18"/>
      <w:szCs w:val="18"/>
    </w:rPr>
  </w:style>
  <w:style w:type="paragraph" w:styleId="Obsah8">
    <w:name w:val="toc 8"/>
    <w:basedOn w:val="Normlny"/>
    <w:next w:val="Normlny"/>
    <w:autoRedefine/>
    <w:uiPriority w:val="39"/>
    <w:unhideWhenUsed/>
    <w:rsid w:val="006C125B"/>
    <w:pPr>
      <w:spacing w:after="0"/>
      <w:ind w:left="1400"/>
      <w:jc w:val="left"/>
    </w:pPr>
    <w:rPr>
      <w:rFonts w:asciiTheme="minorHAnsi" w:hAnsiTheme="minorHAnsi" w:cstheme="minorHAnsi"/>
      <w:sz w:val="18"/>
      <w:szCs w:val="18"/>
    </w:rPr>
  </w:style>
  <w:style w:type="paragraph" w:styleId="Obsah9">
    <w:name w:val="toc 9"/>
    <w:basedOn w:val="Normlny"/>
    <w:next w:val="Normlny"/>
    <w:autoRedefine/>
    <w:uiPriority w:val="39"/>
    <w:unhideWhenUsed/>
    <w:rsid w:val="006C125B"/>
    <w:pPr>
      <w:spacing w:after="0"/>
      <w:ind w:left="1600"/>
      <w:jc w:val="left"/>
    </w:pPr>
    <w:rPr>
      <w:rFonts w:asciiTheme="minorHAnsi" w:hAnsiTheme="minorHAnsi" w:cstheme="minorHAnsi"/>
      <w:sz w:val="18"/>
      <w:szCs w:val="18"/>
    </w:rPr>
  </w:style>
  <w:style w:type="paragraph" w:styleId="Normlnywebov">
    <w:name w:val="Normal (Web)"/>
    <w:basedOn w:val="Normlny"/>
    <w:uiPriority w:val="99"/>
    <w:unhideWhenUsed/>
    <w:rsid w:val="00FB7690"/>
    <w:pP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table" w:customStyle="1" w:styleId="Mriekatabuky6">
    <w:name w:val="Mriežka tabuľky6"/>
    <w:basedOn w:val="Normlnatabuka"/>
    <w:next w:val="Mriekatabuky"/>
    <w:uiPriority w:val="39"/>
    <w:rsid w:val="001D2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39"/>
    <w:rsid w:val="001D2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0">
    <w:name w:val="Body Text"/>
    <w:basedOn w:val="Normlny"/>
    <w:link w:val="ZkladntextChar"/>
    <w:uiPriority w:val="99"/>
    <w:unhideWhenUsed/>
    <w:rsid w:val="001E128A"/>
    <w:pPr>
      <w:spacing w:line="240" w:lineRule="auto"/>
      <w:jc w:val="left"/>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0"/>
    <w:uiPriority w:val="99"/>
    <w:rsid w:val="001E128A"/>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iPriority w:val="99"/>
    <w:semiHidden/>
    <w:unhideWhenUsed/>
    <w:rsid w:val="007C571E"/>
    <w:pPr>
      <w:ind w:left="283"/>
    </w:pPr>
  </w:style>
  <w:style w:type="character" w:customStyle="1" w:styleId="ZarkazkladnhotextuChar">
    <w:name w:val="Zarážka základného textu Char"/>
    <w:basedOn w:val="Predvolenpsmoodseku"/>
    <w:link w:val="Zarkazkladnhotextu"/>
    <w:uiPriority w:val="99"/>
    <w:semiHidden/>
    <w:rsid w:val="007C571E"/>
    <w:rPr>
      <w:rFonts w:ascii="Segoe UI" w:hAnsi="Segoe UI"/>
      <w:sz w:val="20"/>
    </w:rPr>
  </w:style>
  <w:style w:type="paragraph" w:customStyle="1" w:styleId="Char2">
    <w:name w:val="Char2"/>
    <w:basedOn w:val="Normlny"/>
    <w:link w:val="Odkaznapoznmkupodiarou"/>
    <w:uiPriority w:val="99"/>
    <w:rsid w:val="00690557"/>
    <w:pPr>
      <w:spacing w:after="0" w:line="240" w:lineRule="exact"/>
      <w:jc w:val="left"/>
    </w:pPr>
    <w:rPr>
      <w:rFonts w:ascii="Arial Narrow" w:hAnsi="Arial Narrow"/>
      <w:sz w:val="22"/>
      <w:vertAlign w:val="superscript"/>
    </w:rPr>
  </w:style>
  <w:style w:type="character" w:customStyle="1" w:styleId="jlqj4b">
    <w:name w:val="jlqj4b"/>
    <w:basedOn w:val="Predvolenpsmoodseku"/>
    <w:rsid w:val="00690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95460">
      <w:bodyDiv w:val="1"/>
      <w:marLeft w:val="0"/>
      <w:marRight w:val="0"/>
      <w:marTop w:val="0"/>
      <w:marBottom w:val="0"/>
      <w:divBdr>
        <w:top w:val="none" w:sz="0" w:space="0" w:color="auto"/>
        <w:left w:val="none" w:sz="0" w:space="0" w:color="auto"/>
        <w:bottom w:val="none" w:sz="0" w:space="0" w:color="auto"/>
        <w:right w:val="none" w:sz="0" w:space="0" w:color="auto"/>
      </w:divBdr>
    </w:div>
    <w:div w:id="442500003">
      <w:bodyDiv w:val="1"/>
      <w:marLeft w:val="0"/>
      <w:marRight w:val="0"/>
      <w:marTop w:val="0"/>
      <w:marBottom w:val="0"/>
      <w:divBdr>
        <w:top w:val="none" w:sz="0" w:space="0" w:color="auto"/>
        <w:left w:val="none" w:sz="0" w:space="0" w:color="auto"/>
        <w:bottom w:val="none" w:sz="0" w:space="0" w:color="auto"/>
        <w:right w:val="none" w:sz="0" w:space="0" w:color="auto"/>
      </w:divBdr>
    </w:div>
    <w:div w:id="610479983">
      <w:bodyDiv w:val="1"/>
      <w:marLeft w:val="0"/>
      <w:marRight w:val="0"/>
      <w:marTop w:val="0"/>
      <w:marBottom w:val="0"/>
      <w:divBdr>
        <w:top w:val="none" w:sz="0" w:space="0" w:color="auto"/>
        <w:left w:val="none" w:sz="0" w:space="0" w:color="auto"/>
        <w:bottom w:val="none" w:sz="0" w:space="0" w:color="auto"/>
        <w:right w:val="none" w:sz="0" w:space="0" w:color="auto"/>
      </w:divBdr>
    </w:div>
    <w:div w:id="1083604123">
      <w:bodyDiv w:val="1"/>
      <w:marLeft w:val="0"/>
      <w:marRight w:val="0"/>
      <w:marTop w:val="0"/>
      <w:marBottom w:val="0"/>
      <w:divBdr>
        <w:top w:val="none" w:sz="0" w:space="0" w:color="auto"/>
        <w:left w:val="none" w:sz="0" w:space="0" w:color="auto"/>
        <w:bottom w:val="none" w:sz="0" w:space="0" w:color="auto"/>
        <w:right w:val="none" w:sz="0" w:space="0" w:color="auto"/>
      </w:divBdr>
    </w:div>
    <w:div w:id="1626697887">
      <w:bodyDiv w:val="1"/>
      <w:marLeft w:val="0"/>
      <w:marRight w:val="0"/>
      <w:marTop w:val="0"/>
      <w:marBottom w:val="0"/>
      <w:divBdr>
        <w:top w:val="none" w:sz="0" w:space="0" w:color="auto"/>
        <w:left w:val="none" w:sz="0" w:space="0" w:color="auto"/>
        <w:bottom w:val="none" w:sz="0" w:space="0" w:color="auto"/>
        <w:right w:val="none" w:sz="0" w:space="0" w:color="auto"/>
      </w:divBdr>
    </w:div>
    <w:div w:id="172251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ntTable" Target="fontTable.xml"/><Relationship Id="rId21" Type="http://schemas.openxmlformats.org/officeDocument/2006/relationships/chart" Target="charts/chart9.xml"/><Relationship Id="rId34" Type="http://schemas.openxmlformats.org/officeDocument/2006/relationships/chart" Target="charts/chart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s://www.nku.gov.sk/documents/10157/1460168/Priloha+-+nakup+stihaciek+F16.zip" TargetMode="External"/><Relationship Id="rId18" Type="http://schemas.openxmlformats.org/officeDocument/2006/relationships/hyperlink" Target="https://www.saab.com/newsroom/press-releases/2003/gripen-international-signs-enhanced-offset-agreement-with-hungary" TargetMode="External"/><Relationship Id="rId26" Type="http://schemas.openxmlformats.org/officeDocument/2006/relationships/hyperlink" Target="https://www.health.gov.sk/?Prioritizovany-zoznam-investicii" TargetMode="External"/><Relationship Id="rId39" Type="http://schemas.openxmlformats.org/officeDocument/2006/relationships/hyperlink" Target="https://www.mfsr.sk/sk/financie/verejne-financie/rozpocet-verejnej-spravy/" TargetMode="External"/><Relationship Id="rId21" Type="http://schemas.openxmlformats.org/officeDocument/2006/relationships/hyperlink" Target="https://www.france24.com/en/20161011-french-fury-airbus-poland-helicopter-deal-usa-eu" TargetMode="External"/><Relationship Id="rId34" Type="http://schemas.openxmlformats.org/officeDocument/2006/relationships/hyperlink" Target="https://rokovania.gov.sk/RVL/Material/27702/1" TargetMode="External"/><Relationship Id="rId42" Type="http://schemas.openxmlformats.org/officeDocument/2006/relationships/hyperlink" Target="https://www.minzp.sk/iep/strategicke-materialy/priorizacia-investicnych-projektov-rezorte-ministerstva-zivotneho-prostredia-sr.html" TargetMode="External"/><Relationship Id="rId47" Type="http://schemas.openxmlformats.org/officeDocument/2006/relationships/hyperlink" Target="https://www.nrsr.sk/web/Default.aspx?sid=zakony/cpt&amp;ZakZborID=13&amp;CisObdobia=8&amp;ID=1040" TargetMode="External"/><Relationship Id="rId50" Type="http://schemas.openxmlformats.org/officeDocument/2006/relationships/hyperlink" Target="https://www.minzp.sk/files/iep/priorizacia_projektov_mzp.pdf" TargetMode="External"/><Relationship Id="rId55" Type="http://schemas.openxmlformats.org/officeDocument/2006/relationships/hyperlink" Target="https://www.employment.gov.sk/sk/ministerstvo/medzinarodna-spolupraca/koordinacia-systemov-sz/urcovanie-prislusnej-legislativy/?fbclid=IwAR35k62P4n0ofmHG7AQXcAxVXvfYA9dmXA5a6-8NCfj9a7Fl3okRcDRKOBM" TargetMode="External"/><Relationship Id="rId7" Type="http://schemas.openxmlformats.org/officeDocument/2006/relationships/hyperlink" Target="https://www.rrz.sk/wp-content/uploads/2022/01/Stanovisko_k_financovaniu_RB.pdf" TargetMode="External"/><Relationship Id="rId2" Type="http://schemas.openxmlformats.org/officeDocument/2006/relationships/hyperlink" Target="https://www.vlada.cz/assets/media-centrum/aktualne/Windfall-tax-v-CR.pdf" TargetMode="External"/><Relationship Id="rId16" Type="http://schemas.openxmlformats.org/officeDocument/2006/relationships/hyperlink" Target="https://www.army.cz/scripts/detail.php?id=6516" TargetMode="External"/><Relationship Id="rId29" Type="http://schemas.openxmlformats.org/officeDocument/2006/relationships/hyperlink" Target="https://www.nrsr.sk/web/Dynamic/DocumentPreview.aspx?DocID=494677" TargetMode="External"/><Relationship Id="rId11" Type="http://schemas.openxmlformats.org/officeDocument/2006/relationships/hyperlink" Target="https://www.nku.gov.sk/documents/10157/164819/Stanovisko+NK%C3%9A+k+n%C3%A1vrhu+%C5%A0Z%C3%9A+za+rok+2020.pdf" TargetMode="External"/><Relationship Id="rId24" Type="http://schemas.openxmlformats.org/officeDocument/2006/relationships/hyperlink" Target="https://www.nrsr.sk/web/Default.aspx?sid=zakony/zakon&amp;ZakZborID=13&amp;CisObdobia=8&amp;CPT=1067" TargetMode="External"/><Relationship Id="rId32" Type="http://schemas.openxmlformats.org/officeDocument/2006/relationships/hyperlink" Target="https://www.mfsr.sk/sk/financie/institut-financnej-politiky/publikacie-ifp/ekonomicke-analyzy/59-reformny-kompas-slovenskej-ekonomiky.html" TargetMode="External"/><Relationship Id="rId37" Type="http://schemas.openxmlformats.org/officeDocument/2006/relationships/hyperlink" Target="https://www.mfsr.sk/files/sk/financie/institut-financnej-politiky/strategicke-materialy/narodny-program-reforiem/npr-2022.pdf" TargetMode="External"/><Relationship Id="rId40" Type="http://schemas.openxmlformats.org/officeDocument/2006/relationships/hyperlink" Target="https://www.minzp.sk/files/iep/publikacia_zelensie-slovensko-sj_web.pdf" TargetMode="External"/><Relationship Id="rId45" Type="http://schemas.openxmlformats.org/officeDocument/2006/relationships/hyperlink" Target="https://www.nku.gov.sk/aktuality/-/asset_publisher/9A3u/content/slovensko-treba-pripravit-na-riesenie-sucha-chyba-system-a-strategia" TargetMode="External"/><Relationship Id="rId53" Type="http://schemas.openxmlformats.org/officeDocument/2006/relationships/hyperlink" Target="https://www.minzp.sk/files/iep/priorizacia_projektov_mzp.pdf" TargetMode="External"/><Relationship Id="rId5" Type="http://schemas.openxmlformats.org/officeDocument/2006/relationships/hyperlink" Target="https://www.rrz.sk/metodika-vypoctu-aktualizacie-a-hodnotenia-plnenia-limitov-verejnych-vydavkov/" TargetMode="External"/><Relationship Id="rId10" Type="http://schemas.openxmlformats.org/officeDocument/2006/relationships/hyperlink" Target="https://www.nku.gov.sk/documents/10157/164819/Stanovisko+NK%C3%9A_%C5%A0Z%C3%9A2019.pdf" TargetMode="External"/><Relationship Id="rId19" Type="http://schemas.openxmlformats.org/officeDocument/2006/relationships/hyperlink" Target="https://defense-update.com/20100815_amv_for_sweden.html" TargetMode="External"/><Relationship Id="rId31" Type="http://schemas.openxmlformats.org/officeDocument/2006/relationships/hyperlink" Target="https://rokovania.gov.sk/RVL/Material/27664/1" TargetMode="External"/><Relationship Id="rId44" Type="http://schemas.openxmlformats.org/officeDocument/2006/relationships/hyperlink" Target="https://www.minzp.sk/voda/verejne-vodovody-verejne-kanalizacie/" TargetMode="External"/><Relationship Id="rId52" Type="http://schemas.openxmlformats.org/officeDocument/2006/relationships/hyperlink" Target="https://www.minzp.sk/files/iep/2022_01_envirozataze.pdf" TargetMode="External"/><Relationship Id="rId4" Type="http://schemas.openxmlformats.org/officeDocument/2006/relationships/hyperlink" Target="https://www.mfsr.sk/files/archiv/62/Program-stability-Slovenska-na-roky-2022-2025_po_pripomienkach_vlady.pdf" TargetMode="External"/><Relationship Id="rId9" Type="http://schemas.openxmlformats.org/officeDocument/2006/relationships/hyperlink" Target="https://www.mfsr.sk/files/archiv/25/Komentar_urokove-naklady_2022.pdf" TargetMode="External"/><Relationship Id="rId14" Type="http://schemas.openxmlformats.org/officeDocument/2006/relationships/hyperlink" Target="https://www.uvo.gov.sk/extdoc/277/2009_81_ES_SK" TargetMode="External"/><Relationship Id="rId22" Type="http://schemas.openxmlformats.org/officeDocument/2006/relationships/hyperlink" Target="https://www.cambridge.org/core/books/buying-defence-and-security-in-europe/A562882F8B8051A778313A52DED16D92" TargetMode="External"/><Relationship Id="rId27" Type="http://schemas.openxmlformats.org/officeDocument/2006/relationships/hyperlink" Target="https://www.mfsr.sk/files/archiv/53/mzdy_zaverecna_20200305.pdf" TargetMode="External"/><Relationship Id="rId30" Type="http://schemas.openxmlformats.org/officeDocument/2006/relationships/hyperlink" Target="https://www.nrsr.sk/web/Dynamic/DocumentPreview.aspx?DocID=494677" TargetMode="External"/><Relationship Id="rId35" Type="http://schemas.openxmlformats.org/officeDocument/2006/relationships/hyperlink" Target="https://www.nku.gov.sk/documents/10157/1460168/Rizik%C3%A1+procesu+posudzovania+liekov.pdf" TargetMode="External"/><Relationship Id="rId43" Type="http://schemas.openxmlformats.org/officeDocument/2006/relationships/hyperlink" Target="https://www.minzp.sk/files/iep/investicny_plan_2023-2027_final.xlsx" TargetMode="External"/><Relationship Id="rId48" Type="http://schemas.openxmlformats.org/officeDocument/2006/relationships/hyperlink" Target="https://www.nrsr.sk/web/Dynamic/DocumentPreview.aspx?DocID=494677" TargetMode="External"/><Relationship Id="rId8" Type="http://schemas.openxmlformats.org/officeDocument/2006/relationships/hyperlink" Target="https://hsr.rokovania.sk/data/att/173548_subor.pdf?csrt=17618876518136708605" TargetMode="External"/><Relationship Id="rId51" Type="http://schemas.openxmlformats.org/officeDocument/2006/relationships/hyperlink" Target="https://www.mfsr.sk/files/archiv/8/MaUS_NIRP2.pdf" TargetMode="External"/><Relationship Id="rId3" Type="http://schemas.openxmlformats.org/officeDocument/2006/relationships/hyperlink" Target="https://hsr.rokovania.sk/data/att/179132_subor.pdf?csrt=17618876518136708605" TargetMode="External"/><Relationship Id="rId12" Type="http://schemas.openxmlformats.org/officeDocument/2006/relationships/hyperlink" Target="https://www.nku.gov.sk/documents/10157/1460168/Nakup_F-16_analyza_NKU.pdf" TargetMode="External"/><Relationship Id="rId17" Type="http://schemas.openxmlformats.org/officeDocument/2006/relationships/hyperlink" Target="https://defence24.pl/sily-zbrojne/offset-za-polskie-f-16-wykonany" TargetMode="External"/><Relationship Id="rId25" Type="http://schemas.openxmlformats.org/officeDocument/2006/relationships/hyperlink" Target="https://www.mpo.cz/cz/rozcestnik/kontakty/kontakty-na-ministerstvo-prumyslu-a-obchodu--22974/" TargetMode="External"/><Relationship Id="rId33" Type="http://schemas.openxmlformats.org/officeDocument/2006/relationships/hyperlink" Target="https://rokovania.gov.sk/RVL/Material/27712/1" TargetMode="External"/><Relationship Id="rId38" Type="http://schemas.openxmlformats.org/officeDocument/2006/relationships/hyperlink" Target="https://www.socpoist.sk/vztah-priemernej-vysky-vyplacaneho-starobneho-solo-dochodku--k-3112--a-priemernej-mesacnej-mzdy-v-hospodarstve-sr/3166s" TargetMode="External"/><Relationship Id="rId46" Type="http://schemas.openxmlformats.org/officeDocument/2006/relationships/hyperlink" Target="https://ec.europa.eu/commission/presscorner/detail/sk/inf_22_601" TargetMode="External"/><Relationship Id="rId20" Type="http://schemas.openxmlformats.org/officeDocument/2006/relationships/hyperlink" Target="https://www.army-technology.com/news/newsrheinmetall-to-supply-heavy-tactical-recovery-vehicles-to-danish-army/" TargetMode="External"/><Relationship Id="rId41" Type="http://schemas.openxmlformats.org/officeDocument/2006/relationships/hyperlink" Target="https://www.minzp.sk/voda/vodny-plan-slovenska/" TargetMode="External"/><Relationship Id="rId54" Type="http://schemas.openxmlformats.org/officeDocument/2006/relationships/hyperlink" Target="https://ec.europa.eu/commission/presscorner/detail/en/memo_14_271" TargetMode="External"/><Relationship Id="rId1" Type="http://schemas.openxmlformats.org/officeDocument/2006/relationships/hyperlink" Target="https://www.nrsr.sk/web/Dynamic/DocumentPreview.aspx?DocID=494677" TargetMode="External"/><Relationship Id="rId6" Type="http://schemas.openxmlformats.org/officeDocument/2006/relationships/hyperlink" Target="https://www.rrz.sk/8814/" TargetMode="External"/><Relationship Id="rId15" Type="http://schemas.openxmlformats.org/officeDocument/2006/relationships/hyperlink" Target="https://www.bmaw.gv.at/en/Topics/International/offset-arrangemts.html" TargetMode="External"/><Relationship Id="rId23" Type="http://schemas.openxmlformats.org/officeDocument/2006/relationships/hyperlink" Target="https://www.crz.gov.sk/zmluva/6886944/" TargetMode="External"/><Relationship Id="rId28" Type="http://schemas.openxmlformats.org/officeDocument/2006/relationships/hyperlink" Target="https://dataprotection.gov.sk/uoou/sites/default/files/sprava_o_stave_ochrany_osobnych_udajov_za_rok_2021.pdf" TargetMode="External"/><Relationship Id="rId36" Type="http://schemas.openxmlformats.org/officeDocument/2006/relationships/hyperlink" Target="https://www.nku.gov.sk/documents/10157/164740/Stanovisko_k_navrhu_statneho_rozpoctu_na_rok_2022.pdf" TargetMode="External"/><Relationship Id="rId49" Type="http://schemas.openxmlformats.org/officeDocument/2006/relationships/hyperlink" Target="https://ec.europa.eu/info/sites/default/files/2022-european-semester-country-report-slovakia_s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novisk&#225;\Stanovisko%20k%20n&#225;vrhu%20&#352;R%202021\Stanovisko%20OS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3\Stanovisko_k_n&#225;vrhu_&#352;R_na_rok_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SYST&#201;MOV&#201;%20PRIE&#268;INKY\Desktop\Zdravotn&#237;ctvo\zdravotn&#237;ctvo%20-%20ukazovatele.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D:\SYST&#201;MOV&#201;%20PRIE&#268;INKY\Desktop\Zdravotn&#237;ctvo\zdravotn&#237;ctvo%20-%20ukazovatele.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1" Type="http://schemas.openxmlformats.org/officeDocument/2006/relationships/oleObject" Target="file:///D:\SYST&#201;MOV&#201;%20PRIE&#268;INKY\Downloads\STANOVISKO\Stanovisko%20k%20RVS%202023\Stanovisko_k_n&#225;vrhu_&#352;R_na_rok_2023.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D:\MOJE%20DOKUMENTY\Stanovisko%20&#8211;%20rozpo&#269;et%202023\Programy.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analytickyodbor\Analyticky%20Odbor\Stanovisk&#225;\Grafy_stanovisko_&#352;R_2023.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analytickyodbor\Analyticky%20Odbor\Stanovisk&#225;\Grafy_stanovisko_&#352;R_2023.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_rok_programu_Microsoft_Excel2.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_rok_programu_Microsoft_Excel3.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_rok_programu_Microsoft_Excel4.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H_rok_programu_Microsoft_Excel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3\Stanovisko_k_n&#225;vrhu_&#352;R_na_rok_2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H_rok_programu_Microsoft_Excel6.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D:\MOJE%20DOKUMENTY\&#381;ivnostn&#237;ci\Vyhladen&#233;%20ts.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xml"/></Relationships>
</file>

<file path=word/charts/_rels/chart22.xml.rels><?xml version="1.0" encoding="UTF-8" standalone="yes"?>
<Relationships xmlns="http://schemas.openxmlformats.org/package/2006/relationships"><Relationship Id="rId3" Type="http://schemas.openxmlformats.org/officeDocument/2006/relationships/oleObject" Target="file:///D:\MOJE%20DOKUMENTY\&#381;ivnostn&#237;ci\Vyhladen&#233;%20ts.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2.xml"/></Relationships>
</file>

<file path=word/charts/_rels/chart23.xml.rels><?xml version="1.0" encoding="UTF-8" standalone="yes"?>
<Relationships xmlns="http://schemas.openxmlformats.org/package/2006/relationships"><Relationship Id="rId3" Type="http://schemas.openxmlformats.org/officeDocument/2006/relationships/oleObject" Target="file:///D:\MOJE%20DOKUMENTY\&#381;ivnostn&#237;ci\Sektory%20&#8211;%20o&#269;isten&#233;.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H_rok_programu_Microsoft_Excel7.xlsx"/></Relationships>
</file>

<file path=word/charts/_rels/chart3.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3\Stanovisko_k_n&#225;vrhu_&#352;R_na_rok_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D:\SYST&#201;MOV&#201;%20PRIE&#268;INKY\Downloads\STANOVISKO\Stanovisko%20k%20RVS%202023\Stanovisko_k_n&#225;vrhu_&#352;R_na_rok_2023.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H_rok_programu_Microsoft_Excel1.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analytickyodbor\analyticky%20odbor\Stanovisk&#225;\Grafy_stanovisko_n&#225;vrh&#352;R202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analytickyodbor\analyticky%20odbor\Stanovisk&#225;\Grafy_stanovisko_&#352;R_202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3\Stanovisko_k_n&#225;vrhu_&#352;R_na_rok_202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 1'!$B$1</c:f>
              <c:strCache>
                <c:ptCount val="1"/>
                <c:pt idx="0">
                  <c:v>Elektrina</c:v>
                </c:pt>
              </c:strCache>
            </c:strRef>
          </c:tx>
          <c:spPr>
            <a:ln w="25400" cap="rnd">
              <a:solidFill>
                <a:schemeClr val="accent1"/>
              </a:solidFill>
              <a:round/>
            </a:ln>
            <a:effectLst/>
          </c:spPr>
          <c:marker>
            <c:symbol val="none"/>
          </c:marker>
          <c:cat>
            <c:numRef>
              <c:f>'Graf 1'!$A$3:$A$201</c:f>
              <c:numCache>
                <c:formatCode>d\-mmm</c:formatCode>
                <c:ptCount val="199"/>
                <c:pt idx="0">
                  <c:v>44565</c:v>
                </c:pt>
                <c:pt idx="1">
                  <c:v>44566</c:v>
                </c:pt>
                <c:pt idx="2">
                  <c:v>44567</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44613</c:v>
                </c:pt>
                <c:pt idx="35">
                  <c:v>44614</c:v>
                </c:pt>
                <c:pt idx="36">
                  <c:v>44615</c:v>
                </c:pt>
                <c:pt idx="37">
                  <c:v>44616</c:v>
                </c:pt>
                <c:pt idx="38">
                  <c:v>44617</c:v>
                </c:pt>
                <c:pt idx="39">
                  <c:v>44620</c:v>
                </c:pt>
                <c:pt idx="40">
                  <c:v>44621</c:v>
                </c:pt>
                <c:pt idx="41">
                  <c:v>44622</c:v>
                </c:pt>
                <c:pt idx="42">
                  <c:v>44623</c:v>
                </c:pt>
                <c:pt idx="43">
                  <c:v>44624</c:v>
                </c:pt>
                <c:pt idx="44">
                  <c:v>44627</c:v>
                </c:pt>
                <c:pt idx="45">
                  <c:v>44628</c:v>
                </c:pt>
                <c:pt idx="46">
                  <c:v>44629</c:v>
                </c:pt>
                <c:pt idx="47">
                  <c:v>44630</c:v>
                </c:pt>
                <c:pt idx="48">
                  <c:v>44631</c:v>
                </c:pt>
                <c:pt idx="49">
                  <c:v>44634</c:v>
                </c:pt>
                <c:pt idx="50">
                  <c:v>44635</c:v>
                </c:pt>
                <c:pt idx="51">
                  <c:v>44636</c:v>
                </c:pt>
                <c:pt idx="52">
                  <c:v>44637</c:v>
                </c:pt>
                <c:pt idx="53">
                  <c:v>44638</c:v>
                </c:pt>
                <c:pt idx="54">
                  <c:v>44641</c:v>
                </c:pt>
                <c:pt idx="55">
                  <c:v>44642</c:v>
                </c:pt>
                <c:pt idx="56">
                  <c:v>44643</c:v>
                </c:pt>
                <c:pt idx="57">
                  <c:v>44644</c:v>
                </c:pt>
                <c:pt idx="58">
                  <c:v>44645</c:v>
                </c:pt>
                <c:pt idx="59">
                  <c:v>44648</c:v>
                </c:pt>
                <c:pt idx="60">
                  <c:v>44649</c:v>
                </c:pt>
                <c:pt idx="61">
                  <c:v>44650</c:v>
                </c:pt>
                <c:pt idx="62">
                  <c:v>44651</c:v>
                </c:pt>
                <c:pt idx="63">
                  <c:v>44652</c:v>
                </c:pt>
                <c:pt idx="64">
                  <c:v>44655</c:v>
                </c:pt>
                <c:pt idx="65">
                  <c:v>44656</c:v>
                </c:pt>
                <c:pt idx="66">
                  <c:v>44657</c:v>
                </c:pt>
                <c:pt idx="67">
                  <c:v>44658</c:v>
                </c:pt>
                <c:pt idx="68">
                  <c:v>44659</c:v>
                </c:pt>
                <c:pt idx="69">
                  <c:v>44662</c:v>
                </c:pt>
                <c:pt idx="70">
                  <c:v>44663</c:v>
                </c:pt>
                <c:pt idx="71">
                  <c:v>44664</c:v>
                </c:pt>
                <c:pt idx="72">
                  <c:v>44665</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44690</c:v>
                </c:pt>
                <c:pt idx="88">
                  <c:v>44691</c:v>
                </c:pt>
                <c:pt idx="89">
                  <c:v>44692</c:v>
                </c:pt>
                <c:pt idx="90">
                  <c:v>44693</c:v>
                </c:pt>
                <c:pt idx="91">
                  <c:v>44694</c:v>
                </c:pt>
                <c:pt idx="92">
                  <c:v>44697</c:v>
                </c:pt>
                <c:pt idx="93">
                  <c:v>44698</c:v>
                </c:pt>
                <c:pt idx="94">
                  <c:v>44699</c:v>
                </c:pt>
                <c:pt idx="95">
                  <c:v>44700</c:v>
                </c:pt>
                <c:pt idx="96">
                  <c:v>44701</c:v>
                </c:pt>
                <c:pt idx="97">
                  <c:v>44704</c:v>
                </c:pt>
                <c:pt idx="98">
                  <c:v>44705</c:v>
                </c:pt>
                <c:pt idx="99">
                  <c:v>44706</c:v>
                </c:pt>
                <c:pt idx="100">
                  <c:v>44707</c:v>
                </c:pt>
                <c:pt idx="101">
                  <c:v>44708</c:v>
                </c:pt>
                <c:pt idx="102">
                  <c:v>44711</c:v>
                </c:pt>
                <c:pt idx="103">
                  <c:v>44712</c:v>
                </c:pt>
                <c:pt idx="104">
                  <c:v>44713</c:v>
                </c:pt>
                <c:pt idx="105">
                  <c:v>44714</c:v>
                </c:pt>
                <c:pt idx="106">
                  <c:v>44715</c:v>
                </c:pt>
                <c:pt idx="107">
                  <c:v>44718</c:v>
                </c:pt>
                <c:pt idx="108">
                  <c:v>44719</c:v>
                </c:pt>
                <c:pt idx="109">
                  <c:v>44720</c:v>
                </c:pt>
                <c:pt idx="110">
                  <c:v>44721</c:v>
                </c:pt>
                <c:pt idx="111">
                  <c:v>44722</c:v>
                </c:pt>
                <c:pt idx="112">
                  <c:v>44725</c:v>
                </c:pt>
                <c:pt idx="113">
                  <c:v>44726</c:v>
                </c:pt>
                <c:pt idx="114">
                  <c:v>44727</c:v>
                </c:pt>
                <c:pt idx="115">
                  <c:v>44728</c:v>
                </c:pt>
                <c:pt idx="116">
                  <c:v>44729</c:v>
                </c:pt>
                <c:pt idx="117">
                  <c:v>44732</c:v>
                </c:pt>
                <c:pt idx="118">
                  <c:v>44733</c:v>
                </c:pt>
                <c:pt idx="119">
                  <c:v>44734</c:v>
                </c:pt>
                <c:pt idx="120">
                  <c:v>44735</c:v>
                </c:pt>
                <c:pt idx="121">
                  <c:v>44736</c:v>
                </c:pt>
                <c:pt idx="122">
                  <c:v>44739</c:v>
                </c:pt>
                <c:pt idx="123">
                  <c:v>44740</c:v>
                </c:pt>
                <c:pt idx="124">
                  <c:v>44741</c:v>
                </c:pt>
                <c:pt idx="125">
                  <c:v>44742</c:v>
                </c:pt>
                <c:pt idx="126">
                  <c:v>44743</c:v>
                </c:pt>
                <c:pt idx="127">
                  <c:v>44746</c:v>
                </c:pt>
                <c:pt idx="128">
                  <c:v>44747</c:v>
                </c:pt>
                <c:pt idx="129">
                  <c:v>44748</c:v>
                </c:pt>
                <c:pt idx="130">
                  <c:v>44749</c:v>
                </c:pt>
                <c:pt idx="131">
                  <c:v>44750</c:v>
                </c:pt>
                <c:pt idx="132">
                  <c:v>44753</c:v>
                </c:pt>
                <c:pt idx="133">
                  <c:v>44754</c:v>
                </c:pt>
                <c:pt idx="134">
                  <c:v>44755</c:v>
                </c:pt>
                <c:pt idx="135">
                  <c:v>44756</c:v>
                </c:pt>
                <c:pt idx="136">
                  <c:v>44757</c:v>
                </c:pt>
                <c:pt idx="137">
                  <c:v>44760</c:v>
                </c:pt>
                <c:pt idx="138">
                  <c:v>44761</c:v>
                </c:pt>
                <c:pt idx="139">
                  <c:v>44762</c:v>
                </c:pt>
                <c:pt idx="140">
                  <c:v>44763</c:v>
                </c:pt>
                <c:pt idx="141">
                  <c:v>44764</c:v>
                </c:pt>
                <c:pt idx="142">
                  <c:v>44767</c:v>
                </c:pt>
                <c:pt idx="143">
                  <c:v>44768</c:v>
                </c:pt>
                <c:pt idx="144">
                  <c:v>44769</c:v>
                </c:pt>
                <c:pt idx="145">
                  <c:v>44770</c:v>
                </c:pt>
                <c:pt idx="146">
                  <c:v>44771</c:v>
                </c:pt>
                <c:pt idx="147">
                  <c:v>44774</c:v>
                </c:pt>
                <c:pt idx="148">
                  <c:v>44775</c:v>
                </c:pt>
                <c:pt idx="149">
                  <c:v>44776</c:v>
                </c:pt>
                <c:pt idx="150">
                  <c:v>44777</c:v>
                </c:pt>
                <c:pt idx="151">
                  <c:v>44778</c:v>
                </c:pt>
                <c:pt idx="152">
                  <c:v>44781</c:v>
                </c:pt>
                <c:pt idx="153">
                  <c:v>44782</c:v>
                </c:pt>
                <c:pt idx="154">
                  <c:v>44783</c:v>
                </c:pt>
                <c:pt idx="155">
                  <c:v>44784</c:v>
                </c:pt>
                <c:pt idx="156">
                  <c:v>44785</c:v>
                </c:pt>
                <c:pt idx="157">
                  <c:v>44788</c:v>
                </c:pt>
                <c:pt idx="158">
                  <c:v>44789</c:v>
                </c:pt>
                <c:pt idx="159">
                  <c:v>44790</c:v>
                </c:pt>
                <c:pt idx="160">
                  <c:v>44791</c:v>
                </c:pt>
                <c:pt idx="161">
                  <c:v>44792</c:v>
                </c:pt>
                <c:pt idx="162">
                  <c:v>44795</c:v>
                </c:pt>
                <c:pt idx="163">
                  <c:v>44796</c:v>
                </c:pt>
                <c:pt idx="164">
                  <c:v>44797</c:v>
                </c:pt>
                <c:pt idx="165">
                  <c:v>44798</c:v>
                </c:pt>
                <c:pt idx="166">
                  <c:v>44799</c:v>
                </c:pt>
                <c:pt idx="167">
                  <c:v>44802</c:v>
                </c:pt>
                <c:pt idx="168">
                  <c:v>44803</c:v>
                </c:pt>
                <c:pt idx="169">
                  <c:v>44804</c:v>
                </c:pt>
                <c:pt idx="170">
                  <c:v>44805</c:v>
                </c:pt>
                <c:pt idx="171">
                  <c:v>44806</c:v>
                </c:pt>
                <c:pt idx="172">
                  <c:v>44809</c:v>
                </c:pt>
                <c:pt idx="173">
                  <c:v>44810</c:v>
                </c:pt>
                <c:pt idx="174">
                  <c:v>44811</c:v>
                </c:pt>
                <c:pt idx="175">
                  <c:v>44812</c:v>
                </c:pt>
                <c:pt idx="176">
                  <c:v>44813</c:v>
                </c:pt>
                <c:pt idx="177">
                  <c:v>44816</c:v>
                </c:pt>
                <c:pt idx="178">
                  <c:v>44817</c:v>
                </c:pt>
                <c:pt idx="179">
                  <c:v>44818</c:v>
                </c:pt>
                <c:pt idx="180">
                  <c:v>44819</c:v>
                </c:pt>
                <c:pt idx="181">
                  <c:v>44820</c:v>
                </c:pt>
                <c:pt idx="182">
                  <c:v>44823</c:v>
                </c:pt>
                <c:pt idx="183">
                  <c:v>44824</c:v>
                </c:pt>
                <c:pt idx="184">
                  <c:v>44825</c:v>
                </c:pt>
                <c:pt idx="185">
                  <c:v>44826</c:v>
                </c:pt>
                <c:pt idx="186">
                  <c:v>44827</c:v>
                </c:pt>
                <c:pt idx="187">
                  <c:v>44830</c:v>
                </c:pt>
                <c:pt idx="188">
                  <c:v>44831</c:v>
                </c:pt>
                <c:pt idx="189">
                  <c:v>44832</c:v>
                </c:pt>
                <c:pt idx="190">
                  <c:v>44833</c:v>
                </c:pt>
                <c:pt idx="191">
                  <c:v>44834</c:v>
                </c:pt>
                <c:pt idx="192">
                  <c:v>44837</c:v>
                </c:pt>
                <c:pt idx="193">
                  <c:v>44838</c:v>
                </c:pt>
                <c:pt idx="194">
                  <c:v>44839</c:v>
                </c:pt>
                <c:pt idx="195">
                  <c:v>44840</c:v>
                </c:pt>
                <c:pt idx="196">
                  <c:v>44841</c:v>
                </c:pt>
                <c:pt idx="197">
                  <c:v>44844</c:v>
                </c:pt>
                <c:pt idx="198">
                  <c:v>44845</c:v>
                </c:pt>
              </c:numCache>
            </c:numRef>
          </c:cat>
          <c:val>
            <c:numRef>
              <c:f>'Graf 1'!$B$3:$B$201</c:f>
              <c:numCache>
                <c:formatCode>General</c:formatCode>
                <c:ptCount val="199"/>
                <c:pt idx="0">
                  <c:v>134.9</c:v>
                </c:pt>
                <c:pt idx="1">
                  <c:v>138.69999999999999</c:v>
                </c:pt>
                <c:pt idx="2">
                  <c:v>137</c:v>
                </c:pt>
                <c:pt idx="3">
                  <c:v>131</c:v>
                </c:pt>
                <c:pt idx="4">
                  <c:v>127.3</c:v>
                </c:pt>
                <c:pt idx="5">
                  <c:v>125.3</c:v>
                </c:pt>
                <c:pt idx="6">
                  <c:v>120.4</c:v>
                </c:pt>
                <c:pt idx="7">
                  <c:v>117.6</c:v>
                </c:pt>
                <c:pt idx="8">
                  <c:v>121.3</c:v>
                </c:pt>
                <c:pt idx="9">
                  <c:v>117.8</c:v>
                </c:pt>
                <c:pt idx="10">
                  <c:v>120.1</c:v>
                </c:pt>
                <c:pt idx="11">
                  <c:v>120.3</c:v>
                </c:pt>
                <c:pt idx="12">
                  <c:v>122.1</c:v>
                </c:pt>
                <c:pt idx="13">
                  <c:v>126.4</c:v>
                </c:pt>
                <c:pt idx="14">
                  <c:v>131.5</c:v>
                </c:pt>
                <c:pt idx="15">
                  <c:v>136.69999999999999</c:v>
                </c:pt>
                <c:pt idx="16">
                  <c:v>138.4</c:v>
                </c:pt>
                <c:pt idx="17">
                  <c:v>145.19999999999999</c:v>
                </c:pt>
                <c:pt idx="18">
                  <c:v>148.4</c:v>
                </c:pt>
                <c:pt idx="19">
                  <c:v>145.9</c:v>
                </c:pt>
                <c:pt idx="20">
                  <c:v>134.5</c:v>
                </c:pt>
                <c:pt idx="21">
                  <c:v>141.4</c:v>
                </c:pt>
                <c:pt idx="22">
                  <c:v>139.6</c:v>
                </c:pt>
                <c:pt idx="23">
                  <c:v>145.9</c:v>
                </c:pt>
                <c:pt idx="24">
                  <c:v>143.9</c:v>
                </c:pt>
                <c:pt idx="25">
                  <c:v>146.80000000000001</c:v>
                </c:pt>
                <c:pt idx="26">
                  <c:v>143.19999999999999</c:v>
                </c:pt>
                <c:pt idx="27">
                  <c:v>139.5</c:v>
                </c:pt>
                <c:pt idx="28">
                  <c:v>144.19999999999999</c:v>
                </c:pt>
                <c:pt idx="29">
                  <c:v>148.69999999999999</c:v>
                </c:pt>
                <c:pt idx="30">
                  <c:v>142.69999999999999</c:v>
                </c:pt>
                <c:pt idx="31">
                  <c:v>139.5</c:v>
                </c:pt>
                <c:pt idx="32">
                  <c:v>139.1</c:v>
                </c:pt>
                <c:pt idx="33">
                  <c:v>140.9</c:v>
                </c:pt>
                <c:pt idx="34">
                  <c:v>141.80000000000001</c:v>
                </c:pt>
                <c:pt idx="35">
                  <c:v>150.9</c:v>
                </c:pt>
                <c:pt idx="36">
                  <c:v>159.4</c:v>
                </c:pt>
                <c:pt idx="37">
                  <c:v>184.6</c:v>
                </c:pt>
                <c:pt idx="38">
                  <c:v>148.80000000000001</c:v>
                </c:pt>
                <c:pt idx="39">
                  <c:v>154.1</c:v>
                </c:pt>
                <c:pt idx="40">
                  <c:v>158.9</c:v>
                </c:pt>
                <c:pt idx="41">
                  <c:v>165.7</c:v>
                </c:pt>
                <c:pt idx="42">
                  <c:v>166</c:v>
                </c:pt>
                <c:pt idx="43">
                  <c:v>171.8</c:v>
                </c:pt>
                <c:pt idx="44">
                  <c:v>179.1</c:v>
                </c:pt>
                <c:pt idx="45">
                  <c:v>190.3</c:v>
                </c:pt>
                <c:pt idx="46">
                  <c:v>176.6</c:v>
                </c:pt>
                <c:pt idx="47">
                  <c:v>170.4</c:v>
                </c:pt>
                <c:pt idx="48">
                  <c:v>172.1</c:v>
                </c:pt>
                <c:pt idx="49">
                  <c:v>163.1</c:v>
                </c:pt>
                <c:pt idx="50">
                  <c:v>164.8</c:v>
                </c:pt>
                <c:pt idx="51">
                  <c:v>158.19999999999999</c:v>
                </c:pt>
                <c:pt idx="52">
                  <c:v>162.1</c:v>
                </c:pt>
                <c:pt idx="53">
                  <c:v>161.69999999999999</c:v>
                </c:pt>
                <c:pt idx="54">
                  <c:v>161.9</c:v>
                </c:pt>
                <c:pt idx="55">
                  <c:v>165.5</c:v>
                </c:pt>
                <c:pt idx="56">
                  <c:v>176.3</c:v>
                </c:pt>
                <c:pt idx="57">
                  <c:v>178.3</c:v>
                </c:pt>
                <c:pt idx="58">
                  <c:v>173.2</c:v>
                </c:pt>
                <c:pt idx="59">
                  <c:v>172.9</c:v>
                </c:pt>
                <c:pt idx="60">
                  <c:v>179.2</c:v>
                </c:pt>
                <c:pt idx="61">
                  <c:v>185</c:v>
                </c:pt>
                <c:pt idx="62">
                  <c:v>188</c:v>
                </c:pt>
                <c:pt idx="63">
                  <c:v>190.2</c:v>
                </c:pt>
                <c:pt idx="64">
                  <c:v>185.5</c:v>
                </c:pt>
                <c:pt idx="65">
                  <c:v>188.7</c:v>
                </c:pt>
                <c:pt idx="66">
                  <c:v>192.2</c:v>
                </c:pt>
                <c:pt idx="67">
                  <c:v>195.1</c:v>
                </c:pt>
                <c:pt idx="68">
                  <c:v>197.7</c:v>
                </c:pt>
                <c:pt idx="69">
                  <c:v>196</c:v>
                </c:pt>
                <c:pt idx="70">
                  <c:v>201.1</c:v>
                </c:pt>
                <c:pt idx="71">
                  <c:v>205.7</c:v>
                </c:pt>
                <c:pt idx="72">
                  <c:v>203.4</c:v>
                </c:pt>
                <c:pt idx="73">
                  <c:v>199.2</c:v>
                </c:pt>
                <c:pt idx="74">
                  <c:v>206.7</c:v>
                </c:pt>
                <c:pt idx="75">
                  <c:v>209.8</c:v>
                </c:pt>
                <c:pt idx="76">
                  <c:v>209.6</c:v>
                </c:pt>
                <c:pt idx="77">
                  <c:v>210.2</c:v>
                </c:pt>
                <c:pt idx="78">
                  <c:v>201.1</c:v>
                </c:pt>
                <c:pt idx="79">
                  <c:v>206.1</c:v>
                </c:pt>
                <c:pt idx="80">
                  <c:v>204.6</c:v>
                </c:pt>
                <c:pt idx="81">
                  <c:v>206</c:v>
                </c:pt>
                <c:pt idx="82">
                  <c:v>205</c:v>
                </c:pt>
                <c:pt idx="83">
                  <c:v>209.5</c:v>
                </c:pt>
                <c:pt idx="84">
                  <c:v>220</c:v>
                </c:pt>
                <c:pt idx="85">
                  <c:v>228.6</c:v>
                </c:pt>
                <c:pt idx="86">
                  <c:v>229.2</c:v>
                </c:pt>
                <c:pt idx="87">
                  <c:v>222.5</c:v>
                </c:pt>
                <c:pt idx="88">
                  <c:v>218.8</c:v>
                </c:pt>
                <c:pt idx="89">
                  <c:v>227</c:v>
                </c:pt>
                <c:pt idx="90">
                  <c:v>232.6</c:v>
                </c:pt>
                <c:pt idx="91">
                  <c:v>234.5</c:v>
                </c:pt>
                <c:pt idx="92">
                  <c:v>231.7</c:v>
                </c:pt>
                <c:pt idx="93">
                  <c:v>237.7</c:v>
                </c:pt>
                <c:pt idx="94">
                  <c:v>234.7</c:v>
                </c:pt>
                <c:pt idx="95">
                  <c:v>232</c:v>
                </c:pt>
                <c:pt idx="96">
                  <c:v>232.9</c:v>
                </c:pt>
                <c:pt idx="97">
                  <c:v>226.2</c:v>
                </c:pt>
                <c:pt idx="98">
                  <c:v>228.6</c:v>
                </c:pt>
                <c:pt idx="99">
                  <c:v>231.8</c:v>
                </c:pt>
                <c:pt idx="100">
                  <c:v>235.9</c:v>
                </c:pt>
                <c:pt idx="101">
                  <c:v>236.5</c:v>
                </c:pt>
                <c:pt idx="102">
                  <c:v>238.3</c:v>
                </c:pt>
                <c:pt idx="103">
                  <c:v>243.9</c:v>
                </c:pt>
                <c:pt idx="104">
                  <c:v>245.6</c:v>
                </c:pt>
                <c:pt idx="105">
                  <c:v>247.9</c:v>
                </c:pt>
                <c:pt idx="106">
                  <c:v>252.9</c:v>
                </c:pt>
                <c:pt idx="107">
                  <c:v>251.8</c:v>
                </c:pt>
                <c:pt idx="108">
                  <c:v>247.4</c:v>
                </c:pt>
                <c:pt idx="109">
                  <c:v>240</c:v>
                </c:pt>
                <c:pt idx="110">
                  <c:v>237.5</c:v>
                </c:pt>
                <c:pt idx="111">
                  <c:v>230.8</c:v>
                </c:pt>
                <c:pt idx="112">
                  <c:v>226</c:v>
                </c:pt>
                <c:pt idx="113">
                  <c:v>227.5</c:v>
                </c:pt>
                <c:pt idx="114">
                  <c:v>236.9</c:v>
                </c:pt>
                <c:pt idx="115">
                  <c:v>246.5</c:v>
                </c:pt>
                <c:pt idx="116">
                  <c:v>242.6</c:v>
                </c:pt>
                <c:pt idx="117">
                  <c:v>239</c:v>
                </c:pt>
                <c:pt idx="118">
                  <c:v>244.1</c:v>
                </c:pt>
                <c:pt idx="119">
                  <c:v>251.9</c:v>
                </c:pt>
                <c:pt idx="120">
                  <c:v>267.89999999999998</c:v>
                </c:pt>
                <c:pt idx="121">
                  <c:v>264.89999999999998</c:v>
                </c:pt>
                <c:pt idx="122">
                  <c:v>271.8</c:v>
                </c:pt>
                <c:pt idx="123">
                  <c:v>277</c:v>
                </c:pt>
                <c:pt idx="124">
                  <c:v>290.7</c:v>
                </c:pt>
                <c:pt idx="125">
                  <c:v>304.60000000000002</c:v>
                </c:pt>
                <c:pt idx="126">
                  <c:v>305</c:v>
                </c:pt>
                <c:pt idx="127">
                  <c:v>331.2</c:v>
                </c:pt>
                <c:pt idx="128">
                  <c:v>330.6</c:v>
                </c:pt>
                <c:pt idx="129">
                  <c:v>340</c:v>
                </c:pt>
                <c:pt idx="130">
                  <c:v>381.9</c:v>
                </c:pt>
                <c:pt idx="131">
                  <c:v>365.6</c:v>
                </c:pt>
                <c:pt idx="132">
                  <c:v>371.7</c:v>
                </c:pt>
                <c:pt idx="133">
                  <c:v>375</c:v>
                </c:pt>
                <c:pt idx="134">
                  <c:v>375.5</c:v>
                </c:pt>
                <c:pt idx="135">
                  <c:v>370.4</c:v>
                </c:pt>
                <c:pt idx="136">
                  <c:v>354.6</c:v>
                </c:pt>
                <c:pt idx="137">
                  <c:v>351.2</c:v>
                </c:pt>
                <c:pt idx="138">
                  <c:v>351.7</c:v>
                </c:pt>
                <c:pt idx="139">
                  <c:v>340.9</c:v>
                </c:pt>
                <c:pt idx="140">
                  <c:v>344</c:v>
                </c:pt>
                <c:pt idx="141">
                  <c:v>352.7</c:v>
                </c:pt>
                <c:pt idx="142">
                  <c:v>359</c:v>
                </c:pt>
                <c:pt idx="143">
                  <c:v>390.7</c:v>
                </c:pt>
                <c:pt idx="144">
                  <c:v>388.6</c:v>
                </c:pt>
                <c:pt idx="145">
                  <c:v>383.9</c:v>
                </c:pt>
                <c:pt idx="146">
                  <c:v>377.7</c:v>
                </c:pt>
                <c:pt idx="147">
                  <c:v>400.8</c:v>
                </c:pt>
                <c:pt idx="148">
                  <c:v>416.4</c:v>
                </c:pt>
                <c:pt idx="149">
                  <c:v>415.6</c:v>
                </c:pt>
                <c:pt idx="150">
                  <c:v>422.1</c:v>
                </c:pt>
                <c:pt idx="151">
                  <c:v>425.7</c:v>
                </c:pt>
                <c:pt idx="152">
                  <c:v>430.5</c:v>
                </c:pt>
                <c:pt idx="153">
                  <c:v>432</c:v>
                </c:pt>
                <c:pt idx="154">
                  <c:v>451.7</c:v>
                </c:pt>
                <c:pt idx="155">
                  <c:v>477.9</c:v>
                </c:pt>
                <c:pt idx="156">
                  <c:v>483.9</c:v>
                </c:pt>
                <c:pt idx="157">
                  <c:v>504</c:v>
                </c:pt>
                <c:pt idx="158">
                  <c:v>529.9</c:v>
                </c:pt>
                <c:pt idx="159">
                  <c:v>535</c:v>
                </c:pt>
                <c:pt idx="160">
                  <c:v>556.4</c:v>
                </c:pt>
                <c:pt idx="161">
                  <c:v>578</c:v>
                </c:pt>
                <c:pt idx="162">
                  <c:v>656.1</c:v>
                </c:pt>
                <c:pt idx="163">
                  <c:v>642.5</c:v>
                </c:pt>
                <c:pt idx="164">
                  <c:v>660</c:v>
                </c:pt>
                <c:pt idx="165">
                  <c:v>764.9</c:v>
                </c:pt>
                <c:pt idx="166">
                  <c:v>1001.5</c:v>
                </c:pt>
                <c:pt idx="167">
                  <c:v>780.5</c:v>
                </c:pt>
                <c:pt idx="168">
                  <c:v>637</c:v>
                </c:pt>
                <c:pt idx="169">
                  <c:v>602.79999999999995</c:v>
                </c:pt>
                <c:pt idx="170">
                  <c:v>550.4</c:v>
                </c:pt>
                <c:pt idx="171">
                  <c:v>543.79999999999995</c:v>
                </c:pt>
                <c:pt idx="172">
                  <c:v>607.29999999999995</c:v>
                </c:pt>
                <c:pt idx="173">
                  <c:v>573</c:v>
                </c:pt>
                <c:pt idx="174">
                  <c:v>560</c:v>
                </c:pt>
                <c:pt idx="175">
                  <c:v>559</c:v>
                </c:pt>
                <c:pt idx="176">
                  <c:v>552</c:v>
                </c:pt>
                <c:pt idx="177">
                  <c:v>510.1</c:v>
                </c:pt>
                <c:pt idx="178">
                  <c:v>510.8</c:v>
                </c:pt>
                <c:pt idx="179">
                  <c:v>549</c:v>
                </c:pt>
                <c:pt idx="180">
                  <c:v>571.5</c:v>
                </c:pt>
                <c:pt idx="181">
                  <c:v>543.9</c:v>
                </c:pt>
                <c:pt idx="182">
                  <c:v>528</c:v>
                </c:pt>
                <c:pt idx="183">
                  <c:v>530.6</c:v>
                </c:pt>
                <c:pt idx="184">
                  <c:v>555</c:v>
                </c:pt>
                <c:pt idx="185">
                  <c:v>546</c:v>
                </c:pt>
                <c:pt idx="186">
                  <c:v>517.20000000000005</c:v>
                </c:pt>
                <c:pt idx="187">
                  <c:v>507.8</c:v>
                </c:pt>
                <c:pt idx="188">
                  <c:v>502.5</c:v>
                </c:pt>
                <c:pt idx="189">
                  <c:v>533.9</c:v>
                </c:pt>
                <c:pt idx="190">
                  <c:v>496.3</c:v>
                </c:pt>
                <c:pt idx="191">
                  <c:v>487.9</c:v>
                </c:pt>
                <c:pt idx="192">
                  <c:v>473.3</c:v>
                </c:pt>
                <c:pt idx="193">
                  <c:v>457.6</c:v>
                </c:pt>
                <c:pt idx="194">
                  <c:v>462.9</c:v>
                </c:pt>
                <c:pt idx="195">
                  <c:v>469.5</c:v>
                </c:pt>
                <c:pt idx="196">
                  <c:v>461</c:v>
                </c:pt>
                <c:pt idx="197">
                  <c:v>460.6</c:v>
                </c:pt>
                <c:pt idx="198">
                  <c:v>465.2</c:v>
                </c:pt>
              </c:numCache>
            </c:numRef>
          </c:val>
          <c:smooth val="0"/>
          <c:extLst>
            <c:ext xmlns:c16="http://schemas.microsoft.com/office/drawing/2014/chart" uri="{C3380CC4-5D6E-409C-BE32-E72D297353CC}">
              <c16:uniqueId val="{00000000-B013-4F4C-9E5A-EF93E814BEC4}"/>
            </c:ext>
          </c:extLst>
        </c:ser>
        <c:ser>
          <c:idx val="1"/>
          <c:order val="1"/>
          <c:tx>
            <c:strRef>
              <c:f>'Graf 1'!$C$1</c:f>
              <c:strCache>
                <c:ptCount val="1"/>
                <c:pt idx="0">
                  <c:v>Plyn</c:v>
                </c:pt>
              </c:strCache>
            </c:strRef>
          </c:tx>
          <c:spPr>
            <a:ln w="25400" cap="rnd">
              <a:solidFill>
                <a:schemeClr val="accent2"/>
              </a:solidFill>
              <a:round/>
            </a:ln>
            <a:effectLst/>
          </c:spPr>
          <c:marker>
            <c:symbol val="none"/>
          </c:marker>
          <c:cat>
            <c:numRef>
              <c:f>'Graf 1'!$A$3:$A$201</c:f>
              <c:numCache>
                <c:formatCode>d\-mmm</c:formatCode>
                <c:ptCount val="199"/>
                <c:pt idx="0">
                  <c:v>44565</c:v>
                </c:pt>
                <c:pt idx="1">
                  <c:v>44566</c:v>
                </c:pt>
                <c:pt idx="2">
                  <c:v>44567</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44613</c:v>
                </c:pt>
                <c:pt idx="35">
                  <c:v>44614</c:v>
                </c:pt>
                <c:pt idx="36">
                  <c:v>44615</c:v>
                </c:pt>
                <c:pt idx="37">
                  <c:v>44616</c:v>
                </c:pt>
                <c:pt idx="38">
                  <c:v>44617</c:v>
                </c:pt>
                <c:pt idx="39">
                  <c:v>44620</c:v>
                </c:pt>
                <c:pt idx="40">
                  <c:v>44621</c:v>
                </c:pt>
                <c:pt idx="41">
                  <c:v>44622</c:v>
                </c:pt>
                <c:pt idx="42">
                  <c:v>44623</c:v>
                </c:pt>
                <c:pt idx="43">
                  <c:v>44624</c:v>
                </c:pt>
                <c:pt idx="44">
                  <c:v>44627</c:v>
                </c:pt>
                <c:pt idx="45">
                  <c:v>44628</c:v>
                </c:pt>
                <c:pt idx="46">
                  <c:v>44629</c:v>
                </c:pt>
                <c:pt idx="47">
                  <c:v>44630</c:v>
                </c:pt>
                <c:pt idx="48">
                  <c:v>44631</c:v>
                </c:pt>
                <c:pt idx="49">
                  <c:v>44634</c:v>
                </c:pt>
                <c:pt idx="50">
                  <c:v>44635</c:v>
                </c:pt>
                <c:pt idx="51">
                  <c:v>44636</c:v>
                </c:pt>
                <c:pt idx="52">
                  <c:v>44637</c:v>
                </c:pt>
                <c:pt idx="53">
                  <c:v>44638</c:v>
                </c:pt>
                <c:pt idx="54">
                  <c:v>44641</c:v>
                </c:pt>
                <c:pt idx="55">
                  <c:v>44642</c:v>
                </c:pt>
                <c:pt idx="56">
                  <c:v>44643</c:v>
                </c:pt>
                <c:pt idx="57">
                  <c:v>44644</c:v>
                </c:pt>
                <c:pt idx="58">
                  <c:v>44645</c:v>
                </c:pt>
                <c:pt idx="59">
                  <c:v>44648</c:v>
                </c:pt>
                <c:pt idx="60">
                  <c:v>44649</c:v>
                </c:pt>
                <c:pt idx="61">
                  <c:v>44650</c:v>
                </c:pt>
                <c:pt idx="62">
                  <c:v>44651</c:v>
                </c:pt>
                <c:pt idx="63">
                  <c:v>44652</c:v>
                </c:pt>
                <c:pt idx="64">
                  <c:v>44655</c:v>
                </c:pt>
                <c:pt idx="65">
                  <c:v>44656</c:v>
                </c:pt>
                <c:pt idx="66">
                  <c:v>44657</c:v>
                </c:pt>
                <c:pt idx="67">
                  <c:v>44658</c:v>
                </c:pt>
                <c:pt idx="68">
                  <c:v>44659</c:v>
                </c:pt>
                <c:pt idx="69">
                  <c:v>44662</c:v>
                </c:pt>
                <c:pt idx="70">
                  <c:v>44663</c:v>
                </c:pt>
                <c:pt idx="71">
                  <c:v>44664</c:v>
                </c:pt>
                <c:pt idx="72">
                  <c:v>44665</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44690</c:v>
                </c:pt>
                <c:pt idx="88">
                  <c:v>44691</c:v>
                </c:pt>
                <c:pt idx="89">
                  <c:v>44692</c:v>
                </c:pt>
                <c:pt idx="90">
                  <c:v>44693</c:v>
                </c:pt>
                <c:pt idx="91">
                  <c:v>44694</c:v>
                </c:pt>
                <c:pt idx="92">
                  <c:v>44697</c:v>
                </c:pt>
                <c:pt idx="93">
                  <c:v>44698</c:v>
                </c:pt>
                <c:pt idx="94">
                  <c:v>44699</c:v>
                </c:pt>
                <c:pt idx="95">
                  <c:v>44700</c:v>
                </c:pt>
                <c:pt idx="96">
                  <c:v>44701</c:v>
                </c:pt>
                <c:pt idx="97">
                  <c:v>44704</c:v>
                </c:pt>
                <c:pt idx="98">
                  <c:v>44705</c:v>
                </c:pt>
                <c:pt idx="99">
                  <c:v>44706</c:v>
                </c:pt>
                <c:pt idx="100">
                  <c:v>44707</c:v>
                </c:pt>
                <c:pt idx="101">
                  <c:v>44708</c:v>
                </c:pt>
                <c:pt idx="102">
                  <c:v>44711</c:v>
                </c:pt>
                <c:pt idx="103">
                  <c:v>44712</c:v>
                </c:pt>
                <c:pt idx="104">
                  <c:v>44713</c:v>
                </c:pt>
                <c:pt idx="105">
                  <c:v>44714</c:v>
                </c:pt>
                <c:pt idx="106">
                  <c:v>44715</c:v>
                </c:pt>
                <c:pt idx="107">
                  <c:v>44718</c:v>
                </c:pt>
                <c:pt idx="108">
                  <c:v>44719</c:v>
                </c:pt>
                <c:pt idx="109">
                  <c:v>44720</c:v>
                </c:pt>
                <c:pt idx="110">
                  <c:v>44721</c:v>
                </c:pt>
                <c:pt idx="111">
                  <c:v>44722</c:v>
                </c:pt>
                <c:pt idx="112">
                  <c:v>44725</c:v>
                </c:pt>
                <c:pt idx="113">
                  <c:v>44726</c:v>
                </c:pt>
                <c:pt idx="114">
                  <c:v>44727</c:v>
                </c:pt>
                <c:pt idx="115">
                  <c:v>44728</c:v>
                </c:pt>
                <c:pt idx="116">
                  <c:v>44729</c:v>
                </c:pt>
                <c:pt idx="117">
                  <c:v>44732</c:v>
                </c:pt>
                <c:pt idx="118">
                  <c:v>44733</c:v>
                </c:pt>
                <c:pt idx="119">
                  <c:v>44734</c:v>
                </c:pt>
                <c:pt idx="120">
                  <c:v>44735</c:v>
                </c:pt>
                <c:pt idx="121">
                  <c:v>44736</c:v>
                </c:pt>
                <c:pt idx="122">
                  <c:v>44739</c:v>
                </c:pt>
                <c:pt idx="123">
                  <c:v>44740</c:v>
                </c:pt>
                <c:pt idx="124">
                  <c:v>44741</c:v>
                </c:pt>
                <c:pt idx="125">
                  <c:v>44742</c:v>
                </c:pt>
                <c:pt idx="126">
                  <c:v>44743</c:v>
                </c:pt>
                <c:pt idx="127">
                  <c:v>44746</c:v>
                </c:pt>
                <c:pt idx="128">
                  <c:v>44747</c:v>
                </c:pt>
                <c:pt idx="129">
                  <c:v>44748</c:v>
                </c:pt>
                <c:pt idx="130">
                  <c:v>44749</c:v>
                </c:pt>
                <c:pt idx="131">
                  <c:v>44750</c:v>
                </c:pt>
                <c:pt idx="132">
                  <c:v>44753</c:v>
                </c:pt>
                <c:pt idx="133">
                  <c:v>44754</c:v>
                </c:pt>
                <c:pt idx="134">
                  <c:v>44755</c:v>
                </c:pt>
                <c:pt idx="135">
                  <c:v>44756</c:v>
                </c:pt>
                <c:pt idx="136">
                  <c:v>44757</c:v>
                </c:pt>
                <c:pt idx="137">
                  <c:v>44760</c:v>
                </c:pt>
                <c:pt idx="138">
                  <c:v>44761</c:v>
                </c:pt>
                <c:pt idx="139">
                  <c:v>44762</c:v>
                </c:pt>
                <c:pt idx="140">
                  <c:v>44763</c:v>
                </c:pt>
                <c:pt idx="141">
                  <c:v>44764</c:v>
                </c:pt>
                <c:pt idx="142">
                  <c:v>44767</c:v>
                </c:pt>
                <c:pt idx="143">
                  <c:v>44768</c:v>
                </c:pt>
                <c:pt idx="144">
                  <c:v>44769</c:v>
                </c:pt>
                <c:pt idx="145">
                  <c:v>44770</c:v>
                </c:pt>
                <c:pt idx="146">
                  <c:v>44771</c:v>
                </c:pt>
                <c:pt idx="147">
                  <c:v>44774</c:v>
                </c:pt>
                <c:pt idx="148">
                  <c:v>44775</c:v>
                </c:pt>
                <c:pt idx="149">
                  <c:v>44776</c:v>
                </c:pt>
                <c:pt idx="150">
                  <c:v>44777</c:v>
                </c:pt>
                <c:pt idx="151">
                  <c:v>44778</c:v>
                </c:pt>
                <c:pt idx="152">
                  <c:v>44781</c:v>
                </c:pt>
                <c:pt idx="153">
                  <c:v>44782</c:v>
                </c:pt>
                <c:pt idx="154">
                  <c:v>44783</c:v>
                </c:pt>
                <c:pt idx="155">
                  <c:v>44784</c:v>
                </c:pt>
                <c:pt idx="156">
                  <c:v>44785</c:v>
                </c:pt>
                <c:pt idx="157">
                  <c:v>44788</c:v>
                </c:pt>
                <c:pt idx="158">
                  <c:v>44789</c:v>
                </c:pt>
                <c:pt idx="159">
                  <c:v>44790</c:v>
                </c:pt>
                <c:pt idx="160">
                  <c:v>44791</c:v>
                </c:pt>
                <c:pt idx="161">
                  <c:v>44792</c:v>
                </c:pt>
                <c:pt idx="162">
                  <c:v>44795</c:v>
                </c:pt>
                <c:pt idx="163">
                  <c:v>44796</c:v>
                </c:pt>
                <c:pt idx="164">
                  <c:v>44797</c:v>
                </c:pt>
                <c:pt idx="165">
                  <c:v>44798</c:v>
                </c:pt>
                <c:pt idx="166">
                  <c:v>44799</c:v>
                </c:pt>
                <c:pt idx="167">
                  <c:v>44802</c:v>
                </c:pt>
                <c:pt idx="168">
                  <c:v>44803</c:v>
                </c:pt>
                <c:pt idx="169">
                  <c:v>44804</c:v>
                </c:pt>
                <c:pt idx="170">
                  <c:v>44805</c:v>
                </c:pt>
                <c:pt idx="171">
                  <c:v>44806</c:v>
                </c:pt>
                <c:pt idx="172">
                  <c:v>44809</c:v>
                </c:pt>
                <c:pt idx="173">
                  <c:v>44810</c:v>
                </c:pt>
                <c:pt idx="174">
                  <c:v>44811</c:v>
                </c:pt>
                <c:pt idx="175">
                  <c:v>44812</c:v>
                </c:pt>
                <c:pt idx="176">
                  <c:v>44813</c:v>
                </c:pt>
                <c:pt idx="177">
                  <c:v>44816</c:v>
                </c:pt>
                <c:pt idx="178">
                  <c:v>44817</c:v>
                </c:pt>
                <c:pt idx="179">
                  <c:v>44818</c:v>
                </c:pt>
                <c:pt idx="180">
                  <c:v>44819</c:v>
                </c:pt>
                <c:pt idx="181">
                  <c:v>44820</c:v>
                </c:pt>
                <c:pt idx="182">
                  <c:v>44823</c:v>
                </c:pt>
                <c:pt idx="183">
                  <c:v>44824</c:v>
                </c:pt>
                <c:pt idx="184">
                  <c:v>44825</c:v>
                </c:pt>
                <c:pt idx="185">
                  <c:v>44826</c:v>
                </c:pt>
                <c:pt idx="186">
                  <c:v>44827</c:v>
                </c:pt>
                <c:pt idx="187">
                  <c:v>44830</c:v>
                </c:pt>
                <c:pt idx="188">
                  <c:v>44831</c:v>
                </c:pt>
                <c:pt idx="189">
                  <c:v>44832</c:v>
                </c:pt>
                <c:pt idx="190">
                  <c:v>44833</c:v>
                </c:pt>
                <c:pt idx="191">
                  <c:v>44834</c:v>
                </c:pt>
                <c:pt idx="192">
                  <c:v>44837</c:v>
                </c:pt>
                <c:pt idx="193">
                  <c:v>44838</c:v>
                </c:pt>
                <c:pt idx="194">
                  <c:v>44839</c:v>
                </c:pt>
                <c:pt idx="195">
                  <c:v>44840</c:v>
                </c:pt>
                <c:pt idx="196">
                  <c:v>44841</c:v>
                </c:pt>
                <c:pt idx="197">
                  <c:v>44844</c:v>
                </c:pt>
                <c:pt idx="198">
                  <c:v>44845</c:v>
                </c:pt>
              </c:numCache>
            </c:numRef>
          </c:cat>
          <c:val>
            <c:numRef>
              <c:f>'Graf 1'!$C$3:$C$201</c:f>
              <c:numCache>
                <c:formatCode>General</c:formatCode>
                <c:ptCount val="199"/>
                <c:pt idx="0">
                  <c:v>48.6</c:v>
                </c:pt>
                <c:pt idx="1">
                  <c:v>50</c:v>
                </c:pt>
                <c:pt idx="2">
                  <c:v>51.3</c:v>
                </c:pt>
                <c:pt idx="3">
                  <c:v>48.2</c:v>
                </c:pt>
                <c:pt idx="4">
                  <c:v>47.7</c:v>
                </c:pt>
                <c:pt idx="5">
                  <c:v>46</c:v>
                </c:pt>
                <c:pt idx="6">
                  <c:v>43.8</c:v>
                </c:pt>
                <c:pt idx="7">
                  <c:v>44.1</c:v>
                </c:pt>
                <c:pt idx="8">
                  <c:v>44.6</c:v>
                </c:pt>
                <c:pt idx="9">
                  <c:v>43.7</c:v>
                </c:pt>
                <c:pt idx="10">
                  <c:v>43.8</c:v>
                </c:pt>
                <c:pt idx="11">
                  <c:v>43.3</c:v>
                </c:pt>
                <c:pt idx="12">
                  <c:v>44</c:v>
                </c:pt>
                <c:pt idx="13">
                  <c:v>45.2</c:v>
                </c:pt>
                <c:pt idx="14">
                  <c:v>49.3</c:v>
                </c:pt>
                <c:pt idx="15">
                  <c:v>50.5</c:v>
                </c:pt>
                <c:pt idx="16">
                  <c:v>52.4</c:v>
                </c:pt>
                <c:pt idx="17">
                  <c:v>54.3</c:v>
                </c:pt>
                <c:pt idx="18">
                  <c:v>56.7</c:v>
                </c:pt>
                <c:pt idx="19">
                  <c:v>55</c:v>
                </c:pt>
                <c:pt idx="20">
                  <c:v>50.8</c:v>
                </c:pt>
                <c:pt idx="21">
                  <c:v>51.7</c:v>
                </c:pt>
                <c:pt idx="22">
                  <c:v>52.8</c:v>
                </c:pt>
                <c:pt idx="23">
                  <c:v>55.2</c:v>
                </c:pt>
                <c:pt idx="24">
                  <c:v>54.3</c:v>
                </c:pt>
                <c:pt idx="25">
                  <c:v>53.6</c:v>
                </c:pt>
                <c:pt idx="26">
                  <c:v>52</c:v>
                </c:pt>
                <c:pt idx="27">
                  <c:v>52.9</c:v>
                </c:pt>
                <c:pt idx="28">
                  <c:v>54.7</c:v>
                </c:pt>
                <c:pt idx="29">
                  <c:v>56.6</c:v>
                </c:pt>
                <c:pt idx="30">
                  <c:v>51.9</c:v>
                </c:pt>
                <c:pt idx="31">
                  <c:v>51.3</c:v>
                </c:pt>
                <c:pt idx="32">
                  <c:v>52.6</c:v>
                </c:pt>
                <c:pt idx="33">
                  <c:v>52.4</c:v>
                </c:pt>
                <c:pt idx="34">
                  <c:v>52.4</c:v>
                </c:pt>
                <c:pt idx="35">
                  <c:v>57.5</c:v>
                </c:pt>
                <c:pt idx="36">
                  <c:v>63</c:v>
                </c:pt>
                <c:pt idx="37">
                  <c:v>78.900000000000006</c:v>
                </c:pt>
                <c:pt idx="38">
                  <c:v>62.3</c:v>
                </c:pt>
                <c:pt idx="39">
                  <c:v>62.2</c:v>
                </c:pt>
                <c:pt idx="40">
                  <c:v>69.900000000000006</c:v>
                </c:pt>
                <c:pt idx="41">
                  <c:v>81.400000000000006</c:v>
                </c:pt>
                <c:pt idx="42">
                  <c:v>79.400000000000006</c:v>
                </c:pt>
                <c:pt idx="43">
                  <c:v>76.5</c:v>
                </c:pt>
                <c:pt idx="44">
                  <c:v>84.1</c:v>
                </c:pt>
                <c:pt idx="45">
                  <c:v>83.4</c:v>
                </c:pt>
                <c:pt idx="46">
                  <c:v>76.599999999999994</c:v>
                </c:pt>
                <c:pt idx="47">
                  <c:v>71.099999999999994</c:v>
                </c:pt>
                <c:pt idx="48">
                  <c:v>76.900000000000006</c:v>
                </c:pt>
                <c:pt idx="49">
                  <c:v>70.900000000000006</c:v>
                </c:pt>
                <c:pt idx="50">
                  <c:v>70.099999999999994</c:v>
                </c:pt>
                <c:pt idx="51">
                  <c:v>64.099999999999994</c:v>
                </c:pt>
                <c:pt idx="52">
                  <c:v>66.900000000000006</c:v>
                </c:pt>
                <c:pt idx="53">
                  <c:v>67.3</c:v>
                </c:pt>
                <c:pt idx="54">
                  <c:v>67.3</c:v>
                </c:pt>
                <c:pt idx="55">
                  <c:v>68.7</c:v>
                </c:pt>
                <c:pt idx="56">
                  <c:v>77</c:v>
                </c:pt>
                <c:pt idx="57">
                  <c:v>79.599999999999994</c:v>
                </c:pt>
                <c:pt idx="58">
                  <c:v>77.900000000000006</c:v>
                </c:pt>
                <c:pt idx="59">
                  <c:v>76.900000000000006</c:v>
                </c:pt>
                <c:pt idx="60">
                  <c:v>81.8</c:v>
                </c:pt>
                <c:pt idx="61">
                  <c:v>85.9</c:v>
                </c:pt>
                <c:pt idx="62">
                  <c:v>89</c:v>
                </c:pt>
                <c:pt idx="63">
                  <c:v>85.7</c:v>
                </c:pt>
                <c:pt idx="64">
                  <c:v>81.5</c:v>
                </c:pt>
                <c:pt idx="65">
                  <c:v>84.1</c:v>
                </c:pt>
                <c:pt idx="66">
                  <c:v>82.9</c:v>
                </c:pt>
                <c:pt idx="67">
                  <c:v>82.9</c:v>
                </c:pt>
                <c:pt idx="68">
                  <c:v>84.6</c:v>
                </c:pt>
                <c:pt idx="69">
                  <c:v>85.7</c:v>
                </c:pt>
                <c:pt idx="70">
                  <c:v>88</c:v>
                </c:pt>
                <c:pt idx="71">
                  <c:v>90.9</c:v>
                </c:pt>
                <c:pt idx="72">
                  <c:v>85.5</c:v>
                </c:pt>
                <c:pt idx="73">
                  <c:v>84.5</c:v>
                </c:pt>
                <c:pt idx="74">
                  <c:v>87.3</c:v>
                </c:pt>
                <c:pt idx="75">
                  <c:v>91.6</c:v>
                </c:pt>
                <c:pt idx="76">
                  <c:v>89.5</c:v>
                </c:pt>
                <c:pt idx="77">
                  <c:v>87.8</c:v>
                </c:pt>
                <c:pt idx="78">
                  <c:v>87.7</c:v>
                </c:pt>
                <c:pt idx="79">
                  <c:v>88.9</c:v>
                </c:pt>
                <c:pt idx="80">
                  <c:v>88.7</c:v>
                </c:pt>
                <c:pt idx="81">
                  <c:v>88.3</c:v>
                </c:pt>
                <c:pt idx="82">
                  <c:v>83.1</c:v>
                </c:pt>
                <c:pt idx="83">
                  <c:v>88.2</c:v>
                </c:pt>
                <c:pt idx="84">
                  <c:v>92.6</c:v>
                </c:pt>
                <c:pt idx="85">
                  <c:v>99.5</c:v>
                </c:pt>
                <c:pt idx="86">
                  <c:v>97.5</c:v>
                </c:pt>
                <c:pt idx="87">
                  <c:v>89</c:v>
                </c:pt>
                <c:pt idx="88">
                  <c:v>89.4</c:v>
                </c:pt>
                <c:pt idx="89">
                  <c:v>90.1</c:v>
                </c:pt>
                <c:pt idx="90">
                  <c:v>96.8</c:v>
                </c:pt>
                <c:pt idx="91">
                  <c:v>92.7</c:v>
                </c:pt>
                <c:pt idx="92">
                  <c:v>92.5</c:v>
                </c:pt>
                <c:pt idx="93">
                  <c:v>93.5</c:v>
                </c:pt>
                <c:pt idx="94">
                  <c:v>90.9</c:v>
                </c:pt>
                <c:pt idx="95">
                  <c:v>89.7</c:v>
                </c:pt>
                <c:pt idx="96">
                  <c:v>89.5</c:v>
                </c:pt>
                <c:pt idx="97">
                  <c:v>86.6</c:v>
                </c:pt>
                <c:pt idx="98">
                  <c:v>87.2</c:v>
                </c:pt>
                <c:pt idx="99">
                  <c:v>88.9</c:v>
                </c:pt>
                <c:pt idx="100">
                  <c:v>88.7</c:v>
                </c:pt>
                <c:pt idx="101">
                  <c:v>88.4</c:v>
                </c:pt>
                <c:pt idx="102">
                  <c:v>89.5</c:v>
                </c:pt>
                <c:pt idx="103">
                  <c:v>91.9</c:v>
                </c:pt>
                <c:pt idx="104">
                  <c:v>89.6</c:v>
                </c:pt>
                <c:pt idx="105">
                  <c:v>91.5</c:v>
                </c:pt>
                <c:pt idx="106">
                  <c:v>91.5</c:v>
                </c:pt>
                <c:pt idx="107">
                  <c:v>90.7</c:v>
                </c:pt>
                <c:pt idx="108">
                  <c:v>89</c:v>
                </c:pt>
                <c:pt idx="109">
                  <c:v>88.4</c:v>
                </c:pt>
                <c:pt idx="110">
                  <c:v>87.6</c:v>
                </c:pt>
                <c:pt idx="111">
                  <c:v>86</c:v>
                </c:pt>
                <c:pt idx="112">
                  <c:v>86</c:v>
                </c:pt>
                <c:pt idx="113">
                  <c:v>90.1</c:v>
                </c:pt>
                <c:pt idx="114">
                  <c:v>99.1</c:v>
                </c:pt>
                <c:pt idx="115">
                  <c:v>103.4</c:v>
                </c:pt>
                <c:pt idx="116">
                  <c:v>94.6</c:v>
                </c:pt>
                <c:pt idx="117">
                  <c:v>97.1</c:v>
                </c:pt>
                <c:pt idx="118">
                  <c:v>100.4</c:v>
                </c:pt>
                <c:pt idx="119">
                  <c:v>105</c:v>
                </c:pt>
                <c:pt idx="120">
                  <c:v>109.7</c:v>
                </c:pt>
                <c:pt idx="121">
                  <c:v>107.4</c:v>
                </c:pt>
                <c:pt idx="122">
                  <c:v>106.3</c:v>
                </c:pt>
                <c:pt idx="123">
                  <c:v>105.9</c:v>
                </c:pt>
                <c:pt idx="124">
                  <c:v>112</c:v>
                </c:pt>
                <c:pt idx="125">
                  <c:v>115.5</c:v>
                </c:pt>
                <c:pt idx="126">
                  <c:v>118</c:v>
                </c:pt>
                <c:pt idx="127">
                  <c:v>127.7</c:v>
                </c:pt>
                <c:pt idx="128">
                  <c:v>127.5</c:v>
                </c:pt>
                <c:pt idx="129">
                  <c:v>136.1</c:v>
                </c:pt>
                <c:pt idx="130">
                  <c:v>148.69999999999999</c:v>
                </c:pt>
                <c:pt idx="131">
                  <c:v>146.80000000000001</c:v>
                </c:pt>
                <c:pt idx="132">
                  <c:v>143.1</c:v>
                </c:pt>
                <c:pt idx="133">
                  <c:v>147.5</c:v>
                </c:pt>
                <c:pt idx="134">
                  <c:v>150.30000000000001</c:v>
                </c:pt>
                <c:pt idx="135">
                  <c:v>145.6</c:v>
                </c:pt>
                <c:pt idx="136">
                  <c:v>134.9</c:v>
                </c:pt>
                <c:pt idx="137">
                  <c:v>133.69999999999999</c:v>
                </c:pt>
                <c:pt idx="138">
                  <c:v>132.6</c:v>
                </c:pt>
                <c:pt idx="139">
                  <c:v>135</c:v>
                </c:pt>
                <c:pt idx="140">
                  <c:v>132.69999999999999</c:v>
                </c:pt>
                <c:pt idx="141">
                  <c:v>136.80000000000001</c:v>
                </c:pt>
                <c:pt idx="142">
                  <c:v>144.69999999999999</c:v>
                </c:pt>
                <c:pt idx="143">
                  <c:v>158.19999999999999</c:v>
                </c:pt>
                <c:pt idx="144">
                  <c:v>154.80000000000001</c:v>
                </c:pt>
                <c:pt idx="145">
                  <c:v>154.5</c:v>
                </c:pt>
                <c:pt idx="146">
                  <c:v>153.6</c:v>
                </c:pt>
                <c:pt idx="147">
                  <c:v>161.19999999999999</c:v>
                </c:pt>
                <c:pt idx="148">
                  <c:v>164.9</c:v>
                </c:pt>
                <c:pt idx="149">
                  <c:v>165.7</c:v>
                </c:pt>
                <c:pt idx="150">
                  <c:v>166.9</c:v>
                </c:pt>
                <c:pt idx="151">
                  <c:v>167.3</c:v>
                </c:pt>
                <c:pt idx="152">
                  <c:v>167.7</c:v>
                </c:pt>
                <c:pt idx="153">
                  <c:v>171.1</c:v>
                </c:pt>
                <c:pt idx="154">
                  <c:v>183.8</c:v>
                </c:pt>
                <c:pt idx="155">
                  <c:v>195.5</c:v>
                </c:pt>
                <c:pt idx="156">
                  <c:v>194.4</c:v>
                </c:pt>
                <c:pt idx="157">
                  <c:v>206.3</c:v>
                </c:pt>
                <c:pt idx="158">
                  <c:v>212.1</c:v>
                </c:pt>
                <c:pt idx="159">
                  <c:v>212.6</c:v>
                </c:pt>
                <c:pt idx="160">
                  <c:v>226.7</c:v>
                </c:pt>
                <c:pt idx="161">
                  <c:v>233</c:v>
                </c:pt>
                <c:pt idx="162">
                  <c:v>255.9</c:v>
                </c:pt>
                <c:pt idx="163">
                  <c:v>247.9</c:v>
                </c:pt>
                <c:pt idx="164">
                  <c:v>268.89999999999998</c:v>
                </c:pt>
                <c:pt idx="165">
                  <c:v>293.7</c:v>
                </c:pt>
                <c:pt idx="166">
                  <c:v>314.39999999999998</c:v>
                </c:pt>
                <c:pt idx="167">
                  <c:v>269.7</c:v>
                </c:pt>
                <c:pt idx="168">
                  <c:v>234</c:v>
                </c:pt>
                <c:pt idx="169">
                  <c:v>199.6</c:v>
                </c:pt>
                <c:pt idx="170">
                  <c:v>199.9</c:v>
                </c:pt>
                <c:pt idx="171">
                  <c:v>186.5</c:v>
                </c:pt>
                <c:pt idx="172">
                  <c:v>210.6</c:v>
                </c:pt>
                <c:pt idx="173">
                  <c:v>213.3</c:v>
                </c:pt>
                <c:pt idx="174">
                  <c:v>201.6</c:v>
                </c:pt>
                <c:pt idx="175">
                  <c:v>205.1</c:v>
                </c:pt>
                <c:pt idx="176">
                  <c:v>194.6</c:v>
                </c:pt>
                <c:pt idx="177">
                  <c:v>180.5</c:v>
                </c:pt>
                <c:pt idx="178">
                  <c:v>182.8</c:v>
                </c:pt>
                <c:pt idx="179">
                  <c:v>199.7</c:v>
                </c:pt>
                <c:pt idx="180">
                  <c:v>206.9</c:v>
                </c:pt>
                <c:pt idx="181">
                  <c:v>183.1</c:v>
                </c:pt>
                <c:pt idx="182">
                  <c:v>179.1</c:v>
                </c:pt>
                <c:pt idx="183">
                  <c:v>188.9</c:v>
                </c:pt>
                <c:pt idx="184">
                  <c:v>191.4</c:v>
                </c:pt>
                <c:pt idx="185">
                  <c:v>188.7</c:v>
                </c:pt>
                <c:pt idx="186">
                  <c:v>188.7</c:v>
                </c:pt>
                <c:pt idx="187">
                  <c:v>184</c:v>
                </c:pt>
                <c:pt idx="188">
                  <c:v>192.9</c:v>
                </c:pt>
                <c:pt idx="189">
                  <c:v>211.3</c:v>
                </c:pt>
                <c:pt idx="190">
                  <c:v>192.5</c:v>
                </c:pt>
                <c:pt idx="191">
                  <c:v>185.6</c:v>
                </c:pt>
                <c:pt idx="192">
                  <c:v>170.9</c:v>
                </c:pt>
                <c:pt idx="193">
                  <c:v>164.6</c:v>
                </c:pt>
                <c:pt idx="194">
                  <c:v>177.7</c:v>
                </c:pt>
                <c:pt idx="195">
                  <c:v>179</c:v>
                </c:pt>
                <c:pt idx="196">
                  <c:v>168.3</c:v>
                </c:pt>
                <c:pt idx="197">
                  <c:v>171.8</c:v>
                </c:pt>
                <c:pt idx="198">
                  <c:v>174.2</c:v>
                </c:pt>
              </c:numCache>
            </c:numRef>
          </c:val>
          <c:smooth val="0"/>
          <c:extLst>
            <c:ext xmlns:c16="http://schemas.microsoft.com/office/drawing/2014/chart" uri="{C3380CC4-5D6E-409C-BE32-E72D297353CC}">
              <c16:uniqueId val="{00000001-B013-4F4C-9E5A-EF93E814BEC4}"/>
            </c:ext>
          </c:extLst>
        </c:ser>
        <c:dLbls>
          <c:showLegendKey val="0"/>
          <c:showVal val="0"/>
          <c:showCatName val="0"/>
          <c:showSerName val="0"/>
          <c:showPercent val="0"/>
          <c:showBubbleSize val="0"/>
        </c:dLbls>
        <c:smooth val="0"/>
        <c:axId val="1251303712"/>
        <c:axId val="1251307456"/>
      </c:lineChart>
      <c:dateAx>
        <c:axId val="12513037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1307456"/>
        <c:crosses val="autoZero"/>
        <c:auto val="1"/>
        <c:lblOffset val="100"/>
        <c:baseTimeUnit val="days"/>
        <c:majorUnit val="12"/>
        <c:majorTimeUnit val="days"/>
      </c:dateAx>
      <c:valAx>
        <c:axId val="1251307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1303712"/>
        <c:crosses val="autoZero"/>
        <c:crossBetween val="between"/>
        <c:majorUnit val="100"/>
      </c:valAx>
      <c:spPr>
        <a:noFill/>
        <a:ln>
          <a:noFill/>
        </a:ln>
        <a:effectLst/>
      </c:spPr>
    </c:plotArea>
    <c:legend>
      <c:legendPos val="b"/>
      <c:layout>
        <c:manualLayout>
          <c:xMode val="edge"/>
          <c:yMode val="edge"/>
          <c:x val="0.37749837224040489"/>
          <c:y val="7.2242219722534695E-2"/>
          <c:w val="0.23600297107531609"/>
          <c:h val="7.6567147856517942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'mortalita treat'!$D$52</c:f>
              <c:strCache>
                <c:ptCount val="1"/>
                <c:pt idx="0">
                  <c:v>2019</c:v>
                </c:pt>
              </c:strCache>
            </c:strRef>
          </c:tx>
          <c:spPr>
            <a:solidFill>
              <a:schemeClr val="accent2"/>
            </a:solidFill>
            <a:ln>
              <a:noFill/>
            </a:ln>
            <a:effectLst/>
          </c:spPr>
          <c:invertIfNegative val="0"/>
          <c:dPt>
            <c:idx val="21"/>
            <c:invertIfNegative val="0"/>
            <c:bubble3D val="0"/>
            <c:spPr>
              <a:solidFill>
                <a:schemeClr val="accent6"/>
              </a:solidFill>
              <a:ln>
                <a:noFill/>
              </a:ln>
              <a:effectLst/>
            </c:spPr>
            <c:extLst>
              <c:ext xmlns:c16="http://schemas.microsoft.com/office/drawing/2014/chart" uri="{C3380CC4-5D6E-409C-BE32-E72D297353CC}">
                <c16:uniqueId val="{00000001-8A50-4465-82F9-C62528F710BA}"/>
              </c:ext>
            </c:extLst>
          </c:dPt>
          <c:cat>
            <c:strRef>
              <c:f>'mortalita treat'!$B$53:$B$79</c:f>
              <c:strCache>
                <c:ptCount val="27"/>
                <c:pt idx="0">
                  <c:v>Švédsko</c:v>
                </c:pt>
                <c:pt idx="1">
                  <c:v>Holandsko</c:v>
                </c:pt>
                <c:pt idx="2">
                  <c:v>Francúzsko</c:v>
                </c:pt>
                <c:pt idx="3">
                  <c:v>Španielsko</c:v>
                </c:pt>
                <c:pt idx="4">
                  <c:v>Luxembursko</c:v>
                </c:pt>
                <c:pt idx="5">
                  <c:v>Taliansko</c:v>
                </c:pt>
                <c:pt idx="6">
                  <c:v>Belgicko</c:v>
                </c:pt>
                <c:pt idx="7">
                  <c:v>Dánsko</c:v>
                </c:pt>
                <c:pt idx="8">
                  <c:v>Fínsko</c:v>
                </c:pt>
                <c:pt idx="9">
                  <c:v>Írsko</c:v>
                </c:pt>
                <c:pt idx="10">
                  <c:v>Slovinsko</c:v>
                </c:pt>
                <c:pt idx="11">
                  <c:v>Rakúsko</c:v>
                </c:pt>
                <c:pt idx="12">
                  <c:v>Cyprus</c:v>
                </c:pt>
                <c:pt idx="13">
                  <c:v>Portugalsko</c:v>
                </c:pt>
                <c:pt idx="14">
                  <c:v>Nemecko</c:v>
                </c:pt>
                <c:pt idx="15">
                  <c:v>Malta</c:v>
                </c:pt>
                <c:pt idx="16">
                  <c:v>Grécko</c:v>
                </c:pt>
                <c:pt idx="17">
                  <c:v>Česká republika</c:v>
                </c:pt>
                <c:pt idx="18">
                  <c:v>Chorvátsko</c:v>
                </c:pt>
                <c:pt idx="19">
                  <c:v>Estónsko</c:v>
                </c:pt>
                <c:pt idx="20">
                  <c:v>Poľsko</c:v>
                </c:pt>
                <c:pt idx="21">
                  <c:v>Slovensko</c:v>
                </c:pt>
                <c:pt idx="22">
                  <c:v>Maďarsko</c:v>
                </c:pt>
                <c:pt idx="23">
                  <c:v>Litva</c:v>
                </c:pt>
                <c:pt idx="24">
                  <c:v>Lotyšsko</c:v>
                </c:pt>
                <c:pt idx="25">
                  <c:v>Bulharsko</c:v>
                </c:pt>
                <c:pt idx="26">
                  <c:v>Rumunsko</c:v>
                </c:pt>
              </c:strCache>
            </c:strRef>
          </c:cat>
          <c:val>
            <c:numRef>
              <c:f>'mortalita treat'!$D$53:$D$79</c:f>
              <c:numCache>
                <c:formatCode>0.0</c:formatCode>
                <c:ptCount val="27"/>
                <c:pt idx="0">
                  <c:v>60.18</c:v>
                </c:pt>
                <c:pt idx="1">
                  <c:v>61.29</c:v>
                </c:pt>
                <c:pt idx="2">
                  <c:v>62.05</c:v>
                </c:pt>
                <c:pt idx="3">
                  <c:v>62.55</c:v>
                </c:pt>
                <c:pt idx="4">
                  <c:v>63.1</c:v>
                </c:pt>
                <c:pt idx="5">
                  <c:v>63.7</c:v>
                </c:pt>
                <c:pt idx="6">
                  <c:v>65.010000000000005</c:v>
                </c:pt>
                <c:pt idx="7">
                  <c:v>66.59</c:v>
                </c:pt>
                <c:pt idx="8">
                  <c:v>69.09</c:v>
                </c:pt>
                <c:pt idx="9">
                  <c:v>71</c:v>
                </c:pt>
                <c:pt idx="10">
                  <c:v>71.98</c:v>
                </c:pt>
                <c:pt idx="11">
                  <c:v>73.150000000000006</c:v>
                </c:pt>
                <c:pt idx="12">
                  <c:v>77.09</c:v>
                </c:pt>
                <c:pt idx="13">
                  <c:v>79.02</c:v>
                </c:pt>
                <c:pt idx="14">
                  <c:v>81.72</c:v>
                </c:pt>
                <c:pt idx="15">
                  <c:v>84.99</c:v>
                </c:pt>
                <c:pt idx="16">
                  <c:v>93.05</c:v>
                </c:pt>
                <c:pt idx="17">
                  <c:v>120.3</c:v>
                </c:pt>
                <c:pt idx="18">
                  <c:v>128.28</c:v>
                </c:pt>
                <c:pt idx="19">
                  <c:v>129.41</c:v>
                </c:pt>
                <c:pt idx="20">
                  <c:v>133.69</c:v>
                </c:pt>
                <c:pt idx="21">
                  <c:v>163.53</c:v>
                </c:pt>
                <c:pt idx="22">
                  <c:v>173.21</c:v>
                </c:pt>
                <c:pt idx="23">
                  <c:v>181.03</c:v>
                </c:pt>
                <c:pt idx="24">
                  <c:v>188.59</c:v>
                </c:pt>
                <c:pt idx="25">
                  <c:v>188.95</c:v>
                </c:pt>
                <c:pt idx="26">
                  <c:v>208.34</c:v>
                </c:pt>
              </c:numCache>
            </c:numRef>
          </c:val>
          <c:extLst>
            <c:ext xmlns:c16="http://schemas.microsoft.com/office/drawing/2014/chart" uri="{C3380CC4-5D6E-409C-BE32-E72D297353CC}">
              <c16:uniqueId val="{00000002-8A50-4465-82F9-C62528F710BA}"/>
            </c:ext>
          </c:extLst>
        </c:ser>
        <c:dLbls>
          <c:showLegendKey val="0"/>
          <c:showVal val="0"/>
          <c:showCatName val="0"/>
          <c:showSerName val="0"/>
          <c:showPercent val="0"/>
          <c:showBubbleSize val="0"/>
        </c:dLbls>
        <c:gapWidth val="100"/>
        <c:axId val="1597731967"/>
        <c:axId val="1597735295"/>
      </c:barChart>
      <c:lineChart>
        <c:grouping val="standard"/>
        <c:varyColors val="0"/>
        <c:ser>
          <c:idx val="0"/>
          <c:order val="0"/>
          <c:tx>
            <c:strRef>
              <c:f>'mortalita treat'!$C$52</c:f>
              <c:strCache>
                <c:ptCount val="1"/>
                <c:pt idx="0">
                  <c:v>2011</c:v>
                </c:pt>
              </c:strCache>
            </c:strRef>
          </c:tx>
          <c:spPr>
            <a:ln w="28575" cap="rnd">
              <a:noFill/>
              <a:round/>
            </a:ln>
            <a:effectLst/>
          </c:spPr>
          <c:marker>
            <c:symbol val="circle"/>
            <c:size val="5"/>
            <c:spPr>
              <a:solidFill>
                <a:schemeClr val="tx2"/>
              </a:solidFill>
              <a:ln w="9525">
                <a:noFill/>
              </a:ln>
              <a:effectLst/>
            </c:spPr>
          </c:marker>
          <c:cat>
            <c:strRef>
              <c:f>'mortalita treat'!$B$53:$B$79</c:f>
              <c:strCache>
                <c:ptCount val="27"/>
                <c:pt idx="0">
                  <c:v>Švédsko</c:v>
                </c:pt>
                <c:pt idx="1">
                  <c:v>Holandsko</c:v>
                </c:pt>
                <c:pt idx="2">
                  <c:v>Francúzsko</c:v>
                </c:pt>
                <c:pt idx="3">
                  <c:v>Španielsko</c:v>
                </c:pt>
                <c:pt idx="4">
                  <c:v>Luxembursko</c:v>
                </c:pt>
                <c:pt idx="5">
                  <c:v>Taliansko</c:v>
                </c:pt>
                <c:pt idx="6">
                  <c:v>Belgicko</c:v>
                </c:pt>
                <c:pt idx="7">
                  <c:v>Dánsko</c:v>
                </c:pt>
                <c:pt idx="8">
                  <c:v>Fínsko</c:v>
                </c:pt>
                <c:pt idx="9">
                  <c:v>Írsko</c:v>
                </c:pt>
                <c:pt idx="10">
                  <c:v>Slovinsko</c:v>
                </c:pt>
                <c:pt idx="11">
                  <c:v>Rakúsko</c:v>
                </c:pt>
                <c:pt idx="12">
                  <c:v>Cyprus</c:v>
                </c:pt>
                <c:pt idx="13">
                  <c:v>Portugalsko</c:v>
                </c:pt>
                <c:pt idx="14">
                  <c:v>Nemecko</c:v>
                </c:pt>
                <c:pt idx="15">
                  <c:v>Malta</c:v>
                </c:pt>
                <c:pt idx="16">
                  <c:v>Grécko</c:v>
                </c:pt>
                <c:pt idx="17">
                  <c:v>Česká republika</c:v>
                </c:pt>
                <c:pt idx="18">
                  <c:v>Chorvátsko</c:v>
                </c:pt>
                <c:pt idx="19">
                  <c:v>Estónsko</c:v>
                </c:pt>
                <c:pt idx="20">
                  <c:v>Poľsko</c:v>
                </c:pt>
                <c:pt idx="21">
                  <c:v>Slovensko</c:v>
                </c:pt>
                <c:pt idx="22">
                  <c:v>Maďarsko</c:v>
                </c:pt>
                <c:pt idx="23">
                  <c:v>Litva</c:v>
                </c:pt>
                <c:pt idx="24">
                  <c:v>Lotyšsko</c:v>
                </c:pt>
                <c:pt idx="25">
                  <c:v>Bulharsko</c:v>
                </c:pt>
                <c:pt idx="26">
                  <c:v>Rumunsko</c:v>
                </c:pt>
              </c:strCache>
            </c:strRef>
          </c:cat>
          <c:val>
            <c:numRef>
              <c:f>'mortalita treat'!$C$53:$C$79</c:f>
              <c:numCache>
                <c:formatCode>0.0</c:formatCode>
                <c:ptCount val="27"/>
                <c:pt idx="0">
                  <c:v>77.459999999999994</c:v>
                </c:pt>
                <c:pt idx="1">
                  <c:v>79.08</c:v>
                </c:pt>
                <c:pt idx="2">
                  <c:v>67.64</c:v>
                </c:pt>
                <c:pt idx="3">
                  <c:v>74.239999999999995</c:v>
                </c:pt>
                <c:pt idx="4">
                  <c:v>83.01</c:v>
                </c:pt>
                <c:pt idx="5">
                  <c:v>75.430000000000007</c:v>
                </c:pt>
                <c:pt idx="6">
                  <c:v>82.31</c:v>
                </c:pt>
                <c:pt idx="7">
                  <c:v>91.23</c:v>
                </c:pt>
                <c:pt idx="8">
                  <c:v>86.49</c:v>
                </c:pt>
                <c:pt idx="9">
                  <c:v>93.99</c:v>
                </c:pt>
                <c:pt idx="10">
                  <c:v>100.58</c:v>
                </c:pt>
                <c:pt idx="11">
                  <c:v>81.28</c:v>
                </c:pt>
                <c:pt idx="12">
                  <c:v>79.150000000000006</c:v>
                </c:pt>
                <c:pt idx="13">
                  <c:v>94.78</c:v>
                </c:pt>
                <c:pt idx="14">
                  <c:v>94.48</c:v>
                </c:pt>
                <c:pt idx="15">
                  <c:v>107.44</c:v>
                </c:pt>
                <c:pt idx="16">
                  <c:v>94.15</c:v>
                </c:pt>
                <c:pt idx="17">
                  <c:v>147.74</c:v>
                </c:pt>
                <c:pt idx="18">
                  <c:v>154.72</c:v>
                </c:pt>
                <c:pt idx="19">
                  <c:v>160.97</c:v>
                </c:pt>
                <c:pt idx="20">
                  <c:v>149.1</c:v>
                </c:pt>
                <c:pt idx="21">
                  <c:v>181.97</c:v>
                </c:pt>
                <c:pt idx="22">
                  <c:v>197.53</c:v>
                </c:pt>
                <c:pt idx="23">
                  <c:v>221.45</c:v>
                </c:pt>
                <c:pt idx="24">
                  <c:v>236.17</c:v>
                </c:pt>
                <c:pt idx="25">
                  <c:v>195.09</c:v>
                </c:pt>
                <c:pt idx="26">
                  <c:v>224.5</c:v>
                </c:pt>
              </c:numCache>
            </c:numRef>
          </c:val>
          <c:smooth val="0"/>
          <c:extLst>
            <c:ext xmlns:c16="http://schemas.microsoft.com/office/drawing/2014/chart" uri="{C3380CC4-5D6E-409C-BE32-E72D297353CC}">
              <c16:uniqueId val="{00000003-8A50-4465-82F9-C62528F710BA}"/>
            </c:ext>
          </c:extLst>
        </c:ser>
        <c:ser>
          <c:idx val="2"/>
          <c:order val="2"/>
          <c:tx>
            <c:strRef>
              <c:f>'mortalita treat'!$E$52</c:f>
              <c:strCache>
                <c:ptCount val="1"/>
                <c:pt idx="0">
                  <c:v>priemer krajín EÚ27 2019</c:v>
                </c:pt>
              </c:strCache>
            </c:strRef>
          </c:tx>
          <c:spPr>
            <a:ln w="25400" cap="rnd">
              <a:solidFill>
                <a:schemeClr val="accent3"/>
              </a:solidFill>
              <a:prstDash val="sysDash"/>
              <a:round/>
            </a:ln>
            <a:effectLst/>
          </c:spPr>
          <c:marker>
            <c:symbol val="none"/>
          </c:marker>
          <c:cat>
            <c:strRef>
              <c:f>'mortalita treat'!$B$53:$B$79</c:f>
              <c:strCache>
                <c:ptCount val="27"/>
                <c:pt idx="0">
                  <c:v>Švédsko</c:v>
                </c:pt>
                <c:pt idx="1">
                  <c:v>Holandsko</c:v>
                </c:pt>
                <c:pt idx="2">
                  <c:v>Francúzsko</c:v>
                </c:pt>
                <c:pt idx="3">
                  <c:v>Španielsko</c:v>
                </c:pt>
                <c:pt idx="4">
                  <c:v>Luxembursko</c:v>
                </c:pt>
                <c:pt idx="5">
                  <c:v>Taliansko</c:v>
                </c:pt>
                <c:pt idx="6">
                  <c:v>Belgicko</c:v>
                </c:pt>
                <c:pt idx="7">
                  <c:v>Dánsko</c:v>
                </c:pt>
                <c:pt idx="8">
                  <c:v>Fínsko</c:v>
                </c:pt>
                <c:pt idx="9">
                  <c:v>Írsko</c:v>
                </c:pt>
                <c:pt idx="10">
                  <c:v>Slovinsko</c:v>
                </c:pt>
                <c:pt idx="11">
                  <c:v>Rakúsko</c:v>
                </c:pt>
                <c:pt idx="12">
                  <c:v>Cyprus</c:v>
                </c:pt>
                <c:pt idx="13">
                  <c:v>Portugalsko</c:v>
                </c:pt>
                <c:pt idx="14">
                  <c:v>Nemecko</c:v>
                </c:pt>
                <c:pt idx="15">
                  <c:v>Malta</c:v>
                </c:pt>
                <c:pt idx="16">
                  <c:v>Grécko</c:v>
                </c:pt>
                <c:pt idx="17">
                  <c:v>Česká republika</c:v>
                </c:pt>
                <c:pt idx="18">
                  <c:v>Chorvátsko</c:v>
                </c:pt>
                <c:pt idx="19">
                  <c:v>Estónsko</c:v>
                </c:pt>
                <c:pt idx="20">
                  <c:v>Poľsko</c:v>
                </c:pt>
                <c:pt idx="21">
                  <c:v>Slovensko</c:v>
                </c:pt>
                <c:pt idx="22">
                  <c:v>Maďarsko</c:v>
                </c:pt>
                <c:pt idx="23">
                  <c:v>Litva</c:v>
                </c:pt>
                <c:pt idx="24">
                  <c:v>Lotyšsko</c:v>
                </c:pt>
                <c:pt idx="25">
                  <c:v>Bulharsko</c:v>
                </c:pt>
                <c:pt idx="26">
                  <c:v>Rumunsko</c:v>
                </c:pt>
              </c:strCache>
            </c:strRef>
          </c:cat>
          <c:val>
            <c:numRef>
              <c:f>'mortalita treat'!$E$53:$E$79</c:f>
              <c:numCache>
                <c:formatCode>0.0</c:formatCode>
                <c:ptCount val="27"/>
                <c:pt idx="0">
                  <c:v>104.47740740740743</c:v>
                </c:pt>
                <c:pt idx="1">
                  <c:v>104.47740740740743</c:v>
                </c:pt>
                <c:pt idx="2">
                  <c:v>104.47740740740743</c:v>
                </c:pt>
                <c:pt idx="3">
                  <c:v>104.47740740740743</c:v>
                </c:pt>
                <c:pt idx="4">
                  <c:v>104.47740740740743</c:v>
                </c:pt>
                <c:pt idx="5">
                  <c:v>104.47740740740743</c:v>
                </c:pt>
                <c:pt idx="6">
                  <c:v>104.47740740740743</c:v>
                </c:pt>
                <c:pt idx="7">
                  <c:v>104.47740740740743</c:v>
                </c:pt>
                <c:pt idx="8">
                  <c:v>104.47740740740743</c:v>
                </c:pt>
                <c:pt idx="9">
                  <c:v>104.47740740740743</c:v>
                </c:pt>
                <c:pt idx="10">
                  <c:v>104.47740740740743</c:v>
                </c:pt>
                <c:pt idx="11">
                  <c:v>104.47740740740743</c:v>
                </c:pt>
                <c:pt idx="12">
                  <c:v>104.47740740740743</c:v>
                </c:pt>
                <c:pt idx="13">
                  <c:v>104.47740740740743</c:v>
                </c:pt>
                <c:pt idx="14">
                  <c:v>104.47740740740743</c:v>
                </c:pt>
                <c:pt idx="15">
                  <c:v>104.47740740740743</c:v>
                </c:pt>
                <c:pt idx="16">
                  <c:v>104.47740740740743</c:v>
                </c:pt>
                <c:pt idx="17">
                  <c:v>104.47740740740743</c:v>
                </c:pt>
                <c:pt idx="18">
                  <c:v>104.47740740740743</c:v>
                </c:pt>
                <c:pt idx="19">
                  <c:v>104.47740740740743</c:v>
                </c:pt>
                <c:pt idx="20">
                  <c:v>104.47740740740743</c:v>
                </c:pt>
                <c:pt idx="21">
                  <c:v>104.47740740740743</c:v>
                </c:pt>
                <c:pt idx="22">
                  <c:v>104.47740740740743</c:v>
                </c:pt>
                <c:pt idx="23">
                  <c:v>104.47740740740743</c:v>
                </c:pt>
                <c:pt idx="24">
                  <c:v>104.47740740740743</c:v>
                </c:pt>
                <c:pt idx="25">
                  <c:v>104.47740740740743</c:v>
                </c:pt>
                <c:pt idx="26">
                  <c:v>104.47740740740743</c:v>
                </c:pt>
              </c:numCache>
            </c:numRef>
          </c:val>
          <c:smooth val="0"/>
          <c:extLst>
            <c:ext xmlns:c16="http://schemas.microsoft.com/office/drawing/2014/chart" uri="{C3380CC4-5D6E-409C-BE32-E72D297353CC}">
              <c16:uniqueId val="{00000004-8A50-4465-82F9-C62528F710BA}"/>
            </c:ext>
          </c:extLst>
        </c:ser>
        <c:ser>
          <c:idx val="3"/>
          <c:order val="3"/>
          <c:tx>
            <c:strRef>
              <c:f>'mortalita treat'!$F$52</c:f>
              <c:strCache>
                <c:ptCount val="1"/>
                <c:pt idx="0">
                  <c:v>cieľ 2025</c:v>
                </c:pt>
              </c:strCache>
            </c:strRef>
          </c:tx>
          <c:spPr>
            <a:ln w="25400" cap="rnd">
              <a:solidFill>
                <a:schemeClr val="accent5"/>
              </a:solidFill>
              <a:prstDash val="sysDash"/>
              <a:round/>
            </a:ln>
            <a:effectLst/>
          </c:spPr>
          <c:marker>
            <c:symbol val="none"/>
          </c:marker>
          <c:cat>
            <c:strRef>
              <c:f>'mortalita treat'!$B$53:$B$79</c:f>
              <c:strCache>
                <c:ptCount val="27"/>
                <c:pt idx="0">
                  <c:v>Švédsko</c:v>
                </c:pt>
                <c:pt idx="1">
                  <c:v>Holandsko</c:v>
                </c:pt>
                <c:pt idx="2">
                  <c:v>Francúzsko</c:v>
                </c:pt>
                <c:pt idx="3">
                  <c:v>Španielsko</c:v>
                </c:pt>
                <c:pt idx="4">
                  <c:v>Luxembursko</c:v>
                </c:pt>
                <c:pt idx="5">
                  <c:v>Taliansko</c:v>
                </c:pt>
                <c:pt idx="6">
                  <c:v>Belgicko</c:v>
                </c:pt>
                <c:pt idx="7">
                  <c:v>Dánsko</c:v>
                </c:pt>
                <c:pt idx="8">
                  <c:v>Fínsko</c:v>
                </c:pt>
                <c:pt idx="9">
                  <c:v>Írsko</c:v>
                </c:pt>
                <c:pt idx="10">
                  <c:v>Slovinsko</c:v>
                </c:pt>
                <c:pt idx="11">
                  <c:v>Rakúsko</c:v>
                </c:pt>
                <c:pt idx="12">
                  <c:v>Cyprus</c:v>
                </c:pt>
                <c:pt idx="13">
                  <c:v>Portugalsko</c:v>
                </c:pt>
                <c:pt idx="14">
                  <c:v>Nemecko</c:v>
                </c:pt>
                <c:pt idx="15">
                  <c:v>Malta</c:v>
                </c:pt>
                <c:pt idx="16">
                  <c:v>Grécko</c:v>
                </c:pt>
                <c:pt idx="17">
                  <c:v>Česká republika</c:v>
                </c:pt>
                <c:pt idx="18">
                  <c:v>Chorvátsko</c:v>
                </c:pt>
                <c:pt idx="19">
                  <c:v>Estónsko</c:v>
                </c:pt>
                <c:pt idx="20">
                  <c:v>Poľsko</c:v>
                </c:pt>
                <c:pt idx="21">
                  <c:v>Slovensko</c:v>
                </c:pt>
                <c:pt idx="22">
                  <c:v>Maďarsko</c:v>
                </c:pt>
                <c:pt idx="23">
                  <c:v>Litva</c:v>
                </c:pt>
                <c:pt idx="24">
                  <c:v>Lotyšsko</c:v>
                </c:pt>
                <c:pt idx="25">
                  <c:v>Bulharsko</c:v>
                </c:pt>
                <c:pt idx="26">
                  <c:v>Rumunsko</c:v>
                </c:pt>
              </c:strCache>
            </c:strRef>
          </c:cat>
          <c:val>
            <c:numRef>
              <c:f>'mortalita treat'!$F$53:$F$79</c:f>
              <c:numCache>
                <c:formatCode>General</c:formatCode>
                <c:ptCount val="27"/>
                <c:pt idx="0">
                  <c:v>141</c:v>
                </c:pt>
                <c:pt idx="1">
                  <c:v>141</c:v>
                </c:pt>
                <c:pt idx="2">
                  <c:v>141</c:v>
                </c:pt>
                <c:pt idx="3">
                  <c:v>141</c:v>
                </c:pt>
                <c:pt idx="4">
                  <c:v>141</c:v>
                </c:pt>
                <c:pt idx="5">
                  <c:v>141</c:v>
                </c:pt>
                <c:pt idx="6">
                  <c:v>141</c:v>
                </c:pt>
                <c:pt idx="7">
                  <c:v>141</c:v>
                </c:pt>
                <c:pt idx="8">
                  <c:v>141</c:v>
                </c:pt>
                <c:pt idx="9">
                  <c:v>141</c:v>
                </c:pt>
                <c:pt idx="10">
                  <c:v>141</c:v>
                </c:pt>
                <c:pt idx="11">
                  <c:v>141</c:v>
                </c:pt>
                <c:pt idx="12">
                  <c:v>141</c:v>
                </c:pt>
                <c:pt idx="13">
                  <c:v>141</c:v>
                </c:pt>
                <c:pt idx="14">
                  <c:v>141</c:v>
                </c:pt>
                <c:pt idx="15">
                  <c:v>141</c:v>
                </c:pt>
                <c:pt idx="16">
                  <c:v>141</c:v>
                </c:pt>
                <c:pt idx="17">
                  <c:v>141</c:v>
                </c:pt>
                <c:pt idx="18">
                  <c:v>141</c:v>
                </c:pt>
                <c:pt idx="19">
                  <c:v>141</c:v>
                </c:pt>
                <c:pt idx="20">
                  <c:v>141</c:v>
                </c:pt>
                <c:pt idx="21">
                  <c:v>141</c:v>
                </c:pt>
                <c:pt idx="22">
                  <c:v>141</c:v>
                </c:pt>
                <c:pt idx="23">
                  <c:v>141</c:v>
                </c:pt>
                <c:pt idx="24">
                  <c:v>141</c:v>
                </c:pt>
                <c:pt idx="25">
                  <c:v>141</c:v>
                </c:pt>
                <c:pt idx="26">
                  <c:v>141</c:v>
                </c:pt>
              </c:numCache>
            </c:numRef>
          </c:val>
          <c:smooth val="0"/>
          <c:extLst>
            <c:ext xmlns:c16="http://schemas.microsoft.com/office/drawing/2014/chart" uri="{C3380CC4-5D6E-409C-BE32-E72D297353CC}">
              <c16:uniqueId val="{00000005-8A50-4465-82F9-C62528F710BA}"/>
            </c:ext>
          </c:extLst>
        </c:ser>
        <c:dLbls>
          <c:showLegendKey val="0"/>
          <c:showVal val="0"/>
          <c:showCatName val="0"/>
          <c:showSerName val="0"/>
          <c:showPercent val="0"/>
          <c:showBubbleSize val="0"/>
        </c:dLbls>
        <c:marker val="1"/>
        <c:smooth val="0"/>
        <c:axId val="1597731967"/>
        <c:axId val="1597735295"/>
      </c:lineChart>
      <c:catAx>
        <c:axId val="159773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97735295"/>
        <c:crosses val="autoZero"/>
        <c:auto val="1"/>
        <c:lblAlgn val="ctr"/>
        <c:lblOffset val="100"/>
        <c:noMultiLvlLbl val="0"/>
      </c:catAx>
      <c:valAx>
        <c:axId val="1597735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97731967"/>
        <c:crosses val="autoZero"/>
        <c:crossBetween val="between"/>
      </c:valAx>
      <c:spPr>
        <a:noFill/>
        <a:ln>
          <a:noFill/>
        </a:ln>
        <a:effectLst/>
      </c:spPr>
    </c:plotArea>
    <c:legend>
      <c:legendPos val="t"/>
      <c:layout>
        <c:manualLayout>
          <c:xMode val="edge"/>
          <c:yMode val="edge"/>
          <c:x val="6.5613048368953875E-2"/>
          <c:y val="6.6105769230769232E-2"/>
          <c:w val="0.76446551323941647"/>
          <c:h val="9.3380432313749248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'mortalita prevent'!$D$52</c:f>
              <c:strCache>
                <c:ptCount val="1"/>
                <c:pt idx="0">
                  <c:v>2019</c:v>
                </c:pt>
              </c:strCache>
            </c:strRef>
          </c:tx>
          <c:spPr>
            <a:solidFill>
              <a:schemeClr val="accent2"/>
            </a:solidFill>
            <a:ln>
              <a:noFill/>
            </a:ln>
            <a:effectLst/>
          </c:spPr>
          <c:invertIfNegative val="0"/>
          <c:dPt>
            <c:idx val="20"/>
            <c:invertIfNegative val="0"/>
            <c:bubble3D val="0"/>
            <c:spPr>
              <a:solidFill>
                <a:schemeClr val="accent6"/>
              </a:solidFill>
              <a:ln>
                <a:noFill/>
              </a:ln>
              <a:effectLst/>
            </c:spPr>
            <c:extLst>
              <c:ext xmlns:c16="http://schemas.microsoft.com/office/drawing/2014/chart" uri="{C3380CC4-5D6E-409C-BE32-E72D297353CC}">
                <c16:uniqueId val="{00000001-52C9-4F9C-8AC4-8CE371D08FB5}"/>
              </c:ext>
            </c:extLst>
          </c:dPt>
          <c:cat>
            <c:strRef>
              <c:f>'mortalita prevent'!$B$53:$B$79</c:f>
              <c:strCache>
                <c:ptCount val="27"/>
                <c:pt idx="0">
                  <c:v>Cyprus</c:v>
                </c:pt>
                <c:pt idx="1">
                  <c:v>Taliansko</c:v>
                </c:pt>
                <c:pt idx="2">
                  <c:v>Malta</c:v>
                </c:pt>
                <c:pt idx="3">
                  <c:v>Španielsko</c:v>
                </c:pt>
                <c:pt idx="4">
                  <c:v>Švédsko</c:v>
                </c:pt>
                <c:pt idx="5">
                  <c:v>Luxembursko</c:v>
                </c:pt>
                <c:pt idx="6">
                  <c:v>Holandsko</c:v>
                </c:pt>
                <c:pt idx="7">
                  <c:v>Írsko</c:v>
                </c:pt>
                <c:pt idx="8">
                  <c:v>Francúzko</c:v>
                </c:pt>
                <c:pt idx="9">
                  <c:v>Portugalsko</c:v>
                </c:pt>
                <c:pt idx="10">
                  <c:v>Grécko</c:v>
                </c:pt>
                <c:pt idx="11">
                  <c:v>Belgicko</c:v>
                </c:pt>
                <c:pt idx="12">
                  <c:v>Nemecko</c:v>
                </c:pt>
                <c:pt idx="13">
                  <c:v>Dánsko</c:v>
                </c:pt>
                <c:pt idx="14">
                  <c:v>Rakúsko</c:v>
                </c:pt>
                <c:pt idx="15">
                  <c:v>Fínsko</c:v>
                </c:pt>
                <c:pt idx="16">
                  <c:v>Slovinsko</c:v>
                </c:pt>
                <c:pt idx="17">
                  <c:v>Česká republika</c:v>
                </c:pt>
                <c:pt idx="18">
                  <c:v>Poľsko</c:v>
                </c:pt>
                <c:pt idx="19">
                  <c:v>Bulharsko</c:v>
                </c:pt>
                <c:pt idx="20">
                  <c:v>Slovensko</c:v>
                </c:pt>
                <c:pt idx="21">
                  <c:v>Chorvátsko</c:v>
                </c:pt>
                <c:pt idx="22">
                  <c:v>Estónsko</c:v>
                </c:pt>
                <c:pt idx="23">
                  <c:v>Litva</c:v>
                </c:pt>
                <c:pt idx="24">
                  <c:v>Rumunsko</c:v>
                </c:pt>
                <c:pt idx="25">
                  <c:v>Lotyšsko</c:v>
                </c:pt>
                <c:pt idx="26">
                  <c:v>Maďarsko</c:v>
                </c:pt>
              </c:strCache>
            </c:strRef>
          </c:cat>
          <c:val>
            <c:numRef>
              <c:f>'mortalita prevent'!$D$53:$D$79</c:f>
              <c:numCache>
                <c:formatCode>0.0</c:formatCode>
                <c:ptCount val="27"/>
                <c:pt idx="0">
                  <c:v>99.81</c:v>
                </c:pt>
                <c:pt idx="1">
                  <c:v>101.16</c:v>
                </c:pt>
                <c:pt idx="2">
                  <c:v>101.91</c:v>
                </c:pt>
                <c:pt idx="3">
                  <c:v>109.95</c:v>
                </c:pt>
                <c:pt idx="4">
                  <c:v>110</c:v>
                </c:pt>
                <c:pt idx="5">
                  <c:v>114.68</c:v>
                </c:pt>
                <c:pt idx="6">
                  <c:v>123.51</c:v>
                </c:pt>
                <c:pt idx="7">
                  <c:v>126.91</c:v>
                </c:pt>
                <c:pt idx="8">
                  <c:v>129.9</c:v>
                </c:pt>
                <c:pt idx="9">
                  <c:v>135.47999999999999</c:v>
                </c:pt>
                <c:pt idx="10">
                  <c:v>138.06</c:v>
                </c:pt>
                <c:pt idx="11">
                  <c:v>142.37</c:v>
                </c:pt>
                <c:pt idx="12">
                  <c:v>149.6</c:v>
                </c:pt>
                <c:pt idx="13">
                  <c:v>151.25</c:v>
                </c:pt>
                <c:pt idx="14">
                  <c:v>151.94</c:v>
                </c:pt>
                <c:pt idx="15">
                  <c:v>153.72999999999999</c:v>
                </c:pt>
                <c:pt idx="16">
                  <c:v>173.33</c:v>
                </c:pt>
                <c:pt idx="17">
                  <c:v>188.3</c:v>
                </c:pt>
                <c:pt idx="18">
                  <c:v>218.5</c:v>
                </c:pt>
                <c:pt idx="19">
                  <c:v>230.8</c:v>
                </c:pt>
                <c:pt idx="20">
                  <c:v>231.1</c:v>
                </c:pt>
                <c:pt idx="21">
                  <c:v>232.61</c:v>
                </c:pt>
                <c:pt idx="22">
                  <c:v>234.11</c:v>
                </c:pt>
                <c:pt idx="23">
                  <c:v>284.95999999999998</c:v>
                </c:pt>
                <c:pt idx="24">
                  <c:v>295.8</c:v>
                </c:pt>
                <c:pt idx="25">
                  <c:v>296.47000000000003</c:v>
                </c:pt>
                <c:pt idx="26">
                  <c:v>315.33</c:v>
                </c:pt>
              </c:numCache>
            </c:numRef>
          </c:val>
          <c:extLst>
            <c:ext xmlns:c16="http://schemas.microsoft.com/office/drawing/2014/chart" uri="{C3380CC4-5D6E-409C-BE32-E72D297353CC}">
              <c16:uniqueId val="{00000002-52C9-4F9C-8AC4-8CE371D08FB5}"/>
            </c:ext>
          </c:extLst>
        </c:ser>
        <c:dLbls>
          <c:showLegendKey val="0"/>
          <c:showVal val="0"/>
          <c:showCatName val="0"/>
          <c:showSerName val="0"/>
          <c:showPercent val="0"/>
          <c:showBubbleSize val="0"/>
        </c:dLbls>
        <c:gapWidth val="100"/>
        <c:axId val="1597731967"/>
        <c:axId val="1597735295"/>
      </c:barChart>
      <c:lineChart>
        <c:grouping val="standard"/>
        <c:varyColors val="0"/>
        <c:ser>
          <c:idx val="0"/>
          <c:order val="0"/>
          <c:tx>
            <c:strRef>
              <c:f>'mortalita prevent'!$C$52</c:f>
              <c:strCache>
                <c:ptCount val="1"/>
                <c:pt idx="0">
                  <c:v>2011</c:v>
                </c:pt>
              </c:strCache>
            </c:strRef>
          </c:tx>
          <c:spPr>
            <a:ln w="28575" cap="rnd">
              <a:noFill/>
              <a:round/>
            </a:ln>
            <a:effectLst/>
          </c:spPr>
          <c:marker>
            <c:symbol val="circle"/>
            <c:size val="5"/>
            <c:spPr>
              <a:solidFill>
                <a:schemeClr val="tx2"/>
              </a:solidFill>
              <a:ln w="9525">
                <a:noFill/>
              </a:ln>
              <a:effectLst/>
            </c:spPr>
          </c:marker>
          <c:cat>
            <c:strRef>
              <c:f>'mortalita prevent'!$B$53:$B$79</c:f>
              <c:strCache>
                <c:ptCount val="27"/>
                <c:pt idx="0">
                  <c:v>Cyprus</c:v>
                </c:pt>
                <c:pt idx="1">
                  <c:v>Taliansko</c:v>
                </c:pt>
                <c:pt idx="2">
                  <c:v>Malta</c:v>
                </c:pt>
                <c:pt idx="3">
                  <c:v>Španielsko</c:v>
                </c:pt>
                <c:pt idx="4">
                  <c:v>Švédsko</c:v>
                </c:pt>
                <c:pt idx="5">
                  <c:v>Luxembursko</c:v>
                </c:pt>
                <c:pt idx="6">
                  <c:v>Holandsko</c:v>
                </c:pt>
                <c:pt idx="7">
                  <c:v>Írsko</c:v>
                </c:pt>
                <c:pt idx="8">
                  <c:v>Francúzko</c:v>
                </c:pt>
                <c:pt idx="9">
                  <c:v>Portugalsko</c:v>
                </c:pt>
                <c:pt idx="10">
                  <c:v>Grécko</c:v>
                </c:pt>
                <c:pt idx="11">
                  <c:v>Belgicko</c:v>
                </c:pt>
                <c:pt idx="12">
                  <c:v>Nemecko</c:v>
                </c:pt>
                <c:pt idx="13">
                  <c:v>Dánsko</c:v>
                </c:pt>
                <c:pt idx="14">
                  <c:v>Rakúsko</c:v>
                </c:pt>
                <c:pt idx="15">
                  <c:v>Fínsko</c:v>
                </c:pt>
                <c:pt idx="16">
                  <c:v>Slovinsko</c:v>
                </c:pt>
                <c:pt idx="17">
                  <c:v>Česká republika</c:v>
                </c:pt>
                <c:pt idx="18">
                  <c:v>Poľsko</c:v>
                </c:pt>
                <c:pt idx="19">
                  <c:v>Bulharsko</c:v>
                </c:pt>
                <c:pt idx="20">
                  <c:v>Slovensko</c:v>
                </c:pt>
                <c:pt idx="21">
                  <c:v>Chorvátsko</c:v>
                </c:pt>
                <c:pt idx="22">
                  <c:v>Estónsko</c:v>
                </c:pt>
                <c:pt idx="23">
                  <c:v>Litva</c:v>
                </c:pt>
                <c:pt idx="24">
                  <c:v>Rumunsko</c:v>
                </c:pt>
                <c:pt idx="25">
                  <c:v>Lotyšsko</c:v>
                </c:pt>
                <c:pt idx="26">
                  <c:v>Maďarsko</c:v>
                </c:pt>
              </c:strCache>
            </c:strRef>
          </c:cat>
          <c:val>
            <c:numRef>
              <c:f>'mortalita prevent'!$C$53:$C$79</c:f>
              <c:numCache>
                <c:formatCode>0.0</c:formatCode>
                <c:ptCount val="27"/>
                <c:pt idx="0">
                  <c:v>108.76</c:v>
                </c:pt>
                <c:pt idx="1">
                  <c:v>124.8</c:v>
                </c:pt>
                <c:pt idx="2">
                  <c:v>133.54</c:v>
                </c:pt>
                <c:pt idx="3">
                  <c:v>128.19999999999999</c:v>
                </c:pt>
                <c:pt idx="4">
                  <c:v>127.65</c:v>
                </c:pt>
                <c:pt idx="5">
                  <c:v>150</c:v>
                </c:pt>
                <c:pt idx="6">
                  <c:v>141.37</c:v>
                </c:pt>
                <c:pt idx="7">
                  <c:v>157.72</c:v>
                </c:pt>
                <c:pt idx="8">
                  <c:v>147.19</c:v>
                </c:pt>
                <c:pt idx="9">
                  <c:v>149.25</c:v>
                </c:pt>
                <c:pt idx="10">
                  <c:v>148.68</c:v>
                </c:pt>
                <c:pt idx="11">
                  <c:v>172.38</c:v>
                </c:pt>
                <c:pt idx="12">
                  <c:v>163.44999999999999</c:v>
                </c:pt>
                <c:pt idx="13">
                  <c:v>183.37</c:v>
                </c:pt>
                <c:pt idx="14">
                  <c:v>168.77</c:v>
                </c:pt>
                <c:pt idx="15">
                  <c:v>188.04</c:v>
                </c:pt>
                <c:pt idx="16">
                  <c:v>208.67</c:v>
                </c:pt>
                <c:pt idx="17">
                  <c:v>225.72</c:v>
                </c:pt>
                <c:pt idx="18">
                  <c:v>246.29</c:v>
                </c:pt>
                <c:pt idx="19">
                  <c:v>222.86</c:v>
                </c:pt>
                <c:pt idx="20">
                  <c:v>280.04000000000002</c:v>
                </c:pt>
                <c:pt idx="21">
                  <c:v>260.04000000000002</c:v>
                </c:pt>
                <c:pt idx="22">
                  <c:v>301.67</c:v>
                </c:pt>
                <c:pt idx="23">
                  <c:v>380.89</c:v>
                </c:pt>
                <c:pt idx="24">
                  <c:v>338.76</c:v>
                </c:pt>
                <c:pt idx="25">
                  <c:v>369.91</c:v>
                </c:pt>
                <c:pt idx="26">
                  <c:v>358.54</c:v>
                </c:pt>
              </c:numCache>
            </c:numRef>
          </c:val>
          <c:smooth val="0"/>
          <c:extLst>
            <c:ext xmlns:c16="http://schemas.microsoft.com/office/drawing/2014/chart" uri="{C3380CC4-5D6E-409C-BE32-E72D297353CC}">
              <c16:uniqueId val="{00000003-52C9-4F9C-8AC4-8CE371D08FB5}"/>
            </c:ext>
          </c:extLst>
        </c:ser>
        <c:ser>
          <c:idx val="2"/>
          <c:order val="2"/>
          <c:tx>
            <c:strRef>
              <c:f>'mortalita prevent'!$E$52</c:f>
              <c:strCache>
                <c:ptCount val="1"/>
                <c:pt idx="0">
                  <c:v>priemer krajín EÚ27 2019</c:v>
                </c:pt>
              </c:strCache>
            </c:strRef>
          </c:tx>
          <c:spPr>
            <a:ln w="25400" cap="rnd">
              <a:solidFill>
                <a:schemeClr val="accent3"/>
              </a:solidFill>
              <a:prstDash val="sysDash"/>
              <a:round/>
            </a:ln>
            <a:effectLst/>
          </c:spPr>
          <c:marker>
            <c:symbol val="none"/>
          </c:marker>
          <c:cat>
            <c:strRef>
              <c:f>'mortalita prevent'!$B$53:$B$79</c:f>
              <c:strCache>
                <c:ptCount val="27"/>
                <c:pt idx="0">
                  <c:v>Cyprus</c:v>
                </c:pt>
                <c:pt idx="1">
                  <c:v>Taliansko</c:v>
                </c:pt>
                <c:pt idx="2">
                  <c:v>Malta</c:v>
                </c:pt>
                <c:pt idx="3">
                  <c:v>Španielsko</c:v>
                </c:pt>
                <c:pt idx="4">
                  <c:v>Švédsko</c:v>
                </c:pt>
                <c:pt idx="5">
                  <c:v>Luxembursko</c:v>
                </c:pt>
                <c:pt idx="6">
                  <c:v>Holandsko</c:v>
                </c:pt>
                <c:pt idx="7">
                  <c:v>Írsko</c:v>
                </c:pt>
                <c:pt idx="8">
                  <c:v>Francúzko</c:v>
                </c:pt>
                <c:pt idx="9">
                  <c:v>Portugalsko</c:v>
                </c:pt>
                <c:pt idx="10">
                  <c:v>Grécko</c:v>
                </c:pt>
                <c:pt idx="11">
                  <c:v>Belgicko</c:v>
                </c:pt>
                <c:pt idx="12">
                  <c:v>Nemecko</c:v>
                </c:pt>
                <c:pt idx="13">
                  <c:v>Dánsko</c:v>
                </c:pt>
                <c:pt idx="14">
                  <c:v>Rakúsko</c:v>
                </c:pt>
                <c:pt idx="15">
                  <c:v>Fínsko</c:v>
                </c:pt>
                <c:pt idx="16">
                  <c:v>Slovinsko</c:v>
                </c:pt>
                <c:pt idx="17">
                  <c:v>Česká republika</c:v>
                </c:pt>
                <c:pt idx="18">
                  <c:v>Poľsko</c:v>
                </c:pt>
                <c:pt idx="19">
                  <c:v>Bulharsko</c:v>
                </c:pt>
                <c:pt idx="20">
                  <c:v>Slovensko</c:v>
                </c:pt>
                <c:pt idx="21">
                  <c:v>Chorvátsko</c:v>
                </c:pt>
                <c:pt idx="22">
                  <c:v>Estónsko</c:v>
                </c:pt>
                <c:pt idx="23">
                  <c:v>Litva</c:v>
                </c:pt>
                <c:pt idx="24">
                  <c:v>Rumunsko</c:v>
                </c:pt>
                <c:pt idx="25">
                  <c:v>Lotyšsko</c:v>
                </c:pt>
                <c:pt idx="26">
                  <c:v>Maďarsko</c:v>
                </c:pt>
              </c:strCache>
            </c:strRef>
          </c:cat>
          <c:val>
            <c:numRef>
              <c:f>'mortalita prevent'!$E$53:$E$79</c:f>
              <c:numCache>
                <c:formatCode>0.0</c:formatCode>
                <c:ptCount val="27"/>
                <c:pt idx="0">
                  <c:v>175.61370370370372</c:v>
                </c:pt>
                <c:pt idx="1">
                  <c:v>175.61370370370372</c:v>
                </c:pt>
                <c:pt idx="2">
                  <c:v>175.61370370370372</c:v>
                </c:pt>
                <c:pt idx="3">
                  <c:v>175.61370370370372</c:v>
                </c:pt>
                <c:pt idx="4">
                  <c:v>175.61370370370372</c:v>
                </c:pt>
                <c:pt idx="5">
                  <c:v>175.61370370370372</c:v>
                </c:pt>
                <c:pt idx="6">
                  <c:v>175.61370370370372</c:v>
                </c:pt>
                <c:pt idx="7">
                  <c:v>175.61370370370372</c:v>
                </c:pt>
                <c:pt idx="8">
                  <c:v>175.61370370370372</c:v>
                </c:pt>
                <c:pt idx="9">
                  <c:v>175.61370370370372</c:v>
                </c:pt>
                <c:pt idx="10">
                  <c:v>175.61370370370372</c:v>
                </c:pt>
                <c:pt idx="11">
                  <c:v>175.61370370370372</c:v>
                </c:pt>
                <c:pt idx="12">
                  <c:v>175.61370370370372</c:v>
                </c:pt>
                <c:pt idx="13">
                  <c:v>175.61370370370372</c:v>
                </c:pt>
                <c:pt idx="14">
                  <c:v>175.61370370370372</c:v>
                </c:pt>
                <c:pt idx="15">
                  <c:v>175.61370370370372</c:v>
                </c:pt>
                <c:pt idx="16">
                  <c:v>175.61370370370372</c:v>
                </c:pt>
                <c:pt idx="17">
                  <c:v>175.61370370370372</c:v>
                </c:pt>
                <c:pt idx="18">
                  <c:v>175.61370370370372</c:v>
                </c:pt>
                <c:pt idx="19">
                  <c:v>175.61370370370372</c:v>
                </c:pt>
                <c:pt idx="20">
                  <c:v>175.61370370370372</c:v>
                </c:pt>
                <c:pt idx="21">
                  <c:v>175.61370370370372</c:v>
                </c:pt>
                <c:pt idx="22">
                  <c:v>175.61370370370372</c:v>
                </c:pt>
                <c:pt idx="23">
                  <c:v>175.61370370370372</c:v>
                </c:pt>
                <c:pt idx="24">
                  <c:v>175.61370370370372</c:v>
                </c:pt>
                <c:pt idx="25">
                  <c:v>175.61370370370372</c:v>
                </c:pt>
                <c:pt idx="26">
                  <c:v>175.61370370370372</c:v>
                </c:pt>
              </c:numCache>
            </c:numRef>
          </c:val>
          <c:smooth val="0"/>
          <c:extLst>
            <c:ext xmlns:c16="http://schemas.microsoft.com/office/drawing/2014/chart" uri="{C3380CC4-5D6E-409C-BE32-E72D297353CC}">
              <c16:uniqueId val="{00000004-52C9-4F9C-8AC4-8CE371D08FB5}"/>
            </c:ext>
          </c:extLst>
        </c:ser>
        <c:ser>
          <c:idx val="3"/>
          <c:order val="3"/>
          <c:tx>
            <c:strRef>
              <c:f>'mortalita prevent'!$F$52</c:f>
              <c:strCache>
                <c:ptCount val="1"/>
                <c:pt idx="0">
                  <c:v>Cieľ 2025</c:v>
                </c:pt>
              </c:strCache>
            </c:strRef>
          </c:tx>
          <c:spPr>
            <a:ln w="25400" cap="rnd">
              <a:solidFill>
                <a:schemeClr val="accent5"/>
              </a:solidFill>
              <a:prstDash val="sysDash"/>
              <a:round/>
            </a:ln>
            <a:effectLst/>
          </c:spPr>
          <c:marker>
            <c:symbol val="none"/>
          </c:marker>
          <c:cat>
            <c:strRef>
              <c:f>'mortalita prevent'!$B$53:$B$79</c:f>
              <c:strCache>
                <c:ptCount val="27"/>
                <c:pt idx="0">
                  <c:v>Cyprus</c:v>
                </c:pt>
                <c:pt idx="1">
                  <c:v>Taliansko</c:v>
                </c:pt>
                <c:pt idx="2">
                  <c:v>Malta</c:v>
                </c:pt>
                <c:pt idx="3">
                  <c:v>Španielsko</c:v>
                </c:pt>
                <c:pt idx="4">
                  <c:v>Švédsko</c:v>
                </c:pt>
                <c:pt idx="5">
                  <c:v>Luxembursko</c:v>
                </c:pt>
                <c:pt idx="6">
                  <c:v>Holandsko</c:v>
                </c:pt>
                <c:pt idx="7">
                  <c:v>Írsko</c:v>
                </c:pt>
                <c:pt idx="8">
                  <c:v>Francúzko</c:v>
                </c:pt>
                <c:pt idx="9">
                  <c:v>Portugalsko</c:v>
                </c:pt>
                <c:pt idx="10">
                  <c:v>Grécko</c:v>
                </c:pt>
                <c:pt idx="11">
                  <c:v>Belgicko</c:v>
                </c:pt>
                <c:pt idx="12">
                  <c:v>Nemecko</c:v>
                </c:pt>
                <c:pt idx="13">
                  <c:v>Dánsko</c:v>
                </c:pt>
                <c:pt idx="14">
                  <c:v>Rakúsko</c:v>
                </c:pt>
                <c:pt idx="15">
                  <c:v>Fínsko</c:v>
                </c:pt>
                <c:pt idx="16">
                  <c:v>Slovinsko</c:v>
                </c:pt>
                <c:pt idx="17">
                  <c:v>Česká republika</c:v>
                </c:pt>
                <c:pt idx="18">
                  <c:v>Poľsko</c:v>
                </c:pt>
                <c:pt idx="19">
                  <c:v>Bulharsko</c:v>
                </c:pt>
                <c:pt idx="20">
                  <c:v>Slovensko</c:v>
                </c:pt>
                <c:pt idx="21">
                  <c:v>Chorvátsko</c:v>
                </c:pt>
                <c:pt idx="22">
                  <c:v>Estónsko</c:v>
                </c:pt>
                <c:pt idx="23">
                  <c:v>Litva</c:v>
                </c:pt>
                <c:pt idx="24">
                  <c:v>Rumunsko</c:v>
                </c:pt>
                <c:pt idx="25">
                  <c:v>Lotyšsko</c:v>
                </c:pt>
                <c:pt idx="26">
                  <c:v>Maďarsko</c:v>
                </c:pt>
              </c:strCache>
            </c:strRef>
          </c:cat>
          <c:val>
            <c:numRef>
              <c:f>'mortalita prevent'!$F$53:$F$79</c:f>
              <c:numCache>
                <c:formatCode>General</c:formatCode>
                <c:ptCount val="27"/>
                <c:pt idx="0">
                  <c:v>202</c:v>
                </c:pt>
                <c:pt idx="1">
                  <c:v>202</c:v>
                </c:pt>
                <c:pt idx="2">
                  <c:v>202</c:v>
                </c:pt>
                <c:pt idx="3">
                  <c:v>202</c:v>
                </c:pt>
                <c:pt idx="4">
                  <c:v>202</c:v>
                </c:pt>
                <c:pt idx="5">
                  <c:v>202</c:v>
                </c:pt>
                <c:pt idx="6">
                  <c:v>202</c:v>
                </c:pt>
                <c:pt idx="7">
                  <c:v>202</c:v>
                </c:pt>
                <c:pt idx="8">
                  <c:v>202</c:v>
                </c:pt>
                <c:pt idx="9">
                  <c:v>202</c:v>
                </c:pt>
                <c:pt idx="10">
                  <c:v>202</c:v>
                </c:pt>
                <c:pt idx="11">
                  <c:v>202</c:v>
                </c:pt>
                <c:pt idx="12">
                  <c:v>202</c:v>
                </c:pt>
                <c:pt idx="13">
                  <c:v>202</c:v>
                </c:pt>
                <c:pt idx="14">
                  <c:v>202</c:v>
                </c:pt>
                <c:pt idx="15">
                  <c:v>202</c:v>
                </c:pt>
                <c:pt idx="16">
                  <c:v>202</c:v>
                </c:pt>
                <c:pt idx="17">
                  <c:v>202</c:v>
                </c:pt>
                <c:pt idx="18">
                  <c:v>202</c:v>
                </c:pt>
                <c:pt idx="19">
                  <c:v>202</c:v>
                </c:pt>
                <c:pt idx="20">
                  <c:v>202</c:v>
                </c:pt>
                <c:pt idx="21">
                  <c:v>202</c:v>
                </c:pt>
                <c:pt idx="22">
                  <c:v>202</c:v>
                </c:pt>
                <c:pt idx="23">
                  <c:v>202</c:v>
                </c:pt>
                <c:pt idx="24">
                  <c:v>202</c:v>
                </c:pt>
                <c:pt idx="25">
                  <c:v>202</c:v>
                </c:pt>
                <c:pt idx="26">
                  <c:v>202</c:v>
                </c:pt>
              </c:numCache>
            </c:numRef>
          </c:val>
          <c:smooth val="0"/>
          <c:extLst>
            <c:ext xmlns:c16="http://schemas.microsoft.com/office/drawing/2014/chart" uri="{C3380CC4-5D6E-409C-BE32-E72D297353CC}">
              <c16:uniqueId val="{00000005-52C9-4F9C-8AC4-8CE371D08FB5}"/>
            </c:ext>
          </c:extLst>
        </c:ser>
        <c:dLbls>
          <c:showLegendKey val="0"/>
          <c:showVal val="0"/>
          <c:showCatName val="0"/>
          <c:showSerName val="0"/>
          <c:showPercent val="0"/>
          <c:showBubbleSize val="0"/>
        </c:dLbls>
        <c:marker val="1"/>
        <c:smooth val="0"/>
        <c:axId val="1597731967"/>
        <c:axId val="1597735295"/>
      </c:lineChart>
      <c:catAx>
        <c:axId val="159773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97735295"/>
        <c:crosses val="autoZero"/>
        <c:auto val="1"/>
        <c:lblAlgn val="ctr"/>
        <c:lblOffset val="100"/>
        <c:noMultiLvlLbl val="0"/>
      </c:catAx>
      <c:valAx>
        <c:axId val="1597735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97731967"/>
        <c:crosses val="autoZero"/>
        <c:crossBetween val="between"/>
      </c:valAx>
      <c:spPr>
        <a:noFill/>
        <a:ln>
          <a:noFill/>
        </a:ln>
        <a:effectLst/>
      </c:spPr>
    </c:plotArea>
    <c:legend>
      <c:legendPos val="t"/>
      <c:layout>
        <c:manualLayout>
          <c:xMode val="edge"/>
          <c:yMode val="edge"/>
          <c:x val="5.996234166381377E-2"/>
          <c:y val="6.0096153846153848E-2"/>
          <c:w val="0.76685067899121306"/>
          <c:h val="8.136120154451848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 12'!$B$3</c:f>
              <c:strCache>
                <c:ptCount val="1"/>
                <c:pt idx="0">
                  <c:v>Záväzky v lehote splatnosti</c:v>
                </c:pt>
              </c:strCache>
            </c:strRef>
          </c:tx>
          <c:spPr>
            <a:solidFill>
              <a:schemeClr val="bg2"/>
            </a:solidFill>
            <a:ln>
              <a:noFill/>
            </a:ln>
            <a:effectLst/>
          </c:spPr>
          <c:invertIfNegative val="0"/>
          <c:dLbls>
            <c:spPr>
              <a:noFill/>
              <a:ln>
                <a:noFill/>
              </a:ln>
              <a:effectLst/>
            </c:spPr>
            <c:txPr>
              <a:bodyPr rot="0" spcFirstLastPara="1" vertOverflow="ellipsis" vert="horz" wrap="square" lIns="0" tIns="19050" rIns="180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'Graf 12'!$C$2:$L$2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'Graf 12'!$C$3:$L$3</c:f>
              <c:numCache>
                <c:formatCode>#\ ##0.0</c:formatCode>
                <c:ptCount val="10"/>
                <c:pt idx="0">
                  <c:v>128.98500000000001</c:v>
                </c:pt>
                <c:pt idx="1">
                  <c:v>118.191</c:v>
                </c:pt>
                <c:pt idx="2">
                  <c:v>120.205</c:v>
                </c:pt>
                <c:pt idx="3">
                  <c:v>123.32899999999999</c:v>
                </c:pt>
                <c:pt idx="4">
                  <c:v>127.621</c:v>
                </c:pt>
                <c:pt idx="5">
                  <c:v>156.16800000000001</c:v>
                </c:pt>
                <c:pt idx="6">
                  <c:v>206.20400000000001</c:v>
                </c:pt>
                <c:pt idx="7">
                  <c:v>241.7</c:v>
                </c:pt>
                <c:pt idx="8">
                  <c:v>306.10000000000002</c:v>
                </c:pt>
                <c:pt idx="9">
                  <c:v>271.5</c:v>
                </c:pt>
              </c:numCache>
            </c:numRef>
          </c:val>
          <c:extLst>
            <c:ext xmlns:c16="http://schemas.microsoft.com/office/drawing/2014/chart" uri="{C3380CC4-5D6E-409C-BE32-E72D297353CC}">
              <c16:uniqueId val="{00000000-002A-4355-B290-4F4F13DBBCBA}"/>
            </c:ext>
          </c:extLst>
        </c:ser>
        <c:ser>
          <c:idx val="1"/>
          <c:order val="1"/>
          <c:tx>
            <c:strRef>
              <c:f>'Graf 12'!$B$4</c:f>
              <c:strCache>
                <c:ptCount val="1"/>
                <c:pt idx="0">
                  <c:v>Záväzky po lehote splatnosti</c:v>
                </c:pt>
              </c:strCache>
            </c:strRef>
          </c:tx>
          <c:spPr>
            <a:solidFill>
              <a:schemeClr val="tx2"/>
            </a:solidFill>
            <a:ln>
              <a:noFill/>
            </a:ln>
            <a:effectLst/>
          </c:spPr>
          <c:invertIfNegative val="0"/>
          <c:dLbls>
            <c:dLbl>
              <c:idx val="0"/>
              <c:layout>
                <c:manualLayout>
                  <c:x val="-1.5001432428443689E-4"/>
                  <c:y val="-0.51015705004087608"/>
                </c:manualLayout>
              </c:layout>
              <c:tx>
                <c:rich>
                  <a:bodyPr/>
                  <a:lstStyle/>
                  <a:p>
                    <a:fld id="{F4072636-ED5E-466D-8203-E577EA242022}"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02A-4355-B290-4F4F13DBBCBA}"/>
                </c:ext>
              </c:extLst>
            </c:dLbl>
            <c:dLbl>
              <c:idx val="1"/>
              <c:layout>
                <c:manualLayout>
                  <c:x val="-4.0425846852367784E-17"/>
                  <c:y val="-0.49132481390645844"/>
                </c:manualLayout>
              </c:layout>
              <c:tx>
                <c:rich>
                  <a:bodyPr/>
                  <a:lstStyle/>
                  <a:p>
                    <a:fld id="{250F16DD-48C1-4066-B5D2-A7E7EC5885F0}"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02A-4355-B290-4F4F13DBBCBA}"/>
                </c:ext>
              </c:extLst>
            </c:dLbl>
            <c:dLbl>
              <c:idx val="2"/>
              <c:layout>
                <c:manualLayout>
                  <c:x val="0"/>
                  <c:y val="-0.45290348952282605"/>
                </c:manualLayout>
              </c:layout>
              <c:tx>
                <c:rich>
                  <a:bodyPr/>
                  <a:lstStyle/>
                  <a:p>
                    <a:fld id="{4AC6199F-DDC5-4A74-9F6D-A030EAF16CF5}"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02A-4355-B290-4F4F13DBBCBA}"/>
                </c:ext>
              </c:extLst>
            </c:dLbl>
            <c:dLbl>
              <c:idx val="3"/>
              <c:layout>
                <c:manualLayout>
                  <c:x val="0"/>
                  <c:y val="-0.42616754872854007"/>
                </c:manualLayout>
              </c:layout>
              <c:tx>
                <c:rich>
                  <a:bodyPr/>
                  <a:lstStyle/>
                  <a:p>
                    <a:fld id="{B77FBAD4-F940-436F-8828-9BB0B0250B7B}"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02A-4355-B290-4F4F13DBBCBA}"/>
                </c:ext>
              </c:extLst>
            </c:dLbl>
            <c:dLbl>
              <c:idx val="4"/>
              <c:layout>
                <c:manualLayout>
                  <c:x val="0"/>
                  <c:y val="-0.38925949830041734"/>
                </c:manualLayout>
              </c:layout>
              <c:tx>
                <c:rich>
                  <a:bodyPr/>
                  <a:lstStyle/>
                  <a:p>
                    <a:fld id="{0F65424F-E7D8-4B4A-B424-F0A06AE7ADED}"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002A-4355-B290-4F4F13DBBCBA}"/>
                </c:ext>
              </c:extLst>
            </c:dLbl>
            <c:dLbl>
              <c:idx val="5"/>
              <c:layout>
                <c:manualLayout>
                  <c:x val="0"/>
                  <c:y val="-0.36571877285831073"/>
                </c:manualLayout>
              </c:layout>
              <c:tx>
                <c:rich>
                  <a:bodyPr/>
                  <a:lstStyle/>
                  <a:p>
                    <a:fld id="{65433CC7-C185-496A-B049-5888BE983DFC}"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02A-4355-B290-4F4F13DBBCBA}"/>
                </c:ext>
              </c:extLst>
            </c:dLbl>
            <c:dLbl>
              <c:idx val="6"/>
              <c:layout>
                <c:manualLayout>
                  <c:x val="-8.0851693704735569E-17"/>
                  <c:y val="-0.37513489092551955"/>
                </c:manualLayout>
              </c:layout>
              <c:tx>
                <c:rich>
                  <a:bodyPr/>
                  <a:lstStyle/>
                  <a:p>
                    <a:fld id="{69BAAA5D-206D-43CD-8EA1-F996F5C3519F}"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002A-4355-B290-4F4F13DBBCBA}"/>
                </c:ext>
              </c:extLst>
            </c:dLbl>
            <c:dLbl>
              <c:idx val="7"/>
              <c:layout>
                <c:manualLayout>
                  <c:x val="-8.0851693704735569E-17"/>
                  <c:y val="-0.32729787874876298"/>
                </c:manualLayout>
              </c:layout>
              <c:tx>
                <c:rich>
                  <a:bodyPr/>
                  <a:lstStyle/>
                  <a:p>
                    <a:fld id="{850E4FDA-5BB8-4A95-A860-9965738B936D}"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002A-4355-B290-4F4F13DBBCBA}"/>
                </c:ext>
              </c:extLst>
            </c:dLbl>
            <c:dLbl>
              <c:idx val="8"/>
              <c:layout>
                <c:manualLayout>
                  <c:x val="0"/>
                  <c:y val="-0.26836158192090398"/>
                </c:manualLayout>
              </c:layout>
              <c:tx>
                <c:rich>
                  <a:bodyPr/>
                  <a:lstStyle/>
                  <a:p>
                    <a:fld id="{79B9F124-21AC-427A-AEC6-1CD0176DE009}"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002A-4355-B290-4F4F13DBBCBA}"/>
                </c:ext>
              </c:extLst>
            </c:dLbl>
            <c:dLbl>
              <c:idx val="9"/>
              <c:layout>
                <c:manualLayout>
                  <c:x val="0"/>
                  <c:y val="-0.29114581988726818"/>
                </c:manualLayout>
              </c:layout>
              <c:tx>
                <c:rich>
                  <a:bodyPr/>
                  <a:lstStyle/>
                  <a:p>
                    <a:fld id="{80F7C1C6-70D6-4686-9E3E-D2F1D370E76A}"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002A-4355-B290-4F4F13DBBCBA}"/>
                </c:ext>
              </c:extLst>
            </c:dLbl>
            <c:spPr>
              <a:noFill/>
              <a:ln>
                <a:solidFill>
                  <a:schemeClr val="accent1"/>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 12'!$C$2:$L$2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'Graf 12'!$C$4:$L$4</c:f>
              <c:numCache>
                <c:formatCode>#\ ##0.0</c:formatCode>
                <c:ptCount val="10"/>
                <c:pt idx="0">
                  <c:v>236.82499999999999</c:v>
                </c:pt>
                <c:pt idx="1">
                  <c:v>317.85599999999999</c:v>
                </c:pt>
                <c:pt idx="2">
                  <c:v>426.923</c:v>
                </c:pt>
                <c:pt idx="3">
                  <c:v>527.16499999999996</c:v>
                </c:pt>
                <c:pt idx="4">
                  <c:v>646.38900000000001</c:v>
                </c:pt>
                <c:pt idx="5">
                  <c:v>656.34799999999996</c:v>
                </c:pt>
                <c:pt idx="6">
                  <c:v>529.77</c:v>
                </c:pt>
                <c:pt idx="7">
                  <c:v>593.20000000000005</c:v>
                </c:pt>
                <c:pt idx="8">
                  <c:v>694.6</c:v>
                </c:pt>
                <c:pt idx="9">
                  <c:v>661.7</c:v>
                </c:pt>
              </c:numCache>
            </c:numRef>
          </c:val>
          <c:extLst>
            <c:ext xmlns:c15="http://schemas.microsoft.com/office/drawing/2012/chart" uri="{02D57815-91ED-43cb-92C2-25804820EDAC}">
              <c15:datalabelsRange>
                <c15:f>'Graf 12'!$C$5:$L$5</c15:f>
                <c15:dlblRangeCache>
                  <c:ptCount val="10"/>
                  <c:pt idx="0">
                    <c:v>365,8</c:v>
                  </c:pt>
                  <c:pt idx="1">
                    <c:v>436,0</c:v>
                  </c:pt>
                  <c:pt idx="2">
                    <c:v>547,1</c:v>
                  </c:pt>
                  <c:pt idx="3">
                    <c:v>650,5</c:v>
                  </c:pt>
                  <c:pt idx="4">
                    <c:v>774,0</c:v>
                  </c:pt>
                  <c:pt idx="5">
                    <c:v>812,5</c:v>
                  </c:pt>
                  <c:pt idx="6">
                    <c:v>736,0</c:v>
                  </c:pt>
                  <c:pt idx="7">
                    <c:v>834,9</c:v>
                  </c:pt>
                  <c:pt idx="8">
                    <c:v>1 000,7</c:v>
                  </c:pt>
                  <c:pt idx="9">
                    <c:v>933,2</c:v>
                  </c:pt>
                </c15:dlblRangeCache>
              </c15:datalabelsRange>
            </c:ext>
            <c:ext xmlns:c16="http://schemas.microsoft.com/office/drawing/2014/chart" uri="{C3380CC4-5D6E-409C-BE32-E72D297353CC}">
              <c16:uniqueId val="{0000000B-002A-4355-B290-4F4F13DBBCBA}"/>
            </c:ext>
          </c:extLst>
        </c:ser>
        <c:dLbls>
          <c:showLegendKey val="0"/>
          <c:showVal val="0"/>
          <c:showCatName val="0"/>
          <c:showSerName val="0"/>
          <c:showPercent val="0"/>
          <c:showBubbleSize val="0"/>
        </c:dLbls>
        <c:gapWidth val="100"/>
        <c:overlap val="100"/>
        <c:axId val="134804976"/>
        <c:axId val="134811632"/>
      </c:barChart>
      <c:catAx>
        <c:axId val="13480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4811632"/>
        <c:crosses val="autoZero"/>
        <c:auto val="1"/>
        <c:lblAlgn val="ctr"/>
        <c:lblOffset val="100"/>
        <c:noMultiLvlLbl val="0"/>
      </c:catAx>
      <c:valAx>
        <c:axId val="134811632"/>
        <c:scaling>
          <c:orientation val="minMax"/>
          <c:max val="1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4804976"/>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Hárok1!$C$1</c:f>
              <c:strCache>
                <c:ptCount val="1"/>
                <c:pt idx="0">
                  <c:v>2021 R</c:v>
                </c:pt>
              </c:strCache>
            </c:strRef>
          </c:tx>
          <c:spPr>
            <a:solidFill>
              <a:schemeClr val="accent1"/>
            </a:solidFill>
            <a:ln>
              <a:noFill/>
            </a:ln>
            <a:effectLst/>
          </c:spPr>
          <c:invertIfNegative val="0"/>
          <c:cat>
            <c:strRef>
              <c:f>Hárok1!$B$2:$B$6</c:f>
              <c:strCache>
                <c:ptCount val="3"/>
                <c:pt idx="0">
                  <c:v>VŠ vzdelávanie a veda, sociálna podpora študentov VŠ</c:v>
                </c:pt>
                <c:pt idx="1">
                  <c:v>Národný program výchovy, vzdelávania a mládeže</c:v>
                </c:pt>
                <c:pt idx="2">
                  <c:v>OP Integrovaná infraštruktúra</c:v>
                </c:pt>
              </c:strCache>
              <c:extLst/>
            </c:strRef>
          </c:cat>
          <c:val>
            <c:numRef>
              <c:f>Hárok1!$C$2:$C$6</c:f>
              <c:numCache>
                <c:formatCode>_-* #\ ##0_-;\-* #\ ##0_-;_-* "-"??_-;_-@_-</c:formatCode>
                <c:ptCount val="3"/>
                <c:pt idx="0">
                  <c:v>588.56696699999998</c:v>
                </c:pt>
                <c:pt idx="1">
                  <c:v>773.11456899999996</c:v>
                </c:pt>
                <c:pt idx="2">
                  <c:v>103.79776099999999</c:v>
                </c:pt>
              </c:numCache>
              <c:extLst/>
            </c:numRef>
          </c:val>
          <c:extLst>
            <c:ext xmlns:c16="http://schemas.microsoft.com/office/drawing/2014/chart" uri="{C3380CC4-5D6E-409C-BE32-E72D297353CC}">
              <c16:uniqueId val="{00000000-876B-4C01-A699-8B055CB93895}"/>
            </c:ext>
          </c:extLst>
        </c:ser>
        <c:ser>
          <c:idx val="1"/>
          <c:order val="1"/>
          <c:tx>
            <c:strRef>
              <c:f>Hárok1!$D$1</c:f>
              <c:strCache>
                <c:ptCount val="1"/>
                <c:pt idx="0">
                  <c:v>2021 S</c:v>
                </c:pt>
              </c:strCache>
            </c:strRef>
          </c:tx>
          <c:spPr>
            <a:solidFill>
              <a:schemeClr val="accent2"/>
            </a:solidFill>
            <a:ln>
              <a:noFill/>
            </a:ln>
            <a:effectLst/>
          </c:spPr>
          <c:invertIfNegative val="0"/>
          <c:cat>
            <c:strRef>
              <c:f>Hárok1!$B$2:$B$6</c:f>
              <c:strCache>
                <c:ptCount val="3"/>
                <c:pt idx="0">
                  <c:v>VŠ vzdelávanie a veda, sociálna podpora študentov VŠ</c:v>
                </c:pt>
                <c:pt idx="1">
                  <c:v>Národný program výchovy, vzdelávania a mládeže</c:v>
                </c:pt>
                <c:pt idx="2">
                  <c:v>OP Integrovaná infraštruktúra</c:v>
                </c:pt>
              </c:strCache>
              <c:extLst/>
            </c:strRef>
          </c:cat>
          <c:val>
            <c:numRef>
              <c:f>Hárok1!$D$2:$D$6</c:f>
              <c:numCache>
                <c:formatCode>_-* #\ ##0_-;\-* #\ ##0_-;_-* "-"??_-;_-@_-</c:formatCode>
                <c:ptCount val="3"/>
                <c:pt idx="0">
                  <c:v>635.36762511000006</c:v>
                </c:pt>
                <c:pt idx="1">
                  <c:v>620.47877561999996</c:v>
                </c:pt>
                <c:pt idx="2">
                  <c:v>89.215924970000003</c:v>
                </c:pt>
              </c:numCache>
              <c:extLst/>
            </c:numRef>
          </c:val>
          <c:extLst>
            <c:ext xmlns:c16="http://schemas.microsoft.com/office/drawing/2014/chart" uri="{C3380CC4-5D6E-409C-BE32-E72D297353CC}">
              <c16:uniqueId val="{00000001-876B-4C01-A699-8B055CB93895}"/>
            </c:ext>
          </c:extLst>
        </c:ser>
        <c:ser>
          <c:idx val="2"/>
          <c:order val="2"/>
          <c:tx>
            <c:strRef>
              <c:f>Hárok1!$E$1</c:f>
              <c:strCache>
                <c:ptCount val="1"/>
                <c:pt idx="0">
                  <c:v>2022 R</c:v>
                </c:pt>
              </c:strCache>
            </c:strRef>
          </c:tx>
          <c:spPr>
            <a:solidFill>
              <a:schemeClr val="accent3"/>
            </a:solidFill>
            <a:ln>
              <a:noFill/>
            </a:ln>
            <a:effectLst/>
          </c:spPr>
          <c:invertIfNegative val="0"/>
          <c:cat>
            <c:strRef>
              <c:f>Hárok1!$B$2:$B$6</c:f>
              <c:strCache>
                <c:ptCount val="3"/>
                <c:pt idx="0">
                  <c:v>VŠ vzdelávanie a veda, sociálna podpora študentov VŠ</c:v>
                </c:pt>
                <c:pt idx="1">
                  <c:v>Národný program výchovy, vzdelávania a mládeže</c:v>
                </c:pt>
                <c:pt idx="2">
                  <c:v>OP Integrovaná infraštruktúra</c:v>
                </c:pt>
              </c:strCache>
              <c:extLst/>
            </c:strRef>
          </c:cat>
          <c:val>
            <c:numRef>
              <c:f>Hárok1!$E$2:$E$6</c:f>
              <c:numCache>
                <c:formatCode>_-* #\ ##0_-;\-* #\ ##0_-;_-* "-"??_-;_-@_-</c:formatCode>
                <c:ptCount val="3"/>
                <c:pt idx="0">
                  <c:v>600.11803099999997</c:v>
                </c:pt>
                <c:pt idx="1">
                  <c:v>2479.2990359999999</c:v>
                </c:pt>
                <c:pt idx="2">
                  <c:v>180.00957299999999</c:v>
                </c:pt>
              </c:numCache>
              <c:extLst/>
            </c:numRef>
          </c:val>
          <c:extLst>
            <c:ext xmlns:c16="http://schemas.microsoft.com/office/drawing/2014/chart" uri="{C3380CC4-5D6E-409C-BE32-E72D297353CC}">
              <c16:uniqueId val="{00000002-876B-4C01-A699-8B055CB93895}"/>
            </c:ext>
          </c:extLst>
        </c:ser>
        <c:ser>
          <c:idx val="3"/>
          <c:order val="3"/>
          <c:tx>
            <c:strRef>
              <c:f>Hárok1!$F$1</c:f>
              <c:strCache>
                <c:ptCount val="1"/>
                <c:pt idx="0">
                  <c:v>2023 N</c:v>
                </c:pt>
              </c:strCache>
            </c:strRef>
          </c:tx>
          <c:spPr>
            <a:solidFill>
              <a:schemeClr val="accent4"/>
            </a:solidFill>
            <a:ln>
              <a:noFill/>
            </a:ln>
            <a:effectLst/>
          </c:spPr>
          <c:invertIfNegative val="0"/>
          <c:cat>
            <c:strRef>
              <c:f>Hárok1!$B$2:$B$6</c:f>
              <c:strCache>
                <c:ptCount val="3"/>
                <c:pt idx="0">
                  <c:v>VŠ vzdelávanie a veda, sociálna podpora študentov VŠ</c:v>
                </c:pt>
                <c:pt idx="1">
                  <c:v>Národný program výchovy, vzdelávania a mládeže</c:v>
                </c:pt>
                <c:pt idx="2">
                  <c:v>OP Integrovaná infraštruktúra</c:v>
                </c:pt>
              </c:strCache>
              <c:extLst/>
            </c:strRef>
          </c:cat>
          <c:val>
            <c:numRef>
              <c:f>Hárok1!$F$2:$F$6</c:f>
              <c:numCache>
                <c:formatCode>_-* #\ ##0_-;\-* #\ ##0_-;_-* "-"??_-;_-@_-</c:formatCode>
                <c:ptCount val="3"/>
                <c:pt idx="0">
                  <c:v>716.39198099999999</c:v>
                </c:pt>
                <c:pt idx="1">
                  <c:v>2787.130752</c:v>
                </c:pt>
                <c:pt idx="2">
                  <c:v>186.32811899999999</c:v>
                </c:pt>
              </c:numCache>
              <c:extLst/>
            </c:numRef>
          </c:val>
          <c:extLst>
            <c:ext xmlns:c16="http://schemas.microsoft.com/office/drawing/2014/chart" uri="{C3380CC4-5D6E-409C-BE32-E72D297353CC}">
              <c16:uniqueId val="{00000003-876B-4C01-A699-8B055CB93895}"/>
            </c:ext>
          </c:extLst>
        </c:ser>
        <c:dLbls>
          <c:showLegendKey val="0"/>
          <c:showVal val="0"/>
          <c:showCatName val="0"/>
          <c:showSerName val="0"/>
          <c:showPercent val="0"/>
          <c:showBubbleSize val="0"/>
        </c:dLbls>
        <c:gapWidth val="100"/>
        <c:axId val="1839688656"/>
        <c:axId val="1839687408"/>
      </c:barChart>
      <c:catAx>
        <c:axId val="18396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39687408"/>
        <c:crosses val="autoZero"/>
        <c:auto val="1"/>
        <c:lblAlgn val="ctr"/>
        <c:lblOffset val="100"/>
        <c:noMultiLvlLbl val="0"/>
      </c:catAx>
      <c:valAx>
        <c:axId val="183968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3968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'Priemerné mzdy v RŠ'!$B$4</c:f>
              <c:strCache>
                <c:ptCount val="1"/>
                <c:pt idx="0">
                  <c:v>Pedagogickí a odborní zamestnanci</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B530-4E6A-A850-68C8509BA27E}"/>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'Priemerné mzdy v RŠ'!$C$3:$G$3</c:f>
              <c:numCache>
                <c:formatCode>General</c:formatCode>
                <c:ptCount val="5"/>
                <c:pt idx="0">
                  <c:v>2021</c:v>
                </c:pt>
                <c:pt idx="1">
                  <c:v>2022</c:v>
                </c:pt>
                <c:pt idx="2">
                  <c:v>2023</c:v>
                </c:pt>
                <c:pt idx="3">
                  <c:v>2024</c:v>
                </c:pt>
                <c:pt idx="4">
                  <c:v>2025</c:v>
                </c:pt>
              </c:numCache>
            </c:numRef>
          </c:cat>
          <c:val>
            <c:numRef>
              <c:f>'Priemerné mzdy v RŠ'!$C$4:$G$4</c:f>
              <c:numCache>
                <c:formatCode>0.0</c:formatCode>
                <c:ptCount val="5"/>
                <c:pt idx="0" formatCode="General">
                  <c:v>100</c:v>
                </c:pt>
                <c:pt idx="1">
                  <c:v>104.29505119415768</c:v>
                </c:pt>
                <c:pt idx="2">
                  <c:v>116.116</c:v>
                </c:pt>
                <c:pt idx="3">
                  <c:v>116.116</c:v>
                </c:pt>
                <c:pt idx="4">
                  <c:v>116.116</c:v>
                </c:pt>
              </c:numCache>
            </c:numRef>
          </c:val>
          <c:smooth val="0"/>
          <c:extLst>
            <c:ext xmlns:c16="http://schemas.microsoft.com/office/drawing/2014/chart" uri="{C3380CC4-5D6E-409C-BE32-E72D297353CC}">
              <c16:uniqueId val="{00000001-B530-4E6A-A850-68C8509BA27E}"/>
            </c:ext>
          </c:extLst>
        </c:ser>
        <c:ser>
          <c:idx val="1"/>
          <c:order val="1"/>
          <c:tx>
            <c:strRef>
              <c:f>'Priemerné mzdy v RŠ'!$B$5</c:f>
              <c:strCache>
                <c:ptCount val="1"/>
                <c:pt idx="0">
                  <c:v>Hospodárstvo</c:v>
                </c:pt>
              </c:strCache>
            </c:strRef>
          </c:tx>
          <c:spPr>
            <a:ln w="25400" cap="rnd">
              <a:solidFill>
                <a:schemeClr val="accent2"/>
              </a:solidFill>
              <a:round/>
            </a:ln>
            <a:effectLst/>
          </c:spPr>
          <c:marker>
            <c:symbol val="circle"/>
            <c:size val="5"/>
            <c:spPr>
              <a:solidFill>
                <a:schemeClr val="accent2"/>
              </a:solidFill>
              <a:ln w="12700">
                <a:solidFill>
                  <a:schemeClr val="bg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B530-4E6A-A850-68C8509BA27E}"/>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'Priemerné mzdy v RŠ'!$C$3:$G$3</c:f>
              <c:numCache>
                <c:formatCode>General</c:formatCode>
                <c:ptCount val="5"/>
                <c:pt idx="0">
                  <c:v>2021</c:v>
                </c:pt>
                <c:pt idx="1">
                  <c:v>2022</c:v>
                </c:pt>
                <c:pt idx="2">
                  <c:v>2023</c:v>
                </c:pt>
                <c:pt idx="3">
                  <c:v>2024</c:v>
                </c:pt>
                <c:pt idx="4">
                  <c:v>2025</c:v>
                </c:pt>
              </c:numCache>
            </c:numRef>
          </c:cat>
          <c:val>
            <c:numRef>
              <c:f>'Priemerné mzdy v RŠ'!$C$5:$G$5</c:f>
              <c:numCache>
                <c:formatCode>0.0</c:formatCode>
                <c:ptCount val="5"/>
                <c:pt idx="0" formatCode="General">
                  <c:v>100</c:v>
                </c:pt>
                <c:pt idx="1">
                  <c:v>108.3402146985962</c:v>
                </c:pt>
                <c:pt idx="2">
                  <c:v>119.65317919075144</c:v>
                </c:pt>
                <c:pt idx="3">
                  <c:v>128.57142857142856</c:v>
                </c:pt>
                <c:pt idx="4">
                  <c:v>136.33360858794381</c:v>
                </c:pt>
              </c:numCache>
            </c:numRef>
          </c:val>
          <c:smooth val="0"/>
          <c:extLst>
            <c:ext xmlns:c16="http://schemas.microsoft.com/office/drawing/2014/chart" uri="{C3380CC4-5D6E-409C-BE32-E72D297353CC}">
              <c16:uniqueId val="{00000003-B530-4E6A-A850-68C8509BA27E}"/>
            </c:ext>
          </c:extLst>
        </c:ser>
        <c:dLbls>
          <c:showLegendKey val="0"/>
          <c:showVal val="0"/>
          <c:showCatName val="0"/>
          <c:showSerName val="0"/>
          <c:showPercent val="0"/>
          <c:showBubbleSize val="0"/>
        </c:dLbls>
        <c:marker val="1"/>
        <c:smooth val="0"/>
        <c:axId val="321065775"/>
        <c:axId val="374820607"/>
      </c:lineChart>
      <c:catAx>
        <c:axId val="321065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74820607"/>
        <c:crosses val="autoZero"/>
        <c:auto val="1"/>
        <c:lblAlgn val="ctr"/>
        <c:lblOffset val="100"/>
        <c:noMultiLvlLbl val="0"/>
      </c:catAx>
      <c:valAx>
        <c:axId val="374820607"/>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2106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'Priemerné mzdy v RŠ'!$B$9</c:f>
              <c:strCache>
                <c:ptCount val="1"/>
                <c:pt idx="0">
                  <c:v>Pedagogickí a odborní zamestnanci</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2251-4423-9F94-8C45019725E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'Priemerné mzdy v RŠ'!$C$8:$G$8</c:f>
              <c:numCache>
                <c:formatCode>General</c:formatCode>
                <c:ptCount val="5"/>
                <c:pt idx="0">
                  <c:v>2021</c:v>
                </c:pt>
                <c:pt idx="1">
                  <c:v>2022</c:v>
                </c:pt>
                <c:pt idx="2">
                  <c:v>2023</c:v>
                </c:pt>
                <c:pt idx="3">
                  <c:v>2024</c:v>
                </c:pt>
                <c:pt idx="4">
                  <c:v>2025</c:v>
                </c:pt>
              </c:numCache>
            </c:numRef>
          </c:cat>
          <c:val>
            <c:numRef>
              <c:f>'Priemerné mzdy v RŠ'!$C$9:$G$9</c:f>
              <c:numCache>
                <c:formatCode>0.0</c:formatCode>
                <c:ptCount val="5"/>
                <c:pt idx="0" formatCode="General">
                  <c:v>100</c:v>
                </c:pt>
                <c:pt idx="1">
                  <c:v>92.760761578632838</c:v>
                </c:pt>
                <c:pt idx="2">
                  <c:v>91.00750259612596</c:v>
                </c:pt>
                <c:pt idx="3">
                  <c:v>88.011142273125614</c:v>
                </c:pt>
                <c:pt idx="4">
                  <c:v>84.754909317599811</c:v>
                </c:pt>
              </c:numCache>
            </c:numRef>
          </c:val>
          <c:smooth val="0"/>
          <c:extLst>
            <c:ext xmlns:c16="http://schemas.microsoft.com/office/drawing/2014/chart" uri="{C3380CC4-5D6E-409C-BE32-E72D297353CC}">
              <c16:uniqueId val="{00000001-2251-4423-9F94-8C45019725E8}"/>
            </c:ext>
          </c:extLst>
        </c:ser>
        <c:ser>
          <c:idx val="1"/>
          <c:order val="1"/>
          <c:tx>
            <c:strRef>
              <c:f>'Priemerné mzdy v RŠ'!$B$10</c:f>
              <c:strCache>
                <c:ptCount val="1"/>
                <c:pt idx="0">
                  <c:v>Hospodárstvo</c:v>
                </c:pt>
              </c:strCache>
            </c:strRef>
          </c:tx>
          <c:spPr>
            <a:ln w="25400" cap="rnd">
              <a:solidFill>
                <a:schemeClr val="accent2"/>
              </a:solidFill>
              <a:round/>
            </a:ln>
            <a:effectLst/>
          </c:spPr>
          <c:marker>
            <c:symbol val="circle"/>
            <c:size val="5"/>
            <c:spPr>
              <a:solidFill>
                <a:schemeClr val="accent2"/>
              </a:solidFill>
              <a:ln w="12700">
                <a:solidFill>
                  <a:schemeClr val="bg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2251-4423-9F94-8C45019725E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'Priemerné mzdy v RŠ'!$C$8:$G$8</c:f>
              <c:numCache>
                <c:formatCode>General</c:formatCode>
                <c:ptCount val="5"/>
                <c:pt idx="0">
                  <c:v>2021</c:v>
                </c:pt>
                <c:pt idx="1">
                  <c:v>2022</c:v>
                </c:pt>
                <c:pt idx="2">
                  <c:v>2023</c:v>
                </c:pt>
                <c:pt idx="3">
                  <c:v>2024</c:v>
                </c:pt>
                <c:pt idx="4">
                  <c:v>2025</c:v>
                </c:pt>
              </c:numCache>
            </c:numRef>
          </c:cat>
          <c:val>
            <c:numRef>
              <c:f>'Priemerné mzdy v RŠ'!$C$10:$G$10</c:f>
              <c:numCache>
                <c:formatCode>0.0</c:formatCode>
                <c:ptCount val="5"/>
                <c:pt idx="0" formatCode="General">
                  <c:v>100</c:v>
                </c:pt>
                <c:pt idx="1">
                  <c:v>96.358558819110414</c:v>
                </c:pt>
                <c:pt idx="2">
                  <c:v>93.779815148963436</c:v>
                </c:pt>
                <c:pt idx="3">
                  <c:v>97.451843779143331</c:v>
                </c:pt>
                <c:pt idx="4">
                  <c:v>99.512062358437475</c:v>
                </c:pt>
              </c:numCache>
            </c:numRef>
          </c:val>
          <c:smooth val="0"/>
          <c:extLst>
            <c:ext xmlns:c16="http://schemas.microsoft.com/office/drawing/2014/chart" uri="{C3380CC4-5D6E-409C-BE32-E72D297353CC}">
              <c16:uniqueId val="{00000003-2251-4423-9F94-8C45019725E8}"/>
            </c:ext>
          </c:extLst>
        </c:ser>
        <c:dLbls>
          <c:showLegendKey val="0"/>
          <c:showVal val="0"/>
          <c:showCatName val="0"/>
          <c:showSerName val="0"/>
          <c:showPercent val="0"/>
          <c:showBubbleSize val="0"/>
        </c:dLbls>
        <c:marker val="1"/>
        <c:smooth val="0"/>
        <c:axId val="321065775"/>
        <c:axId val="374820607"/>
      </c:lineChart>
      <c:catAx>
        <c:axId val="321065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74820607"/>
        <c:crosses val="autoZero"/>
        <c:auto val="1"/>
        <c:lblAlgn val="ctr"/>
        <c:lblOffset val="100"/>
        <c:noMultiLvlLbl val="0"/>
      </c:catAx>
      <c:valAx>
        <c:axId val="37482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2106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6330790682414685E-2"/>
          <c:y val="5.6022408963585436E-2"/>
          <c:w val="0.88241920931758533"/>
          <c:h val="0.6868101046192755"/>
        </c:manualLayout>
      </c:layout>
      <c:barChart>
        <c:barDir val="col"/>
        <c:grouping val="clustered"/>
        <c:varyColors val="0"/>
        <c:ser>
          <c:idx val="0"/>
          <c:order val="0"/>
          <c:tx>
            <c:strRef>
              <c:f>'nové grafy'!$C$31</c:f>
              <c:strCache>
                <c:ptCount val="1"/>
                <c:pt idx="0">
                  <c:v>2021 R</c:v>
                </c:pt>
              </c:strCache>
            </c:strRef>
          </c:tx>
          <c:spPr>
            <a:solidFill>
              <a:schemeClr val="accent1">
                <a:tint val="54000"/>
              </a:schemeClr>
            </a:solidFill>
            <a:ln>
              <a:noFill/>
            </a:ln>
            <a:effectLst/>
          </c:spPr>
          <c:invertIfNegative val="0"/>
          <c:cat>
            <c:strRef>
              <c:f>'nové grafy'!$B$32:$B$38</c:f>
              <c:strCache>
                <c:ptCount val="3"/>
                <c:pt idx="0">
                  <c:v>Ľudské zdroje</c:v>
                </c:pt>
                <c:pt idx="1">
                  <c:v>Sociálna inklúzia</c:v>
                </c:pt>
                <c:pt idx="2">
                  <c:v>Tvorba a implementácia politík</c:v>
                </c:pt>
              </c:strCache>
            </c:strRef>
          </c:cat>
          <c:val>
            <c:numRef>
              <c:f>'nové grafy'!$C$32:$C$38</c:f>
              <c:numCache>
                <c:formatCode>#\ ##0.0</c:formatCode>
                <c:ptCount val="3"/>
                <c:pt idx="0">
                  <c:v>287.73</c:v>
                </c:pt>
                <c:pt idx="1">
                  <c:v>2479.77</c:v>
                </c:pt>
                <c:pt idx="2">
                  <c:v>182</c:v>
                </c:pt>
              </c:numCache>
            </c:numRef>
          </c:val>
          <c:extLst xmlns:c15="http://schemas.microsoft.com/office/drawing/2012/chart">
            <c:ext xmlns:c16="http://schemas.microsoft.com/office/drawing/2014/chart" uri="{C3380CC4-5D6E-409C-BE32-E72D297353CC}">
              <c16:uniqueId val="{00000000-7B73-4A16-A716-7A7D690D705D}"/>
            </c:ext>
          </c:extLst>
        </c:ser>
        <c:ser>
          <c:idx val="1"/>
          <c:order val="1"/>
          <c:tx>
            <c:strRef>
              <c:f>'nové grafy'!$D$31</c:f>
              <c:strCache>
                <c:ptCount val="1"/>
                <c:pt idx="0">
                  <c:v>2021 S</c:v>
                </c:pt>
              </c:strCache>
            </c:strRef>
          </c:tx>
          <c:spPr>
            <a:solidFill>
              <a:schemeClr val="accent1">
                <a:tint val="77000"/>
              </a:schemeClr>
            </a:solidFill>
            <a:ln>
              <a:noFill/>
            </a:ln>
            <a:effectLst/>
          </c:spPr>
          <c:invertIfNegative val="0"/>
          <c:cat>
            <c:strRef>
              <c:f>'nové grafy'!$B$32:$B$38</c:f>
              <c:strCache>
                <c:ptCount val="3"/>
                <c:pt idx="0">
                  <c:v>Ľudské zdroje</c:v>
                </c:pt>
                <c:pt idx="1">
                  <c:v>Sociálna inklúzia</c:v>
                </c:pt>
                <c:pt idx="2">
                  <c:v>Tvorba a implementácia politík</c:v>
                </c:pt>
              </c:strCache>
            </c:strRef>
          </c:cat>
          <c:val>
            <c:numRef>
              <c:f>'nové grafy'!$D$32:$D$38</c:f>
              <c:numCache>
                <c:formatCode>#\ ##0.0</c:formatCode>
                <c:ptCount val="3"/>
                <c:pt idx="0">
                  <c:v>1695.48</c:v>
                </c:pt>
                <c:pt idx="1">
                  <c:v>2806.87</c:v>
                </c:pt>
                <c:pt idx="2">
                  <c:v>191.95</c:v>
                </c:pt>
              </c:numCache>
            </c:numRef>
          </c:val>
          <c:extLst>
            <c:ext xmlns:c16="http://schemas.microsoft.com/office/drawing/2014/chart" uri="{C3380CC4-5D6E-409C-BE32-E72D297353CC}">
              <c16:uniqueId val="{00000001-7B73-4A16-A716-7A7D690D705D}"/>
            </c:ext>
          </c:extLst>
        </c:ser>
        <c:ser>
          <c:idx val="4"/>
          <c:order val="2"/>
          <c:tx>
            <c:strRef>
              <c:f>'nové grafy'!$E$31</c:f>
              <c:strCache>
                <c:ptCount val="1"/>
                <c:pt idx="0">
                  <c:v>2022 R</c:v>
                </c:pt>
              </c:strCache>
            </c:strRef>
          </c:tx>
          <c:spPr>
            <a:solidFill>
              <a:schemeClr val="accent1">
                <a:shade val="53000"/>
              </a:schemeClr>
            </a:solidFill>
            <a:ln>
              <a:noFill/>
            </a:ln>
            <a:effectLst/>
          </c:spPr>
          <c:invertIfNegative val="0"/>
          <c:cat>
            <c:strRef>
              <c:f>'nové grafy'!$B$32:$B$38</c:f>
              <c:strCache>
                <c:ptCount val="3"/>
                <c:pt idx="0">
                  <c:v>Ľudské zdroje</c:v>
                </c:pt>
                <c:pt idx="1">
                  <c:v>Sociálna inklúzia</c:v>
                </c:pt>
                <c:pt idx="2">
                  <c:v>Tvorba a implementácia politík</c:v>
                </c:pt>
              </c:strCache>
            </c:strRef>
          </c:cat>
          <c:val>
            <c:numRef>
              <c:f>'nové grafy'!$E$32:$E$38</c:f>
              <c:numCache>
                <c:formatCode>#\ ##0.0</c:formatCode>
                <c:ptCount val="3"/>
                <c:pt idx="0">
                  <c:v>278.05</c:v>
                </c:pt>
                <c:pt idx="1">
                  <c:v>2966.37</c:v>
                </c:pt>
                <c:pt idx="2">
                  <c:v>184.34</c:v>
                </c:pt>
              </c:numCache>
            </c:numRef>
          </c:val>
          <c:extLst>
            <c:ext xmlns:c16="http://schemas.microsoft.com/office/drawing/2014/chart" uri="{C3380CC4-5D6E-409C-BE32-E72D297353CC}">
              <c16:uniqueId val="{00000002-7B73-4A16-A716-7A7D690D705D}"/>
            </c:ext>
          </c:extLst>
        </c:ser>
        <c:ser>
          <c:idx val="3"/>
          <c:order val="3"/>
          <c:tx>
            <c:strRef>
              <c:f>'nové grafy'!$F$31</c:f>
              <c:strCache>
                <c:ptCount val="1"/>
                <c:pt idx="0">
                  <c:v>2023 N</c:v>
                </c:pt>
              </c:strCache>
            </c:strRef>
          </c:tx>
          <c:spPr>
            <a:solidFill>
              <a:schemeClr val="accent1">
                <a:shade val="76000"/>
              </a:schemeClr>
            </a:solidFill>
            <a:ln>
              <a:noFill/>
            </a:ln>
            <a:effectLst/>
          </c:spPr>
          <c:invertIfNegative val="0"/>
          <c:cat>
            <c:strLit>
              <c:ptCount val="3"/>
              <c:pt idx="0">
                <c:v>Ľudské zdroje</c:v>
              </c:pt>
              <c:pt idx="1">
                <c:v>Sociálna inklúzia</c:v>
              </c:pt>
              <c:pt idx="2">
                <c:v>Tvorba a implementácia politík</c:v>
              </c:pt>
              <c:extLst>
                <c:ext xmlns:c15="http://schemas.microsoft.com/office/drawing/2012/chart" uri="{02D57815-91ED-43cb-92C2-25804820EDAC}">
                  <c15:autoCat val="1"/>
                </c:ext>
              </c:extLst>
            </c:strLit>
          </c:cat>
          <c:val>
            <c:numRef>
              <c:f>'nové grafy'!$F$32:$F$38</c:f>
              <c:numCache>
                <c:formatCode>#\ ##0.0</c:formatCode>
                <c:ptCount val="3"/>
                <c:pt idx="0">
                  <c:v>593.09</c:v>
                </c:pt>
                <c:pt idx="1">
                  <c:v>3383.66</c:v>
                </c:pt>
                <c:pt idx="2">
                  <c:v>1107.48</c:v>
                </c:pt>
              </c:numCache>
            </c:numRef>
          </c:val>
          <c:extLst>
            <c:ext xmlns:c16="http://schemas.microsoft.com/office/drawing/2014/chart" uri="{C3380CC4-5D6E-409C-BE32-E72D297353CC}">
              <c16:uniqueId val="{00000003-7B73-4A16-A716-7A7D690D705D}"/>
            </c:ext>
          </c:extLst>
        </c:ser>
        <c:dLbls>
          <c:showLegendKey val="0"/>
          <c:showVal val="0"/>
          <c:showCatName val="0"/>
          <c:showSerName val="0"/>
          <c:showPercent val="0"/>
          <c:showBubbleSize val="0"/>
        </c:dLbls>
        <c:gapWidth val="100"/>
        <c:axId val="1811082239"/>
        <c:axId val="1811083903"/>
        <c:extLst/>
      </c:barChart>
      <c:catAx>
        <c:axId val="181108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11083903"/>
        <c:crosses val="autoZero"/>
        <c:auto val="1"/>
        <c:lblAlgn val="ctr"/>
        <c:lblOffset val="100"/>
        <c:noMultiLvlLbl val="0"/>
      </c:catAx>
      <c:valAx>
        <c:axId val="18110839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1108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0687200284175"/>
          <c:y val="0.10768477728830152"/>
          <c:w val="0.81023955064827424"/>
          <c:h val="0.55231328610805375"/>
        </c:manualLayout>
      </c:layout>
      <c:lineChart>
        <c:grouping val="standard"/>
        <c:varyColors val="0"/>
        <c:ser>
          <c:idx val="0"/>
          <c:order val="0"/>
          <c:tx>
            <c:strRef>
              <c:f>'nové grafy'!$B$18</c:f>
              <c:strCache>
                <c:ptCount val="1"/>
                <c:pt idx="0">
                  <c:v>EÚ27</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cat>
            <c:strRef>
              <c:f>'nové grafy'!$C$3:$K$3</c:f>
              <c:strCache>
                <c:ptCount val="9"/>
                <c:pt idx="0">
                  <c:v>2015</c:v>
                </c:pt>
                <c:pt idx="1">
                  <c:v>2016</c:v>
                </c:pt>
                <c:pt idx="2">
                  <c:v>2017</c:v>
                </c:pt>
                <c:pt idx="3">
                  <c:v>2018</c:v>
                </c:pt>
                <c:pt idx="4">
                  <c:v>2019</c:v>
                </c:pt>
                <c:pt idx="5">
                  <c:v>2020</c:v>
                </c:pt>
                <c:pt idx="6">
                  <c:v>2021</c:v>
                </c:pt>
                <c:pt idx="7">
                  <c:v>Cieľ 2025</c:v>
                </c:pt>
                <c:pt idx="8">
                  <c:v>Cieľ 2030</c:v>
                </c:pt>
              </c:strCache>
            </c:strRef>
          </c:cat>
          <c:val>
            <c:numRef>
              <c:f>'nové grafy'!$C$18:$K$18</c:f>
              <c:numCache>
                <c:formatCode>#\ ##0.##########</c:formatCode>
                <c:ptCount val="9"/>
                <c:pt idx="0">
                  <c:v>68.5</c:v>
                </c:pt>
                <c:pt idx="1">
                  <c:v>69.599999999999994</c:v>
                </c:pt>
                <c:pt idx="2">
                  <c:v>70.900000000000006</c:v>
                </c:pt>
                <c:pt idx="3">
                  <c:v>71.900000000000006</c:v>
                </c:pt>
                <c:pt idx="4">
                  <c:v>72.7</c:v>
                </c:pt>
                <c:pt idx="5">
                  <c:v>71.7</c:v>
                </c:pt>
                <c:pt idx="6">
                  <c:v>73.099999999999994</c:v>
                </c:pt>
              </c:numCache>
            </c:numRef>
          </c:val>
          <c:smooth val="0"/>
          <c:extLst>
            <c:ext xmlns:c16="http://schemas.microsoft.com/office/drawing/2014/chart" uri="{C3380CC4-5D6E-409C-BE32-E72D297353CC}">
              <c16:uniqueId val="{00000000-07C6-4E7A-86B9-0154B958386D}"/>
            </c:ext>
          </c:extLst>
        </c:ser>
        <c:ser>
          <c:idx val="1"/>
          <c:order val="1"/>
          <c:tx>
            <c:strRef>
              <c:f>'nové grafy'!$B$19</c:f>
              <c:strCache>
                <c:ptCount val="1"/>
                <c:pt idx="0">
                  <c:v>SR</c:v>
                </c:pt>
              </c:strCache>
            </c:strRef>
          </c:tx>
          <c:spPr>
            <a:ln w="25400" cap="rnd">
              <a:solidFill>
                <a:schemeClr val="accent2"/>
              </a:solidFill>
              <a:round/>
            </a:ln>
            <a:effectLst/>
          </c:spPr>
          <c:marker>
            <c:symbol val="circle"/>
            <c:size val="5"/>
            <c:spPr>
              <a:solidFill>
                <a:schemeClr val="accent2"/>
              </a:solidFill>
              <a:ln w="12700">
                <a:solidFill>
                  <a:schemeClr val="bg1"/>
                </a:solidFill>
              </a:ln>
              <a:effectLst/>
            </c:spPr>
          </c:marker>
          <c:cat>
            <c:strRef>
              <c:f>'nové grafy'!$C$3:$K$3</c:f>
              <c:strCache>
                <c:ptCount val="9"/>
                <c:pt idx="0">
                  <c:v>2015</c:v>
                </c:pt>
                <c:pt idx="1">
                  <c:v>2016</c:v>
                </c:pt>
                <c:pt idx="2">
                  <c:v>2017</c:v>
                </c:pt>
                <c:pt idx="3">
                  <c:v>2018</c:v>
                </c:pt>
                <c:pt idx="4">
                  <c:v>2019</c:v>
                </c:pt>
                <c:pt idx="5">
                  <c:v>2020</c:v>
                </c:pt>
                <c:pt idx="6">
                  <c:v>2021</c:v>
                </c:pt>
                <c:pt idx="7">
                  <c:v>Cieľ 2025</c:v>
                </c:pt>
                <c:pt idx="8">
                  <c:v>Cieľ 2030</c:v>
                </c:pt>
              </c:strCache>
            </c:strRef>
          </c:cat>
          <c:val>
            <c:numRef>
              <c:f>'nové grafy'!$C$19:$K$19</c:f>
              <c:numCache>
                <c:formatCode>#\ ##0.##########</c:formatCode>
                <c:ptCount val="9"/>
                <c:pt idx="0">
                  <c:v>69.599999999999994</c:v>
                </c:pt>
                <c:pt idx="1">
                  <c:v>71.8</c:v>
                </c:pt>
                <c:pt idx="2">
                  <c:v>73.2</c:v>
                </c:pt>
                <c:pt idx="3">
                  <c:v>74.5</c:v>
                </c:pt>
                <c:pt idx="4">
                  <c:v>75.599999999999994</c:v>
                </c:pt>
                <c:pt idx="5">
                  <c:v>74.599999999999994</c:v>
                </c:pt>
                <c:pt idx="6">
                  <c:v>74.599999999999994</c:v>
                </c:pt>
                <c:pt idx="7">
                  <c:v>75.400000000000006</c:v>
                </c:pt>
                <c:pt idx="8">
                  <c:v>76.5</c:v>
                </c:pt>
              </c:numCache>
            </c:numRef>
          </c:val>
          <c:smooth val="0"/>
          <c:extLst>
            <c:ext xmlns:c16="http://schemas.microsoft.com/office/drawing/2014/chart" uri="{C3380CC4-5D6E-409C-BE32-E72D297353CC}">
              <c16:uniqueId val="{00000001-07C6-4E7A-86B9-0154B958386D}"/>
            </c:ext>
          </c:extLst>
        </c:ser>
        <c:dLbls>
          <c:showLegendKey val="0"/>
          <c:showVal val="0"/>
          <c:showCatName val="0"/>
          <c:showSerName val="0"/>
          <c:showPercent val="0"/>
          <c:showBubbleSize val="0"/>
        </c:dLbls>
        <c:marker val="1"/>
        <c:smooth val="0"/>
        <c:axId val="545954336"/>
        <c:axId val="545960160"/>
      </c:lineChart>
      <c:catAx>
        <c:axId val="54595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45960160"/>
        <c:crosses val="autoZero"/>
        <c:auto val="1"/>
        <c:lblAlgn val="ctr"/>
        <c:lblOffset val="100"/>
        <c:noMultiLvlLbl val="0"/>
      </c:catAx>
      <c:valAx>
        <c:axId val="545960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45954336"/>
        <c:crosses val="autoZero"/>
        <c:crossBetween val="between"/>
      </c:valAx>
      <c:spPr>
        <a:noFill/>
        <a:ln>
          <a:noFill/>
        </a:ln>
        <a:effectLst/>
      </c:spPr>
    </c:plotArea>
    <c:legend>
      <c:legendPos val="b"/>
      <c:layout>
        <c:manualLayout>
          <c:xMode val="edge"/>
          <c:yMode val="edge"/>
          <c:x val="0.28795512403054879"/>
          <c:y val="0.81851684838954619"/>
          <c:w val="0.42408938191936535"/>
          <c:h val="0.122746000362289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74046119882687E-2"/>
          <c:y val="4.8189404119867545E-2"/>
          <c:w val="0.88376216573964528"/>
          <c:h val="0.63058777599036675"/>
        </c:manualLayout>
      </c:layout>
      <c:lineChart>
        <c:grouping val="standard"/>
        <c:varyColors val="0"/>
        <c:ser>
          <c:idx val="0"/>
          <c:order val="0"/>
          <c:tx>
            <c:strRef>
              <c:f>'nové grafy'!$B$4</c:f>
              <c:strCache>
                <c:ptCount val="1"/>
                <c:pt idx="0">
                  <c:v>EÚ27</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cat>
            <c:strRef>
              <c:f>'nové grafy'!$C$3:$K$3</c:f>
              <c:strCache>
                <c:ptCount val="9"/>
                <c:pt idx="0">
                  <c:v>2015</c:v>
                </c:pt>
                <c:pt idx="1">
                  <c:v>2016</c:v>
                </c:pt>
                <c:pt idx="2">
                  <c:v>2017</c:v>
                </c:pt>
                <c:pt idx="3">
                  <c:v>2018</c:v>
                </c:pt>
                <c:pt idx="4">
                  <c:v>2019</c:v>
                </c:pt>
                <c:pt idx="5">
                  <c:v>2020</c:v>
                </c:pt>
                <c:pt idx="6">
                  <c:v>2021</c:v>
                </c:pt>
                <c:pt idx="7">
                  <c:v>Cieľ 2025</c:v>
                </c:pt>
                <c:pt idx="8">
                  <c:v>Cieľ 2030</c:v>
                </c:pt>
              </c:strCache>
            </c:strRef>
          </c:cat>
          <c:val>
            <c:numRef>
              <c:f>'nové grafy'!$C$4:$K$4</c:f>
              <c:numCache>
                <c:formatCode>#\ ##0.##########</c:formatCode>
                <c:ptCount val="9"/>
                <c:pt idx="0" formatCode="#\ ##0.0">
                  <c:v>24</c:v>
                </c:pt>
                <c:pt idx="1">
                  <c:v>23.7</c:v>
                </c:pt>
                <c:pt idx="2">
                  <c:v>22.4</c:v>
                </c:pt>
                <c:pt idx="3">
                  <c:v>21.7</c:v>
                </c:pt>
                <c:pt idx="4">
                  <c:v>21.1</c:v>
                </c:pt>
                <c:pt idx="5">
                  <c:v>21.6</c:v>
                </c:pt>
                <c:pt idx="6">
                  <c:v>21.7</c:v>
                </c:pt>
              </c:numCache>
            </c:numRef>
          </c:val>
          <c:smooth val="0"/>
          <c:extLst>
            <c:ext xmlns:c16="http://schemas.microsoft.com/office/drawing/2014/chart" uri="{C3380CC4-5D6E-409C-BE32-E72D297353CC}">
              <c16:uniqueId val="{00000000-FC12-4DE0-BB37-2DFC9DA8EACB}"/>
            </c:ext>
          </c:extLst>
        </c:ser>
        <c:ser>
          <c:idx val="1"/>
          <c:order val="1"/>
          <c:tx>
            <c:strRef>
              <c:f>'nové grafy'!$B$5</c:f>
              <c:strCache>
                <c:ptCount val="1"/>
                <c:pt idx="0">
                  <c:v>SR</c:v>
                </c:pt>
              </c:strCache>
            </c:strRef>
          </c:tx>
          <c:spPr>
            <a:ln w="25400" cap="rnd">
              <a:solidFill>
                <a:schemeClr val="accent2"/>
              </a:solidFill>
              <a:round/>
            </a:ln>
            <a:effectLst/>
          </c:spPr>
          <c:marker>
            <c:symbol val="circle"/>
            <c:size val="5"/>
            <c:spPr>
              <a:solidFill>
                <a:schemeClr val="accent2"/>
              </a:solidFill>
              <a:ln w="12700">
                <a:solidFill>
                  <a:schemeClr val="bg1"/>
                </a:solidFill>
              </a:ln>
              <a:effectLst/>
            </c:spPr>
          </c:marker>
          <c:cat>
            <c:strRef>
              <c:f>'nové grafy'!$C$3:$K$3</c:f>
              <c:strCache>
                <c:ptCount val="9"/>
                <c:pt idx="0">
                  <c:v>2015</c:v>
                </c:pt>
                <c:pt idx="1">
                  <c:v>2016</c:v>
                </c:pt>
                <c:pt idx="2">
                  <c:v>2017</c:v>
                </c:pt>
                <c:pt idx="3">
                  <c:v>2018</c:v>
                </c:pt>
                <c:pt idx="4">
                  <c:v>2019</c:v>
                </c:pt>
                <c:pt idx="5">
                  <c:v>2020</c:v>
                </c:pt>
                <c:pt idx="6">
                  <c:v>2021</c:v>
                </c:pt>
                <c:pt idx="7">
                  <c:v>Cieľ 2025</c:v>
                </c:pt>
                <c:pt idx="8">
                  <c:v>Cieľ 2030</c:v>
                </c:pt>
              </c:strCache>
            </c:strRef>
          </c:cat>
          <c:val>
            <c:numRef>
              <c:f>'nové grafy'!$C$5:$K$5</c:f>
              <c:numCache>
                <c:formatCode>#\ ##0.##########</c:formatCode>
                <c:ptCount val="9"/>
                <c:pt idx="0">
                  <c:v>17.3</c:v>
                </c:pt>
                <c:pt idx="1">
                  <c:v>17.100000000000001</c:v>
                </c:pt>
                <c:pt idx="2">
                  <c:v>15.8</c:v>
                </c:pt>
                <c:pt idx="3">
                  <c:v>15.2</c:v>
                </c:pt>
                <c:pt idx="4">
                  <c:v>14.9</c:v>
                </c:pt>
                <c:pt idx="5">
                  <c:v>13.8</c:v>
                </c:pt>
                <c:pt idx="6">
                  <c:v>15.6</c:v>
                </c:pt>
                <c:pt idx="7">
                  <c:v>13.7</c:v>
                </c:pt>
                <c:pt idx="8">
                  <c:v>13.6</c:v>
                </c:pt>
              </c:numCache>
            </c:numRef>
          </c:val>
          <c:smooth val="0"/>
          <c:extLst>
            <c:ext xmlns:c16="http://schemas.microsoft.com/office/drawing/2014/chart" uri="{C3380CC4-5D6E-409C-BE32-E72D297353CC}">
              <c16:uniqueId val="{00000001-FC12-4DE0-BB37-2DFC9DA8EACB}"/>
            </c:ext>
          </c:extLst>
        </c:ser>
        <c:dLbls>
          <c:showLegendKey val="0"/>
          <c:showVal val="0"/>
          <c:showCatName val="0"/>
          <c:showSerName val="0"/>
          <c:showPercent val="0"/>
          <c:showBubbleSize val="0"/>
        </c:dLbls>
        <c:marker val="1"/>
        <c:smooth val="0"/>
        <c:axId val="545954336"/>
        <c:axId val="545960160"/>
      </c:lineChart>
      <c:catAx>
        <c:axId val="54595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45960160"/>
        <c:crosses val="autoZero"/>
        <c:auto val="1"/>
        <c:lblAlgn val="ctr"/>
        <c:lblOffset val="100"/>
        <c:noMultiLvlLbl val="0"/>
      </c:catAx>
      <c:valAx>
        <c:axId val="545960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4595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'nové grafy'!$B$50</c:f>
              <c:strCache>
                <c:ptCount val="1"/>
                <c:pt idx="0">
                  <c:v>Podiel priemernej výšky starobného sólo dôchodku k priemernej mesačnej mzde (%)</c:v>
                </c:pt>
              </c:strCache>
            </c:strRef>
          </c:tx>
          <c:spPr>
            <a:ln w="25400" cap="rnd">
              <a:solidFill>
                <a:schemeClr val="accent1"/>
              </a:solidFill>
              <a:round/>
            </a:ln>
            <a:effectLst/>
          </c:spPr>
          <c:marker>
            <c:symbol val="circle"/>
            <c:size val="5"/>
            <c:spPr>
              <a:noFill/>
              <a:ln w="9525">
                <a:noFill/>
              </a:ln>
              <a:effectLst/>
            </c:spPr>
          </c:marker>
          <c:cat>
            <c:numRef>
              <c:f>'nové grafy'!$C$49:$AG$49</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'nové grafy'!$C$50:$AG$50</c:f>
              <c:numCache>
                <c:formatCode>General</c:formatCode>
                <c:ptCount val="31"/>
                <c:pt idx="0">
                  <c:v>53.71</c:v>
                </c:pt>
                <c:pt idx="1">
                  <c:v>48.4</c:v>
                </c:pt>
                <c:pt idx="2">
                  <c:v>47.07</c:v>
                </c:pt>
                <c:pt idx="3">
                  <c:v>48.44</c:v>
                </c:pt>
                <c:pt idx="4">
                  <c:v>46.14</c:v>
                </c:pt>
                <c:pt idx="5">
                  <c:v>45.71</c:v>
                </c:pt>
                <c:pt idx="6">
                  <c:v>44.7</c:v>
                </c:pt>
                <c:pt idx="7">
                  <c:v>44.89</c:v>
                </c:pt>
                <c:pt idx="8">
                  <c:v>45.47</c:v>
                </c:pt>
                <c:pt idx="9">
                  <c:v>47.09</c:v>
                </c:pt>
                <c:pt idx="10">
                  <c:v>46.76</c:v>
                </c:pt>
                <c:pt idx="11">
                  <c:v>45.19</c:v>
                </c:pt>
                <c:pt idx="12">
                  <c:v>45.27</c:v>
                </c:pt>
                <c:pt idx="13">
                  <c:v>44.52</c:v>
                </c:pt>
                <c:pt idx="14">
                  <c:v>44.65</c:v>
                </c:pt>
                <c:pt idx="15">
                  <c:v>43.8</c:v>
                </c:pt>
                <c:pt idx="16">
                  <c:v>44.1</c:v>
                </c:pt>
                <c:pt idx="17">
                  <c:v>43.3</c:v>
                </c:pt>
                <c:pt idx="18">
                  <c:v>45.63</c:v>
                </c:pt>
                <c:pt idx="19">
                  <c:v>45.84</c:v>
                </c:pt>
                <c:pt idx="20">
                  <c:v>46.07</c:v>
                </c:pt>
                <c:pt idx="21">
                  <c:v>46.69</c:v>
                </c:pt>
                <c:pt idx="22">
                  <c:v>47.39</c:v>
                </c:pt>
                <c:pt idx="23">
                  <c:v>46.64</c:v>
                </c:pt>
                <c:pt idx="24">
                  <c:v>46.55</c:v>
                </c:pt>
                <c:pt idx="25">
                  <c:v>45.77</c:v>
                </c:pt>
                <c:pt idx="26">
                  <c:v>44.9</c:v>
                </c:pt>
                <c:pt idx="27">
                  <c:v>43.86</c:v>
                </c:pt>
                <c:pt idx="28">
                  <c:v>42.16</c:v>
                </c:pt>
                <c:pt idx="29">
                  <c:v>43.02</c:v>
                </c:pt>
                <c:pt idx="30">
                  <c:v>41.76</c:v>
                </c:pt>
              </c:numCache>
            </c:numRef>
          </c:val>
          <c:smooth val="0"/>
          <c:extLst xmlns:c15="http://schemas.microsoft.com/office/drawing/2012/chart">
            <c:ext xmlns:c16="http://schemas.microsoft.com/office/drawing/2014/chart" uri="{C3380CC4-5D6E-409C-BE32-E72D297353CC}">
              <c16:uniqueId val="{00000000-DBCF-4DB7-A49D-220EDBA111B8}"/>
            </c:ext>
          </c:extLst>
        </c:ser>
        <c:dLbls>
          <c:showLegendKey val="0"/>
          <c:showVal val="0"/>
          <c:showCatName val="0"/>
          <c:showSerName val="0"/>
          <c:showPercent val="0"/>
          <c:showBubbleSize val="0"/>
        </c:dLbls>
        <c:marker val="1"/>
        <c:smooth val="0"/>
        <c:axId val="622420127"/>
        <c:axId val="622422623"/>
      </c:lineChart>
      <c:catAx>
        <c:axId val="62242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22422623"/>
        <c:crosses val="autoZero"/>
        <c:auto val="1"/>
        <c:lblAlgn val="ctr"/>
        <c:lblOffset val="100"/>
        <c:noMultiLvlLbl val="0"/>
      </c:catAx>
      <c:valAx>
        <c:axId val="622422623"/>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224201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72751745192688E-2"/>
          <c:y val="4.1666666666666664E-2"/>
          <c:w val="0.92235972688728596"/>
          <c:h val="0.74972202338344085"/>
        </c:manualLayout>
      </c:layout>
      <c:lineChart>
        <c:grouping val="standard"/>
        <c:varyColors val="0"/>
        <c:ser>
          <c:idx val="0"/>
          <c:order val="0"/>
          <c:tx>
            <c:strRef>
              <c:f>'Graf 2'!$A$2</c:f>
              <c:strCache>
                <c:ptCount val="1"/>
                <c:pt idx="0">
                  <c:v>HDP_p</c:v>
                </c:pt>
              </c:strCache>
            </c:strRef>
          </c:tx>
          <c:spPr>
            <a:ln w="15875" cap="rnd">
              <a:solidFill>
                <a:srgbClr val="002060"/>
              </a:solidFill>
              <a:prstDash val="sysDot"/>
              <a:round/>
            </a:ln>
            <a:effectLst/>
          </c:spPr>
          <c:marker>
            <c:symbol val="none"/>
          </c:marker>
          <c:cat>
            <c:numRef>
              <c:f>'Graf 2'!$B$1:$Q$1</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'Graf 2'!$B$2:$Q$2</c:f>
              <c:numCache>
                <c:formatCode>General</c:formatCode>
                <c:ptCount val="16"/>
                <c:pt idx="0">
                  <c:v>5.6</c:v>
                </c:pt>
                <c:pt idx="1">
                  <c:v>6.5</c:v>
                </c:pt>
                <c:pt idx="2">
                  <c:v>1.9</c:v>
                </c:pt>
                <c:pt idx="3">
                  <c:v>3.3</c:v>
                </c:pt>
                <c:pt idx="4">
                  <c:v>1.7</c:v>
                </c:pt>
                <c:pt idx="5">
                  <c:v>2.1</c:v>
                </c:pt>
                <c:pt idx="6">
                  <c:v>2.2000000000000002</c:v>
                </c:pt>
                <c:pt idx="7">
                  <c:v>2.6</c:v>
                </c:pt>
                <c:pt idx="8">
                  <c:v>3.1</c:v>
                </c:pt>
                <c:pt idx="9">
                  <c:v>3.5</c:v>
                </c:pt>
                <c:pt idx="10">
                  <c:v>4.2</c:v>
                </c:pt>
                <c:pt idx="11">
                  <c:v>4.5</c:v>
                </c:pt>
                <c:pt idx="12">
                  <c:v>2.2999999999999998</c:v>
                </c:pt>
                <c:pt idx="13">
                  <c:v>5.5</c:v>
                </c:pt>
                <c:pt idx="14">
                  <c:v>4.2</c:v>
                </c:pt>
                <c:pt idx="15">
                  <c:v>0.6</c:v>
                </c:pt>
              </c:numCache>
            </c:numRef>
          </c:val>
          <c:smooth val="1"/>
          <c:extLst>
            <c:ext xmlns:c16="http://schemas.microsoft.com/office/drawing/2014/chart" uri="{C3380CC4-5D6E-409C-BE32-E72D297353CC}">
              <c16:uniqueId val="{00000000-8161-4DD0-BD45-DD2FC8B082D4}"/>
            </c:ext>
          </c:extLst>
        </c:ser>
        <c:ser>
          <c:idx val="4"/>
          <c:order val="1"/>
          <c:tx>
            <c:strRef>
              <c:f>'Graf 2'!$A$6</c:f>
              <c:strCache>
                <c:ptCount val="1"/>
                <c:pt idx="0">
                  <c:v>Inflácia_p</c:v>
                </c:pt>
              </c:strCache>
            </c:strRef>
          </c:tx>
          <c:spPr>
            <a:ln w="15875" cap="rnd">
              <a:solidFill>
                <a:srgbClr val="C00000"/>
              </a:solidFill>
              <a:prstDash val="sysDot"/>
              <a:round/>
            </a:ln>
            <a:effectLst/>
          </c:spPr>
          <c:marker>
            <c:symbol val="none"/>
          </c:marker>
          <c:cat>
            <c:numRef>
              <c:f>'Graf 2'!$B$1:$Q$1</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'Graf 2'!$B$6:$Q$6</c:f>
              <c:numCache>
                <c:formatCode>General</c:formatCode>
                <c:ptCount val="16"/>
                <c:pt idx="0">
                  <c:v>1.9</c:v>
                </c:pt>
                <c:pt idx="1">
                  <c:v>4</c:v>
                </c:pt>
                <c:pt idx="2">
                  <c:v>3.2</c:v>
                </c:pt>
                <c:pt idx="3">
                  <c:v>3.7</c:v>
                </c:pt>
                <c:pt idx="4">
                  <c:v>2.6</c:v>
                </c:pt>
                <c:pt idx="5">
                  <c:v>3.1</c:v>
                </c:pt>
                <c:pt idx="6">
                  <c:v>1.7</c:v>
                </c:pt>
                <c:pt idx="7">
                  <c:v>1</c:v>
                </c:pt>
                <c:pt idx="8">
                  <c:v>0.9</c:v>
                </c:pt>
                <c:pt idx="9">
                  <c:v>0.9</c:v>
                </c:pt>
                <c:pt idx="10">
                  <c:v>1.7</c:v>
                </c:pt>
                <c:pt idx="11">
                  <c:v>2.5</c:v>
                </c:pt>
                <c:pt idx="12">
                  <c:v>2.1</c:v>
                </c:pt>
                <c:pt idx="13">
                  <c:v>1.1000000000000001</c:v>
                </c:pt>
                <c:pt idx="14">
                  <c:v>4.2</c:v>
                </c:pt>
                <c:pt idx="15">
                  <c:v>13.5</c:v>
                </c:pt>
              </c:numCache>
            </c:numRef>
          </c:val>
          <c:smooth val="1"/>
          <c:extLst>
            <c:ext xmlns:c16="http://schemas.microsoft.com/office/drawing/2014/chart" uri="{C3380CC4-5D6E-409C-BE32-E72D297353CC}">
              <c16:uniqueId val="{00000001-8161-4DD0-BD45-DD2FC8B082D4}"/>
            </c:ext>
          </c:extLst>
        </c:ser>
        <c:ser>
          <c:idx val="1"/>
          <c:order val="2"/>
          <c:tx>
            <c:strRef>
              <c:f>'Graf 2'!$A$3</c:f>
              <c:strCache>
                <c:ptCount val="1"/>
                <c:pt idx="0">
                  <c:v>HDP_s</c:v>
                </c:pt>
              </c:strCache>
            </c:strRef>
          </c:tx>
          <c:spPr>
            <a:ln w="15875" cap="rnd">
              <a:noFill/>
              <a:round/>
            </a:ln>
            <a:effectLst/>
          </c:spPr>
          <c:marker>
            <c:symbol val="triangle"/>
            <c:size val="5"/>
            <c:spPr>
              <a:noFill/>
              <a:ln w="12700">
                <a:solidFill>
                  <a:srgbClr val="002060"/>
                </a:solidFill>
              </a:ln>
              <a:effectLst/>
            </c:spPr>
          </c:marker>
          <c:cat>
            <c:numRef>
              <c:f>'Graf 2'!$B$1:$Q$1</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'Graf 2'!$B$3:$Q$3</c:f>
              <c:numCache>
                <c:formatCode>General</c:formatCode>
                <c:ptCount val="16"/>
                <c:pt idx="0">
                  <c:v>6.4</c:v>
                </c:pt>
                <c:pt idx="1">
                  <c:v>-4.7</c:v>
                </c:pt>
                <c:pt idx="2">
                  <c:v>4.2</c:v>
                </c:pt>
                <c:pt idx="3">
                  <c:v>3.3</c:v>
                </c:pt>
                <c:pt idx="4">
                  <c:v>2</c:v>
                </c:pt>
                <c:pt idx="5">
                  <c:v>1.4</c:v>
                </c:pt>
                <c:pt idx="6">
                  <c:v>2.4</c:v>
                </c:pt>
                <c:pt idx="7">
                  <c:v>3.6</c:v>
                </c:pt>
                <c:pt idx="8">
                  <c:v>3.3</c:v>
                </c:pt>
                <c:pt idx="9">
                  <c:v>3.4</c:v>
                </c:pt>
                <c:pt idx="10">
                  <c:v>4.0999999999999996</c:v>
                </c:pt>
                <c:pt idx="11">
                  <c:v>2.4</c:v>
                </c:pt>
                <c:pt idx="12">
                  <c:v>-3.4</c:v>
                </c:pt>
                <c:pt idx="13">
                  <c:v>3</c:v>
                </c:pt>
                <c:pt idx="14">
                  <c:v>1.9</c:v>
                </c:pt>
              </c:numCache>
            </c:numRef>
          </c:val>
          <c:smooth val="0"/>
          <c:extLst>
            <c:ext xmlns:c16="http://schemas.microsoft.com/office/drawing/2014/chart" uri="{C3380CC4-5D6E-409C-BE32-E72D297353CC}">
              <c16:uniqueId val="{00000002-8161-4DD0-BD45-DD2FC8B082D4}"/>
            </c:ext>
          </c:extLst>
        </c:ser>
        <c:ser>
          <c:idx val="5"/>
          <c:order val="3"/>
          <c:tx>
            <c:strRef>
              <c:f>'Graf 2'!$A$7</c:f>
              <c:strCache>
                <c:ptCount val="1"/>
                <c:pt idx="0">
                  <c:v>Inflácia_s</c:v>
                </c:pt>
              </c:strCache>
            </c:strRef>
          </c:tx>
          <c:spPr>
            <a:ln w="15875" cap="rnd">
              <a:noFill/>
              <a:prstDash val="sysDot"/>
              <a:round/>
            </a:ln>
            <a:effectLst/>
          </c:spPr>
          <c:marker>
            <c:symbol val="square"/>
            <c:size val="5"/>
            <c:spPr>
              <a:noFill/>
              <a:ln w="12700">
                <a:solidFill>
                  <a:srgbClr val="C00000"/>
                </a:solidFill>
              </a:ln>
              <a:effectLst/>
            </c:spPr>
          </c:marker>
          <c:cat>
            <c:numRef>
              <c:f>'Graf 2'!$B$1:$Q$1</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'Graf 2'!$B$7:$Q$7</c:f>
              <c:numCache>
                <c:formatCode>General</c:formatCode>
                <c:ptCount val="16"/>
                <c:pt idx="0">
                  <c:v>4.5999999999999996</c:v>
                </c:pt>
                <c:pt idx="1">
                  <c:v>1.6</c:v>
                </c:pt>
                <c:pt idx="2">
                  <c:v>1</c:v>
                </c:pt>
                <c:pt idx="3">
                  <c:v>3.9</c:v>
                </c:pt>
                <c:pt idx="4">
                  <c:v>3.6</c:v>
                </c:pt>
                <c:pt idx="5">
                  <c:v>1.4</c:v>
                </c:pt>
                <c:pt idx="6">
                  <c:v>-0.1</c:v>
                </c:pt>
                <c:pt idx="7">
                  <c:v>-0.3</c:v>
                </c:pt>
                <c:pt idx="8">
                  <c:v>-0.5</c:v>
                </c:pt>
                <c:pt idx="9">
                  <c:v>1.3</c:v>
                </c:pt>
                <c:pt idx="10">
                  <c:v>2.5</c:v>
                </c:pt>
                <c:pt idx="11">
                  <c:v>2.7</c:v>
                </c:pt>
                <c:pt idx="12">
                  <c:v>1.9</c:v>
                </c:pt>
                <c:pt idx="13">
                  <c:v>3.2</c:v>
                </c:pt>
                <c:pt idx="14">
                  <c:v>12.4</c:v>
                </c:pt>
              </c:numCache>
            </c:numRef>
          </c:val>
          <c:smooth val="1"/>
          <c:extLst>
            <c:ext xmlns:c16="http://schemas.microsoft.com/office/drawing/2014/chart" uri="{C3380CC4-5D6E-409C-BE32-E72D297353CC}">
              <c16:uniqueId val="{00000003-8161-4DD0-BD45-DD2FC8B082D4}"/>
            </c:ext>
          </c:extLst>
        </c:ser>
        <c:dLbls>
          <c:showLegendKey val="0"/>
          <c:showVal val="0"/>
          <c:showCatName val="0"/>
          <c:showSerName val="0"/>
          <c:showPercent val="0"/>
          <c:showBubbleSize val="0"/>
        </c:dLbls>
        <c:smooth val="0"/>
        <c:axId val="723313072"/>
        <c:axId val="723304752"/>
      </c:lineChart>
      <c:catAx>
        <c:axId val="7233130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723304752"/>
        <c:crosses val="autoZero"/>
        <c:auto val="1"/>
        <c:lblAlgn val="ctr"/>
        <c:lblOffset val="100"/>
        <c:noMultiLvlLbl val="0"/>
      </c:catAx>
      <c:valAx>
        <c:axId val="723304752"/>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723313072"/>
        <c:crosses val="autoZero"/>
        <c:crossBetween val="between"/>
        <c:majorUnit val="2"/>
      </c:valAx>
      <c:spPr>
        <a:noFill/>
        <a:ln>
          <a:noFill/>
        </a:ln>
        <a:effectLst/>
      </c:spPr>
    </c:plotArea>
    <c:legend>
      <c:legendPos val="b"/>
      <c:layout>
        <c:manualLayout>
          <c:xMode val="edge"/>
          <c:yMode val="edge"/>
          <c:x val="7.9137529137529125E-2"/>
          <c:y val="0.88046647578143644"/>
          <c:w val="0.80481740481740482"/>
          <c:h val="0.100724170842281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0635870516185482E-2"/>
          <c:y val="6.0307017543859649E-2"/>
          <c:w val="0.89729343832021002"/>
          <c:h val="0.58698899479670308"/>
        </c:manualLayout>
      </c:layout>
      <c:barChart>
        <c:barDir val="col"/>
        <c:grouping val="clustered"/>
        <c:varyColors val="0"/>
        <c:ser>
          <c:idx val="0"/>
          <c:order val="0"/>
          <c:tx>
            <c:strRef>
              <c:f>'Hárok1 (2)'!$B$1</c:f>
              <c:strCache>
                <c:ptCount val="1"/>
                <c:pt idx="0">
                  <c:v>2021 S</c:v>
                </c:pt>
              </c:strCache>
            </c:strRef>
          </c:tx>
          <c:spPr>
            <a:solidFill>
              <a:schemeClr val="accent3">
                <a:shade val="58000"/>
              </a:schemeClr>
            </a:solidFill>
            <a:ln>
              <a:noFill/>
            </a:ln>
            <a:effectLst/>
          </c:spPr>
          <c:invertIfNegative val="0"/>
          <c:cat>
            <c:strRef>
              <c:f>'Hárok1 (2)'!$A$2:$A$10</c:f>
              <c:strCache>
                <c:ptCount val="8"/>
                <c:pt idx="0">
                  <c:v>Vodné hospodárstvo</c:v>
                </c:pt>
                <c:pt idx="1">
                  <c:v>Ochrana ovzdušia</c:v>
                </c:pt>
                <c:pt idx="2">
                  <c:v>Nízkouhlíkové hospodárstvo</c:v>
                </c:pt>
                <c:pt idx="3">
                  <c:v>Administratíva a iné</c:v>
                </c:pt>
                <c:pt idx="4">
                  <c:v>Ochrana prírody a krajiny</c:v>
                </c:pt>
                <c:pt idx="5">
                  <c:v>Modernizačný fond</c:v>
                </c:pt>
                <c:pt idx="6">
                  <c:v>Riadenie rizík a mimoriadnych udalostí</c:v>
                </c:pt>
                <c:pt idx="7">
                  <c:v>Odpadové hospodárstvo</c:v>
                </c:pt>
              </c:strCache>
            </c:strRef>
          </c:cat>
          <c:val>
            <c:numRef>
              <c:f>'Hárok1 (2)'!$B$2:$B$10</c:f>
              <c:numCache>
                <c:formatCode>0</c:formatCode>
                <c:ptCount val="8"/>
                <c:pt idx="0">
                  <c:v>192570</c:v>
                </c:pt>
                <c:pt idx="1">
                  <c:v>39979</c:v>
                </c:pt>
                <c:pt idx="2">
                  <c:v>86771</c:v>
                </c:pt>
                <c:pt idx="3">
                  <c:v>120231</c:v>
                </c:pt>
                <c:pt idx="4">
                  <c:v>25378</c:v>
                </c:pt>
                <c:pt idx="5">
                  <c:v>0</c:v>
                </c:pt>
                <c:pt idx="6">
                  <c:v>1224</c:v>
                </c:pt>
                <c:pt idx="7">
                  <c:v>42057</c:v>
                </c:pt>
              </c:numCache>
            </c:numRef>
          </c:val>
          <c:extLst>
            <c:ext xmlns:c16="http://schemas.microsoft.com/office/drawing/2014/chart" uri="{C3380CC4-5D6E-409C-BE32-E72D297353CC}">
              <c16:uniqueId val="{00000000-E553-4B23-A2F5-094A58212793}"/>
            </c:ext>
          </c:extLst>
        </c:ser>
        <c:ser>
          <c:idx val="1"/>
          <c:order val="1"/>
          <c:tx>
            <c:strRef>
              <c:f>'Hárok1 (2)'!$C$1</c:f>
              <c:strCache>
                <c:ptCount val="1"/>
                <c:pt idx="0">
                  <c:v>2022 R</c:v>
                </c:pt>
              </c:strCache>
            </c:strRef>
          </c:tx>
          <c:spPr>
            <a:solidFill>
              <a:schemeClr val="accent3">
                <a:shade val="86000"/>
              </a:schemeClr>
            </a:solidFill>
            <a:ln>
              <a:noFill/>
            </a:ln>
            <a:effectLst/>
          </c:spPr>
          <c:invertIfNegative val="0"/>
          <c:cat>
            <c:strRef>
              <c:f>'Hárok1 (2)'!$A$2:$A$10</c:f>
              <c:strCache>
                <c:ptCount val="8"/>
                <c:pt idx="0">
                  <c:v>Vodné hospodárstvo</c:v>
                </c:pt>
                <c:pt idx="1">
                  <c:v>Ochrana ovzdušia</c:v>
                </c:pt>
                <c:pt idx="2">
                  <c:v>Nízkouhlíkové hospodárstvo</c:v>
                </c:pt>
                <c:pt idx="3">
                  <c:v>Administratíva a iné</c:v>
                </c:pt>
                <c:pt idx="4">
                  <c:v>Ochrana prírody a krajiny</c:v>
                </c:pt>
                <c:pt idx="5">
                  <c:v>Modernizačný fond</c:v>
                </c:pt>
                <c:pt idx="6">
                  <c:v>Riadenie rizík a mimoriadnych udalostí</c:v>
                </c:pt>
                <c:pt idx="7">
                  <c:v>Odpadové hospodárstvo</c:v>
                </c:pt>
              </c:strCache>
            </c:strRef>
          </c:cat>
          <c:val>
            <c:numRef>
              <c:f>'Hárok1 (2)'!$C$2:$C$10</c:f>
              <c:numCache>
                <c:formatCode>0</c:formatCode>
                <c:ptCount val="8"/>
                <c:pt idx="0">
                  <c:v>357679</c:v>
                </c:pt>
                <c:pt idx="1">
                  <c:v>128781</c:v>
                </c:pt>
                <c:pt idx="2">
                  <c:v>96105</c:v>
                </c:pt>
                <c:pt idx="3">
                  <c:v>230266</c:v>
                </c:pt>
                <c:pt idx="4">
                  <c:v>52748</c:v>
                </c:pt>
                <c:pt idx="5">
                  <c:v>100000</c:v>
                </c:pt>
                <c:pt idx="6">
                  <c:v>79613</c:v>
                </c:pt>
                <c:pt idx="7">
                  <c:v>27998</c:v>
                </c:pt>
              </c:numCache>
            </c:numRef>
          </c:val>
          <c:extLst>
            <c:ext xmlns:c16="http://schemas.microsoft.com/office/drawing/2014/chart" uri="{C3380CC4-5D6E-409C-BE32-E72D297353CC}">
              <c16:uniqueId val="{00000001-E553-4B23-A2F5-094A58212793}"/>
            </c:ext>
          </c:extLst>
        </c:ser>
        <c:ser>
          <c:idx val="2"/>
          <c:order val="2"/>
          <c:tx>
            <c:strRef>
              <c:f>'Hárok1 (2)'!$D$1</c:f>
              <c:strCache>
                <c:ptCount val="1"/>
                <c:pt idx="0">
                  <c:v>2022 OS</c:v>
                </c:pt>
              </c:strCache>
            </c:strRef>
          </c:tx>
          <c:spPr>
            <a:solidFill>
              <a:schemeClr val="accent3">
                <a:tint val="86000"/>
              </a:schemeClr>
            </a:solidFill>
            <a:ln>
              <a:noFill/>
            </a:ln>
            <a:effectLst/>
          </c:spPr>
          <c:invertIfNegative val="0"/>
          <c:cat>
            <c:strRef>
              <c:f>'Hárok1 (2)'!$A$2:$A$10</c:f>
              <c:strCache>
                <c:ptCount val="8"/>
                <c:pt idx="0">
                  <c:v>Vodné hospodárstvo</c:v>
                </c:pt>
                <c:pt idx="1">
                  <c:v>Ochrana ovzdušia</c:v>
                </c:pt>
                <c:pt idx="2">
                  <c:v>Nízkouhlíkové hospodárstvo</c:v>
                </c:pt>
                <c:pt idx="3">
                  <c:v>Administratíva a iné</c:v>
                </c:pt>
                <c:pt idx="4">
                  <c:v>Ochrana prírody a krajiny</c:v>
                </c:pt>
                <c:pt idx="5">
                  <c:v>Modernizačný fond</c:v>
                </c:pt>
                <c:pt idx="6">
                  <c:v>Riadenie rizík a mimoriadnych udalostí</c:v>
                </c:pt>
                <c:pt idx="7">
                  <c:v>Odpadové hospodárstvo</c:v>
                </c:pt>
              </c:strCache>
            </c:strRef>
          </c:cat>
          <c:val>
            <c:numRef>
              <c:f>'Hárok1 (2)'!$D$2:$D$10</c:f>
              <c:numCache>
                <c:formatCode>0</c:formatCode>
                <c:ptCount val="8"/>
                <c:pt idx="0">
                  <c:v>510668</c:v>
                </c:pt>
                <c:pt idx="1">
                  <c:v>133551</c:v>
                </c:pt>
                <c:pt idx="2">
                  <c:v>78740</c:v>
                </c:pt>
                <c:pt idx="3">
                  <c:v>236022</c:v>
                </c:pt>
                <c:pt idx="4">
                  <c:v>68368</c:v>
                </c:pt>
                <c:pt idx="5">
                  <c:v>100000</c:v>
                </c:pt>
                <c:pt idx="6">
                  <c:v>59225</c:v>
                </c:pt>
                <c:pt idx="7">
                  <c:v>60232</c:v>
                </c:pt>
              </c:numCache>
            </c:numRef>
          </c:val>
          <c:extLst>
            <c:ext xmlns:c16="http://schemas.microsoft.com/office/drawing/2014/chart" uri="{C3380CC4-5D6E-409C-BE32-E72D297353CC}">
              <c16:uniqueId val="{00000002-E553-4B23-A2F5-094A58212793}"/>
            </c:ext>
          </c:extLst>
        </c:ser>
        <c:ser>
          <c:idx val="3"/>
          <c:order val="3"/>
          <c:tx>
            <c:strRef>
              <c:f>'Hárok1 (2)'!$E$1</c:f>
              <c:strCache>
                <c:ptCount val="1"/>
                <c:pt idx="0">
                  <c:v>2023 N</c:v>
                </c:pt>
              </c:strCache>
            </c:strRef>
          </c:tx>
          <c:spPr>
            <a:solidFill>
              <a:schemeClr val="accent3">
                <a:tint val="58000"/>
              </a:schemeClr>
            </a:solidFill>
            <a:ln>
              <a:noFill/>
            </a:ln>
            <a:effectLst/>
          </c:spPr>
          <c:invertIfNegative val="0"/>
          <c:cat>
            <c:strRef>
              <c:f>'Hárok1 (2)'!$A$2:$A$10</c:f>
              <c:strCache>
                <c:ptCount val="8"/>
                <c:pt idx="0">
                  <c:v>Vodné hospodárstvo</c:v>
                </c:pt>
                <c:pt idx="1">
                  <c:v>Ochrana ovzdušia</c:v>
                </c:pt>
                <c:pt idx="2">
                  <c:v>Nízkouhlíkové hospodárstvo</c:v>
                </c:pt>
                <c:pt idx="3">
                  <c:v>Administratíva a iné</c:v>
                </c:pt>
                <c:pt idx="4">
                  <c:v>Ochrana prírody a krajiny</c:v>
                </c:pt>
                <c:pt idx="5">
                  <c:v>Modernizačný fond</c:v>
                </c:pt>
                <c:pt idx="6">
                  <c:v>Riadenie rizík a mimoriadnych udalostí</c:v>
                </c:pt>
                <c:pt idx="7">
                  <c:v>Odpadové hospodárstvo</c:v>
                </c:pt>
              </c:strCache>
            </c:strRef>
          </c:cat>
          <c:val>
            <c:numRef>
              <c:f>'Hárok1 (2)'!$E$2:$E$10</c:f>
              <c:numCache>
                <c:formatCode>0</c:formatCode>
                <c:ptCount val="8"/>
                <c:pt idx="0">
                  <c:v>1019564</c:v>
                </c:pt>
                <c:pt idx="1">
                  <c:v>381315</c:v>
                </c:pt>
                <c:pt idx="2">
                  <c:v>226431</c:v>
                </c:pt>
                <c:pt idx="3">
                  <c:v>191435</c:v>
                </c:pt>
                <c:pt idx="4">
                  <c:v>109478</c:v>
                </c:pt>
                <c:pt idx="5">
                  <c:v>100000</c:v>
                </c:pt>
                <c:pt idx="6">
                  <c:v>92402</c:v>
                </c:pt>
                <c:pt idx="7">
                  <c:v>38004</c:v>
                </c:pt>
              </c:numCache>
            </c:numRef>
          </c:val>
          <c:extLst>
            <c:ext xmlns:c16="http://schemas.microsoft.com/office/drawing/2014/chart" uri="{C3380CC4-5D6E-409C-BE32-E72D297353CC}">
              <c16:uniqueId val="{00000003-E553-4B23-A2F5-094A58212793}"/>
            </c:ext>
          </c:extLst>
        </c:ser>
        <c:dLbls>
          <c:showLegendKey val="0"/>
          <c:showVal val="0"/>
          <c:showCatName val="0"/>
          <c:showSerName val="0"/>
          <c:showPercent val="0"/>
          <c:showBubbleSize val="0"/>
        </c:dLbls>
        <c:gapWidth val="100"/>
        <c:axId val="1759519952"/>
        <c:axId val="1759512464"/>
      </c:barChart>
      <c:catAx>
        <c:axId val="175951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59512464"/>
        <c:crosses val="autoZero"/>
        <c:auto val="1"/>
        <c:lblAlgn val="ctr"/>
        <c:lblOffset val="100"/>
        <c:noMultiLvlLbl val="0"/>
      </c:catAx>
      <c:valAx>
        <c:axId val="175951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59519952"/>
        <c:crosses val="autoZero"/>
        <c:crossBetween val="between"/>
        <c:majorUnit val="100000"/>
        <c:minorUnit val="30000"/>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Podiel!$D$1</c:f>
              <c:strCache>
                <c:ptCount val="1"/>
                <c:pt idx="0">
                  <c:v>Legislatíva zmena zvýhodňujúca SZČO</c:v>
                </c:pt>
              </c:strCache>
            </c:strRef>
          </c:tx>
          <c:spPr>
            <a:solidFill>
              <a:schemeClr val="tx1"/>
            </a:solidFill>
            <a:ln>
              <a:noFill/>
            </a:ln>
            <a:effectLst/>
          </c:spPr>
          <c:invertIfNegative val="0"/>
          <c:cat>
            <c:strRef>
              <c:f>Podiel!$A$2:$A$49</c:f>
              <c:strCache>
                <c:ptCount val="48"/>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strCache>
            </c:strRef>
          </c:cat>
          <c:val>
            <c:numRef>
              <c:f>Podiel!$D$2:$D$49</c:f>
              <c:numCache>
                <c:formatCode>_-* #\ ##0_-;\-* #\ ##0_-;_-* "-"??_-;_-@_-</c:formatCode>
                <c:ptCount val="48"/>
                <c:pt idx="0">
                  <c:v>0</c:v>
                </c:pt>
                <c:pt idx="1">
                  <c:v>0</c:v>
                </c:pt>
                <c:pt idx="2">
                  <c:v>0</c:v>
                </c:pt>
                <c:pt idx="3">
                  <c:v>0</c:v>
                </c:pt>
                <c:pt idx="4">
                  <c:v>0</c:v>
                </c:pt>
                <c:pt idx="5">
                  <c:v>0</c:v>
                </c:pt>
                <c:pt idx="6">
                  <c:v>0</c:v>
                </c:pt>
                <c:pt idx="7">
                  <c:v>0</c:v>
                </c:pt>
                <c:pt idx="8" formatCode="_-* #\ ##0.0_-;\-* #\ ##0.0_-;_-* &quot;-&quot;??_-;_-@_-">
                  <c:v>0.5</c:v>
                </c:pt>
                <c:pt idx="9">
                  <c:v>0</c:v>
                </c:pt>
                <c:pt idx="10">
                  <c:v>0</c:v>
                </c:pt>
                <c:pt idx="11">
                  <c:v>0</c:v>
                </c:pt>
                <c:pt idx="12" formatCode="_-* #\ ##0.0_-;\-* #\ ##0.0_-;_-* &quot;-&quot;??_-;_-@_-">
                  <c:v>0.5</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numCache>
            </c:numRef>
          </c:val>
          <c:extLst>
            <c:ext xmlns:c16="http://schemas.microsoft.com/office/drawing/2014/chart" uri="{C3380CC4-5D6E-409C-BE32-E72D297353CC}">
              <c16:uniqueId val="{00000000-8076-4FE2-A813-9BE19EE1CFF7}"/>
            </c:ext>
          </c:extLst>
        </c:ser>
        <c:dLbls>
          <c:showLegendKey val="0"/>
          <c:showVal val="0"/>
          <c:showCatName val="0"/>
          <c:showSerName val="0"/>
          <c:showPercent val="0"/>
          <c:showBubbleSize val="0"/>
        </c:dLbls>
        <c:gapWidth val="219"/>
        <c:axId val="2048705839"/>
        <c:axId val="2048685871"/>
      </c:barChart>
      <c:lineChart>
        <c:grouping val="standard"/>
        <c:varyColors val="0"/>
        <c:ser>
          <c:idx val="0"/>
          <c:order val="0"/>
          <c:tx>
            <c:strRef>
              <c:f>Podiel!$B$1</c:f>
              <c:strCache>
                <c:ptCount val="1"/>
                <c:pt idx="0">
                  <c:v>Podiel SZČO na celk. počte vyslaných osôb</c:v>
                </c:pt>
              </c:strCache>
            </c:strRef>
          </c:tx>
          <c:spPr>
            <a:ln w="19050" cap="rnd">
              <a:solidFill>
                <a:schemeClr val="accent1"/>
              </a:solidFill>
              <a:prstDash val="sysDash"/>
              <a:round/>
            </a:ln>
            <a:effectLst/>
          </c:spPr>
          <c:marker>
            <c:symbol val="none"/>
          </c:marker>
          <c:cat>
            <c:strRef>
              <c:f>Podiel!$A$2:$A$49</c:f>
              <c:strCache>
                <c:ptCount val="48"/>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strCache>
            </c:strRef>
          </c:cat>
          <c:val>
            <c:numRef>
              <c:f>Podiel!$B$2:$B$49</c:f>
              <c:numCache>
                <c:formatCode>0.00</c:formatCode>
                <c:ptCount val="48"/>
                <c:pt idx="0">
                  <c:v>0.2055439</c:v>
                </c:pt>
                <c:pt idx="1">
                  <c:v>0.2378314</c:v>
                </c:pt>
                <c:pt idx="2">
                  <c:v>0.25733929999999999</c:v>
                </c:pt>
                <c:pt idx="3">
                  <c:v>0.26967160000000001</c:v>
                </c:pt>
                <c:pt idx="4">
                  <c:v>0.28068680000000001</c:v>
                </c:pt>
                <c:pt idx="5">
                  <c:v>0.27808139999999998</c:v>
                </c:pt>
                <c:pt idx="6">
                  <c:v>0.28039809999999998</c:v>
                </c:pt>
                <c:pt idx="7">
                  <c:v>0.28543259999999998</c:v>
                </c:pt>
                <c:pt idx="8">
                  <c:v>0.28600979999999998</c:v>
                </c:pt>
                <c:pt idx="9">
                  <c:v>0.28622340000000002</c:v>
                </c:pt>
                <c:pt idx="10">
                  <c:v>0.2910121</c:v>
                </c:pt>
                <c:pt idx="11">
                  <c:v>0.28700369999999997</c:v>
                </c:pt>
                <c:pt idx="12">
                  <c:v>0.22756689999999999</c:v>
                </c:pt>
                <c:pt idx="13">
                  <c:v>0.2429173</c:v>
                </c:pt>
                <c:pt idx="14">
                  <c:v>0.2542971</c:v>
                </c:pt>
                <c:pt idx="15">
                  <c:v>0.26381379999999999</c:v>
                </c:pt>
                <c:pt idx="16">
                  <c:v>0.26739230000000003</c:v>
                </c:pt>
                <c:pt idx="17">
                  <c:v>0.27290579999999998</c:v>
                </c:pt>
                <c:pt idx="18">
                  <c:v>0.27682509999999999</c:v>
                </c:pt>
                <c:pt idx="19">
                  <c:v>0.27986470000000002</c:v>
                </c:pt>
                <c:pt idx="20">
                  <c:v>0.28244580000000002</c:v>
                </c:pt>
                <c:pt idx="21">
                  <c:v>0.28906959999999998</c:v>
                </c:pt>
                <c:pt idx="22">
                  <c:v>0.29791859999999998</c:v>
                </c:pt>
                <c:pt idx="23">
                  <c:v>0.29944720000000002</c:v>
                </c:pt>
                <c:pt idx="24">
                  <c:v>0.2474123</c:v>
                </c:pt>
                <c:pt idx="25">
                  <c:v>0.26363639999999999</c:v>
                </c:pt>
                <c:pt idx="26">
                  <c:v>0.27315099999999998</c:v>
                </c:pt>
                <c:pt idx="27">
                  <c:v>0.28331499999999998</c:v>
                </c:pt>
                <c:pt idx="28">
                  <c:v>0.29160079999999999</c:v>
                </c:pt>
                <c:pt idx="29">
                  <c:v>0.2978094</c:v>
                </c:pt>
                <c:pt idx="30">
                  <c:v>0.3018903</c:v>
                </c:pt>
                <c:pt idx="31">
                  <c:v>0.3102338</c:v>
                </c:pt>
                <c:pt idx="32">
                  <c:v>0.3184053</c:v>
                </c:pt>
                <c:pt idx="33">
                  <c:v>0.32813680000000001</c:v>
                </c:pt>
                <c:pt idx="34">
                  <c:v>0.33791280000000001</c:v>
                </c:pt>
                <c:pt idx="35">
                  <c:v>0.33740429999999999</c:v>
                </c:pt>
                <c:pt idx="36">
                  <c:v>0.28505209999999997</c:v>
                </c:pt>
                <c:pt idx="37">
                  <c:v>0.30410199999999998</c:v>
                </c:pt>
                <c:pt idx="38">
                  <c:v>0.32222460000000003</c:v>
                </c:pt>
                <c:pt idx="39">
                  <c:v>0.33311069999999998</c:v>
                </c:pt>
                <c:pt idx="40">
                  <c:v>0.34193459999999998</c:v>
                </c:pt>
                <c:pt idx="41">
                  <c:v>0.34772399999999998</c:v>
                </c:pt>
                <c:pt idx="42">
                  <c:v>0.3573557</c:v>
                </c:pt>
                <c:pt idx="43">
                  <c:v>0.36514760000000002</c:v>
                </c:pt>
                <c:pt idx="44">
                  <c:v>0.37198750000000003</c:v>
                </c:pt>
                <c:pt idx="45">
                  <c:v>0.37667499999999998</c:v>
                </c:pt>
                <c:pt idx="46">
                  <c:v>0.38508330000000002</c:v>
                </c:pt>
                <c:pt idx="47">
                  <c:v>0.38956049999999998</c:v>
                </c:pt>
              </c:numCache>
            </c:numRef>
          </c:val>
          <c:smooth val="0"/>
          <c:extLst>
            <c:ext xmlns:c16="http://schemas.microsoft.com/office/drawing/2014/chart" uri="{C3380CC4-5D6E-409C-BE32-E72D297353CC}">
              <c16:uniqueId val="{00000001-8076-4FE2-A813-9BE19EE1CFF7}"/>
            </c:ext>
          </c:extLst>
        </c:ser>
        <c:ser>
          <c:idx val="1"/>
          <c:order val="1"/>
          <c:tx>
            <c:strRef>
              <c:f>Podiel!$C$1</c:f>
              <c:strCache>
                <c:ptCount val="1"/>
                <c:pt idx="0">
                  <c:v>Podiel SZČO na celk. počte vyslaných osôb (sezónne očistené)</c:v>
                </c:pt>
              </c:strCache>
            </c:strRef>
          </c:tx>
          <c:spPr>
            <a:ln w="25400" cap="rnd">
              <a:solidFill>
                <a:schemeClr val="accent1"/>
              </a:solidFill>
              <a:round/>
            </a:ln>
            <a:effectLst/>
          </c:spPr>
          <c:marker>
            <c:symbol val="none"/>
          </c:marker>
          <c:cat>
            <c:strRef>
              <c:f>Podiel!$A$2:$A$49</c:f>
              <c:strCache>
                <c:ptCount val="48"/>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strCache>
            </c:strRef>
          </c:cat>
          <c:val>
            <c:numRef>
              <c:f>Podiel!$C$2:$C$49</c:f>
              <c:numCache>
                <c:formatCode>0.00</c:formatCode>
                <c:ptCount val="48"/>
                <c:pt idx="0">
                  <c:v>0.244936712</c:v>
                </c:pt>
                <c:pt idx="1">
                  <c:v>0.26268227799999999</c:v>
                </c:pt>
                <c:pt idx="2">
                  <c:v>0.27011332599999999</c:v>
                </c:pt>
                <c:pt idx="3">
                  <c:v>0.27482265299999997</c:v>
                </c:pt>
                <c:pt idx="4">
                  <c:v>0.28056239100000002</c:v>
                </c:pt>
                <c:pt idx="5">
                  <c:v>0.27576292200000002</c:v>
                </c:pt>
                <c:pt idx="6">
                  <c:v>0.27587447399999998</c:v>
                </c:pt>
                <c:pt idx="7">
                  <c:v>0.27635414000000003</c:v>
                </c:pt>
                <c:pt idx="8">
                  <c:v>0.27430749999999998</c:v>
                </c:pt>
                <c:pt idx="9">
                  <c:v>0.27115178400000001</c:v>
                </c:pt>
                <c:pt idx="10">
                  <c:v>0.27069581700000001</c:v>
                </c:pt>
                <c:pt idx="11">
                  <c:v>0.26794723999999998</c:v>
                </c:pt>
                <c:pt idx="12">
                  <c:v>0.26695309</c:v>
                </c:pt>
                <c:pt idx="13">
                  <c:v>0.26776592599999999</c:v>
                </c:pt>
                <c:pt idx="14">
                  <c:v>0.26707915199999999</c:v>
                </c:pt>
                <c:pt idx="15">
                  <c:v>0.26897953600000002</c:v>
                </c:pt>
                <c:pt idx="16">
                  <c:v>0.26728878900000003</c:v>
                </c:pt>
                <c:pt idx="17">
                  <c:v>0.27059680200000003</c:v>
                </c:pt>
                <c:pt idx="18">
                  <c:v>0.27230842599999999</c:v>
                </c:pt>
                <c:pt idx="19">
                  <c:v>0.27078966399999999</c:v>
                </c:pt>
                <c:pt idx="20">
                  <c:v>0.27073981499999999</c:v>
                </c:pt>
                <c:pt idx="21">
                  <c:v>0.27398752500000001</c:v>
                </c:pt>
                <c:pt idx="22">
                  <c:v>0.27759121399999998</c:v>
                </c:pt>
                <c:pt idx="23">
                  <c:v>0.28037500999999998</c:v>
                </c:pt>
                <c:pt idx="24">
                  <c:v>0.28678574600000001</c:v>
                </c:pt>
                <c:pt idx="25">
                  <c:v>0.28847824799999999</c:v>
                </c:pt>
                <c:pt idx="26">
                  <c:v>0.285935728</c:v>
                </c:pt>
                <c:pt idx="27">
                  <c:v>0.28849438100000002</c:v>
                </c:pt>
                <c:pt idx="28">
                  <c:v>0.29151783100000001</c:v>
                </c:pt>
                <c:pt idx="29">
                  <c:v>0.29551056599999997</c:v>
                </c:pt>
                <c:pt idx="30">
                  <c:v>0.29738167599999998</c:v>
                </c:pt>
                <c:pt idx="31">
                  <c:v>0.30116043199999998</c:v>
                </c:pt>
                <c:pt idx="32">
                  <c:v>0.30669207799999998</c:v>
                </c:pt>
                <c:pt idx="33">
                  <c:v>0.31304316300000001</c:v>
                </c:pt>
                <c:pt idx="34">
                  <c:v>0.31757687299999998</c:v>
                </c:pt>
                <c:pt idx="35">
                  <c:v>0.31831722699999998</c:v>
                </c:pt>
                <c:pt idx="36">
                  <c:v>0.32442034800000003</c:v>
                </c:pt>
                <c:pt idx="37">
                  <c:v>0.328943922</c:v>
                </c:pt>
                <c:pt idx="38">
                  <c:v>0.33501159000000003</c:v>
                </c:pt>
                <c:pt idx="39">
                  <c:v>0.338302243</c:v>
                </c:pt>
                <c:pt idx="40">
                  <c:v>0.34186791900000002</c:v>
                </c:pt>
                <c:pt idx="41">
                  <c:v>0.34543274000000002</c:v>
                </c:pt>
                <c:pt idx="42">
                  <c:v>0.35285276399999999</c:v>
                </c:pt>
                <c:pt idx="43">
                  <c:v>0.35607153800000002</c:v>
                </c:pt>
                <c:pt idx="44">
                  <c:v>0.36026465299999999</c:v>
                </c:pt>
                <c:pt idx="45">
                  <c:v>0.36157035700000001</c:v>
                </c:pt>
                <c:pt idx="46">
                  <c:v>0.36474077900000001</c:v>
                </c:pt>
                <c:pt idx="47">
                  <c:v>0.370457757</c:v>
                </c:pt>
              </c:numCache>
            </c:numRef>
          </c:val>
          <c:smooth val="0"/>
          <c:extLst>
            <c:ext xmlns:c16="http://schemas.microsoft.com/office/drawing/2014/chart" uri="{C3380CC4-5D6E-409C-BE32-E72D297353CC}">
              <c16:uniqueId val="{00000002-8076-4FE2-A813-9BE19EE1CFF7}"/>
            </c:ext>
          </c:extLst>
        </c:ser>
        <c:dLbls>
          <c:showLegendKey val="0"/>
          <c:showVal val="0"/>
          <c:showCatName val="0"/>
          <c:showSerName val="0"/>
          <c:showPercent val="0"/>
          <c:showBubbleSize val="0"/>
        </c:dLbls>
        <c:marker val="1"/>
        <c:smooth val="0"/>
        <c:axId val="2048705839"/>
        <c:axId val="2048685871"/>
      </c:lineChart>
      <c:catAx>
        <c:axId val="204870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48685871"/>
        <c:crosses val="autoZero"/>
        <c:auto val="1"/>
        <c:lblAlgn val="ctr"/>
        <c:lblOffset val="100"/>
        <c:noMultiLvlLbl val="0"/>
      </c:catAx>
      <c:valAx>
        <c:axId val="2048685871"/>
        <c:scaling>
          <c:orientation val="minMax"/>
          <c:max val="0.5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48705839"/>
        <c:crosses val="autoZero"/>
        <c:crossBetween val="between"/>
        <c:majorUnit val="0.1"/>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4"/>
          <c:tx>
            <c:strRef>
              <c:f>Počty!$F$1</c:f>
              <c:strCache>
                <c:ptCount val="1"/>
                <c:pt idx="0">
                  <c:v>Legislatíva zmena zvýhodňujúca SZČO</c:v>
                </c:pt>
              </c:strCache>
            </c:strRef>
          </c:tx>
          <c:spPr>
            <a:solidFill>
              <a:schemeClr val="tx1"/>
            </a:solidFill>
            <a:ln>
              <a:noFill/>
            </a:ln>
            <a:effectLst/>
          </c:spPr>
          <c:invertIfNegative val="0"/>
          <c:cat>
            <c:strRef>
              <c:f>Počty!$A$2:$A$49</c:f>
              <c:strCache>
                <c:ptCount val="48"/>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strCache>
            </c:strRef>
          </c:cat>
          <c:val>
            <c:numRef>
              <c:f>Počty!$F$2:$F$49</c:f>
              <c:numCache>
                <c:formatCode>_-* #\ ##0_-;\-* #\ ##0_-;_-* "-"??_-;_-@_-</c:formatCode>
                <c:ptCount val="48"/>
                <c:pt idx="0">
                  <c:v>0</c:v>
                </c:pt>
                <c:pt idx="1">
                  <c:v>0</c:v>
                </c:pt>
                <c:pt idx="2">
                  <c:v>0</c:v>
                </c:pt>
                <c:pt idx="3">
                  <c:v>0</c:v>
                </c:pt>
                <c:pt idx="4">
                  <c:v>0</c:v>
                </c:pt>
                <c:pt idx="5">
                  <c:v>0</c:v>
                </c:pt>
                <c:pt idx="6">
                  <c:v>0</c:v>
                </c:pt>
                <c:pt idx="7">
                  <c:v>0</c:v>
                </c:pt>
                <c:pt idx="8">
                  <c:v>40000</c:v>
                </c:pt>
                <c:pt idx="9">
                  <c:v>0</c:v>
                </c:pt>
                <c:pt idx="10">
                  <c:v>0</c:v>
                </c:pt>
                <c:pt idx="11">
                  <c:v>0</c:v>
                </c:pt>
                <c:pt idx="12">
                  <c:v>40000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numCache>
            </c:numRef>
          </c:val>
          <c:extLst>
            <c:ext xmlns:c16="http://schemas.microsoft.com/office/drawing/2014/chart" uri="{C3380CC4-5D6E-409C-BE32-E72D297353CC}">
              <c16:uniqueId val="{00000000-FAE9-450E-809D-F1ABEC3BB9C4}"/>
            </c:ext>
          </c:extLst>
        </c:ser>
        <c:dLbls>
          <c:showLegendKey val="0"/>
          <c:showVal val="0"/>
          <c:showCatName val="0"/>
          <c:showSerName val="0"/>
          <c:showPercent val="0"/>
          <c:showBubbleSize val="0"/>
        </c:dLbls>
        <c:gapWidth val="200"/>
        <c:overlap val="-11"/>
        <c:axId val="2040224943"/>
        <c:axId val="2040229519"/>
      </c:barChart>
      <c:lineChart>
        <c:grouping val="standard"/>
        <c:varyColors val="0"/>
        <c:ser>
          <c:idx val="0"/>
          <c:order val="0"/>
          <c:tx>
            <c:strRef>
              <c:f>Počty!$B$1</c:f>
              <c:strCache>
                <c:ptCount val="1"/>
                <c:pt idx="0">
                  <c:v>Vyslaní SZČO</c:v>
                </c:pt>
              </c:strCache>
            </c:strRef>
          </c:tx>
          <c:spPr>
            <a:ln w="19050" cap="rnd">
              <a:solidFill>
                <a:schemeClr val="accent2"/>
              </a:solidFill>
              <a:prstDash val="sysDash"/>
              <a:round/>
            </a:ln>
            <a:effectLst/>
          </c:spPr>
          <c:marker>
            <c:symbol val="none"/>
          </c:marker>
          <c:cat>
            <c:strRef>
              <c:f>Počty!$A$2:$A$49</c:f>
              <c:strCache>
                <c:ptCount val="48"/>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strCache>
            </c:strRef>
          </c:cat>
          <c:val>
            <c:numRef>
              <c:f>Počty!$B$2:$B$49</c:f>
              <c:numCache>
                <c:formatCode>_-* #\ ##0_-;\-* #\ ##0_-;_-* "-"??_-;_-@_-</c:formatCode>
                <c:ptCount val="48"/>
                <c:pt idx="0">
                  <c:v>3537</c:v>
                </c:pt>
                <c:pt idx="1">
                  <c:v>5023</c:v>
                </c:pt>
                <c:pt idx="2">
                  <c:v>6101</c:v>
                </c:pt>
                <c:pt idx="3">
                  <c:v>6964</c:v>
                </c:pt>
                <c:pt idx="4">
                  <c:v>7896</c:v>
                </c:pt>
                <c:pt idx="5">
                  <c:v>8650</c:v>
                </c:pt>
                <c:pt idx="6">
                  <c:v>9072</c:v>
                </c:pt>
                <c:pt idx="7">
                  <c:v>9699</c:v>
                </c:pt>
                <c:pt idx="8">
                  <c:v>10230</c:v>
                </c:pt>
                <c:pt idx="9">
                  <c:v>10762</c:v>
                </c:pt>
                <c:pt idx="10">
                  <c:v>11245</c:v>
                </c:pt>
                <c:pt idx="11">
                  <c:v>11002</c:v>
                </c:pt>
                <c:pt idx="12">
                  <c:v>7877</c:v>
                </c:pt>
                <c:pt idx="13">
                  <c:v>9063</c:v>
                </c:pt>
                <c:pt idx="14">
                  <c:v>10238</c:v>
                </c:pt>
                <c:pt idx="15">
                  <c:v>10881</c:v>
                </c:pt>
                <c:pt idx="16">
                  <c:v>11669</c:v>
                </c:pt>
                <c:pt idx="17">
                  <c:v>12227</c:v>
                </c:pt>
                <c:pt idx="18">
                  <c:v>12559</c:v>
                </c:pt>
                <c:pt idx="19">
                  <c:v>12904</c:v>
                </c:pt>
                <c:pt idx="20">
                  <c:v>13456</c:v>
                </c:pt>
                <c:pt idx="21">
                  <c:v>14006</c:v>
                </c:pt>
                <c:pt idx="22">
                  <c:v>14542</c:v>
                </c:pt>
                <c:pt idx="23">
                  <c:v>14354</c:v>
                </c:pt>
                <c:pt idx="24">
                  <c:v>10302</c:v>
                </c:pt>
                <c:pt idx="25">
                  <c:v>11484</c:v>
                </c:pt>
                <c:pt idx="26">
                  <c:v>12365</c:v>
                </c:pt>
                <c:pt idx="27">
                  <c:v>13107</c:v>
                </c:pt>
                <c:pt idx="28">
                  <c:v>13828</c:v>
                </c:pt>
                <c:pt idx="29">
                  <c:v>14397</c:v>
                </c:pt>
                <c:pt idx="30">
                  <c:v>14693</c:v>
                </c:pt>
                <c:pt idx="31">
                  <c:v>15324</c:v>
                </c:pt>
                <c:pt idx="32">
                  <c:v>16125</c:v>
                </c:pt>
                <c:pt idx="33">
                  <c:v>16902</c:v>
                </c:pt>
                <c:pt idx="34">
                  <c:v>17488</c:v>
                </c:pt>
                <c:pt idx="35">
                  <c:v>17046</c:v>
                </c:pt>
                <c:pt idx="36">
                  <c:v>12361</c:v>
                </c:pt>
                <c:pt idx="37">
                  <c:v>13767</c:v>
                </c:pt>
                <c:pt idx="38">
                  <c:v>15151</c:v>
                </c:pt>
                <c:pt idx="39">
                  <c:v>15963</c:v>
                </c:pt>
                <c:pt idx="40">
                  <c:v>16869</c:v>
                </c:pt>
                <c:pt idx="41">
                  <c:v>17615</c:v>
                </c:pt>
                <c:pt idx="42">
                  <c:v>18228</c:v>
                </c:pt>
                <c:pt idx="43">
                  <c:v>18934</c:v>
                </c:pt>
                <c:pt idx="44">
                  <c:v>20081</c:v>
                </c:pt>
                <c:pt idx="45">
                  <c:v>20774</c:v>
                </c:pt>
                <c:pt idx="46">
                  <c:v>21396</c:v>
                </c:pt>
                <c:pt idx="47">
                  <c:v>20979</c:v>
                </c:pt>
              </c:numCache>
            </c:numRef>
          </c:val>
          <c:smooth val="0"/>
          <c:extLst>
            <c:ext xmlns:c16="http://schemas.microsoft.com/office/drawing/2014/chart" uri="{C3380CC4-5D6E-409C-BE32-E72D297353CC}">
              <c16:uniqueId val="{00000001-FAE9-450E-809D-F1ABEC3BB9C4}"/>
            </c:ext>
          </c:extLst>
        </c:ser>
        <c:ser>
          <c:idx val="1"/>
          <c:order val="1"/>
          <c:tx>
            <c:strRef>
              <c:f>Počty!$C$1</c:f>
              <c:strCache>
                <c:ptCount val="1"/>
                <c:pt idx="0">
                  <c:v>Vyslaní SZČO (sezónne očistené)</c:v>
                </c:pt>
              </c:strCache>
            </c:strRef>
          </c:tx>
          <c:spPr>
            <a:ln w="25400" cap="rnd">
              <a:solidFill>
                <a:schemeClr val="accent2"/>
              </a:solidFill>
              <a:round/>
            </a:ln>
            <a:effectLst/>
          </c:spPr>
          <c:marker>
            <c:symbol val="none"/>
          </c:marker>
          <c:cat>
            <c:strRef>
              <c:f>Počty!$A$2:$A$49</c:f>
              <c:strCache>
                <c:ptCount val="48"/>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strCache>
            </c:strRef>
          </c:cat>
          <c:val>
            <c:numRef>
              <c:f>Počty!$C$2:$C$49</c:f>
              <c:numCache>
                <c:formatCode>_-* #\ ##0_-;\-* #\ ##0_-;_-* "-"??_-;_-@_-</c:formatCode>
                <c:ptCount val="48"/>
                <c:pt idx="0">
                  <c:v>6270.3526074419997</c:v>
                </c:pt>
                <c:pt idx="1">
                  <c:v>6671.1144294530004</c:v>
                </c:pt>
                <c:pt idx="2">
                  <c:v>7049.3942299800001</c:v>
                </c:pt>
                <c:pt idx="3">
                  <c:v>7437.5945162600001</c:v>
                </c:pt>
                <c:pt idx="4">
                  <c:v>7830.5265861409998</c:v>
                </c:pt>
                <c:pt idx="5">
                  <c:v>8201.8577342299996</c:v>
                </c:pt>
                <c:pt idx="6">
                  <c:v>8561.7465239169996</c:v>
                </c:pt>
                <c:pt idx="7">
                  <c:v>8930.7040809619994</c:v>
                </c:pt>
                <c:pt idx="8">
                  <c:v>9288.7384265239998</c:v>
                </c:pt>
                <c:pt idx="9">
                  <c:v>9619.8342705800005</c:v>
                </c:pt>
                <c:pt idx="10">
                  <c:v>9919.4182830699992</c:v>
                </c:pt>
                <c:pt idx="11">
                  <c:v>10226.054235108</c:v>
                </c:pt>
                <c:pt idx="12">
                  <c:v>10554.645317572</c:v>
                </c:pt>
                <c:pt idx="13">
                  <c:v>10851.311758170001</c:v>
                </c:pt>
                <c:pt idx="14">
                  <c:v>11142.039620490999</c:v>
                </c:pt>
                <c:pt idx="15">
                  <c:v>11390.104340665999</c:v>
                </c:pt>
                <c:pt idx="16">
                  <c:v>11618.90955359</c:v>
                </c:pt>
                <c:pt idx="17">
                  <c:v>11864.833937986999</c:v>
                </c:pt>
                <c:pt idx="18">
                  <c:v>12096.935030424</c:v>
                </c:pt>
                <c:pt idx="19">
                  <c:v>12282.863064673</c:v>
                </c:pt>
                <c:pt idx="20">
                  <c:v>12466.090888519</c:v>
                </c:pt>
                <c:pt idx="21">
                  <c:v>12654.018105478999</c:v>
                </c:pt>
                <c:pt idx="22">
                  <c:v>12867.068645596</c:v>
                </c:pt>
                <c:pt idx="23">
                  <c:v>13096.236418906001</c:v>
                </c:pt>
                <c:pt idx="24">
                  <c:v>13281.264940450999</c:v>
                </c:pt>
                <c:pt idx="25">
                  <c:v>13424.649822961999</c:v>
                </c:pt>
                <c:pt idx="26">
                  <c:v>13561.219697777</c:v>
                </c:pt>
                <c:pt idx="27">
                  <c:v>13779.24542359</c:v>
                </c:pt>
                <c:pt idx="28">
                  <c:v>14010.252204457</c:v>
                </c:pt>
                <c:pt idx="29">
                  <c:v>14195.938066070999</c:v>
                </c:pt>
                <c:pt idx="30">
                  <c:v>14387.798362842001</c:v>
                </c:pt>
                <c:pt idx="31">
                  <c:v>14631.350385452</c:v>
                </c:pt>
                <c:pt idx="32">
                  <c:v>14886.740363446999</c:v>
                </c:pt>
                <c:pt idx="33">
                  <c:v>15153.616227281</c:v>
                </c:pt>
                <c:pt idx="34">
                  <c:v>15389.734075713999</c:v>
                </c:pt>
                <c:pt idx="35">
                  <c:v>15623.357486079</c:v>
                </c:pt>
                <c:pt idx="36">
                  <c:v>15922.795562740001</c:v>
                </c:pt>
                <c:pt idx="37">
                  <c:v>16255.580214465001</c:v>
                </c:pt>
                <c:pt idx="38">
                  <c:v>16602.730864398</c:v>
                </c:pt>
                <c:pt idx="39">
                  <c:v>16868.024546353001</c:v>
                </c:pt>
                <c:pt idx="40">
                  <c:v>17109.280826542999</c:v>
                </c:pt>
                <c:pt idx="41">
                  <c:v>17400.890453454998</c:v>
                </c:pt>
                <c:pt idx="42">
                  <c:v>17714.678694515998</c:v>
                </c:pt>
                <c:pt idx="43">
                  <c:v>17983.659986171999</c:v>
                </c:pt>
                <c:pt idx="44">
                  <c:v>18247.707654439</c:v>
                </c:pt>
                <c:pt idx="45">
                  <c:v>18530.958971350999</c:v>
                </c:pt>
                <c:pt idx="46">
                  <c:v>18847.147243037001</c:v>
                </c:pt>
                <c:pt idx="47">
                  <c:v>19097.773476585</c:v>
                </c:pt>
              </c:numCache>
            </c:numRef>
          </c:val>
          <c:smooth val="0"/>
          <c:extLst>
            <c:ext xmlns:c16="http://schemas.microsoft.com/office/drawing/2014/chart" uri="{C3380CC4-5D6E-409C-BE32-E72D297353CC}">
              <c16:uniqueId val="{00000002-FAE9-450E-809D-F1ABEC3BB9C4}"/>
            </c:ext>
          </c:extLst>
        </c:ser>
        <c:ser>
          <c:idx val="2"/>
          <c:order val="2"/>
          <c:tx>
            <c:strRef>
              <c:f>Počty!$D$1</c:f>
              <c:strCache>
                <c:ptCount val="1"/>
                <c:pt idx="0">
                  <c:v>Vyslaní zamestnanci</c:v>
                </c:pt>
              </c:strCache>
            </c:strRef>
          </c:tx>
          <c:spPr>
            <a:ln w="19050" cap="rnd" cmpd="sng">
              <a:solidFill>
                <a:schemeClr val="accent1"/>
              </a:solidFill>
              <a:prstDash val="sysDash"/>
              <a:round/>
            </a:ln>
            <a:effectLst/>
          </c:spPr>
          <c:marker>
            <c:symbol val="none"/>
          </c:marker>
          <c:cat>
            <c:strRef>
              <c:f>Počty!$A$2:$A$49</c:f>
              <c:strCache>
                <c:ptCount val="48"/>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strCache>
            </c:strRef>
          </c:cat>
          <c:val>
            <c:numRef>
              <c:f>Počty!$D$2:$D$49</c:f>
              <c:numCache>
                <c:formatCode>_-* #\ ##0_-;\-* #\ ##0_-;_-* "-"??_-;_-@_-</c:formatCode>
                <c:ptCount val="48"/>
                <c:pt idx="0">
                  <c:v>13671</c:v>
                </c:pt>
                <c:pt idx="1">
                  <c:v>16097</c:v>
                </c:pt>
                <c:pt idx="2">
                  <c:v>17607</c:v>
                </c:pt>
                <c:pt idx="3">
                  <c:v>18860</c:v>
                </c:pt>
                <c:pt idx="4">
                  <c:v>20235</c:v>
                </c:pt>
                <c:pt idx="5">
                  <c:v>22456</c:v>
                </c:pt>
                <c:pt idx="6">
                  <c:v>23282</c:v>
                </c:pt>
                <c:pt idx="7">
                  <c:v>24281</c:v>
                </c:pt>
                <c:pt idx="8">
                  <c:v>25538</c:v>
                </c:pt>
                <c:pt idx="9">
                  <c:v>26838</c:v>
                </c:pt>
                <c:pt idx="10">
                  <c:v>27396</c:v>
                </c:pt>
                <c:pt idx="11">
                  <c:v>27332</c:v>
                </c:pt>
                <c:pt idx="12">
                  <c:v>26737</c:v>
                </c:pt>
                <c:pt idx="13">
                  <c:v>28246</c:v>
                </c:pt>
                <c:pt idx="14">
                  <c:v>30022</c:v>
                </c:pt>
                <c:pt idx="15">
                  <c:v>30364</c:v>
                </c:pt>
                <c:pt idx="16">
                  <c:v>31971</c:v>
                </c:pt>
                <c:pt idx="17">
                  <c:v>32576</c:v>
                </c:pt>
                <c:pt idx="18">
                  <c:v>32809</c:v>
                </c:pt>
                <c:pt idx="19">
                  <c:v>33204</c:v>
                </c:pt>
                <c:pt idx="20">
                  <c:v>34185</c:v>
                </c:pt>
                <c:pt idx="21">
                  <c:v>34446</c:v>
                </c:pt>
                <c:pt idx="22">
                  <c:v>34270</c:v>
                </c:pt>
                <c:pt idx="23">
                  <c:v>33581</c:v>
                </c:pt>
                <c:pt idx="24">
                  <c:v>31337</c:v>
                </c:pt>
                <c:pt idx="25">
                  <c:v>32076</c:v>
                </c:pt>
                <c:pt idx="26">
                  <c:v>32903</c:v>
                </c:pt>
                <c:pt idx="27">
                  <c:v>33156</c:v>
                </c:pt>
                <c:pt idx="28">
                  <c:v>33593</c:v>
                </c:pt>
                <c:pt idx="29">
                  <c:v>33946</c:v>
                </c:pt>
                <c:pt idx="30">
                  <c:v>33977</c:v>
                </c:pt>
                <c:pt idx="31">
                  <c:v>34071</c:v>
                </c:pt>
                <c:pt idx="32">
                  <c:v>34518</c:v>
                </c:pt>
                <c:pt idx="33">
                  <c:v>34607</c:v>
                </c:pt>
                <c:pt idx="34">
                  <c:v>34265</c:v>
                </c:pt>
                <c:pt idx="35">
                  <c:v>33475</c:v>
                </c:pt>
                <c:pt idx="36">
                  <c:v>31003</c:v>
                </c:pt>
                <c:pt idx="37">
                  <c:v>31504</c:v>
                </c:pt>
                <c:pt idx="38">
                  <c:v>31869</c:v>
                </c:pt>
                <c:pt idx="39">
                  <c:v>31958</c:v>
                </c:pt>
                <c:pt idx="40">
                  <c:v>32465</c:v>
                </c:pt>
                <c:pt idx="41">
                  <c:v>33043</c:v>
                </c:pt>
                <c:pt idx="42">
                  <c:v>32780</c:v>
                </c:pt>
                <c:pt idx="43">
                  <c:v>32919</c:v>
                </c:pt>
                <c:pt idx="44">
                  <c:v>33902</c:v>
                </c:pt>
                <c:pt idx="45">
                  <c:v>34377</c:v>
                </c:pt>
                <c:pt idx="46">
                  <c:v>34166</c:v>
                </c:pt>
                <c:pt idx="47">
                  <c:v>32874</c:v>
                </c:pt>
              </c:numCache>
            </c:numRef>
          </c:val>
          <c:smooth val="0"/>
          <c:extLst>
            <c:ext xmlns:c16="http://schemas.microsoft.com/office/drawing/2014/chart" uri="{C3380CC4-5D6E-409C-BE32-E72D297353CC}">
              <c16:uniqueId val="{00000003-FAE9-450E-809D-F1ABEC3BB9C4}"/>
            </c:ext>
          </c:extLst>
        </c:ser>
        <c:ser>
          <c:idx val="3"/>
          <c:order val="3"/>
          <c:tx>
            <c:strRef>
              <c:f>Počty!$E$1</c:f>
              <c:strCache>
                <c:ptCount val="1"/>
                <c:pt idx="0">
                  <c:v>Vyslaní zamestnanci (sezónne očistené)</c:v>
                </c:pt>
              </c:strCache>
            </c:strRef>
          </c:tx>
          <c:spPr>
            <a:ln w="25400" cap="rnd">
              <a:solidFill>
                <a:schemeClr val="accent1"/>
              </a:solidFill>
              <a:round/>
            </a:ln>
            <a:effectLst/>
          </c:spPr>
          <c:marker>
            <c:symbol val="none"/>
          </c:marker>
          <c:cat>
            <c:strRef>
              <c:f>Počty!$A$2:$A$49</c:f>
              <c:strCache>
                <c:ptCount val="48"/>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strCache>
            </c:strRef>
          </c:cat>
          <c:val>
            <c:numRef>
              <c:f>Počty!$E$2:$E$49</c:f>
              <c:numCache>
                <c:formatCode>_-* #\ ##0_-;\-* #\ ##0_-;_-* "-"??_-;_-@_-</c:formatCode>
                <c:ptCount val="48"/>
                <c:pt idx="0">
                  <c:v>15731.530128165999</c:v>
                </c:pt>
                <c:pt idx="1">
                  <c:v>17478.221015595002</c:v>
                </c:pt>
                <c:pt idx="2">
                  <c:v>18762.013672534998</c:v>
                </c:pt>
                <c:pt idx="3">
                  <c:v>19755.956874756001</c:v>
                </c:pt>
                <c:pt idx="4">
                  <c:v>20689.478988055002</c:v>
                </c:pt>
                <c:pt idx="5">
                  <c:v>22090.480991004999</c:v>
                </c:pt>
                <c:pt idx="6">
                  <c:v>22849.438792148001</c:v>
                </c:pt>
                <c:pt idx="7">
                  <c:v>23611.469564324001</c:v>
                </c:pt>
                <c:pt idx="8">
                  <c:v>24218.317716488</c:v>
                </c:pt>
                <c:pt idx="9">
                  <c:v>25251.982422451001</c:v>
                </c:pt>
                <c:pt idx="10">
                  <c:v>26113.422511060999</c:v>
                </c:pt>
                <c:pt idx="11">
                  <c:v>27042.982446704002</c:v>
                </c:pt>
                <c:pt idx="12">
                  <c:v>28797.908327806999</c:v>
                </c:pt>
                <c:pt idx="13">
                  <c:v>29627.062847861002</c:v>
                </c:pt>
                <c:pt idx="14">
                  <c:v>30913.468204965</c:v>
                </c:pt>
                <c:pt idx="15">
                  <c:v>31521.99500304</c:v>
                </c:pt>
                <c:pt idx="16">
                  <c:v>32424.453989756999</c:v>
                </c:pt>
                <c:pt idx="17">
                  <c:v>32210.283310309002</c:v>
                </c:pt>
                <c:pt idx="18">
                  <c:v>32375.876399913999</c:v>
                </c:pt>
                <c:pt idx="19">
                  <c:v>32533.944307682999</c:v>
                </c:pt>
                <c:pt idx="20">
                  <c:v>32864.400539982998</c:v>
                </c:pt>
                <c:pt idx="21">
                  <c:v>32859.437421777999</c:v>
                </c:pt>
                <c:pt idx="22">
                  <c:v>32986.927835563998</c:v>
                </c:pt>
                <c:pt idx="23">
                  <c:v>33291.62415725</c:v>
                </c:pt>
                <c:pt idx="24">
                  <c:v>33399.233296680002</c:v>
                </c:pt>
                <c:pt idx="25">
                  <c:v>33457.706775514998</c:v>
                </c:pt>
                <c:pt idx="26">
                  <c:v>34015.170035119001</c:v>
                </c:pt>
                <c:pt idx="27">
                  <c:v>34095.687467887998</c:v>
                </c:pt>
                <c:pt idx="28">
                  <c:v>34047.65988952</c:v>
                </c:pt>
                <c:pt idx="29">
                  <c:v>33580.932134499999</c:v>
                </c:pt>
                <c:pt idx="30">
                  <c:v>33543.737127002998</c:v>
                </c:pt>
                <c:pt idx="31">
                  <c:v>33400.071802639999</c:v>
                </c:pt>
                <c:pt idx="32">
                  <c:v>33195.908424595</c:v>
                </c:pt>
                <c:pt idx="33">
                  <c:v>33018.836489421003</c:v>
                </c:pt>
                <c:pt idx="34">
                  <c:v>32980.236083545999</c:v>
                </c:pt>
                <c:pt idx="35">
                  <c:v>33184.485046729998</c:v>
                </c:pt>
                <c:pt idx="36">
                  <c:v>33066.248823987</c:v>
                </c:pt>
                <c:pt idx="37">
                  <c:v>32886.019315605998</c:v>
                </c:pt>
                <c:pt idx="38">
                  <c:v>32764.334745702999</c:v>
                </c:pt>
                <c:pt idx="39">
                  <c:v>33118.701724671999</c:v>
                </c:pt>
                <c:pt idx="40">
                  <c:v>32922.128096553999</c:v>
                </c:pt>
                <c:pt idx="41">
                  <c:v>32678.698872478999</c:v>
                </c:pt>
                <c:pt idx="42">
                  <c:v>32346.416229220999</c:v>
                </c:pt>
                <c:pt idx="43">
                  <c:v>32246.771968451001</c:v>
                </c:pt>
                <c:pt idx="44">
                  <c:v>32578.027429246999</c:v>
                </c:pt>
                <c:pt idx="45">
                  <c:v>32786.798074514998</c:v>
                </c:pt>
                <c:pt idx="46">
                  <c:v>32879.125529505996</c:v>
                </c:pt>
                <c:pt idx="47">
                  <c:v>32582.293141851002</c:v>
                </c:pt>
              </c:numCache>
            </c:numRef>
          </c:val>
          <c:smooth val="0"/>
          <c:extLst>
            <c:ext xmlns:c16="http://schemas.microsoft.com/office/drawing/2014/chart" uri="{C3380CC4-5D6E-409C-BE32-E72D297353CC}">
              <c16:uniqueId val="{00000004-FAE9-450E-809D-F1ABEC3BB9C4}"/>
            </c:ext>
          </c:extLst>
        </c:ser>
        <c:dLbls>
          <c:showLegendKey val="0"/>
          <c:showVal val="0"/>
          <c:showCatName val="0"/>
          <c:showSerName val="0"/>
          <c:showPercent val="0"/>
          <c:showBubbleSize val="0"/>
        </c:dLbls>
        <c:marker val="1"/>
        <c:smooth val="0"/>
        <c:axId val="2040224943"/>
        <c:axId val="2040229519"/>
      </c:lineChart>
      <c:catAx>
        <c:axId val="204022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40229519"/>
        <c:crosses val="autoZero"/>
        <c:auto val="1"/>
        <c:lblAlgn val="ctr"/>
        <c:lblOffset val="100"/>
        <c:noMultiLvlLbl val="0"/>
      </c:catAx>
      <c:valAx>
        <c:axId val="2040229519"/>
        <c:scaling>
          <c:orientation val="minMax"/>
          <c:max val="42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40224943"/>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 + P'!$D$1</c:f>
              <c:strCache>
                <c:ptCount val="1"/>
                <c:pt idx="0">
                  <c:v>Legislatíva zmena zvýhodňujúca SZČO</c:v>
                </c:pt>
              </c:strCache>
            </c:strRef>
          </c:tx>
          <c:spPr>
            <a:solidFill>
              <a:schemeClr val="accent3"/>
            </a:solidFill>
            <a:ln>
              <a:noFill/>
            </a:ln>
            <a:effectLst/>
          </c:spPr>
          <c:invertIfNegative val="0"/>
          <c:dPt>
            <c:idx val="8"/>
            <c:invertIfNegative val="0"/>
            <c:bubble3D val="0"/>
            <c:spPr>
              <a:solidFill>
                <a:schemeClr val="tx1"/>
              </a:solidFill>
              <a:ln>
                <a:noFill/>
              </a:ln>
              <a:effectLst/>
            </c:spPr>
            <c:extLst>
              <c:ext xmlns:c16="http://schemas.microsoft.com/office/drawing/2014/chart" uri="{C3380CC4-5D6E-409C-BE32-E72D297353CC}">
                <c16:uniqueId val="{00000001-BD43-4993-86A4-DA17C540AE0B}"/>
              </c:ext>
            </c:extLst>
          </c:dPt>
          <c:dPt>
            <c:idx val="12"/>
            <c:invertIfNegative val="0"/>
            <c:bubble3D val="0"/>
            <c:spPr>
              <a:solidFill>
                <a:schemeClr val="tx1"/>
              </a:solidFill>
              <a:ln>
                <a:noFill/>
              </a:ln>
              <a:effectLst/>
            </c:spPr>
            <c:extLst>
              <c:ext xmlns:c16="http://schemas.microsoft.com/office/drawing/2014/chart" uri="{C3380CC4-5D6E-409C-BE32-E72D297353CC}">
                <c16:uniqueId val="{00000003-BD43-4993-86A4-DA17C540AE0B}"/>
              </c:ext>
            </c:extLst>
          </c:dPt>
          <c:cat>
            <c:strRef>
              <c:f>'S + P'!$A$2:$A$73</c:f>
              <c:strCache>
                <c:ptCount val="72"/>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pt idx="48">
                  <c:v>01/2020</c:v>
                </c:pt>
                <c:pt idx="49">
                  <c:v>02/2020</c:v>
                </c:pt>
                <c:pt idx="50">
                  <c:v>03/2020</c:v>
                </c:pt>
                <c:pt idx="51">
                  <c:v>04/2020</c:v>
                </c:pt>
                <c:pt idx="52">
                  <c:v>05/2020</c:v>
                </c:pt>
                <c:pt idx="53">
                  <c:v>06/2020</c:v>
                </c:pt>
                <c:pt idx="54">
                  <c:v>07/2020</c:v>
                </c:pt>
                <c:pt idx="55">
                  <c:v>08/2020</c:v>
                </c:pt>
                <c:pt idx="56">
                  <c:v>09/2020</c:v>
                </c:pt>
                <c:pt idx="57">
                  <c:v>10/2020</c:v>
                </c:pt>
                <c:pt idx="58">
                  <c:v>11/2020</c:v>
                </c:pt>
                <c:pt idx="59">
                  <c:v>12/2020</c:v>
                </c:pt>
                <c:pt idx="60">
                  <c:v>01/2021</c:v>
                </c:pt>
                <c:pt idx="61">
                  <c:v>02/2021</c:v>
                </c:pt>
                <c:pt idx="62">
                  <c:v>03/2021</c:v>
                </c:pt>
                <c:pt idx="63">
                  <c:v>04/2021</c:v>
                </c:pt>
                <c:pt idx="64">
                  <c:v>05/2021</c:v>
                </c:pt>
                <c:pt idx="65">
                  <c:v>06/2021</c:v>
                </c:pt>
                <c:pt idx="66">
                  <c:v>07/2021</c:v>
                </c:pt>
                <c:pt idx="67">
                  <c:v>08/2021</c:v>
                </c:pt>
                <c:pt idx="68">
                  <c:v>09/2021</c:v>
                </c:pt>
                <c:pt idx="69">
                  <c:v>10/2021</c:v>
                </c:pt>
                <c:pt idx="70">
                  <c:v>11/2021</c:v>
                </c:pt>
                <c:pt idx="71">
                  <c:v>12/2021</c:v>
                </c:pt>
              </c:strCache>
            </c:strRef>
          </c:cat>
          <c:val>
            <c:numRef>
              <c:f>'S + P'!$D$2:$D$73</c:f>
              <c:numCache>
                <c:formatCode>_-* #\ ##0_-;\-* #\ ##0_-;_-* "-"??_-;_-@_-</c:formatCode>
                <c:ptCount val="72"/>
                <c:pt idx="0">
                  <c:v>0</c:v>
                </c:pt>
                <c:pt idx="1">
                  <c:v>0</c:v>
                </c:pt>
                <c:pt idx="2">
                  <c:v>0</c:v>
                </c:pt>
                <c:pt idx="3">
                  <c:v>0</c:v>
                </c:pt>
                <c:pt idx="4">
                  <c:v>0</c:v>
                </c:pt>
                <c:pt idx="5">
                  <c:v>0</c:v>
                </c:pt>
                <c:pt idx="6">
                  <c:v>0</c:v>
                </c:pt>
                <c:pt idx="7">
                  <c:v>0</c:v>
                </c:pt>
                <c:pt idx="8">
                  <c:v>1</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numCache>
            </c:numRef>
          </c:val>
          <c:extLst>
            <c:ext xmlns:c16="http://schemas.microsoft.com/office/drawing/2014/chart" uri="{C3380CC4-5D6E-409C-BE32-E72D297353CC}">
              <c16:uniqueId val="{00000004-BD43-4993-86A4-DA17C540AE0B}"/>
            </c:ext>
          </c:extLst>
        </c:ser>
        <c:dLbls>
          <c:showLegendKey val="0"/>
          <c:showVal val="0"/>
          <c:showCatName val="0"/>
          <c:showSerName val="0"/>
          <c:showPercent val="0"/>
          <c:showBubbleSize val="0"/>
        </c:dLbls>
        <c:gapWidth val="219"/>
        <c:axId val="670897504"/>
        <c:axId val="670889184"/>
      </c:barChart>
      <c:lineChart>
        <c:grouping val="standard"/>
        <c:varyColors val="0"/>
        <c:ser>
          <c:idx val="0"/>
          <c:order val="0"/>
          <c:tx>
            <c:strRef>
              <c:f>'S + P'!$B$1</c:f>
              <c:strCache>
                <c:ptCount val="1"/>
                <c:pt idx="0">
                  <c:v>Stavebníctvo</c:v>
                </c:pt>
              </c:strCache>
            </c:strRef>
          </c:tx>
          <c:spPr>
            <a:ln w="28575" cap="rnd">
              <a:solidFill>
                <a:schemeClr val="accent1"/>
              </a:solidFill>
              <a:round/>
            </a:ln>
            <a:effectLst/>
          </c:spPr>
          <c:marker>
            <c:symbol val="none"/>
          </c:marker>
          <c:cat>
            <c:strRef>
              <c:f>'S + P'!$A$2:$A$73</c:f>
              <c:strCache>
                <c:ptCount val="72"/>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pt idx="48">
                  <c:v>01/2020</c:v>
                </c:pt>
                <c:pt idx="49">
                  <c:v>02/2020</c:v>
                </c:pt>
                <c:pt idx="50">
                  <c:v>03/2020</c:v>
                </c:pt>
                <c:pt idx="51">
                  <c:v>04/2020</c:v>
                </c:pt>
                <c:pt idx="52">
                  <c:v>05/2020</c:v>
                </c:pt>
                <c:pt idx="53">
                  <c:v>06/2020</c:v>
                </c:pt>
                <c:pt idx="54">
                  <c:v>07/2020</c:v>
                </c:pt>
                <c:pt idx="55">
                  <c:v>08/2020</c:v>
                </c:pt>
                <c:pt idx="56">
                  <c:v>09/2020</c:v>
                </c:pt>
                <c:pt idx="57">
                  <c:v>10/2020</c:v>
                </c:pt>
                <c:pt idx="58">
                  <c:v>11/2020</c:v>
                </c:pt>
                <c:pt idx="59">
                  <c:v>12/2020</c:v>
                </c:pt>
                <c:pt idx="60">
                  <c:v>01/2021</c:v>
                </c:pt>
                <c:pt idx="61">
                  <c:v>02/2021</c:v>
                </c:pt>
                <c:pt idx="62">
                  <c:v>03/2021</c:v>
                </c:pt>
                <c:pt idx="63">
                  <c:v>04/2021</c:v>
                </c:pt>
                <c:pt idx="64">
                  <c:v>05/2021</c:v>
                </c:pt>
                <c:pt idx="65">
                  <c:v>06/2021</c:v>
                </c:pt>
                <c:pt idx="66">
                  <c:v>07/2021</c:v>
                </c:pt>
                <c:pt idx="67">
                  <c:v>08/2021</c:v>
                </c:pt>
                <c:pt idx="68">
                  <c:v>09/2021</c:v>
                </c:pt>
                <c:pt idx="69">
                  <c:v>10/2021</c:v>
                </c:pt>
                <c:pt idx="70">
                  <c:v>11/2021</c:v>
                </c:pt>
                <c:pt idx="71">
                  <c:v>12/2021</c:v>
                </c:pt>
              </c:strCache>
            </c:strRef>
          </c:cat>
          <c:val>
            <c:numRef>
              <c:f>'S + P'!$B$2:$B$73</c:f>
              <c:numCache>
                <c:formatCode>0.00</c:formatCode>
                <c:ptCount val="72"/>
                <c:pt idx="0">
                  <c:v>0.58501118568232657</c:v>
                </c:pt>
                <c:pt idx="1">
                  <c:v>0.57377049180327866</c:v>
                </c:pt>
                <c:pt idx="2">
                  <c:v>0.58564054434537771</c:v>
                </c:pt>
                <c:pt idx="3">
                  <c:v>0.59113853056646104</c:v>
                </c:pt>
                <c:pt idx="4">
                  <c:v>0.58864898210980876</c:v>
                </c:pt>
                <c:pt idx="5">
                  <c:v>0.5858335213173923</c:v>
                </c:pt>
                <c:pt idx="6">
                  <c:v>0.58728767123287673</c:v>
                </c:pt>
                <c:pt idx="7">
                  <c:v>0.5911943215718547</c:v>
                </c:pt>
                <c:pt idx="8">
                  <c:v>0.58986354775828465</c:v>
                </c:pt>
                <c:pt idx="9">
                  <c:v>0.59362062476477229</c:v>
                </c:pt>
                <c:pt idx="10">
                  <c:v>0.59756210176378244</c:v>
                </c:pt>
                <c:pt idx="11">
                  <c:v>0.60177922326382249</c:v>
                </c:pt>
                <c:pt idx="12">
                  <c:v>0.58996665216760913</c:v>
                </c:pt>
                <c:pt idx="13">
                  <c:v>0.5994257895393833</c:v>
                </c:pt>
                <c:pt idx="14">
                  <c:v>0.60434074877916444</c:v>
                </c:pt>
                <c:pt idx="15">
                  <c:v>0.61426507018992571</c:v>
                </c:pt>
                <c:pt idx="16">
                  <c:v>0.62038476486591532</c:v>
                </c:pt>
                <c:pt idx="17">
                  <c:v>0.63132688515353552</c:v>
                </c:pt>
                <c:pt idx="18">
                  <c:v>0.63047919762258542</c:v>
                </c:pt>
                <c:pt idx="19">
                  <c:v>0.62075404588298067</c:v>
                </c:pt>
                <c:pt idx="20">
                  <c:v>0.62522384241493989</c:v>
                </c:pt>
                <c:pt idx="21">
                  <c:v>0.62974451065219161</c:v>
                </c:pt>
                <c:pt idx="22">
                  <c:v>0.6366501221145513</c:v>
                </c:pt>
                <c:pt idx="23">
                  <c:v>0.64193756034760219</c:v>
                </c:pt>
                <c:pt idx="24">
                  <c:v>0.64348138393391596</c:v>
                </c:pt>
                <c:pt idx="25">
                  <c:v>0.6480969593876249</c:v>
                </c:pt>
                <c:pt idx="26">
                  <c:v>0.64741404499853905</c:v>
                </c:pt>
                <c:pt idx="27">
                  <c:v>0.65557998900494774</c:v>
                </c:pt>
                <c:pt idx="28">
                  <c:v>0.66286316159045022</c:v>
                </c:pt>
                <c:pt idx="29">
                  <c:v>0.65596714716728122</c:v>
                </c:pt>
                <c:pt idx="30">
                  <c:v>0.65793617903025281</c:v>
                </c:pt>
                <c:pt idx="31">
                  <c:v>0.65806400381164143</c:v>
                </c:pt>
                <c:pt idx="32">
                  <c:v>0.65842395352301508</c:v>
                </c:pt>
                <c:pt idx="33">
                  <c:v>0.65893058690744921</c:v>
                </c:pt>
                <c:pt idx="34">
                  <c:v>0.66496181123840703</c:v>
                </c:pt>
                <c:pt idx="35">
                  <c:v>0.67131925747484766</c:v>
                </c:pt>
                <c:pt idx="36">
                  <c:v>0.67642362959020752</c:v>
                </c:pt>
                <c:pt idx="37">
                  <c:v>0.67295889901432027</c:v>
                </c:pt>
                <c:pt idx="38">
                  <c:v>0.68655198711973564</c:v>
                </c:pt>
                <c:pt idx="39">
                  <c:v>0.68944853834318565</c:v>
                </c:pt>
                <c:pt idx="40">
                  <c:v>0.69681716100054214</c:v>
                </c:pt>
                <c:pt idx="41">
                  <c:v>0.6934913856574878</c:v>
                </c:pt>
                <c:pt idx="42">
                  <c:v>0.70145751866334871</c:v>
                </c:pt>
                <c:pt idx="43">
                  <c:v>0.70506975161619601</c:v>
                </c:pt>
                <c:pt idx="44">
                  <c:v>0.70792962774094848</c:v>
                </c:pt>
                <c:pt idx="45">
                  <c:v>0.70878681670048571</c:v>
                </c:pt>
                <c:pt idx="46">
                  <c:v>0.71043197178959738</c:v>
                </c:pt>
                <c:pt idx="47">
                  <c:v>0.72157407967116005</c:v>
                </c:pt>
                <c:pt idx="48">
                  <c:v>0.74647514980613328</c:v>
                </c:pt>
                <c:pt idx="49">
                  <c:v>0.73527818617967966</c:v>
                </c:pt>
                <c:pt idx="50">
                  <c:v>0.74690951649477</c:v>
                </c:pt>
                <c:pt idx="51">
                  <c:v>0.75674250414343835</c:v>
                </c:pt>
                <c:pt idx="52">
                  <c:v>0.73938141391106038</c:v>
                </c:pt>
                <c:pt idx="53">
                  <c:v>0.72665895061728392</c:v>
                </c:pt>
                <c:pt idx="54">
                  <c:v>0.72517292490118579</c:v>
                </c:pt>
                <c:pt idx="55">
                  <c:v>0.71933893882284716</c:v>
                </c:pt>
                <c:pt idx="56">
                  <c:v>0.72651193929926361</c:v>
                </c:pt>
                <c:pt idx="57">
                  <c:v>0.72815693131522863</c:v>
                </c:pt>
                <c:pt idx="58">
                  <c:v>0.72844641313742442</c:v>
                </c:pt>
                <c:pt idx="59">
                  <c:v>0.73283082077051931</c:v>
                </c:pt>
                <c:pt idx="60">
                  <c:v>0.72594590306972318</c:v>
                </c:pt>
                <c:pt idx="61">
                  <c:v>0.72059447983014857</c:v>
                </c:pt>
                <c:pt idx="62">
                  <c:v>0.7161897295178361</c:v>
                </c:pt>
                <c:pt idx="63">
                  <c:v>0.70846564016535862</c:v>
                </c:pt>
                <c:pt idx="64">
                  <c:v>0.71206505504231898</c:v>
                </c:pt>
                <c:pt idx="65">
                  <c:v>0.71512543297995168</c:v>
                </c:pt>
                <c:pt idx="66">
                  <c:v>0.71439568899153194</c:v>
                </c:pt>
                <c:pt idx="67">
                  <c:v>0.71496343150820318</c:v>
                </c:pt>
                <c:pt idx="68">
                  <c:v>0.71187638385075613</c:v>
                </c:pt>
                <c:pt idx="69">
                  <c:v>0.70022341376228781</c:v>
                </c:pt>
                <c:pt idx="70">
                  <c:v>0.69647637965281972</c:v>
                </c:pt>
                <c:pt idx="71">
                  <c:v>0.70179322559220725</c:v>
                </c:pt>
              </c:numCache>
            </c:numRef>
          </c:val>
          <c:smooth val="0"/>
          <c:extLst>
            <c:ext xmlns:c16="http://schemas.microsoft.com/office/drawing/2014/chart" uri="{C3380CC4-5D6E-409C-BE32-E72D297353CC}">
              <c16:uniqueId val="{00000005-BD43-4993-86A4-DA17C540AE0B}"/>
            </c:ext>
          </c:extLst>
        </c:ser>
        <c:ser>
          <c:idx val="1"/>
          <c:order val="1"/>
          <c:tx>
            <c:strRef>
              <c:f>'S + P'!$C$1</c:f>
              <c:strCache>
                <c:ptCount val="1"/>
                <c:pt idx="0">
                  <c:v>Priemysel</c:v>
                </c:pt>
              </c:strCache>
            </c:strRef>
          </c:tx>
          <c:spPr>
            <a:ln w="28575" cap="rnd">
              <a:solidFill>
                <a:schemeClr val="accent2"/>
              </a:solidFill>
              <a:round/>
            </a:ln>
            <a:effectLst/>
          </c:spPr>
          <c:marker>
            <c:symbol val="none"/>
          </c:marker>
          <c:cat>
            <c:strRef>
              <c:f>'S + P'!$A$2:$A$73</c:f>
              <c:strCache>
                <c:ptCount val="72"/>
                <c:pt idx="0">
                  <c:v>01/2016</c:v>
                </c:pt>
                <c:pt idx="1">
                  <c:v>02/2016</c:v>
                </c:pt>
                <c:pt idx="2">
                  <c:v>03/2016</c:v>
                </c:pt>
                <c:pt idx="3">
                  <c:v>04/2016</c:v>
                </c:pt>
                <c:pt idx="4">
                  <c:v>05/2016</c:v>
                </c:pt>
                <c:pt idx="5">
                  <c:v>06/2016</c:v>
                </c:pt>
                <c:pt idx="6">
                  <c:v>07/2016</c:v>
                </c:pt>
                <c:pt idx="7">
                  <c:v>08/2016</c:v>
                </c:pt>
                <c:pt idx="8">
                  <c:v>09/2016</c:v>
                </c:pt>
                <c:pt idx="9">
                  <c:v>10/2016</c:v>
                </c:pt>
                <c:pt idx="10">
                  <c:v>11/2016</c:v>
                </c:pt>
                <c:pt idx="11">
                  <c:v>12/2016</c:v>
                </c:pt>
                <c:pt idx="12">
                  <c:v>01/2017</c:v>
                </c:pt>
                <c:pt idx="13">
                  <c:v>02/2017</c:v>
                </c:pt>
                <c:pt idx="14">
                  <c:v>03/2017</c:v>
                </c:pt>
                <c:pt idx="15">
                  <c:v>04/2017</c:v>
                </c:pt>
                <c:pt idx="16">
                  <c:v>05/2017</c:v>
                </c:pt>
                <c:pt idx="17">
                  <c:v>06/2017</c:v>
                </c:pt>
                <c:pt idx="18">
                  <c:v>07/2017</c:v>
                </c:pt>
                <c:pt idx="19">
                  <c:v>08/2017</c:v>
                </c:pt>
                <c:pt idx="20">
                  <c:v>09/2017</c:v>
                </c:pt>
                <c:pt idx="21">
                  <c:v>10/2017</c:v>
                </c:pt>
                <c:pt idx="22">
                  <c:v>11/2017</c:v>
                </c:pt>
                <c:pt idx="23">
                  <c:v>12/2017</c:v>
                </c:pt>
                <c:pt idx="24">
                  <c:v>01/2018</c:v>
                </c:pt>
                <c:pt idx="25">
                  <c:v>02/2018</c:v>
                </c:pt>
                <c:pt idx="26">
                  <c:v>03/2018</c:v>
                </c:pt>
                <c:pt idx="27">
                  <c:v>04/2018</c:v>
                </c:pt>
                <c:pt idx="28">
                  <c:v>05/2018</c:v>
                </c:pt>
                <c:pt idx="29">
                  <c:v>06/2018</c:v>
                </c:pt>
                <c:pt idx="30">
                  <c:v>07/2018</c:v>
                </c:pt>
                <c:pt idx="31">
                  <c:v>08/2018</c:v>
                </c:pt>
                <c:pt idx="32">
                  <c:v>09/2018</c:v>
                </c:pt>
                <c:pt idx="33">
                  <c:v>10/2018</c:v>
                </c:pt>
                <c:pt idx="34">
                  <c:v>11/2018</c:v>
                </c:pt>
                <c:pt idx="35">
                  <c:v>12/2018</c:v>
                </c:pt>
                <c:pt idx="36">
                  <c:v>01/2019</c:v>
                </c:pt>
                <c:pt idx="37">
                  <c:v>02/2019</c:v>
                </c:pt>
                <c:pt idx="38">
                  <c:v>03/2019</c:v>
                </c:pt>
                <c:pt idx="39">
                  <c:v>04/2019</c:v>
                </c:pt>
                <c:pt idx="40">
                  <c:v>05/2019</c:v>
                </c:pt>
                <c:pt idx="41">
                  <c:v>06/2019</c:v>
                </c:pt>
                <c:pt idx="42">
                  <c:v>07/2019</c:v>
                </c:pt>
                <c:pt idx="43">
                  <c:v>08/2019</c:v>
                </c:pt>
                <c:pt idx="44">
                  <c:v>09/2019</c:v>
                </c:pt>
                <c:pt idx="45">
                  <c:v>10/2019</c:v>
                </c:pt>
                <c:pt idx="46">
                  <c:v>11/2019</c:v>
                </c:pt>
                <c:pt idx="47">
                  <c:v>12/2019</c:v>
                </c:pt>
                <c:pt idx="48">
                  <c:v>01/2020</c:v>
                </c:pt>
                <c:pt idx="49">
                  <c:v>02/2020</c:v>
                </c:pt>
                <c:pt idx="50">
                  <c:v>03/2020</c:v>
                </c:pt>
                <c:pt idx="51">
                  <c:v>04/2020</c:v>
                </c:pt>
                <c:pt idx="52">
                  <c:v>05/2020</c:v>
                </c:pt>
                <c:pt idx="53">
                  <c:v>06/2020</c:v>
                </c:pt>
                <c:pt idx="54">
                  <c:v>07/2020</c:v>
                </c:pt>
                <c:pt idx="55">
                  <c:v>08/2020</c:v>
                </c:pt>
                <c:pt idx="56">
                  <c:v>09/2020</c:v>
                </c:pt>
                <c:pt idx="57">
                  <c:v>10/2020</c:v>
                </c:pt>
                <c:pt idx="58">
                  <c:v>11/2020</c:v>
                </c:pt>
                <c:pt idx="59">
                  <c:v>12/2020</c:v>
                </c:pt>
                <c:pt idx="60">
                  <c:v>01/2021</c:v>
                </c:pt>
                <c:pt idx="61">
                  <c:v>02/2021</c:v>
                </c:pt>
                <c:pt idx="62">
                  <c:v>03/2021</c:v>
                </c:pt>
                <c:pt idx="63">
                  <c:v>04/2021</c:v>
                </c:pt>
                <c:pt idx="64">
                  <c:v>05/2021</c:v>
                </c:pt>
                <c:pt idx="65">
                  <c:v>06/2021</c:v>
                </c:pt>
                <c:pt idx="66">
                  <c:v>07/2021</c:v>
                </c:pt>
                <c:pt idx="67">
                  <c:v>08/2021</c:v>
                </c:pt>
                <c:pt idx="68">
                  <c:v>09/2021</c:v>
                </c:pt>
                <c:pt idx="69">
                  <c:v>10/2021</c:v>
                </c:pt>
                <c:pt idx="70">
                  <c:v>11/2021</c:v>
                </c:pt>
                <c:pt idx="71">
                  <c:v>12/2021</c:v>
                </c:pt>
              </c:strCache>
            </c:strRef>
          </c:cat>
          <c:val>
            <c:numRef>
              <c:f>'S + P'!$C$2:$C$73</c:f>
              <c:numCache>
                <c:formatCode>0.000</c:formatCode>
                <c:ptCount val="72"/>
                <c:pt idx="0">
                  <c:v>0.30771045400000002</c:v>
                </c:pt>
                <c:pt idx="1">
                  <c:v>0.32765308700000001</c:v>
                </c:pt>
                <c:pt idx="2">
                  <c:v>0.33285920299999999</c:v>
                </c:pt>
                <c:pt idx="3">
                  <c:v>0.34748230299999999</c:v>
                </c:pt>
                <c:pt idx="4">
                  <c:v>0.36657921500000001</c:v>
                </c:pt>
                <c:pt idx="5">
                  <c:v>0.36347443200000001</c:v>
                </c:pt>
                <c:pt idx="6">
                  <c:v>0.36858127800000001</c:v>
                </c:pt>
                <c:pt idx="7">
                  <c:v>0.36599670200000001</c:v>
                </c:pt>
                <c:pt idx="8">
                  <c:v>0.362987689</c:v>
                </c:pt>
                <c:pt idx="9">
                  <c:v>0.367634189</c:v>
                </c:pt>
                <c:pt idx="10">
                  <c:v>0.37336965599999999</c:v>
                </c:pt>
                <c:pt idx="11">
                  <c:v>0.37942135799999999</c:v>
                </c:pt>
                <c:pt idx="12">
                  <c:v>0.37957202200000001</c:v>
                </c:pt>
                <c:pt idx="13">
                  <c:v>0.38519946300000002</c:v>
                </c:pt>
                <c:pt idx="14">
                  <c:v>0.39943448199999998</c:v>
                </c:pt>
                <c:pt idx="15">
                  <c:v>0.40438622499999999</c:v>
                </c:pt>
                <c:pt idx="16">
                  <c:v>0.40558422199999999</c:v>
                </c:pt>
                <c:pt idx="17">
                  <c:v>0.417989897</c:v>
                </c:pt>
                <c:pt idx="18">
                  <c:v>0.440718306</c:v>
                </c:pt>
                <c:pt idx="19">
                  <c:v>0.45437361599999998</c:v>
                </c:pt>
                <c:pt idx="20">
                  <c:v>0.46231865</c:v>
                </c:pt>
                <c:pt idx="21">
                  <c:v>0.461225</c:v>
                </c:pt>
                <c:pt idx="22">
                  <c:v>0.46216993200000001</c:v>
                </c:pt>
                <c:pt idx="23">
                  <c:v>0.46613994800000003</c:v>
                </c:pt>
                <c:pt idx="24">
                  <c:v>0.45970946899999998</c:v>
                </c:pt>
                <c:pt idx="25">
                  <c:v>0.45720392900000001</c:v>
                </c:pt>
                <c:pt idx="26">
                  <c:v>0.44989327099999998</c:v>
                </c:pt>
                <c:pt idx="27">
                  <c:v>0.43992278800000001</c:v>
                </c:pt>
                <c:pt idx="28">
                  <c:v>0.44555897100000003</c:v>
                </c:pt>
                <c:pt idx="29">
                  <c:v>0.46146899699999999</c:v>
                </c:pt>
                <c:pt idx="30">
                  <c:v>0.45385017700000002</c:v>
                </c:pt>
                <c:pt idx="31">
                  <c:v>0.45525528700000001</c:v>
                </c:pt>
                <c:pt idx="32">
                  <c:v>0.47456674500000001</c:v>
                </c:pt>
                <c:pt idx="33">
                  <c:v>0.47694555399999999</c:v>
                </c:pt>
                <c:pt idx="34">
                  <c:v>0.49193848499999998</c:v>
                </c:pt>
                <c:pt idx="35">
                  <c:v>0.49129203399999999</c:v>
                </c:pt>
                <c:pt idx="36">
                  <c:v>0.48487201000000002</c:v>
                </c:pt>
                <c:pt idx="37">
                  <c:v>0.48717106599999999</c:v>
                </c:pt>
                <c:pt idx="38">
                  <c:v>0.48569535200000002</c:v>
                </c:pt>
                <c:pt idx="39">
                  <c:v>0.49913239599999998</c:v>
                </c:pt>
                <c:pt idx="40">
                  <c:v>0.51708803299999995</c:v>
                </c:pt>
                <c:pt idx="41">
                  <c:v>0.52516807399999998</c:v>
                </c:pt>
                <c:pt idx="42">
                  <c:v>0.53679974500000005</c:v>
                </c:pt>
                <c:pt idx="43">
                  <c:v>0.55185715000000002</c:v>
                </c:pt>
                <c:pt idx="44">
                  <c:v>0.54898267499999998</c:v>
                </c:pt>
                <c:pt idx="45">
                  <c:v>0.55149099199999996</c:v>
                </c:pt>
                <c:pt idx="46">
                  <c:v>0.55220209200000003</c:v>
                </c:pt>
                <c:pt idx="47">
                  <c:v>0.57120594199999997</c:v>
                </c:pt>
                <c:pt idx="48">
                  <c:v>0.57463798499999996</c:v>
                </c:pt>
                <c:pt idx="49">
                  <c:v>0.57913749999999997</c:v>
                </c:pt>
                <c:pt idx="50">
                  <c:v>0.60079614800000003</c:v>
                </c:pt>
                <c:pt idx="51">
                  <c:v>0.61786703300000001</c:v>
                </c:pt>
                <c:pt idx="52">
                  <c:v>0.60938258000000001</c:v>
                </c:pt>
                <c:pt idx="53">
                  <c:v>0.61063080800000002</c:v>
                </c:pt>
                <c:pt idx="54">
                  <c:v>0.60345703900000003</c:v>
                </c:pt>
                <c:pt idx="55">
                  <c:v>0.59423354399999995</c:v>
                </c:pt>
                <c:pt idx="56">
                  <c:v>0.60288590500000006</c:v>
                </c:pt>
                <c:pt idx="57">
                  <c:v>0.622495083</c:v>
                </c:pt>
                <c:pt idx="58">
                  <c:v>0.63189755299999995</c:v>
                </c:pt>
                <c:pt idx="59">
                  <c:v>0.621433605</c:v>
                </c:pt>
                <c:pt idx="60">
                  <c:v>0.64667368700000005</c:v>
                </c:pt>
                <c:pt idx="61">
                  <c:v>0.64225669100000005</c:v>
                </c:pt>
                <c:pt idx="62">
                  <c:v>0.63513105000000003</c:v>
                </c:pt>
                <c:pt idx="63">
                  <c:v>0.61994819199999995</c:v>
                </c:pt>
                <c:pt idx="64">
                  <c:v>0.60921700999999995</c:v>
                </c:pt>
                <c:pt idx="65">
                  <c:v>0.59909057700000001</c:v>
                </c:pt>
                <c:pt idx="66">
                  <c:v>0.59857065899999995</c:v>
                </c:pt>
                <c:pt idx="67">
                  <c:v>0.60415698200000001</c:v>
                </c:pt>
                <c:pt idx="68">
                  <c:v>0.597769357</c:v>
                </c:pt>
                <c:pt idx="69">
                  <c:v>0.593099606</c:v>
                </c:pt>
                <c:pt idx="70">
                  <c:v>0.58443376999999996</c:v>
                </c:pt>
                <c:pt idx="71">
                  <c:v>0.58938132700000001</c:v>
                </c:pt>
              </c:numCache>
            </c:numRef>
          </c:val>
          <c:smooth val="0"/>
          <c:extLst>
            <c:ext xmlns:c16="http://schemas.microsoft.com/office/drawing/2014/chart" uri="{C3380CC4-5D6E-409C-BE32-E72D297353CC}">
              <c16:uniqueId val="{00000006-BD43-4993-86A4-DA17C540AE0B}"/>
            </c:ext>
          </c:extLst>
        </c:ser>
        <c:dLbls>
          <c:showLegendKey val="0"/>
          <c:showVal val="0"/>
          <c:showCatName val="0"/>
          <c:showSerName val="0"/>
          <c:showPercent val="0"/>
          <c:showBubbleSize val="0"/>
        </c:dLbls>
        <c:marker val="1"/>
        <c:smooth val="0"/>
        <c:axId val="670897504"/>
        <c:axId val="670889184"/>
      </c:lineChart>
      <c:catAx>
        <c:axId val="6708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70889184"/>
        <c:crosses val="autoZero"/>
        <c:auto val="1"/>
        <c:lblAlgn val="ctr"/>
        <c:lblOffset val="100"/>
        <c:noMultiLvlLbl val="0"/>
      </c:catAx>
      <c:valAx>
        <c:axId val="67088918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Podiel SZČO na celkovom počte vyslaných osôb</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70897504"/>
        <c:crosses val="autoZero"/>
        <c:crossBetween val="between"/>
        <c:majorUnit val="0.2"/>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314364"/>
            </a:solidFill>
            <a:ln>
              <a:noFill/>
            </a:ln>
            <a:effectLst/>
          </c:spPr>
          <c:invertIfNegative val="0"/>
          <c:cat>
            <c:strRef>
              <c:f>Hárok2!$B$1:$S$1</c:f>
              <c:strCache>
                <c:ptCount val="18"/>
                <c:pt idx="0">
                  <c:v>2006</c:v>
                </c:pt>
                <c:pt idx="1">
                  <c:v>2007</c:v>
                </c:pt>
                <c:pt idx="4">
                  <c:v>2010</c:v>
                </c:pt>
                <c:pt idx="5">
                  <c:v>2011</c:v>
                </c:pt>
                <c:pt idx="8">
                  <c:v>2014</c:v>
                </c:pt>
                <c:pt idx="9">
                  <c:v>2015</c:v>
                </c:pt>
                <c:pt idx="12">
                  <c:v>2018</c:v>
                </c:pt>
                <c:pt idx="13">
                  <c:v>2019</c:v>
                </c:pt>
                <c:pt idx="16">
                  <c:v>2022 OS</c:v>
                </c:pt>
                <c:pt idx="17">
                  <c:v>2023 N</c:v>
                </c:pt>
              </c:strCache>
            </c:strRef>
          </c:cat>
          <c:val>
            <c:numRef>
              <c:f>Hárok2!$B$2:$S$2</c:f>
              <c:numCache>
                <c:formatCode>_-* #\ ##0_-;\-* #\ ##0_-;_-* "-"??_-;_-@_-</c:formatCode>
                <c:ptCount val="18"/>
                <c:pt idx="0">
                  <c:v>771835</c:v>
                </c:pt>
                <c:pt idx="1">
                  <c:v>688840</c:v>
                </c:pt>
                <c:pt idx="4">
                  <c:v>1105384</c:v>
                </c:pt>
                <c:pt idx="5">
                  <c:v>861541</c:v>
                </c:pt>
                <c:pt idx="8">
                  <c:v>587406</c:v>
                </c:pt>
                <c:pt idx="9">
                  <c:v>893570</c:v>
                </c:pt>
                <c:pt idx="12">
                  <c:v>916980</c:v>
                </c:pt>
                <c:pt idx="13">
                  <c:v>857863</c:v>
                </c:pt>
                <c:pt idx="16">
                  <c:v>932153</c:v>
                </c:pt>
                <c:pt idx="17">
                  <c:v>681969</c:v>
                </c:pt>
              </c:numCache>
            </c:numRef>
          </c:val>
          <c:extLst>
            <c:ext xmlns:c16="http://schemas.microsoft.com/office/drawing/2014/chart" uri="{C3380CC4-5D6E-409C-BE32-E72D297353CC}">
              <c16:uniqueId val="{00000000-7903-4483-90B2-3102A625CB14}"/>
            </c:ext>
          </c:extLst>
        </c:ser>
        <c:dLbls>
          <c:showLegendKey val="0"/>
          <c:showVal val="0"/>
          <c:showCatName val="0"/>
          <c:showSerName val="0"/>
          <c:showPercent val="0"/>
          <c:showBubbleSize val="0"/>
        </c:dLbls>
        <c:gapWidth val="10"/>
        <c:overlap val="76"/>
        <c:axId val="690981679"/>
        <c:axId val="690982927"/>
      </c:barChart>
      <c:catAx>
        <c:axId val="690981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34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90982927"/>
        <c:crosses val="autoZero"/>
        <c:auto val="1"/>
        <c:lblAlgn val="ctr"/>
        <c:lblOffset val="100"/>
        <c:noMultiLvlLbl val="0"/>
      </c:catAx>
      <c:valAx>
        <c:axId val="690982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909816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 3'!$B$4</c:f>
              <c:strCache>
                <c:ptCount val="1"/>
                <c:pt idx="0">
                  <c:v>Vývoj deficitu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3'!$C$3:$T$3</c:f>
              <c:strCache>
                <c:ptCount val="18"/>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strCache>
            </c:strRef>
          </c:cat>
          <c:val>
            <c:numRef>
              <c:f>'Graf 3'!$C$4:$T$4</c:f>
              <c:numCache>
                <c:formatCode>0.00</c:formatCode>
                <c:ptCount val="18"/>
                <c:pt idx="0">
                  <c:v>-2.2999999999999998</c:v>
                </c:pt>
                <c:pt idx="1">
                  <c:v>-8</c:v>
                </c:pt>
                <c:pt idx="2">
                  <c:v>-7.7</c:v>
                </c:pt>
                <c:pt idx="3">
                  <c:v>-5.0999999999999996</c:v>
                </c:pt>
                <c:pt idx="4">
                  <c:v>-4.22</c:v>
                </c:pt>
                <c:pt idx="5">
                  <c:v>-2.59</c:v>
                </c:pt>
                <c:pt idx="6">
                  <c:v>-2.71</c:v>
                </c:pt>
                <c:pt idx="7">
                  <c:v>-2.74</c:v>
                </c:pt>
                <c:pt idx="8">
                  <c:v>-2.2200000000000002</c:v>
                </c:pt>
                <c:pt idx="9">
                  <c:v>-0.98</c:v>
                </c:pt>
                <c:pt idx="10">
                  <c:v>-1.01</c:v>
                </c:pt>
                <c:pt idx="11">
                  <c:v>-1.33</c:v>
                </c:pt>
                <c:pt idx="12">
                  <c:v>-5.3</c:v>
                </c:pt>
                <c:pt idx="13">
                  <c:v>-5.46</c:v>
                </c:pt>
                <c:pt idx="14">
                  <c:v>-4.97</c:v>
                </c:pt>
                <c:pt idx="15">
                  <c:v>-6.44</c:v>
                </c:pt>
                <c:pt idx="16">
                  <c:v>-3.44</c:v>
                </c:pt>
                <c:pt idx="17">
                  <c:v>-2.74</c:v>
                </c:pt>
              </c:numCache>
            </c:numRef>
          </c:val>
          <c:extLst>
            <c:ext xmlns:c16="http://schemas.microsoft.com/office/drawing/2014/chart" uri="{C3380CC4-5D6E-409C-BE32-E72D297353CC}">
              <c16:uniqueId val="{00000000-65C8-41FE-A7CD-1E3E439ACE67}"/>
            </c:ext>
          </c:extLst>
        </c:ser>
        <c:dLbls>
          <c:showLegendKey val="0"/>
          <c:showVal val="0"/>
          <c:showCatName val="0"/>
          <c:showSerName val="0"/>
          <c:showPercent val="0"/>
          <c:showBubbleSize val="0"/>
        </c:dLbls>
        <c:gapWidth val="100"/>
        <c:axId val="1973819120"/>
        <c:axId val="1973814960"/>
      </c:barChart>
      <c:catAx>
        <c:axId val="197381912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73814960"/>
        <c:crosses val="autoZero"/>
        <c:auto val="1"/>
        <c:lblAlgn val="ctr"/>
        <c:lblOffset val="100"/>
        <c:noMultiLvlLbl val="0"/>
      </c:catAx>
      <c:valAx>
        <c:axId val="197381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73819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 4'!$B$4</c:f>
              <c:strCache>
                <c:ptCount val="1"/>
                <c:pt idx="0">
                  <c:v>Čistý dlh</c:v>
                </c:pt>
              </c:strCache>
            </c:strRef>
          </c:tx>
          <c:spPr>
            <a:solidFill>
              <a:schemeClr val="accent2"/>
            </a:solidFill>
            <a:ln>
              <a:noFill/>
            </a:ln>
            <a:effectLst/>
          </c:spPr>
          <c:invertIfNegative val="0"/>
          <c:dLbls>
            <c:spPr>
              <a:noFill/>
              <a:ln>
                <a:noFill/>
              </a:ln>
              <a:effectLst/>
            </c:spPr>
            <c:txPr>
              <a:bodyPr rot="0" spcFirstLastPara="1" vertOverflow="ellipsis" vert="horz" wrap="square" lIns="0" tIns="36000" rIns="61200" bIns="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'Graf 4'!$C$2:$S$2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'Graf 4'!$C$4:$S$4</c:f>
              <c:numCache>
                <c:formatCode>_-* #\ ##0.0_-;\-* #\ ##0.0_-;_-* "-"??_-;_-@_-</c:formatCode>
                <c:ptCount val="17"/>
                <c:pt idx="0">
                  <c:v>22.6</c:v>
                </c:pt>
                <c:pt idx="1">
                  <c:v>31.7</c:v>
                </c:pt>
                <c:pt idx="2">
                  <c:v>37.1</c:v>
                </c:pt>
                <c:pt idx="3">
                  <c:v>40.9</c:v>
                </c:pt>
                <c:pt idx="4">
                  <c:v>45.1</c:v>
                </c:pt>
                <c:pt idx="5">
                  <c:v>47.9</c:v>
                </c:pt>
                <c:pt idx="6">
                  <c:v>49.5</c:v>
                </c:pt>
                <c:pt idx="7">
                  <c:v>47.5</c:v>
                </c:pt>
                <c:pt idx="8">
                  <c:v>47.1</c:v>
                </c:pt>
                <c:pt idx="9">
                  <c:v>45.9</c:v>
                </c:pt>
                <c:pt idx="10">
                  <c:v>43.6</c:v>
                </c:pt>
                <c:pt idx="11">
                  <c:v>43.3</c:v>
                </c:pt>
                <c:pt idx="12">
                  <c:v>48.9</c:v>
                </c:pt>
                <c:pt idx="13">
                  <c:v>50.6</c:v>
                </c:pt>
                <c:pt idx="14">
                  <c:v>49.5</c:v>
                </c:pt>
                <c:pt idx="15">
                  <c:v>51.9</c:v>
                </c:pt>
                <c:pt idx="16">
                  <c:v>53</c:v>
                </c:pt>
              </c:numCache>
            </c:numRef>
          </c:val>
          <c:extLst>
            <c:ext xmlns:c16="http://schemas.microsoft.com/office/drawing/2014/chart" uri="{C3380CC4-5D6E-409C-BE32-E72D297353CC}">
              <c16:uniqueId val="{00000000-64C9-46C6-A291-59D023B15850}"/>
            </c:ext>
          </c:extLst>
        </c:ser>
        <c:ser>
          <c:idx val="1"/>
          <c:order val="1"/>
          <c:tx>
            <c:strRef>
              <c:f>'Graf 4'!$B$5</c:f>
              <c:strCache>
                <c:ptCount val="1"/>
                <c:pt idx="0">
                  <c:v>Hrubý dlh</c:v>
                </c:pt>
              </c:strCache>
            </c:strRef>
          </c:tx>
          <c:spPr>
            <a:solidFill>
              <a:schemeClr val="tx2"/>
            </a:solidFill>
            <a:ln>
              <a:noFill/>
            </a:ln>
            <a:effectLst/>
          </c:spPr>
          <c:invertIfNegative val="0"/>
          <c:dLbls>
            <c:dLbl>
              <c:idx val="0"/>
              <c:layout>
                <c:manualLayout>
                  <c:x val="0"/>
                  <c:y val="-0.40250544662309368"/>
                </c:manualLayout>
              </c:layout>
              <c:tx>
                <c:rich>
                  <a:bodyPr/>
                  <a:lstStyle/>
                  <a:p>
                    <a:fld id="{D294C52C-5935-4858-9D2E-DBA0A0BE20A2}"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4C9-46C6-A291-59D023B15850}"/>
                </c:ext>
              </c:extLst>
            </c:dLbl>
            <c:dLbl>
              <c:idx val="1"/>
              <c:layout>
                <c:manualLayout>
                  <c:x val="0"/>
                  <c:y val="-0.31998910675381265"/>
                </c:manualLayout>
              </c:layout>
              <c:tx>
                <c:rich>
                  <a:bodyPr/>
                  <a:lstStyle/>
                  <a:p>
                    <a:fld id="{46C16803-D788-4BE1-A803-7B5BC143B9B8}"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4C9-46C6-A291-59D023B15850}"/>
                </c:ext>
              </c:extLst>
            </c:dLbl>
            <c:dLbl>
              <c:idx val="2"/>
              <c:layout>
                <c:manualLayout>
                  <c:x val="-2.0212923426183892E-17"/>
                  <c:y val="-0.269880174291939"/>
                </c:manualLayout>
              </c:layout>
              <c:tx>
                <c:rich>
                  <a:bodyPr/>
                  <a:lstStyle/>
                  <a:p>
                    <a:fld id="{5E022871-3B8C-4167-AAA7-B8BA99E3A330}"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4C9-46C6-A291-59D023B15850}"/>
                </c:ext>
              </c:extLst>
            </c:dLbl>
            <c:dLbl>
              <c:idx val="3"/>
              <c:layout>
                <c:manualLayout>
                  <c:x val="-4.0425846852367784E-17"/>
                  <c:y val="-0.23747276688453159"/>
                </c:manualLayout>
              </c:layout>
              <c:tx>
                <c:rich>
                  <a:bodyPr/>
                  <a:lstStyle/>
                  <a:p>
                    <a:fld id="{42ED18CE-0F87-4D78-AE0D-97C28EF6C61B}"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4C9-46C6-A291-59D023B15850}"/>
                </c:ext>
              </c:extLst>
            </c:dLbl>
            <c:dLbl>
              <c:idx val="4"/>
              <c:layout>
                <c:manualLayout>
                  <c:x val="-4.0425846852367784E-17"/>
                  <c:y val="-0.17265795206971676"/>
                </c:manualLayout>
              </c:layout>
              <c:tx>
                <c:rich>
                  <a:bodyPr/>
                  <a:lstStyle/>
                  <a:p>
                    <a:fld id="{21ABC523-48B3-41AC-866B-B2C6A900EC65}"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4C9-46C6-A291-59D023B15850}"/>
                </c:ext>
              </c:extLst>
            </c:dLbl>
            <c:dLbl>
              <c:idx val="5"/>
              <c:layout>
                <c:manualLayout>
                  <c:x val="-4.0425846852367784E-17"/>
                  <c:y val="-0.14569716775599129"/>
                </c:manualLayout>
              </c:layout>
              <c:tx>
                <c:rich>
                  <a:bodyPr/>
                  <a:lstStyle/>
                  <a:p>
                    <a:fld id="{7D0E72D6-6486-44B6-B7A1-0B191BD2E1A6}"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4C9-46C6-A291-59D023B15850}"/>
                </c:ext>
              </c:extLst>
            </c:dLbl>
            <c:dLbl>
              <c:idx val="6"/>
              <c:layout>
                <c:manualLayout>
                  <c:x val="0"/>
                  <c:y val="-0.14569716775599129"/>
                </c:manualLayout>
              </c:layout>
              <c:tx>
                <c:rich>
                  <a:bodyPr/>
                  <a:lstStyle/>
                  <a:p>
                    <a:fld id="{499FF77A-9DB0-43CF-9E58-6FF497189B91}"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layout>
                    <c:manualLayout>
                      <c:w val="5.0429988974641675E-2"/>
                      <c:h val="7.4319386547269828E-2"/>
                    </c:manualLayout>
                  </c15:layout>
                  <c15:dlblFieldTable/>
                  <c15:showDataLabelsRange val="1"/>
                </c:ext>
                <c:ext xmlns:c16="http://schemas.microsoft.com/office/drawing/2014/chart" uri="{C3380CC4-5D6E-409C-BE32-E72D297353CC}">
                  <c16:uniqueId val="{00000007-64C9-46C6-A291-59D023B15850}"/>
                </c:ext>
              </c:extLst>
            </c:dLbl>
            <c:dLbl>
              <c:idx val="7"/>
              <c:layout>
                <c:manualLayout>
                  <c:x val="0"/>
                  <c:y val="-0.1587690631808279"/>
                </c:manualLayout>
              </c:layout>
              <c:tx>
                <c:rich>
                  <a:bodyPr/>
                  <a:lstStyle/>
                  <a:p>
                    <a:fld id="{CB6D1D8B-FD7A-474F-9122-D5F41DCBDC7A}"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4C9-46C6-A291-59D023B15850}"/>
                </c:ext>
              </c:extLst>
            </c:dLbl>
            <c:dLbl>
              <c:idx val="8"/>
              <c:layout>
                <c:manualLayout>
                  <c:x val="0"/>
                  <c:y val="-0.1587690631808279"/>
                </c:manualLayout>
              </c:layout>
              <c:tx>
                <c:rich>
                  <a:bodyPr/>
                  <a:lstStyle/>
                  <a:p>
                    <a:fld id="{1886B000-6B3A-4DEA-9901-01F1BF1738F6}"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64C9-46C6-A291-59D023B15850}"/>
                </c:ext>
              </c:extLst>
            </c:dLbl>
            <c:dLbl>
              <c:idx val="9"/>
              <c:layout>
                <c:manualLayout>
                  <c:x val="0"/>
                  <c:y val="-0.16802832244008714"/>
                </c:manualLayout>
              </c:layout>
              <c:tx>
                <c:rich>
                  <a:bodyPr/>
                  <a:lstStyle/>
                  <a:p>
                    <a:fld id="{A8F24412-F74A-48B7-9DBB-AD196BB185C8}"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4C9-46C6-A291-59D023B15850}"/>
                </c:ext>
              </c:extLst>
            </c:dLbl>
            <c:dLbl>
              <c:idx val="10"/>
              <c:layout>
                <c:manualLayout>
                  <c:x val="0"/>
                  <c:y val="-0.19117647058823528"/>
                </c:manualLayout>
              </c:layout>
              <c:tx>
                <c:rich>
                  <a:bodyPr/>
                  <a:lstStyle/>
                  <a:p>
                    <a:fld id="{A8534B50-04A9-43D4-B04E-A132A017B18B}"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4C9-46C6-A291-59D023B15850}"/>
                </c:ext>
              </c:extLst>
            </c:dLbl>
            <c:dLbl>
              <c:idx val="11"/>
              <c:layout>
                <c:manualLayout>
                  <c:x val="0"/>
                  <c:y val="-0.20043572984749455"/>
                </c:manualLayout>
              </c:layout>
              <c:tx>
                <c:rich>
                  <a:bodyPr/>
                  <a:lstStyle/>
                  <a:p>
                    <a:fld id="{4CCEFD85-FB1A-41DF-99A4-A28DD7F94FF1}"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64C9-46C6-A291-59D023B15850}"/>
                </c:ext>
              </c:extLst>
            </c:dLbl>
            <c:dLbl>
              <c:idx val="12"/>
              <c:layout>
                <c:manualLayout>
                  <c:x val="-8.0851693704735569E-17"/>
                  <c:y val="-0.12336601307189543"/>
                </c:manualLayout>
              </c:layout>
              <c:tx>
                <c:rich>
                  <a:bodyPr/>
                  <a:lstStyle/>
                  <a:p>
                    <a:fld id="{0A02A287-7850-48B9-8937-82797C524333}"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4C9-46C6-A291-59D023B15850}"/>
                </c:ext>
              </c:extLst>
            </c:dLbl>
            <c:dLbl>
              <c:idx val="13"/>
              <c:layout>
                <c:manualLayout>
                  <c:x val="0"/>
                  <c:y val="-9.477124183006537E-2"/>
                </c:manualLayout>
              </c:layout>
              <c:tx>
                <c:rich>
                  <a:bodyPr/>
                  <a:lstStyle/>
                  <a:p>
                    <a:fld id="{D2B8E109-E85B-4834-849B-FE77904B317E}"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64C9-46C6-A291-59D023B15850}"/>
                </c:ext>
              </c:extLst>
            </c:dLbl>
            <c:dLbl>
              <c:idx val="14"/>
              <c:layout>
                <c:manualLayout>
                  <c:x val="-2.205071664829107E-3"/>
                  <c:y val="-0.11328976034858387"/>
                </c:manualLayout>
              </c:layout>
              <c:tx>
                <c:rich>
                  <a:bodyPr/>
                  <a:lstStyle/>
                  <a:p>
                    <a:fld id="{A0EB5C89-04DC-4785-BF0B-6A63D7115F93}"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64C9-46C6-A291-59D023B15850}"/>
                </c:ext>
              </c:extLst>
            </c:dLbl>
            <c:dLbl>
              <c:idx val="15"/>
              <c:layout>
                <c:manualLayout>
                  <c:x val="-1.6170338740947114E-16"/>
                  <c:y val="-0.11410675381263617"/>
                </c:manualLayout>
              </c:layout>
              <c:tx>
                <c:rich>
                  <a:bodyPr/>
                  <a:lstStyle/>
                  <a:p>
                    <a:fld id="{1EEE2641-7AF7-4182-8E3F-FB3B49754930}"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64C9-46C6-A291-59D023B15850}"/>
                </c:ext>
              </c:extLst>
            </c:dLbl>
            <c:dLbl>
              <c:idx val="16"/>
              <c:layout>
                <c:manualLayout>
                  <c:x val="-1.6170338740947114E-16"/>
                  <c:y val="-0.11492374727668846"/>
                </c:manualLayout>
              </c:layout>
              <c:tx>
                <c:rich>
                  <a:bodyPr/>
                  <a:lstStyle/>
                  <a:p>
                    <a:fld id="{98CF328F-1FFF-4902-8A45-409325ADD249}"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64C9-46C6-A291-59D023B15850}"/>
                </c:ext>
              </c:extLst>
            </c:dLbl>
            <c:spPr>
              <a:noFill/>
              <a:ln>
                <a:solidFill>
                  <a:schemeClr val="tx2"/>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 4'!$C$2:$S$2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'Graf 4'!$C$5:$S$5</c:f>
              <c:numCache>
                <c:formatCode>_-* #\ ##0.0_-;\-* #\ ##0.0_-;_-* "-"??_-;_-@_-</c:formatCode>
                <c:ptCount val="17"/>
                <c:pt idx="0">
                  <c:v>6</c:v>
                </c:pt>
                <c:pt idx="1">
                  <c:v>4.6999999999999993</c:v>
                </c:pt>
                <c:pt idx="2">
                  <c:v>3.8999999999999986</c:v>
                </c:pt>
                <c:pt idx="3">
                  <c:v>2.6000000000000014</c:v>
                </c:pt>
                <c:pt idx="4">
                  <c:v>6.6999999999999957</c:v>
                </c:pt>
                <c:pt idx="5">
                  <c:v>6.8999999999999986</c:v>
                </c:pt>
                <c:pt idx="6">
                  <c:v>4.1000000000000014</c:v>
                </c:pt>
                <c:pt idx="7">
                  <c:v>4.3999999999999986</c:v>
                </c:pt>
                <c:pt idx="8">
                  <c:v>5.2999999999999972</c:v>
                </c:pt>
                <c:pt idx="9">
                  <c:v>5.7000000000000028</c:v>
                </c:pt>
                <c:pt idx="10">
                  <c:v>6</c:v>
                </c:pt>
                <c:pt idx="11">
                  <c:v>4.8000000000000043</c:v>
                </c:pt>
                <c:pt idx="12">
                  <c:v>10</c:v>
                </c:pt>
                <c:pt idx="13">
                  <c:v>11.600000000000001</c:v>
                </c:pt>
                <c:pt idx="14">
                  <c:v>9.8999999999999986</c:v>
                </c:pt>
                <c:pt idx="15">
                  <c:v>5.8999999999999986</c:v>
                </c:pt>
                <c:pt idx="16">
                  <c:v>4.6000000000000014</c:v>
                </c:pt>
              </c:numCache>
            </c:numRef>
          </c:val>
          <c:extLst>
            <c:ext xmlns:c15="http://schemas.microsoft.com/office/drawing/2012/chart" uri="{02D57815-91ED-43cb-92C2-25804820EDAC}">
              <c15:datalabelsRange>
                <c15:f>'Graf 4'!$C$3:$S$3</c15:f>
                <c15:dlblRangeCache>
                  <c:ptCount val="17"/>
                  <c:pt idx="0">
                    <c:v> 28,6 </c:v>
                  </c:pt>
                  <c:pt idx="1">
                    <c:v> 36,4 </c:v>
                  </c:pt>
                  <c:pt idx="2">
                    <c:v> 41,0 </c:v>
                  </c:pt>
                  <c:pt idx="3">
                    <c:v> 43,5 </c:v>
                  </c:pt>
                  <c:pt idx="4">
                    <c:v> 51,8 </c:v>
                  </c:pt>
                  <c:pt idx="5">
                    <c:v> 54,8 </c:v>
                  </c:pt>
                  <c:pt idx="6">
                    <c:v> 53,6 </c:v>
                  </c:pt>
                  <c:pt idx="7">
                    <c:v> 51,9 </c:v>
                  </c:pt>
                  <c:pt idx="8">
                    <c:v> 52,4 </c:v>
                  </c:pt>
                  <c:pt idx="9">
                    <c:v> 51,6 </c:v>
                  </c:pt>
                  <c:pt idx="10">
                    <c:v> 49,6 </c:v>
                  </c:pt>
                  <c:pt idx="11">
                    <c:v> 48,1 </c:v>
                  </c:pt>
                  <c:pt idx="12">
                    <c:v> 58,9 </c:v>
                  </c:pt>
                  <c:pt idx="13">
                    <c:v> 62,2 </c:v>
                  </c:pt>
                  <c:pt idx="14">
                    <c:v> 59,4 </c:v>
                  </c:pt>
                  <c:pt idx="15">
                    <c:v> 57,8 </c:v>
                  </c:pt>
                  <c:pt idx="16">
                    <c:v> 57,6 </c:v>
                  </c:pt>
                </c15:dlblRangeCache>
              </c15:datalabelsRange>
            </c:ext>
            <c:ext xmlns:c16="http://schemas.microsoft.com/office/drawing/2014/chart" uri="{C3380CC4-5D6E-409C-BE32-E72D297353CC}">
              <c16:uniqueId val="{00000012-64C9-46C6-A291-59D023B15850}"/>
            </c:ext>
          </c:extLst>
        </c:ser>
        <c:dLbls>
          <c:showLegendKey val="0"/>
          <c:showVal val="0"/>
          <c:showCatName val="0"/>
          <c:showSerName val="0"/>
          <c:showPercent val="0"/>
          <c:showBubbleSize val="0"/>
        </c:dLbls>
        <c:gapWidth val="100"/>
        <c:overlap val="100"/>
        <c:axId val="1948974927"/>
        <c:axId val="1948977007"/>
      </c:barChart>
      <c:lineChart>
        <c:grouping val="standard"/>
        <c:varyColors val="0"/>
        <c:ser>
          <c:idx val="2"/>
          <c:order val="2"/>
          <c:tx>
            <c:strRef>
              <c:f>'Graf 4'!$B$6</c:f>
              <c:strCache>
                <c:ptCount val="1"/>
                <c:pt idx="0">
                  <c:v>Maastrichtská hranica</c:v>
                </c:pt>
              </c:strCache>
            </c:strRef>
          </c:tx>
          <c:spPr>
            <a:ln w="25400" cap="rnd">
              <a:solidFill>
                <a:schemeClr val="accent6"/>
              </a:solidFill>
              <a:prstDash val="sysDash"/>
              <a:round/>
            </a:ln>
            <a:effectLst/>
          </c:spPr>
          <c:marker>
            <c:symbol val="none"/>
          </c:marker>
          <c:cat>
            <c:strRef>
              <c:f>'Graf 4'!$C$2:$S$2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'Graf 4'!$C$6:$S$6</c:f>
              <c:numCache>
                <c:formatCode>_-* #\ ##0.0_-;\-* #\ ##0.0_-;_-* "-"??_-;_-@_-</c:formatCode>
                <c:ptCount val="17"/>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numCache>
            </c:numRef>
          </c:val>
          <c:smooth val="0"/>
          <c:extLst>
            <c:ext xmlns:c16="http://schemas.microsoft.com/office/drawing/2014/chart" uri="{C3380CC4-5D6E-409C-BE32-E72D297353CC}">
              <c16:uniqueId val="{00000013-64C9-46C6-A291-59D023B15850}"/>
            </c:ext>
          </c:extLst>
        </c:ser>
        <c:dLbls>
          <c:showLegendKey val="0"/>
          <c:showVal val="0"/>
          <c:showCatName val="0"/>
          <c:showSerName val="0"/>
          <c:showPercent val="0"/>
          <c:showBubbleSize val="0"/>
        </c:dLbls>
        <c:marker val="1"/>
        <c:smooth val="0"/>
        <c:axId val="1948974927"/>
        <c:axId val="1948977007"/>
      </c:lineChart>
      <c:catAx>
        <c:axId val="194897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48977007"/>
        <c:crosses val="autoZero"/>
        <c:auto val="1"/>
        <c:lblAlgn val="ctr"/>
        <c:lblOffset val="100"/>
        <c:noMultiLvlLbl val="0"/>
      </c:catAx>
      <c:valAx>
        <c:axId val="1948977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48974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v>Čerpanie v % k 30.9.2022</c:v>
          </c:tx>
          <c:spPr>
            <a:ln w="28575" cap="rnd">
              <a:solidFill>
                <a:schemeClr val="accent1"/>
              </a:solidFill>
              <a:round/>
            </a:ln>
            <a:effectLst/>
          </c:spPr>
          <c:marker>
            <c:symbol val="none"/>
          </c:marker>
          <c:cat>
            <c:strRef>
              <c:f>'4'!$O$12:$O$21</c:f>
              <c:strCache>
                <c:ptCount val="10"/>
                <c:pt idx="0">
                  <c:v>OP Ľudské zdroje</c:v>
                </c:pt>
                <c:pt idx="1">
                  <c:v>OP Integrovaná infraštruktúra</c:v>
                </c:pt>
                <c:pt idx="2">
                  <c:v>OP Kvalita životného prostredia</c:v>
                </c:pt>
                <c:pt idx="3">
                  <c:v>Integrovaný regionálny OP</c:v>
                </c:pt>
                <c:pt idx="4">
                  <c:v>OP Efektívna verejná správa</c:v>
                </c:pt>
                <c:pt idx="5">
                  <c:v>OP Technická pomoc</c:v>
                </c:pt>
                <c:pt idx="6">
                  <c:v>OP Rybné hospodárstvo</c:v>
                </c:pt>
                <c:pt idx="7">
                  <c:v>Interreg V-A SK-CZ</c:v>
                </c:pt>
                <c:pt idx="8">
                  <c:v>Interreg V-A SK-AT</c:v>
                </c:pt>
                <c:pt idx="9">
                  <c:v>PS INTERACT III</c:v>
                </c:pt>
              </c:strCache>
            </c:strRef>
          </c:cat>
          <c:val>
            <c:numRef>
              <c:f>'4'!$P$12:$P$21</c:f>
              <c:numCache>
                <c:formatCode>General</c:formatCode>
                <c:ptCount val="10"/>
                <c:pt idx="0">
                  <c:v>76.302235842170319</c:v>
                </c:pt>
                <c:pt idx="1">
                  <c:v>59.859593607352011</c:v>
                </c:pt>
                <c:pt idx="2">
                  <c:v>57.52638803153345</c:v>
                </c:pt>
                <c:pt idx="3">
                  <c:v>47.873936015703045</c:v>
                </c:pt>
                <c:pt idx="4">
                  <c:v>70.752845951717362</c:v>
                </c:pt>
                <c:pt idx="5">
                  <c:v>91.236784153320542</c:v>
                </c:pt>
                <c:pt idx="6">
                  <c:v>23.570598828473564</c:v>
                </c:pt>
                <c:pt idx="7">
                  <c:v>66.287896567566634</c:v>
                </c:pt>
                <c:pt idx="8">
                  <c:v>59.664149959335347</c:v>
                </c:pt>
                <c:pt idx="9">
                  <c:v>83.398960728506481</c:v>
                </c:pt>
              </c:numCache>
            </c:numRef>
          </c:val>
          <c:extLst>
            <c:ext xmlns:c16="http://schemas.microsoft.com/office/drawing/2014/chart" uri="{C3380CC4-5D6E-409C-BE32-E72D297353CC}">
              <c16:uniqueId val="{00000000-F59D-4A11-82F4-C6328CDA6611}"/>
            </c:ext>
          </c:extLst>
        </c:ser>
        <c:ser>
          <c:idx val="1"/>
          <c:order val="1"/>
          <c:tx>
            <c:v>Čerpanie na úrovni 100 %</c:v>
          </c:tx>
          <c:spPr>
            <a:ln w="28575" cap="rnd">
              <a:solidFill>
                <a:schemeClr val="accent2"/>
              </a:solidFill>
              <a:round/>
            </a:ln>
            <a:effectLst/>
          </c:spPr>
          <c:marker>
            <c:symbol val="none"/>
          </c:marker>
          <c:cat>
            <c:strRef>
              <c:f>'4'!$O$12:$O$21</c:f>
              <c:strCache>
                <c:ptCount val="10"/>
                <c:pt idx="0">
                  <c:v>OP Ľudské zdroje</c:v>
                </c:pt>
                <c:pt idx="1">
                  <c:v>OP Integrovaná infraštruktúra</c:v>
                </c:pt>
                <c:pt idx="2">
                  <c:v>OP Kvalita životného prostredia</c:v>
                </c:pt>
                <c:pt idx="3">
                  <c:v>Integrovaný regionálny OP</c:v>
                </c:pt>
                <c:pt idx="4">
                  <c:v>OP Efektívna verejná správa</c:v>
                </c:pt>
                <c:pt idx="5">
                  <c:v>OP Technická pomoc</c:v>
                </c:pt>
                <c:pt idx="6">
                  <c:v>OP Rybné hospodárstvo</c:v>
                </c:pt>
                <c:pt idx="7">
                  <c:v>Interreg V-A SK-CZ</c:v>
                </c:pt>
                <c:pt idx="8">
                  <c:v>Interreg V-A SK-AT</c:v>
                </c:pt>
                <c:pt idx="9">
                  <c:v>PS INTERACT III</c:v>
                </c:pt>
              </c:strCache>
            </c:strRef>
          </c:cat>
          <c:val>
            <c:numRef>
              <c:f>'4'!$Q$12:$Q$21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extLst>
            <c:ext xmlns:c16="http://schemas.microsoft.com/office/drawing/2014/chart" uri="{C3380CC4-5D6E-409C-BE32-E72D297353CC}">
              <c16:uniqueId val="{00000001-F59D-4A11-82F4-C6328CDA6611}"/>
            </c:ext>
          </c:extLst>
        </c:ser>
        <c:dLbls>
          <c:showLegendKey val="0"/>
          <c:showVal val="0"/>
          <c:showCatName val="0"/>
          <c:showSerName val="0"/>
          <c:showPercent val="0"/>
          <c:showBubbleSize val="0"/>
        </c:dLbls>
        <c:axId val="2078173328"/>
        <c:axId val="2078174160"/>
      </c:radarChart>
      <c:catAx>
        <c:axId val="2078173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78174160"/>
        <c:crosses val="autoZero"/>
        <c:auto val="1"/>
        <c:lblAlgn val="ctr"/>
        <c:lblOffset val="100"/>
        <c:noMultiLvlLbl val="0"/>
      </c:catAx>
      <c:valAx>
        <c:axId val="207817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7817332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503860561119175E-2"/>
          <c:y val="9.7750237206264703E-2"/>
          <c:w val="0.9135269347399535"/>
          <c:h val="0.76793669372409534"/>
        </c:manualLayout>
      </c:layout>
      <c:barChart>
        <c:barDir val="col"/>
        <c:grouping val="clustered"/>
        <c:varyColors val="0"/>
        <c:ser>
          <c:idx val="0"/>
          <c:order val="0"/>
          <c:spPr>
            <a:solidFill>
              <a:schemeClr val="bg2"/>
            </a:solidFill>
            <a:ln>
              <a:noFill/>
            </a:ln>
            <a:effectLst/>
          </c:spPr>
          <c:invertIfNegative val="0"/>
          <c:dPt>
            <c:idx val="2"/>
            <c:invertIfNegative val="0"/>
            <c:bubble3D val="0"/>
            <c:spPr>
              <a:solidFill>
                <a:srgbClr val="FF0000"/>
              </a:solidFill>
              <a:ln>
                <a:solidFill>
                  <a:srgbClr val="FF0000"/>
                </a:solidFill>
              </a:ln>
              <a:effectLst/>
            </c:spPr>
            <c:extLst>
              <c:ext xmlns:c16="http://schemas.microsoft.com/office/drawing/2014/chart" uri="{C3380CC4-5D6E-409C-BE32-E72D297353CC}">
                <c16:uniqueId val="{00000001-D6D1-4C78-9564-7C799A059CE9}"/>
              </c:ext>
            </c:extLst>
          </c:dPt>
          <c:dPt>
            <c:idx val="13"/>
            <c:invertIfNegative val="0"/>
            <c:bubble3D val="0"/>
            <c:spPr>
              <a:solidFill>
                <a:schemeClr val="tx2"/>
              </a:solidFill>
              <a:ln>
                <a:noFill/>
              </a:ln>
              <a:effectLst/>
            </c:spPr>
            <c:extLst>
              <c:ext xmlns:c16="http://schemas.microsoft.com/office/drawing/2014/chart" uri="{C3380CC4-5D6E-409C-BE32-E72D297353CC}">
                <c16:uniqueId val="{00000003-D6D1-4C78-9564-7C799A059CE9}"/>
              </c:ext>
            </c:extLst>
          </c:dPt>
          <c:dPt>
            <c:idx val="16"/>
            <c:invertIfNegative val="0"/>
            <c:bubble3D val="0"/>
            <c:spPr>
              <a:solidFill>
                <a:schemeClr val="tx2"/>
              </a:solidFill>
              <a:ln>
                <a:noFill/>
              </a:ln>
              <a:effectLst/>
            </c:spPr>
            <c:extLst>
              <c:ext xmlns:c16="http://schemas.microsoft.com/office/drawing/2014/chart" uri="{C3380CC4-5D6E-409C-BE32-E72D297353CC}">
                <c16:uniqueId val="{00000005-D6D1-4C78-9564-7C799A059CE9}"/>
              </c:ext>
            </c:extLst>
          </c:dPt>
          <c:dPt>
            <c:idx val="26"/>
            <c:invertIfNegative val="0"/>
            <c:bubble3D val="0"/>
            <c:spPr>
              <a:solidFill>
                <a:schemeClr val="tx2"/>
              </a:solidFill>
              <a:ln>
                <a:noFill/>
              </a:ln>
              <a:effectLst/>
            </c:spPr>
            <c:extLst>
              <c:ext xmlns:c16="http://schemas.microsoft.com/office/drawing/2014/chart" uri="{C3380CC4-5D6E-409C-BE32-E72D297353CC}">
                <c16:uniqueId val="{00000007-D6D1-4C78-9564-7C799A059CE9}"/>
              </c:ext>
            </c:extLst>
          </c:dPt>
          <c:cat>
            <c:strRef>
              <c:f>Hárok1!$F$35:$F$61</c:f>
              <c:strCache>
                <c:ptCount val="27"/>
                <c:pt idx="0">
                  <c:v>ES</c:v>
                </c:pt>
                <c:pt idx="1">
                  <c:v>IT</c:v>
                </c:pt>
                <c:pt idx="2">
                  <c:v>SK</c:v>
                </c:pt>
                <c:pt idx="3">
                  <c:v>RO</c:v>
                </c:pt>
                <c:pt idx="4">
                  <c:v>LU</c:v>
                </c:pt>
                <c:pt idx="5">
                  <c:v>DK</c:v>
                </c:pt>
                <c:pt idx="6">
                  <c:v>AT</c:v>
                </c:pt>
                <c:pt idx="7">
                  <c:v>BE</c:v>
                </c:pt>
                <c:pt idx="8">
                  <c:v>SE</c:v>
                </c:pt>
                <c:pt idx="9">
                  <c:v>IE</c:v>
                </c:pt>
                <c:pt idx="10">
                  <c:v>LV</c:v>
                </c:pt>
                <c:pt idx="11">
                  <c:v>MT</c:v>
                </c:pt>
                <c:pt idx="12">
                  <c:v>HR</c:v>
                </c:pt>
                <c:pt idx="13">
                  <c:v>PL</c:v>
                </c:pt>
                <c:pt idx="14">
                  <c:v>DE</c:v>
                </c:pt>
                <c:pt idx="15">
                  <c:v>BG</c:v>
                </c:pt>
                <c:pt idx="16">
                  <c:v>CZ</c:v>
                </c:pt>
                <c:pt idx="17">
                  <c:v>CY</c:v>
                </c:pt>
                <c:pt idx="18">
                  <c:v>GR</c:v>
                </c:pt>
                <c:pt idx="19">
                  <c:v>FI</c:v>
                </c:pt>
                <c:pt idx="20">
                  <c:v>FR</c:v>
                </c:pt>
                <c:pt idx="21">
                  <c:v>NL</c:v>
                </c:pt>
                <c:pt idx="22">
                  <c:v>EE</c:v>
                </c:pt>
                <c:pt idx="23">
                  <c:v>PT</c:v>
                </c:pt>
                <c:pt idx="24">
                  <c:v>LT</c:v>
                </c:pt>
                <c:pt idx="25">
                  <c:v>SI</c:v>
                </c:pt>
                <c:pt idx="26">
                  <c:v>HU</c:v>
                </c:pt>
              </c:strCache>
            </c:strRef>
          </c:cat>
          <c:val>
            <c:numRef>
              <c:f>Hárok1!$D$35:$D$61</c:f>
              <c:numCache>
                <c:formatCode>General</c:formatCode>
                <c:ptCount val="27"/>
                <c:pt idx="0">
                  <c:v>48.587887729379382</c:v>
                </c:pt>
                <c:pt idx="1">
                  <c:v>55.190927892128997</c:v>
                </c:pt>
                <c:pt idx="2">
                  <c:v>57.216018322712344</c:v>
                </c:pt>
                <c:pt idx="3">
                  <c:v>60.476970051521143</c:v>
                </c:pt>
                <c:pt idx="4">
                  <c:v>60.750057482929151</c:v>
                </c:pt>
                <c:pt idx="5">
                  <c:v>61.491501298841357</c:v>
                </c:pt>
                <c:pt idx="6">
                  <c:v>65.871079163381211</c:v>
                </c:pt>
                <c:pt idx="7">
                  <c:v>67.440579169485076</c:v>
                </c:pt>
                <c:pt idx="8">
                  <c:v>69.970154346053278</c:v>
                </c:pt>
                <c:pt idx="9">
                  <c:v>71.204663199714119</c:v>
                </c:pt>
                <c:pt idx="10">
                  <c:v>71.297681176299946</c:v>
                </c:pt>
                <c:pt idx="11">
                  <c:v>71.628547690202794</c:v>
                </c:pt>
                <c:pt idx="12">
                  <c:v>71.693245883157857</c:v>
                </c:pt>
                <c:pt idx="13">
                  <c:v>72.58739621114259</c:v>
                </c:pt>
                <c:pt idx="14">
                  <c:v>74.357425573486466</c:v>
                </c:pt>
                <c:pt idx="15">
                  <c:v>74.476628648130998</c:v>
                </c:pt>
                <c:pt idx="16">
                  <c:v>76.118371355322807</c:v>
                </c:pt>
                <c:pt idx="17">
                  <c:v>76.711767879488548</c:v>
                </c:pt>
                <c:pt idx="18">
                  <c:v>77.065639951896898</c:v>
                </c:pt>
                <c:pt idx="19">
                  <c:v>77.588635941168036</c:v>
                </c:pt>
                <c:pt idx="20">
                  <c:v>78.180710309973506</c:v>
                </c:pt>
                <c:pt idx="21">
                  <c:v>79.565426927564133</c:v>
                </c:pt>
                <c:pt idx="22">
                  <c:v>80.820547643937175</c:v>
                </c:pt>
                <c:pt idx="23">
                  <c:v>83.796235594256459</c:v>
                </c:pt>
                <c:pt idx="24">
                  <c:v>84.002771658382954</c:v>
                </c:pt>
                <c:pt idx="25">
                  <c:v>84.111876041916616</c:v>
                </c:pt>
                <c:pt idx="26">
                  <c:v>87.158058487545944</c:v>
                </c:pt>
              </c:numCache>
            </c:numRef>
          </c:val>
          <c:extLst>
            <c:ext xmlns:c16="http://schemas.microsoft.com/office/drawing/2014/chart" uri="{C3380CC4-5D6E-409C-BE32-E72D297353CC}">
              <c16:uniqueId val="{00000008-D6D1-4C78-9564-7C799A059CE9}"/>
            </c:ext>
          </c:extLst>
        </c:ser>
        <c:dLbls>
          <c:showLegendKey val="0"/>
          <c:showVal val="0"/>
          <c:showCatName val="0"/>
          <c:showSerName val="0"/>
          <c:showPercent val="0"/>
          <c:showBubbleSize val="0"/>
        </c:dLbls>
        <c:gapWidth val="100"/>
        <c:axId val="1701112255"/>
        <c:axId val="1701112671"/>
      </c:barChart>
      <c:lineChart>
        <c:grouping val="standard"/>
        <c:varyColors val="0"/>
        <c:ser>
          <c:idx val="1"/>
          <c:order val="1"/>
          <c:spPr>
            <a:ln w="25400" cap="rnd">
              <a:solidFill>
                <a:srgbClr val="FF0000"/>
              </a:solidFill>
              <a:prstDash val="sysDash"/>
              <a:round/>
            </a:ln>
            <a:effectLst/>
          </c:spPr>
          <c:marker>
            <c:symbol val="none"/>
          </c:marker>
          <c:val>
            <c:numRef>
              <c:f>Hárok1!$E$35:$E$61</c:f>
              <c:numCache>
                <c:formatCode>General</c:formatCode>
                <c:ptCount val="27"/>
                <c:pt idx="0">
                  <c:v>69.03888138707029</c:v>
                </c:pt>
                <c:pt idx="1">
                  <c:v>69.03888138707029</c:v>
                </c:pt>
                <c:pt idx="2">
                  <c:v>69.03888138707029</c:v>
                </c:pt>
                <c:pt idx="3">
                  <c:v>69.03888138707029</c:v>
                </c:pt>
                <c:pt idx="4">
                  <c:v>69.03888138707029</c:v>
                </c:pt>
                <c:pt idx="5">
                  <c:v>69.03888138707029</c:v>
                </c:pt>
                <c:pt idx="6">
                  <c:v>69.03888138707029</c:v>
                </c:pt>
                <c:pt idx="7">
                  <c:v>69.03888138707029</c:v>
                </c:pt>
                <c:pt idx="8">
                  <c:v>69.03888138707029</c:v>
                </c:pt>
                <c:pt idx="9">
                  <c:v>69.03888138707029</c:v>
                </c:pt>
                <c:pt idx="10">
                  <c:v>69.03888138707029</c:v>
                </c:pt>
                <c:pt idx="11">
                  <c:v>69.03888138707029</c:v>
                </c:pt>
                <c:pt idx="12">
                  <c:v>69.03888138707029</c:v>
                </c:pt>
                <c:pt idx="13">
                  <c:v>69.03888138707029</c:v>
                </c:pt>
                <c:pt idx="14">
                  <c:v>69.03888138707029</c:v>
                </c:pt>
                <c:pt idx="15">
                  <c:v>69.03888138707029</c:v>
                </c:pt>
                <c:pt idx="16">
                  <c:v>69.03888138707029</c:v>
                </c:pt>
                <c:pt idx="17">
                  <c:v>69.03888138707029</c:v>
                </c:pt>
                <c:pt idx="18">
                  <c:v>69.03888138707029</c:v>
                </c:pt>
                <c:pt idx="19">
                  <c:v>69.03888138707029</c:v>
                </c:pt>
                <c:pt idx="20">
                  <c:v>69.03888138707029</c:v>
                </c:pt>
                <c:pt idx="21">
                  <c:v>69.03888138707029</c:v>
                </c:pt>
                <c:pt idx="22">
                  <c:v>69.03888138707029</c:v>
                </c:pt>
                <c:pt idx="23">
                  <c:v>69.03888138707029</c:v>
                </c:pt>
                <c:pt idx="24">
                  <c:v>69.03888138707029</c:v>
                </c:pt>
                <c:pt idx="25">
                  <c:v>69.03888138707029</c:v>
                </c:pt>
                <c:pt idx="26">
                  <c:v>69.03888138707029</c:v>
                </c:pt>
              </c:numCache>
            </c:numRef>
          </c:val>
          <c:smooth val="0"/>
          <c:extLst>
            <c:ext xmlns:c16="http://schemas.microsoft.com/office/drawing/2014/chart" uri="{C3380CC4-5D6E-409C-BE32-E72D297353CC}">
              <c16:uniqueId val="{00000009-D6D1-4C78-9564-7C799A059CE9}"/>
            </c:ext>
          </c:extLst>
        </c:ser>
        <c:dLbls>
          <c:showLegendKey val="0"/>
          <c:showVal val="0"/>
          <c:showCatName val="0"/>
          <c:showSerName val="0"/>
          <c:showPercent val="0"/>
          <c:showBubbleSize val="0"/>
        </c:dLbls>
        <c:marker val="1"/>
        <c:smooth val="0"/>
        <c:axId val="1701112255"/>
        <c:axId val="1701112671"/>
      </c:lineChart>
      <c:catAx>
        <c:axId val="170111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01112671"/>
        <c:crosses val="autoZero"/>
        <c:auto val="1"/>
        <c:lblAlgn val="ctr"/>
        <c:lblOffset val="100"/>
        <c:noMultiLvlLbl val="0"/>
      </c:catAx>
      <c:valAx>
        <c:axId val="1701112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011122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 7'!$B$15</c:f>
              <c:strCache>
                <c:ptCount val="1"/>
                <c:pt idx="0">
                  <c:v>EÚ</c:v>
                </c:pt>
              </c:strCache>
            </c:strRef>
          </c:tx>
          <c:spPr>
            <a:ln w="25400" cap="rnd">
              <a:solidFill>
                <a:schemeClr val="accent6"/>
              </a:solidFill>
              <a:prstDash val="sysDash"/>
              <a:round/>
            </a:ln>
            <a:effectLst/>
          </c:spPr>
          <c:marker>
            <c:symbol val="none"/>
          </c:marker>
          <c:cat>
            <c:numRef>
              <c:f>'Graf 7'!$C$14:$J$14</c:f>
              <c:numCache>
                <c:formatCode>General</c:formatCode>
                <c:ptCount val="8"/>
                <c:pt idx="0">
                  <c:v>2015</c:v>
                </c:pt>
                <c:pt idx="1">
                  <c:v>2016</c:v>
                </c:pt>
                <c:pt idx="2">
                  <c:v>2017</c:v>
                </c:pt>
                <c:pt idx="3">
                  <c:v>2018</c:v>
                </c:pt>
                <c:pt idx="4">
                  <c:v>2019</c:v>
                </c:pt>
                <c:pt idx="5">
                  <c:v>2020</c:v>
                </c:pt>
                <c:pt idx="6">
                  <c:v>2021</c:v>
                </c:pt>
                <c:pt idx="7">
                  <c:v>2022</c:v>
                </c:pt>
              </c:numCache>
            </c:numRef>
          </c:cat>
          <c:val>
            <c:numRef>
              <c:f>'Graf 7'!$C$15:$J$15</c:f>
              <c:numCache>
                <c:formatCode>_-* #\ ##0.0_-;\-* #\ ##0.0_-;_-* "-"??_-;_-@_-</c:formatCode>
                <c:ptCount val="8"/>
                <c:pt idx="0">
                  <c:v>0.60440653868498651</c:v>
                </c:pt>
                <c:pt idx="1">
                  <c:v>4.2830964095724111</c:v>
                </c:pt>
                <c:pt idx="2">
                  <c:v>11.614780084096681</c:v>
                </c:pt>
                <c:pt idx="3">
                  <c:v>24.533996151255579</c:v>
                </c:pt>
                <c:pt idx="4">
                  <c:v>37.421409968059635</c:v>
                </c:pt>
                <c:pt idx="5">
                  <c:v>52.217264619316175</c:v>
                </c:pt>
                <c:pt idx="6">
                  <c:v>63.435313282186975</c:v>
                </c:pt>
                <c:pt idx="7">
                  <c:v>69.106057914964936</c:v>
                </c:pt>
              </c:numCache>
            </c:numRef>
          </c:val>
          <c:smooth val="0"/>
          <c:extLst>
            <c:ext xmlns:c16="http://schemas.microsoft.com/office/drawing/2014/chart" uri="{C3380CC4-5D6E-409C-BE32-E72D297353CC}">
              <c16:uniqueId val="{00000000-7020-4AC9-8137-0FAA75089D4A}"/>
            </c:ext>
          </c:extLst>
        </c:ser>
        <c:ser>
          <c:idx val="1"/>
          <c:order val="1"/>
          <c:tx>
            <c:strRef>
              <c:f>'Graf 7'!$B$16</c:f>
              <c:strCache>
                <c:ptCount val="1"/>
                <c:pt idx="0">
                  <c:v>SK</c:v>
                </c:pt>
              </c:strCache>
            </c:strRef>
          </c:tx>
          <c:spPr>
            <a:ln w="25400" cap="rnd">
              <a:solidFill>
                <a:schemeClr val="accent2"/>
              </a:solidFill>
              <a:round/>
            </a:ln>
            <a:effectLst/>
          </c:spPr>
          <c:marker>
            <c:symbol val="none"/>
          </c:marker>
          <c:cat>
            <c:numRef>
              <c:f>'Graf 7'!$C$14:$J$14</c:f>
              <c:numCache>
                <c:formatCode>General</c:formatCode>
                <c:ptCount val="8"/>
                <c:pt idx="0">
                  <c:v>2015</c:v>
                </c:pt>
                <c:pt idx="1">
                  <c:v>2016</c:v>
                </c:pt>
                <c:pt idx="2">
                  <c:v>2017</c:v>
                </c:pt>
                <c:pt idx="3">
                  <c:v>2018</c:v>
                </c:pt>
                <c:pt idx="4">
                  <c:v>2019</c:v>
                </c:pt>
                <c:pt idx="5">
                  <c:v>2020</c:v>
                </c:pt>
                <c:pt idx="6">
                  <c:v>2021</c:v>
                </c:pt>
                <c:pt idx="7">
                  <c:v>2022</c:v>
                </c:pt>
              </c:numCache>
            </c:numRef>
          </c:cat>
          <c:val>
            <c:numRef>
              <c:f>'Graf 7'!$C$16:$J$16</c:f>
              <c:numCache>
                <c:formatCode>_-* #\ ##0.0_-;\-* #\ ##0.0_-;_-* "-"??_-;_-@_-</c:formatCode>
                <c:ptCount val="8"/>
                <c:pt idx="0">
                  <c:v>1.0512060342548815</c:v>
                </c:pt>
                <c:pt idx="1">
                  <c:v>4.9989430896954445</c:v>
                </c:pt>
                <c:pt idx="2">
                  <c:v>11.58996272209318</c:v>
                </c:pt>
                <c:pt idx="3">
                  <c:v>22.31062875018581</c:v>
                </c:pt>
                <c:pt idx="4">
                  <c:v>32.618675912854108</c:v>
                </c:pt>
                <c:pt idx="5">
                  <c:v>44.893844635055544</c:v>
                </c:pt>
                <c:pt idx="6">
                  <c:v>51.631726596127677</c:v>
                </c:pt>
                <c:pt idx="7">
                  <c:v>55.294765602778298</c:v>
                </c:pt>
              </c:numCache>
            </c:numRef>
          </c:val>
          <c:smooth val="0"/>
          <c:extLst>
            <c:ext xmlns:c16="http://schemas.microsoft.com/office/drawing/2014/chart" uri="{C3380CC4-5D6E-409C-BE32-E72D297353CC}">
              <c16:uniqueId val="{00000001-7020-4AC9-8137-0FAA75089D4A}"/>
            </c:ext>
          </c:extLst>
        </c:ser>
        <c:ser>
          <c:idx val="2"/>
          <c:order val="2"/>
          <c:tx>
            <c:strRef>
              <c:f>'Graf 7'!$B$17</c:f>
              <c:strCache>
                <c:ptCount val="1"/>
                <c:pt idx="0">
                  <c:v>HU</c:v>
                </c:pt>
              </c:strCache>
            </c:strRef>
          </c:tx>
          <c:spPr>
            <a:ln w="25400" cap="rnd">
              <a:solidFill>
                <a:schemeClr val="accent3"/>
              </a:solidFill>
              <a:round/>
            </a:ln>
            <a:effectLst/>
          </c:spPr>
          <c:marker>
            <c:symbol val="none"/>
          </c:marker>
          <c:cat>
            <c:numRef>
              <c:f>'Graf 7'!$C$14:$J$14</c:f>
              <c:numCache>
                <c:formatCode>General</c:formatCode>
                <c:ptCount val="8"/>
                <c:pt idx="0">
                  <c:v>2015</c:v>
                </c:pt>
                <c:pt idx="1">
                  <c:v>2016</c:v>
                </c:pt>
                <c:pt idx="2">
                  <c:v>2017</c:v>
                </c:pt>
                <c:pt idx="3">
                  <c:v>2018</c:v>
                </c:pt>
                <c:pt idx="4">
                  <c:v>2019</c:v>
                </c:pt>
                <c:pt idx="5">
                  <c:v>2020</c:v>
                </c:pt>
                <c:pt idx="6">
                  <c:v>2021</c:v>
                </c:pt>
                <c:pt idx="7">
                  <c:v>2022</c:v>
                </c:pt>
              </c:numCache>
            </c:numRef>
          </c:cat>
          <c:val>
            <c:numRef>
              <c:f>'Graf 7'!$C$17:$J$17</c:f>
              <c:numCache>
                <c:formatCode>_-* #\ ##0.0_-;\-* #\ ##0.0_-;_-* "-"??_-;_-@_-</c:formatCode>
                <c:ptCount val="8"/>
                <c:pt idx="0">
                  <c:v>2.0218455903899956E-4</c:v>
                </c:pt>
                <c:pt idx="1">
                  <c:v>5.2504669387645757</c:v>
                </c:pt>
                <c:pt idx="2">
                  <c:v>13.461179654786321</c:v>
                </c:pt>
                <c:pt idx="3">
                  <c:v>26.635533331050826</c:v>
                </c:pt>
                <c:pt idx="4">
                  <c:v>40.886222212209269</c:v>
                </c:pt>
                <c:pt idx="5">
                  <c:v>57.716015034566951</c:v>
                </c:pt>
                <c:pt idx="6">
                  <c:v>72.01794247653487</c:v>
                </c:pt>
                <c:pt idx="7">
                  <c:v>79.931059621871654</c:v>
                </c:pt>
              </c:numCache>
            </c:numRef>
          </c:val>
          <c:smooth val="0"/>
          <c:extLst>
            <c:ext xmlns:c16="http://schemas.microsoft.com/office/drawing/2014/chart" uri="{C3380CC4-5D6E-409C-BE32-E72D297353CC}">
              <c16:uniqueId val="{00000002-7020-4AC9-8137-0FAA75089D4A}"/>
            </c:ext>
          </c:extLst>
        </c:ser>
        <c:ser>
          <c:idx val="3"/>
          <c:order val="3"/>
          <c:tx>
            <c:strRef>
              <c:f>'Graf 7'!$B$18</c:f>
              <c:strCache>
                <c:ptCount val="1"/>
                <c:pt idx="0">
                  <c:v>CZ</c:v>
                </c:pt>
              </c:strCache>
            </c:strRef>
          </c:tx>
          <c:spPr>
            <a:ln w="25400" cap="rnd">
              <a:solidFill>
                <a:schemeClr val="accent4"/>
              </a:solidFill>
              <a:round/>
            </a:ln>
            <a:effectLst/>
          </c:spPr>
          <c:marker>
            <c:symbol val="none"/>
          </c:marker>
          <c:cat>
            <c:numRef>
              <c:f>'Graf 7'!$C$14:$J$14</c:f>
              <c:numCache>
                <c:formatCode>General</c:formatCode>
                <c:ptCount val="8"/>
                <c:pt idx="0">
                  <c:v>2015</c:v>
                </c:pt>
                <c:pt idx="1">
                  <c:v>2016</c:v>
                </c:pt>
                <c:pt idx="2">
                  <c:v>2017</c:v>
                </c:pt>
                <c:pt idx="3">
                  <c:v>2018</c:v>
                </c:pt>
                <c:pt idx="4">
                  <c:v>2019</c:v>
                </c:pt>
                <c:pt idx="5">
                  <c:v>2020</c:v>
                </c:pt>
                <c:pt idx="6">
                  <c:v>2021</c:v>
                </c:pt>
                <c:pt idx="7">
                  <c:v>2022</c:v>
                </c:pt>
              </c:numCache>
            </c:numRef>
          </c:cat>
          <c:val>
            <c:numRef>
              <c:f>'Graf 7'!$C$18:$J$18</c:f>
              <c:numCache>
                <c:formatCode>_-* #\ ##0.0_-;\-* #\ ##0.0_-;_-* "-"??_-;_-@_-</c:formatCode>
                <c:ptCount val="8"/>
                <c:pt idx="0">
                  <c:v>0.95007062905228745</c:v>
                </c:pt>
                <c:pt idx="1">
                  <c:v>3.3191238440270316</c:v>
                </c:pt>
                <c:pt idx="2">
                  <c:v>11.41685268498177</c:v>
                </c:pt>
                <c:pt idx="3">
                  <c:v>24.838072781485927</c:v>
                </c:pt>
                <c:pt idx="4">
                  <c:v>39.74974377283278</c:v>
                </c:pt>
                <c:pt idx="5">
                  <c:v>57.546139187521625</c:v>
                </c:pt>
                <c:pt idx="6">
                  <c:v>68.113342114181307</c:v>
                </c:pt>
                <c:pt idx="7">
                  <c:v>73.82514764593391</c:v>
                </c:pt>
              </c:numCache>
            </c:numRef>
          </c:val>
          <c:smooth val="0"/>
          <c:extLst>
            <c:ext xmlns:c16="http://schemas.microsoft.com/office/drawing/2014/chart" uri="{C3380CC4-5D6E-409C-BE32-E72D297353CC}">
              <c16:uniqueId val="{00000003-7020-4AC9-8137-0FAA75089D4A}"/>
            </c:ext>
          </c:extLst>
        </c:ser>
        <c:ser>
          <c:idx val="4"/>
          <c:order val="4"/>
          <c:tx>
            <c:strRef>
              <c:f>'Graf 7'!$B$19</c:f>
              <c:strCache>
                <c:ptCount val="1"/>
                <c:pt idx="0">
                  <c:v>PL</c:v>
                </c:pt>
              </c:strCache>
            </c:strRef>
          </c:tx>
          <c:spPr>
            <a:ln w="25400" cap="rnd">
              <a:solidFill>
                <a:schemeClr val="tx2"/>
              </a:solidFill>
              <a:round/>
            </a:ln>
            <a:effectLst/>
          </c:spPr>
          <c:marker>
            <c:symbol val="none"/>
          </c:marker>
          <c:cat>
            <c:numRef>
              <c:f>'Graf 7'!$C$14:$J$14</c:f>
              <c:numCache>
                <c:formatCode>General</c:formatCode>
                <c:ptCount val="8"/>
                <c:pt idx="0">
                  <c:v>2015</c:v>
                </c:pt>
                <c:pt idx="1">
                  <c:v>2016</c:v>
                </c:pt>
                <c:pt idx="2">
                  <c:v>2017</c:v>
                </c:pt>
                <c:pt idx="3">
                  <c:v>2018</c:v>
                </c:pt>
                <c:pt idx="4">
                  <c:v>2019</c:v>
                </c:pt>
                <c:pt idx="5">
                  <c:v>2020</c:v>
                </c:pt>
                <c:pt idx="6">
                  <c:v>2021</c:v>
                </c:pt>
                <c:pt idx="7">
                  <c:v>2022</c:v>
                </c:pt>
              </c:numCache>
            </c:numRef>
          </c:cat>
          <c:val>
            <c:numRef>
              <c:f>'Graf 7'!$C$19:$J$19</c:f>
              <c:numCache>
                <c:formatCode>_-* #\ ##0.0_-;\-* #\ ##0.0_-;_-* "-"??_-;_-@_-</c:formatCode>
                <c:ptCount val="8"/>
                <c:pt idx="0">
                  <c:v>0.72136039868076418</c:v>
                </c:pt>
                <c:pt idx="1">
                  <c:v>5.1414035173134147</c:v>
                </c:pt>
                <c:pt idx="2">
                  <c:v>13.095066861442376</c:v>
                </c:pt>
                <c:pt idx="3">
                  <c:v>25.619455076384678</c:v>
                </c:pt>
                <c:pt idx="4">
                  <c:v>41.083653292648087</c:v>
                </c:pt>
                <c:pt idx="5">
                  <c:v>54.770650382111263</c:v>
                </c:pt>
                <c:pt idx="6">
                  <c:v>63.662058257103205</c:v>
                </c:pt>
                <c:pt idx="7">
                  <c:v>67.600298776017979</c:v>
                </c:pt>
              </c:numCache>
            </c:numRef>
          </c:val>
          <c:smooth val="0"/>
          <c:extLst>
            <c:ext xmlns:c16="http://schemas.microsoft.com/office/drawing/2014/chart" uri="{C3380CC4-5D6E-409C-BE32-E72D297353CC}">
              <c16:uniqueId val="{00000004-7020-4AC9-8137-0FAA75089D4A}"/>
            </c:ext>
          </c:extLst>
        </c:ser>
        <c:dLbls>
          <c:showLegendKey val="0"/>
          <c:showVal val="0"/>
          <c:showCatName val="0"/>
          <c:showSerName val="0"/>
          <c:showPercent val="0"/>
          <c:showBubbleSize val="0"/>
        </c:dLbls>
        <c:smooth val="0"/>
        <c:axId val="46532928"/>
        <c:axId val="46533760"/>
      </c:lineChart>
      <c:catAx>
        <c:axId val="4653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6533760"/>
        <c:crosses val="autoZero"/>
        <c:auto val="1"/>
        <c:lblAlgn val="ctr"/>
        <c:lblOffset val="100"/>
        <c:noMultiLvlLbl val="0"/>
      </c:catAx>
      <c:valAx>
        <c:axId val="4653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653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23174224898781"/>
          <c:y val="6.0556014313239745E-2"/>
          <c:w val="0.44784274153869819"/>
          <c:h val="0.81336783769080889"/>
        </c:manualLayout>
      </c:layout>
      <c:barChart>
        <c:barDir val="bar"/>
        <c:grouping val="clustered"/>
        <c:varyColors val="0"/>
        <c:ser>
          <c:idx val="0"/>
          <c:order val="0"/>
          <c:tx>
            <c:strRef>
              <c:f>Rezervy!$C$4</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Rezervy!$B$5:$B$14</c:f>
              <c:strCache>
                <c:ptCount val="10"/>
                <c:pt idx="0">
                  <c:v>Rezerva na opatrenia súvisiace s rastom cien energií</c:v>
                </c:pt>
                <c:pt idx="1">
                  <c:v>Rezerva na riešenie vplyvov legislatívnych zmien</c:v>
                </c:pt>
                <c:pt idx="2">
                  <c:v>Rezerva na prostriedky EÚ a odvody EÚ</c:v>
                </c:pt>
                <c:pt idx="3">
                  <c:v>Rezerva na vplyvy pandémie a výdavky v zdravotníctve </c:v>
                </c:pt>
                <c:pt idx="4">
                  <c:v>Rezerva na mzdy a poistné</c:v>
                </c:pt>
                <c:pt idx="5">
                  <c:v>Rezerva súvisiaca s vojnovým konfliktom na Ukrajine</c:v>
                </c:pt>
                <c:pt idx="6">
                  <c:v>Rezerva na  krízové situácie  a vyk. povodňových prác</c:v>
                </c:pt>
                <c:pt idx="7">
                  <c:v>Rezerva na realizáciu súdnych a exekučných rozhodnutí </c:v>
                </c:pt>
                <c:pt idx="8">
                  <c:v>Rezerva vlády</c:v>
                </c:pt>
                <c:pt idx="9">
                  <c:v>Rezerva predsedu vlády </c:v>
                </c:pt>
              </c:strCache>
            </c:strRef>
          </c:cat>
          <c:val>
            <c:numRef>
              <c:f>Rezervy!$C$5:$C$14</c:f>
              <c:numCache>
                <c:formatCode>#,##0</c:formatCode>
                <c:ptCount val="10"/>
                <c:pt idx="0">
                  <c:v>940000</c:v>
                </c:pt>
                <c:pt idx="1">
                  <c:v>891010</c:v>
                </c:pt>
                <c:pt idx="2">
                  <c:v>404870</c:v>
                </c:pt>
                <c:pt idx="3">
                  <c:v>400000</c:v>
                </c:pt>
                <c:pt idx="4">
                  <c:v>187662</c:v>
                </c:pt>
                <c:pt idx="5">
                  <c:v>100000</c:v>
                </c:pt>
                <c:pt idx="6">
                  <c:v>21000</c:v>
                </c:pt>
                <c:pt idx="7">
                  <c:v>10000</c:v>
                </c:pt>
                <c:pt idx="8">
                  <c:v>5000</c:v>
                </c:pt>
                <c:pt idx="9">
                  <c:v>1500</c:v>
                </c:pt>
              </c:numCache>
            </c:numRef>
          </c:val>
          <c:extLst>
            <c:ext xmlns:c16="http://schemas.microsoft.com/office/drawing/2014/chart" uri="{C3380CC4-5D6E-409C-BE32-E72D297353CC}">
              <c16:uniqueId val="{00000000-1CB2-41CE-AADA-D20A163E6615}"/>
            </c:ext>
          </c:extLst>
        </c:ser>
        <c:dLbls>
          <c:showLegendKey val="0"/>
          <c:showVal val="0"/>
          <c:showCatName val="0"/>
          <c:showSerName val="0"/>
          <c:showPercent val="0"/>
          <c:showBubbleSize val="0"/>
        </c:dLbls>
        <c:gapWidth val="100"/>
        <c:axId val="1589439967"/>
        <c:axId val="1589443295"/>
      </c:barChart>
      <c:catAx>
        <c:axId val="15894399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89443295"/>
        <c:crosses val="autoZero"/>
        <c:auto val="1"/>
        <c:lblAlgn val="ctr"/>
        <c:lblOffset val="100"/>
        <c:noMultiLvlLbl val="0"/>
      </c:catAx>
      <c:valAx>
        <c:axId val="158944329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894399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 9'!$C$4</c:f>
              <c:strCache>
                <c:ptCount val="1"/>
                <c:pt idx="0">
                  <c:v>SVP</c:v>
                </c:pt>
              </c:strCache>
            </c:strRef>
          </c:tx>
          <c:spPr>
            <a:solidFill>
              <a:schemeClr val="bg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E78-418E-8106-B68B80350C4D}"/>
                </c:ext>
              </c:extLst>
            </c:dLbl>
            <c:dLbl>
              <c:idx val="1"/>
              <c:delete val="1"/>
              <c:extLst>
                <c:ext xmlns:c15="http://schemas.microsoft.com/office/drawing/2012/chart" uri="{CE6537A1-D6FC-4f65-9D91-7224C49458BB}"/>
                <c:ext xmlns:c16="http://schemas.microsoft.com/office/drawing/2014/chart" uri="{C3380CC4-5D6E-409C-BE32-E72D297353CC}">
                  <c16:uniqueId val="{00000001-5E78-418E-8106-B68B80350C4D}"/>
                </c:ext>
              </c:extLst>
            </c:dLbl>
            <c:dLbl>
              <c:idx val="2"/>
              <c:spPr>
                <a:noFill/>
                <a:ln>
                  <a:noFill/>
                </a:ln>
                <a:effectLst/>
              </c:spPr>
              <c:txPr>
                <a:bodyPr rot="0" spcFirstLastPara="1" vertOverflow="ellipsis" horzOverflow="clip" vert="horz" wrap="square" lIns="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5E78-418E-8106-B68B80350C4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9'!$D$3:$F$3</c:f>
              <c:numCache>
                <c:formatCode>General</c:formatCode>
                <c:ptCount val="3"/>
                <c:pt idx="0">
                  <c:v>2021</c:v>
                </c:pt>
                <c:pt idx="1">
                  <c:v>2022</c:v>
                </c:pt>
                <c:pt idx="2">
                  <c:v>2023</c:v>
                </c:pt>
              </c:numCache>
            </c:numRef>
          </c:cat>
          <c:val>
            <c:numRef>
              <c:f>'Graf 9'!$D$4:$F$4</c:f>
              <c:numCache>
                <c:formatCode>_-* #\ ##0_-;\-* #\ ##0_-;_-* "-"??_-;_-@_-</c:formatCode>
                <c:ptCount val="3"/>
                <c:pt idx="0">
                  <c:v>0</c:v>
                </c:pt>
                <c:pt idx="1">
                  <c:v>0</c:v>
                </c:pt>
                <c:pt idx="2">
                  <c:v>3028</c:v>
                </c:pt>
              </c:numCache>
            </c:numRef>
          </c:val>
          <c:extLst>
            <c:ext xmlns:c16="http://schemas.microsoft.com/office/drawing/2014/chart" uri="{C3380CC4-5D6E-409C-BE32-E72D297353CC}">
              <c16:uniqueId val="{00000003-5E78-418E-8106-B68B80350C4D}"/>
            </c:ext>
          </c:extLst>
        </c:ser>
        <c:ser>
          <c:idx val="1"/>
          <c:order val="1"/>
          <c:tx>
            <c:strRef>
              <c:f>'Graf 9'!$C$5</c:f>
              <c:strCache>
                <c:ptCount val="1"/>
                <c:pt idx="0">
                  <c:v>ústredná správa *</c:v>
                </c:pt>
              </c:strCache>
            </c:strRef>
          </c:tx>
          <c:spPr>
            <a:solidFill>
              <a:schemeClr val="tx2"/>
            </a:solidFill>
            <a:ln>
              <a:noFill/>
            </a:ln>
            <a:effectLst/>
          </c:spPr>
          <c:invertIfNegative val="0"/>
          <c:dLbls>
            <c:spPr>
              <a:noFill/>
              <a:ln>
                <a:noFill/>
              </a:ln>
              <a:effectLst/>
            </c:spPr>
            <c:txPr>
              <a:bodyPr rot="0" spcFirstLastPara="1" vertOverflow="ellipsis" horzOverflow="clip" vert="horz" wrap="square" lIns="0" tIns="19050" rIns="38100" bIns="19050" anchor="ctr" anchorCtr="1">
                <a:spAutoFit/>
              </a:bodyPr>
              <a:lstStyle/>
              <a:p>
                <a:pPr>
                  <a:defRPr sz="8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'Graf 9'!$D$3:$F$3</c:f>
              <c:numCache>
                <c:formatCode>General</c:formatCode>
                <c:ptCount val="3"/>
                <c:pt idx="0">
                  <c:v>2021</c:v>
                </c:pt>
                <c:pt idx="1">
                  <c:v>2022</c:v>
                </c:pt>
                <c:pt idx="2">
                  <c:v>2023</c:v>
                </c:pt>
              </c:numCache>
            </c:numRef>
          </c:cat>
          <c:val>
            <c:numRef>
              <c:f>'Graf 9'!$D$5:$F$5</c:f>
              <c:numCache>
                <c:formatCode>_-* #\ ##0_-;\-* #\ ##0_-;_-* "-"??_-;_-@_-</c:formatCode>
                <c:ptCount val="3"/>
                <c:pt idx="0">
                  <c:v>-761</c:v>
                </c:pt>
                <c:pt idx="1">
                  <c:v>2449</c:v>
                </c:pt>
                <c:pt idx="2">
                  <c:v>2493</c:v>
                </c:pt>
              </c:numCache>
            </c:numRef>
          </c:val>
          <c:extLst>
            <c:ext xmlns:c16="http://schemas.microsoft.com/office/drawing/2014/chart" uri="{C3380CC4-5D6E-409C-BE32-E72D297353CC}">
              <c16:uniqueId val="{00000004-5E78-418E-8106-B68B80350C4D}"/>
            </c:ext>
          </c:extLst>
        </c:ser>
        <c:dLbls>
          <c:showLegendKey val="0"/>
          <c:showVal val="0"/>
          <c:showCatName val="0"/>
          <c:showSerName val="0"/>
          <c:showPercent val="0"/>
          <c:showBubbleSize val="0"/>
        </c:dLbls>
        <c:gapWidth val="400"/>
        <c:overlap val="100"/>
        <c:axId val="1900353872"/>
        <c:axId val="1900363856"/>
      </c:barChart>
      <c:barChart>
        <c:barDir val="col"/>
        <c:grouping val="clustered"/>
        <c:varyColors val="0"/>
        <c:ser>
          <c:idx val="2"/>
          <c:order val="2"/>
          <c:tx>
            <c:strRef>
              <c:f>'Graf 9'!$C$6</c:f>
              <c:strCache>
                <c:ptCount val="1"/>
                <c:pt idx="0">
                  <c:v>územná samospráva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9'!$D$3:$F$3</c:f>
              <c:numCache>
                <c:formatCode>General</c:formatCode>
                <c:ptCount val="3"/>
                <c:pt idx="0">
                  <c:v>2021</c:v>
                </c:pt>
                <c:pt idx="1">
                  <c:v>2022</c:v>
                </c:pt>
                <c:pt idx="2">
                  <c:v>2023</c:v>
                </c:pt>
              </c:numCache>
            </c:numRef>
          </c:cat>
          <c:val>
            <c:numRef>
              <c:f>'Graf 9'!$D$6:$F$6</c:f>
              <c:numCache>
                <c:formatCode>_-* #\ ##0_-;\-* #\ ##0_-;_-* "-"??_-;_-@_-</c:formatCode>
                <c:ptCount val="3"/>
                <c:pt idx="0">
                  <c:v>914</c:v>
                </c:pt>
                <c:pt idx="1">
                  <c:v>-494</c:v>
                </c:pt>
                <c:pt idx="2">
                  <c:v>4756</c:v>
                </c:pt>
              </c:numCache>
            </c:numRef>
          </c:val>
          <c:extLst>
            <c:ext xmlns:c16="http://schemas.microsoft.com/office/drawing/2014/chart" uri="{C3380CC4-5D6E-409C-BE32-E72D297353CC}">
              <c16:uniqueId val="{00000005-5E78-418E-8106-B68B80350C4D}"/>
            </c:ext>
          </c:extLst>
        </c:ser>
        <c:ser>
          <c:idx val="3"/>
          <c:order val="3"/>
          <c:tx>
            <c:strRef>
              <c:f>'Graf 9'!$C$7</c:f>
              <c:strCache>
                <c:ptCount val="1"/>
                <c:pt idx="0">
                  <c:v>fondy soc. a zdrav. poistenia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9'!$D$3:$F$3</c:f>
              <c:numCache>
                <c:formatCode>General</c:formatCode>
                <c:ptCount val="3"/>
                <c:pt idx="0">
                  <c:v>2021</c:v>
                </c:pt>
                <c:pt idx="1">
                  <c:v>2022</c:v>
                </c:pt>
                <c:pt idx="2">
                  <c:v>2023</c:v>
                </c:pt>
              </c:numCache>
            </c:numRef>
          </c:cat>
          <c:val>
            <c:numRef>
              <c:f>'Graf 9'!$D$7:$F$7</c:f>
              <c:numCache>
                <c:formatCode>_-* #\ ##0_-;\-* #\ ##0_-;_-* "-"??_-;_-@_-</c:formatCode>
                <c:ptCount val="3"/>
                <c:pt idx="0">
                  <c:v>-43</c:v>
                </c:pt>
                <c:pt idx="1">
                  <c:v>-48</c:v>
                </c:pt>
                <c:pt idx="2">
                  <c:v>100</c:v>
                </c:pt>
              </c:numCache>
            </c:numRef>
          </c:val>
          <c:extLst>
            <c:ext xmlns:c16="http://schemas.microsoft.com/office/drawing/2014/chart" uri="{C3380CC4-5D6E-409C-BE32-E72D297353CC}">
              <c16:uniqueId val="{00000006-5E78-418E-8106-B68B80350C4D}"/>
            </c:ext>
          </c:extLst>
        </c:ser>
        <c:dLbls>
          <c:showLegendKey val="0"/>
          <c:showVal val="0"/>
          <c:showCatName val="0"/>
          <c:showSerName val="0"/>
          <c:showPercent val="0"/>
          <c:showBubbleSize val="0"/>
        </c:dLbls>
        <c:gapWidth val="200"/>
        <c:overlap val="-100"/>
        <c:axId val="1779947136"/>
        <c:axId val="1779942976"/>
      </c:barChart>
      <c:catAx>
        <c:axId val="1900353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00363856"/>
        <c:crosses val="autoZero"/>
        <c:auto val="1"/>
        <c:lblAlgn val="ctr"/>
        <c:lblOffset val="100"/>
        <c:noMultiLvlLbl val="0"/>
      </c:catAx>
      <c:valAx>
        <c:axId val="1900363856"/>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00353872"/>
        <c:crosses val="autoZero"/>
        <c:crossBetween val="between"/>
      </c:valAx>
      <c:valAx>
        <c:axId val="1779942976"/>
        <c:scaling>
          <c:orientation val="minMax"/>
          <c:min val="-2000"/>
        </c:scaling>
        <c:delete val="1"/>
        <c:axPos val="r"/>
        <c:numFmt formatCode="_-* #\ ##0_-;\-* #\ ##0_-;_-* &quot;-&quot;??_-;_-@_-" sourceLinked="1"/>
        <c:majorTickMark val="out"/>
        <c:minorTickMark val="none"/>
        <c:tickLblPos val="nextTo"/>
        <c:crossAx val="1779947136"/>
        <c:crosses val="max"/>
        <c:crossBetween val="between"/>
      </c:valAx>
      <c:catAx>
        <c:axId val="1779947136"/>
        <c:scaling>
          <c:orientation val="minMax"/>
        </c:scaling>
        <c:delete val="1"/>
        <c:axPos val="b"/>
        <c:numFmt formatCode="General" sourceLinked="1"/>
        <c:majorTickMark val="out"/>
        <c:minorTickMark val="none"/>
        <c:tickLblPos val="nextTo"/>
        <c:crossAx val="1779942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6">
  <a:schemeClr val="accent3"/>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0.07004</cdr:x>
      <cdr:y>0.00407</cdr:y>
    </cdr:from>
    <cdr:to>
      <cdr:x>0.57211</cdr:x>
      <cdr:y>0.09455</cdr:y>
    </cdr:to>
    <cdr:sp macro="" textlink="">
      <cdr:nvSpPr>
        <cdr:cNvPr id="2" name="BlokTextu 5"/>
        <cdr:cNvSpPr txBox="1"/>
      </cdr:nvSpPr>
      <cdr:spPr>
        <a:xfrm xmlns:a="http://schemas.openxmlformats.org/drawingml/2006/main">
          <a:off x="201685" y="9525"/>
          <a:ext cx="1445845" cy="21172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sk-SK" sz="700">
              <a:latin typeface="Segoe UI" panose="020B0502040204020203" pitchFamily="34" charset="0"/>
              <a:cs typeface="Segoe UI" panose="020B0502040204020203" pitchFamily="34" charset="0"/>
            </a:rPr>
            <a:t>Vládny</a:t>
          </a:r>
          <a:r>
            <a:rPr lang="sk-SK" sz="700" baseline="0">
              <a:latin typeface="Segoe UI" panose="020B0502040204020203" pitchFamily="34" charset="0"/>
              <a:cs typeface="Segoe UI" panose="020B0502040204020203" pitchFamily="34" charset="0"/>
            </a:rPr>
            <a:t> návrh a ú</a:t>
          </a:r>
          <a:r>
            <a:rPr lang="sk-SK" sz="700">
              <a:latin typeface="Segoe UI" panose="020B0502040204020203" pitchFamily="34" charset="0"/>
              <a:cs typeface="Segoe UI" panose="020B0502040204020203" pitchFamily="34" charset="0"/>
            </a:rPr>
            <a:t>činnosť zákona</a:t>
          </a:r>
        </a:p>
      </cdr:txBody>
    </cdr:sp>
  </cdr:relSizeAnchor>
</c:userShapes>
</file>

<file path=word/drawings/drawing2.xml><?xml version="1.0" encoding="utf-8"?>
<c:userShapes xmlns:c="http://schemas.openxmlformats.org/drawingml/2006/chart">
  <cdr:relSizeAnchor xmlns:cdr="http://schemas.openxmlformats.org/drawingml/2006/chartDrawing">
    <cdr:from>
      <cdr:x>0.11524</cdr:x>
      <cdr:y>0.00407</cdr:y>
    </cdr:from>
    <cdr:to>
      <cdr:x>0.61732</cdr:x>
      <cdr:y>0.09455</cdr:y>
    </cdr:to>
    <cdr:sp macro="" textlink="">
      <cdr:nvSpPr>
        <cdr:cNvPr id="2" name="BlokTextu 5"/>
        <cdr:cNvSpPr txBox="1"/>
      </cdr:nvSpPr>
      <cdr:spPr>
        <a:xfrm xmlns:a="http://schemas.openxmlformats.org/drawingml/2006/main">
          <a:off x="331860" y="9525"/>
          <a:ext cx="1445845" cy="21172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sk-SK" sz="700">
              <a:latin typeface="Segoe UI" panose="020B0502040204020203" pitchFamily="34" charset="0"/>
              <a:cs typeface="Segoe UI" panose="020B0502040204020203" pitchFamily="34" charset="0"/>
            </a:rPr>
            <a:t>Vládny</a:t>
          </a:r>
          <a:r>
            <a:rPr lang="sk-SK" sz="700" baseline="0">
              <a:latin typeface="Segoe UI" panose="020B0502040204020203" pitchFamily="34" charset="0"/>
              <a:cs typeface="Segoe UI" panose="020B0502040204020203" pitchFamily="34" charset="0"/>
            </a:rPr>
            <a:t> návrh a ú</a:t>
          </a:r>
          <a:r>
            <a:rPr lang="sk-SK" sz="700">
              <a:latin typeface="Segoe UI" panose="020B0502040204020203" pitchFamily="34" charset="0"/>
              <a:cs typeface="Segoe UI" panose="020B0502040204020203" pitchFamily="34" charset="0"/>
            </a:rPr>
            <a:t>činnosť zákona</a:t>
          </a:r>
        </a:p>
      </cdr:txBody>
    </cdr:sp>
  </cdr:relSizeAnchor>
</c:userShapes>
</file>

<file path=word/drawings/drawing3.xml><?xml version="1.0" encoding="utf-8"?>
<c:userShapes xmlns:c="http://schemas.openxmlformats.org/drawingml/2006/chart">
  <cdr:relSizeAnchor xmlns:cdr="http://schemas.openxmlformats.org/drawingml/2006/chartDrawing">
    <cdr:from>
      <cdr:x>0.24061</cdr:x>
      <cdr:y>0.05132</cdr:y>
    </cdr:from>
    <cdr:to>
      <cdr:x>0.53584</cdr:x>
      <cdr:y>0.13609</cdr:y>
    </cdr:to>
    <cdr:sp macro="" textlink="">
      <cdr:nvSpPr>
        <cdr:cNvPr id="2" name="BlokTextu 5"/>
        <cdr:cNvSpPr txBox="1"/>
      </cdr:nvSpPr>
      <cdr:spPr>
        <a:xfrm xmlns:a="http://schemas.openxmlformats.org/drawingml/2006/main">
          <a:off x="1325277" y="138524"/>
          <a:ext cx="1626151" cy="22884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sk-SK" sz="800">
              <a:solidFill>
                <a:schemeClr val="tx2"/>
              </a:solidFill>
              <a:latin typeface="Segoe UI" panose="020B0502040204020203" pitchFamily="34" charset="0"/>
              <a:cs typeface="Segoe UI" panose="020B0502040204020203" pitchFamily="34" charset="0"/>
            </a:rPr>
            <a:t>Vládny</a:t>
          </a:r>
          <a:r>
            <a:rPr lang="sk-SK" sz="800" baseline="0">
              <a:solidFill>
                <a:schemeClr val="tx2"/>
              </a:solidFill>
              <a:latin typeface="Segoe UI" panose="020B0502040204020203" pitchFamily="34" charset="0"/>
              <a:cs typeface="Segoe UI" panose="020B0502040204020203" pitchFamily="34" charset="0"/>
            </a:rPr>
            <a:t> návrh a ú</a:t>
          </a:r>
          <a:r>
            <a:rPr lang="sk-SK" sz="800">
              <a:solidFill>
                <a:schemeClr val="tx2"/>
              </a:solidFill>
              <a:latin typeface="Segoe UI" panose="020B0502040204020203" pitchFamily="34" charset="0"/>
              <a:cs typeface="Segoe UI" panose="020B0502040204020203" pitchFamily="34" charset="0"/>
            </a:rPr>
            <a:t>činnosť zákona</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FA9320A03148E98EF733F7A917AECF"/>
        <w:category>
          <w:name w:val="Všeobecné"/>
          <w:gallery w:val="placeholder"/>
        </w:category>
        <w:types>
          <w:type w:val="bbPlcHdr"/>
        </w:types>
        <w:behaviors>
          <w:behavior w:val="content"/>
        </w:behaviors>
        <w:guid w:val="{EAF649BF-7601-4D14-95D7-FEA20E0734E3}"/>
      </w:docPartPr>
      <w:docPartBody>
        <w:p w:rsidR="00F869BD" w:rsidRDefault="000B5EA4">
          <w:pPr>
            <w:pStyle w:val="4CFA9320A03148E98EF733F7A917AECF"/>
          </w:pPr>
          <w:r w:rsidRPr="00F539EB">
            <w:t>Názov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Montserrat">
    <w:altName w:val="Montserrat"/>
    <w:panose1 w:val="00000500000000000000"/>
    <w:charset w:val="EE"/>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A4"/>
    <w:rsid w:val="00014F0E"/>
    <w:rsid w:val="000155BB"/>
    <w:rsid w:val="00025698"/>
    <w:rsid w:val="00051058"/>
    <w:rsid w:val="00060F0A"/>
    <w:rsid w:val="000757F3"/>
    <w:rsid w:val="000779F4"/>
    <w:rsid w:val="00090411"/>
    <w:rsid w:val="000B5EA4"/>
    <w:rsid w:val="000D221B"/>
    <w:rsid w:val="000E0014"/>
    <w:rsid w:val="000F2519"/>
    <w:rsid w:val="001068C9"/>
    <w:rsid w:val="001341D1"/>
    <w:rsid w:val="00136AE5"/>
    <w:rsid w:val="001510FC"/>
    <w:rsid w:val="00155E32"/>
    <w:rsid w:val="00161F43"/>
    <w:rsid w:val="001702EC"/>
    <w:rsid w:val="00173F9A"/>
    <w:rsid w:val="00193A3F"/>
    <w:rsid w:val="001B3297"/>
    <w:rsid w:val="001C1755"/>
    <w:rsid w:val="001C3668"/>
    <w:rsid w:val="001D407D"/>
    <w:rsid w:val="001F5892"/>
    <w:rsid w:val="0022539B"/>
    <w:rsid w:val="00236014"/>
    <w:rsid w:val="0024091F"/>
    <w:rsid w:val="002636A4"/>
    <w:rsid w:val="002A281C"/>
    <w:rsid w:val="002A6B14"/>
    <w:rsid w:val="002E2938"/>
    <w:rsid w:val="002F18B5"/>
    <w:rsid w:val="002F3D7E"/>
    <w:rsid w:val="00300EBA"/>
    <w:rsid w:val="0032329F"/>
    <w:rsid w:val="0033071D"/>
    <w:rsid w:val="003602D9"/>
    <w:rsid w:val="003F6E9C"/>
    <w:rsid w:val="00400830"/>
    <w:rsid w:val="00417AA4"/>
    <w:rsid w:val="00463103"/>
    <w:rsid w:val="00491FD7"/>
    <w:rsid w:val="004D3EE4"/>
    <w:rsid w:val="004D5093"/>
    <w:rsid w:val="004E5FC5"/>
    <w:rsid w:val="004F2A25"/>
    <w:rsid w:val="004F6F21"/>
    <w:rsid w:val="00503020"/>
    <w:rsid w:val="0051777D"/>
    <w:rsid w:val="00542D8C"/>
    <w:rsid w:val="00555DF4"/>
    <w:rsid w:val="005609D7"/>
    <w:rsid w:val="005A6CD2"/>
    <w:rsid w:val="00652CEF"/>
    <w:rsid w:val="006826E8"/>
    <w:rsid w:val="006850A5"/>
    <w:rsid w:val="007153BF"/>
    <w:rsid w:val="00717F15"/>
    <w:rsid w:val="0073760A"/>
    <w:rsid w:val="00785750"/>
    <w:rsid w:val="007B09B5"/>
    <w:rsid w:val="007E35BF"/>
    <w:rsid w:val="0082313E"/>
    <w:rsid w:val="00830374"/>
    <w:rsid w:val="00857BE3"/>
    <w:rsid w:val="00875292"/>
    <w:rsid w:val="00881FA3"/>
    <w:rsid w:val="0088295B"/>
    <w:rsid w:val="008A0161"/>
    <w:rsid w:val="008C7E9E"/>
    <w:rsid w:val="008D1D0F"/>
    <w:rsid w:val="008D42CC"/>
    <w:rsid w:val="00914754"/>
    <w:rsid w:val="00915D3A"/>
    <w:rsid w:val="009C4458"/>
    <w:rsid w:val="009F0594"/>
    <w:rsid w:val="009F528B"/>
    <w:rsid w:val="00A31497"/>
    <w:rsid w:val="00A40856"/>
    <w:rsid w:val="00A43229"/>
    <w:rsid w:val="00A43C2B"/>
    <w:rsid w:val="00A55A6C"/>
    <w:rsid w:val="00A65A7E"/>
    <w:rsid w:val="00A71564"/>
    <w:rsid w:val="00A76514"/>
    <w:rsid w:val="00AC7A34"/>
    <w:rsid w:val="00AE1F00"/>
    <w:rsid w:val="00AE27B6"/>
    <w:rsid w:val="00AF1584"/>
    <w:rsid w:val="00B0779A"/>
    <w:rsid w:val="00B648A8"/>
    <w:rsid w:val="00B76CE5"/>
    <w:rsid w:val="00B86EC0"/>
    <w:rsid w:val="00BC5B29"/>
    <w:rsid w:val="00BE72F9"/>
    <w:rsid w:val="00BE7AFB"/>
    <w:rsid w:val="00BF2F86"/>
    <w:rsid w:val="00C060B5"/>
    <w:rsid w:val="00C1534B"/>
    <w:rsid w:val="00C338F7"/>
    <w:rsid w:val="00C60099"/>
    <w:rsid w:val="00C660D1"/>
    <w:rsid w:val="00CB5BC2"/>
    <w:rsid w:val="00CF5732"/>
    <w:rsid w:val="00D53BA6"/>
    <w:rsid w:val="00D638E1"/>
    <w:rsid w:val="00D7076A"/>
    <w:rsid w:val="00D76FEE"/>
    <w:rsid w:val="00D80217"/>
    <w:rsid w:val="00D84196"/>
    <w:rsid w:val="00DA664B"/>
    <w:rsid w:val="00DE236A"/>
    <w:rsid w:val="00E20128"/>
    <w:rsid w:val="00E342E1"/>
    <w:rsid w:val="00E63F4D"/>
    <w:rsid w:val="00EA4551"/>
    <w:rsid w:val="00EC1800"/>
    <w:rsid w:val="00EE2022"/>
    <w:rsid w:val="00F15141"/>
    <w:rsid w:val="00F31202"/>
    <w:rsid w:val="00F351AD"/>
    <w:rsid w:val="00F46DEB"/>
    <w:rsid w:val="00F51A6E"/>
    <w:rsid w:val="00F51F51"/>
    <w:rsid w:val="00F72812"/>
    <w:rsid w:val="00F869BD"/>
    <w:rsid w:val="00FB0CA7"/>
    <w:rsid w:val="00FD040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4CFA9320A03148E98EF733F7A917AECF">
    <w:name w:val="4CFA9320A03148E98EF733F7A917AECF"/>
  </w:style>
  <w:style w:type="paragraph" w:customStyle="1" w:styleId="638D3FBF853047F4884D2C6F99BBF025">
    <w:name w:val="638D3FBF853047F4884D2C6F99BBF025"/>
    <w:rsid w:val="00915D3A"/>
  </w:style>
  <w:style w:type="paragraph" w:customStyle="1" w:styleId="528060612E6C45EFB01AA622802816BB">
    <w:name w:val="528060612E6C45EFB01AA622802816BB"/>
    <w:rsid w:val="00915D3A"/>
  </w:style>
  <w:style w:type="paragraph" w:customStyle="1" w:styleId="6184F4EE737B4A10A86411EE59B693AC">
    <w:name w:val="6184F4EE737B4A10A86411EE59B693AC"/>
    <w:rsid w:val="00915D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AD57A-5EBF-4233-BCAE-C8D7EEAD1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Stanovisko OSA</Template>
  <TotalTime>13</TotalTime>
  <Pages>42</Pages>
  <Words>16080</Words>
  <Characters>91657</Characters>
  <Application>Microsoft Office Word</Application>
  <DocSecurity>0</DocSecurity>
  <Lines>763</Lines>
  <Paragraphs>215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Onisik Milan</dc:creator>
  <cp:keywords/>
  <dc:description/>
  <cp:lastModifiedBy>Onisik Milan</cp:lastModifiedBy>
  <cp:revision>4</cp:revision>
  <cp:lastPrinted>2022-11-16T08:27:00Z</cp:lastPrinted>
  <dcterms:created xsi:type="dcterms:W3CDTF">2022-11-16T08:45:00Z</dcterms:created>
  <dcterms:modified xsi:type="dcterms:W3CDTF">2022-11-16T09:01:00Z</dcterms:modified>
</cp:coreProperties>
</file>