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F0503" w14:textId="77777777" w:rsidR="00314AC8" w:rsidRPr="00DA59C9" w:rsidRDefault="00314AC8" w:rsidP="00314AC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A59C9"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ô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a</w:t>
      </w:r>
    </w:p>
    <w:p w14:paraId="64D02FD6" w14:textId="77777777" w:rsidR="00314AC8" w:rsidRPr="00DA59C9" w:rsidRDefault="00314AC8" w:rsidP="00314AC8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DA59C9">
        <w:rPr>
          <w:rFonts w:ascii="Times New Roman" w:hAnsi="Times New Roman"/>
          <w:b/>
          <w:bCs/>
          <w:sz w:val="24"/>
          <w:szCs w:val="24"/>
        </w:rPr>
        <w:t xml:space="preserve">A. Všeobecná časť </w:t>
      </w:r>
    </w:p>
    <w:p w14:paraId="707608A5" w14:textId="19E12D11" w:rsidR="005A59D8" w:rsidRPr="005A59D8" w:rsidRDefault="005A59D8" w:rsidP="005A59D8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9D8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5A59D8">
        <w:rPr>
          <w:rFonts w:ascii="Times New Roman" w:hAnsi="Times New Roman" w:cs="Times New Roman"/>
          <w:sz w:val="24"/>
          <w:szCs w:val="24"/>
          <w:lang w:eastAsia="sk-SK"/>
        </w:rPr>
        <w:t xml:space="preserve">ktorým sa dopĺňa zákon č. 43/2004 Z. z. o starobnom dôchodkovom sporení a o zmene a doplnení niektorých zákonov v znení neskorších predpisov </w:t>
      </w:r>
      <w:r w:rsidRPr="005A59D8">
        <w:rPr>
          <w:rFonts w:ascii="Times New Roman" w:hAnsi="Times New Roman" w:cs="Times New Roman"/>
          <w:sz w:val="24"/>
          <w:szCs w:val="24"/>
        </w:rPr>
        <w:t>predkladajú na rokovanie Národnej rady Slovenskej republiky poslanci Národnej rady Slovenskej republiky Peter Cmorej, Tomáš Lehotský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59D8">
        <w:rPr>
          <w:rFonts w:ascii="Times New Roman" w:hAnsi="Times New Roman" w:cs="Times New Roman"/>
          <w:sz w:val="24"/>
          <w:szCs w:val="24"/>
        </w:rPr>
        <w:t xml:space="preserve"> Marián Viskupič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369015" w14:textId="169C9CEA" w:rsidR="005A59D8" w:rsidRDefault="005A59D8" w:rsidP="005A59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995A649" w14:textId="77777777" w:rsidR="00A36674" w:rsidRPr="005A59D8" w:rsidRDefault="00A36674" w:rsidP="00A366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9D8">
        <w:rPr>
          <w:rFonts w:ascii="Times New Roman" w:hAnsi="Times New Roman" w:cs="Times New Roman"/>
          <w:sz w:val="24"/>
          <w:szCs w:val="24"/>
        </w:rPr>
        <w:t>Základným predpokladom fungujúceho dôchodkového systému je jeho predvídateľnosť a informovanosť budúcich dôchodcov o ich dôchodkových nárokoch a budúcej predpokladanej miere dôchodkového zabezpečenia vyjadrenej ako očakávaná náhrada príjmu na dôchodku. Poskytnuté informácie musia byť pravdivé, komplexné, pre občana zrozumiteľné, ale zároveň dostatočne robustné.</w:t>
      </w:r>
    </w:p>
    <w:p w14:paraId="7D19428A" w14:textId="77777777" w:rsidR="00A36674" w:rsidRPr="005A59D8" w:rsidRDefault="00A36674" w:rsidP="00A366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9D8">
        <w:rPr>
          <w:rFonts w:ascii="Times New Roman" w:hAnsi="Times New Roman" w:cs="Times New Roman"/>
          <w:sz w:val="24"/>
          <w:szCs w:val="24"/>
        </w:rPr>
        <w:t>Všeobecne uznávaným konceptom, je takzvaná „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A59D8">
        <w:rPr>
          <w:rFonts w:ascii="Times New Roman" w:hAnsi="Times New Roman" w:cs="Times New Roman"/>
          <w:sz w:val="24"/>
          <w:szCs w:val="24"/>
        </w:rPr>
        <w:t>ranžová obálka“, kedy sa informácie zo všetkých súčastí dôchodkového systému zbiehajú na jednom mieste, ktoré informácie sprístupňuje budúcemu dôchodcovi, ideálne každoročne alebo nepretržite na webovom sídle. Vo Švédsku už „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A59D8">
        <w:rPr>
          <w:rFonts w:ascii="Times New Roman" w:hAnsi="Times New Roman" w:cs="Times New Roman"/>
          <w:sz w:val="24"/>
          <w:szCs w:val="24"/>
        </w:rPr>
        <w:t>ranžová obálka“, nazvaná podľa farby obálky, v ktorej je informácia doručovaná, funguje viac ako 20 rokov.</w:t>
      </w:r>
    </w:p>
    <w:p w14:paraId="4D1AAA6F" w14:textId="3B8593E7" w:rsidR="00A36674" w:rsidRPr="00A36674" w:rsidRDefault="00A36674" w:rsidP="00A36674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6674">
        <w:rPr>
          <w:rFonts w:ascii="Times New Roman" w:hAnsi="Times New Roman" w:cs="Times New Roman"/>
          <w:b/>
          <w:bCs/>
          <w:sz w:val="24"/>
          <w:szCs w:val="24"/>
        </w:rPr>
        <w:t>Účelom predloženého návrhu je, aby „oranžové obálky“ mohli vzniknúť v súkromnom sektore. Ak sa sporiteľ rozhodne, že chce, aby údaje o jeho dôchodkovom sporení boli zdieľané s treťou stranou (napr. banka, aplikácia technologického startupu,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a ďalšie</w:t>
      </w:r>
      <w:r w:rsidRPr="00A36674">
        <w:rPr>
          <w:rFonts w:ascii="Times New Roman" w:hAnsi="Times New Roman" w:cs="Times New Roman"/>
          <w:b/>
          <w:bCs/>
          <w:sz w:val="24"/>
          <w:szCs w:val="24"/>
        </w:rPr>
        <w:t>), dôchodcovská správcovská spoločnosť je povinná údaje poskytnúť.</w:t>
      </w:r>
    </w:p>
    <w:p w14:paraId="4F763571" w14:textId="77777777" w:rsidR="00A36674" w:rsidRPr="005A59D8" w:rsidRDefault="00A36674" w:rsidP="00A366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9D8">
        <w:rPr>
          <w:rFonts w:ascii="Times New Roman" w:hAnsi="Times New Roman" w:cs="Times New Roman"/>
          <w:sz w:val="24"/>
          <w:szCs w:val="24"/>
        </w:rPr>
        <w:t xml:space="preserve">Navrhnutá právna úprava umožní, aby v súkromnom sektore vznikali konkurenčné riešenia, ktoré budú súťažiť zrozumiteľnosťou, komplexnosťou a robustnosťou predikcií budúceho dôchodku pre záujemcov o takúto službu. </w:t>
      </w:r>
    </w:p>
    <w:p w14:paraId="04ED1D60" w14:textId="77777777" w:rsidR="00A36674" w:rsidRPr="005A59D8" w:rsidRDefault="00A36674" w:rsidP="00A366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9D8">
        <w:rPr>
          <w:rFonts w:ascii="Times New Roman" w:hAnsi="Times New Roman" w:cs="Times New Roman"/>
          <w:sz w:val="24"/>
          <w:szCs w:val="24"/>
        </w:rPr>
        <w:t xml:space="preserve">Uvedené môže významne pomôcť plánovanej štátnej </w:t>
      </w:r>
      <w:r>
        <w:rPr>
          <w:rFonts w:ascii="Times New Roman" w:hAnsi="Times New Roman" w:cs="Times New Roman"/>
          <w:sz w:val="24"/>
          <w:szCs w:val="24"/>
        </w:rPr>
        <w:t>„o</w:t>
      </w:r>
      <w:r w:rsidRPr="005A59D8">
        <w:rPr>
          <w:rFonts w:ascii="Times New Roman" w:hAnsi="Times New Roman" w:cs="Times New Roman"/>
          <w:sz w:val="24"/>
          <w:szCs w:val="24"/>
        </w:rPr>
        <w:t>ranžovej obálke“, najmä v spôsobe prezentovania zrozumiteľných predikcií budúceho očakávaného dôchodku, ktoré bude vylepšované v súťaži rôznych poskytovateľov. Taktiež je možné, že štát v konečnom dôsledku ušetrí nemalé finančné prostriedky na vývoj vlastného riešenia, ak by „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A59D8">
        <w:rPr>
          <w:rFonts w:ascii="Times New Roman" w:hAnsi="Times New Roman" w:cs="Times New Roman"/>
          <w:sz w:val="24"/>
          <w:szCs w:val="24"/>
        </w:rPr>
        <w:t>ranžovú obálku“ poskytoval vysúťažený súkromný dodávateľ.</w:t>
      </w:r>
    </w:p>
    <w:p w14:paraId="178C9FE1" w14:textId="77777777" w:rsidR="00A36674" w:rsidRPr="005A59D8" w:rsidRDefault="00A36674" w:rsidP="00A366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9D8">
        <w:rPr>
          <w:rFonts w:ascii="Times New Roman" w:hAnsi="Times New Roman" w:cs="Times New Roman"/>
          <w:sz w:val="24"/>
          <w:szCs w:val="24"/>
        </w:rPr>
        <w:t>Pri poskytovaní „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A59D8">
        <w:rPr>
          <w:rFonts w:ascii="Times New Roman" w:hAnsi="Times New Roman" w:cs="Times New Roman"/>
          <w:sz w:val="24"/>
          <w:szCs w:val="24"/>
        </w:rPr>
        <w:t>ranžovej obálky“ súkromným sektorom odpadá riziko konfliktu záujmov, ktorý má Sociálna poisťovňa, ako poskytovať „štátneho“ dôchodku a zároveň poskytovateľ súhrnných informácií o očakávanom vývoji dôchodku z jednotlivých pilierov.</w:t>
      </w:r>
    </w:p>
    <w:p w14:paraId="3AB6C70A" w14:textId="77777777" w:rsidR="00254FBC" w:rsidRPr="005A59D8" w:rsidRDefault="00254FBC" w:rsidP="00981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9D8">
        <w:rPr>
          <w:rFonts w:ascii="Times New Roman" w:hAnsi="Times New Roman" w:cs="Times New Roman"/>
          <w:sz w:val="24"/>
          <w:szCs w:val="24"/>
        </w:rPr>
        <w:t>Predkladaný návrh zákona je v súlade s Ústavou Slovenskej republiky, ústavnými zákonmi, zákonmi a všeobecne záväznými právnymi predpismi, medzinárodnými zmluvami a inými medzinárodnými dokumentmi, ktorými je Slovenská republika viazaná, ako aj s právom Európskej únie.</w:t>
      </w:r>
    </w:p>
    <w:p w14:paraId="10FE8D19" w14:textId="77777777" w:rsidR="00254FBC" w:rsidRPr="005A59D8" w:rsidRDefault="00254FBC" w:rsidP="00981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77AFFB" w14:textId="5B6C9BA8" w:rsidR="00254FBC" w:rsidRPr="005A59D8" w:rsidRDefault="00254FBC" w:rsidP="00981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9D8">
        <w:rPr>
          <w:rFonts w:ascii="Times New Roman" w:hAnsi="Times New Roman" w:cs="Times New Roman"/>
          <w:bCs/>
          <w:sz w:val="24"/>
          <w:szCs w:val="24"/>
        </w:rPr>
        <w:t xml:space="preserve">Návrh zákona nebude mať negatívny vplyv na štátny rozpočet ani negatívny vplyv na rozpočet verejnej správy a na rozpočty samosprávnych krajov a obcí. </w:t>
      </w:r>
      <w:r w:rsidRPr="005A59D8">
        <w:rPr>
          <w:rFonts w:ascii="Times New Roman" w:hAnsi="Times New Roman" w:cs="Times New Roman"/>
          <w:sz w:val="24"/>
          <w:szCs w:val="24"/>
        </w:rPr>
        <w:t>Návrh zákona nemá vplyv na podnikateľské prostredie, na manželstvo, rodičovstvo a rodinu, na životné prostredie, na služby verejnej správy pre občana, nemá sociálne vplyvy ani vplyv na informatizáciu spoločnosti</w:t>
      </w:r>
      <w:r w:rsidR="00324AAB">
        <w:rPr>
          <w:rFonts w:ascii="Times New Roman" w:hAnsi="Times New Roman" w:cs="Times New Roman"/>
          <w:sz w:val="24"/>
          <w:szCs w:val="24"/>
        </w:rPr>
        <w:t>.</w:t>
      </w:r>
    </w:p>
    <w:p w14:paraId="5AA6F6FD" w14:textId="77777777" w:rsidR="00254FBC" w:rsidRPr="005A59D8" w:rsidRDefault="00254FBC" w:rsidP="008970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5E3AB3" w14:textId="77777777" w:rsidR="00315A22" w:rsidRPr="005A59D8" w:rsidRDefault="00315A22" w:rsidP="00315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A59D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B. Osobitná časť</w:t>
      </w:r>
    </w:p>
    <w:p w14:paraId="03FEC95C" w14:textId="77777777" w:rsidR="00315A22" w:rsidRPr="005A59D8" w:rsidRDefault="00315A22" w:rsidP="001B10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07F8A37" w14:textId="77777777" w:rsidR="001B1047" w:rsidRPr="005A59D8" w:rsidRDefault="001B1047" w:rsidP="001B104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59D8">
        <w:rPr>
          <w:rFonts w:ascii="Times New Roman" w:hAnsi="Times New Roman" w:cs="Times New Roman"/>
          <w:b/>
          <w:bCs/>
          <w:sz w:val="24"/>
          <w:szCs w:val="24"/>
        </w:rPr>
        <w:t>K čl. I</w:t>
      </w:r>
    </w:p>
    <w:p w14:paraId="17E637E0" w14:textId="77777777" w:rsidR="001B1047" w:rsidRPr="005A59D8" w:rsidRDefault="001B1047" w:rsidP="001B10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59D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0247E3A" w14:textId="77777777" w:rsidR="005A59D8" w:rsidRPr="005A59D8" w:rsidRDefault="005A59D8" w:rsidP="005A59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9D8">
        <w:rPr>
          <w:rFonts w:ascii="Times New Roman" w:hAnsi="Times New Roman" w:cs="Times New Roman"/>
          <w:b/>
          <w:sz w:val="24"/>
          <w:szCs w:val="24"/>
        </w:rPr>
        <w:t>K čl. I</w:t>
      </w:r>
    </w:p>
    <w:p w14:paraId="230B48F8" w14:textId="77777777" w:rsidR="005A59D8" w:rsidRPr="00BB3CDF" w:rsidRDefault="005A59D8" w:rsidP="005A59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BC8590" w14:textId="62B1DFE1" w:rsidR="00BB3CDF" w:rsidRPr="00BB3CDF" w:rsidRDefault="00BB3CDF" w:rsidP="005A59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3CDF">
        <w:rPr>
          <w:rFonts w:ascii="Times New Roman" w:hAnsi="Times New Roman" w:cs="Times New Roman"/>
          <w:sz w:val="24"/>
          <w:szCs w:val="24"/>
        </w:rPr>
        <w:t>Navrhuje sa doplnenie § 110 o nový odsek 6, podľa ktorého v prípadoch, keď sporiteľ udelil súhlas s poskytovaním údajov o starobnom dôchodkovom sporení, ktoré dôchodková správcovská spoločnosť spracúva podľa tohto zákona, v strojovo-spracovateľnom formáte automatizovaným spôsobom prostredníctvom aplikačného programového rozhrania, je dôchodková správcovská spoločnosť povinná poskytovať prístup k údajom sporiteľa autentifikovanej tretej strane. Dôchodková správcovská spoločnosť je povinná komunikovať prostredníctvom aplikačného programového rozhrania bezpečným spôsobom a prijímateľ údajov podľa prvej vety je povinný získané údaje šifrovať ihneď, ako je to možné.</w:t>
      </w:r>
    </w:p>
    <w:p w14:paraId="3CB58007" w14:textId="77777777" w:rsidR="00BB3CDF" w:rsidRPr="00BB3CDF" w:rsidRDefault="00BB3CDF" w:rsidP="00BB3C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3CDF">
        <w:rPr>
          <w:rFonts w:ascii="Times New Roman" w:hAnsi="Times New Roman" w:cs="Times New Roman"/>
          <w:sz w:val="24"/>
          <w:szCs w:val="24"/>
        </w:rPr>
        <w:t>Uvedené môže významne pomôcť plánovanej štátnej „oranžovej obálke“, najmä v spôsobe prezentovania zrozumiteľných predikcií budúceho očakávaného dôchodku, ktoré bude vylepšované v súťaži rôznych poskytovateľov. Taktiež je možné, že štát v konečnom dôsledku ušetrí nemalé finančné prostriedky na vývoj vlastného riešenia, ak by „oranžovú obálku“ poskytoval vysúťažený súkromný dodávateľ.</w:t>
      </w:r>
    </w:p>
    <w:p w14:paraId="3F7A360A" w14:textId="77777777" w:rsidR="005A59D8" w:rsidRPr="005A59D8" w:rsidRDefault="005A59D8" w:rsidP="005A59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9D8">
        <w:rPr>
          <w:rFonts w:ascii="Times New Roman" w:hAnsi="Times New Roman" w:cs="Times New Roman"/>
          <w:b/>
          <w:sz w:val="24"/>
          <w:szCs w:val="24"/>
        </w:rPr>
        <w:t>K čl. II</w:t>
      </w:r>
    </w:p>
    <w:p w14:paraId="4E78033C" w14:textId="77777777" w:rsidR="005A59D8" w:rsidRPr="005A59D8" w:rsidRDefault="005A59D8" w:rsidP="005A59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20FA53" w14:textId="77777777" w:rsidR="005A59D8" w:rsidRPr="005A59D8" w:rsidRDefault="005A59D8" w:rsidP="005A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9D8">
        <w:rPr>
          <w:rFonts w:ascii="Times New Roman" w:hAnsi="Times New Roman" w:cs="Times New Roman"/>
          <w:sz w:val="24"/>
          <w:szCs w:val="24"/>
          <w:shd w:val="clear" w:color="auto" w:fill="FFFFFF"/>
        </w:rPr>
        <w:t>Navrhuje sa účinnosť zákona na 1. júna 2023.</w:t>
      </w:r>
    </w:p>
    <w:p w14:paraId="253020B7" w14:textId="77777777" w:rsidR="005A59D8" w:rsidRPr="00E9795E" w:rsidRDefault="005A59D8" w:rsidP="005A59D8">
      <w:pPr>
        <w:spacing w:after="0" w:line="240" w:lineRule="auto"/>
        <w:ind w:firstLine="708"/>
        <w:jc w:val="both"/>
      </w:pPr>
    </w:p>
    <w:sectPr w:rsidR="005A59D8" w:rsidRPr="00E97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167F"/>
    <w:multiLevelType w:val="hybridMultilevel"/>
    <w:tmpl w:val="589817CC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19242D3"/>
    <w:multiLevelType w:val="hybridMultilevel"/>
    <w:tmpl w:val="3CF4B0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12656"/>
    <w:multiLevelType w:val="hybridMultilevel"/>
    <w:tmpl w:val="752C7C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641511">
    <w:abstractNumId w:val="1"/>
  </w:num>
  <w:num w:numId="2" w16cid:durableId="236483152">
    <w:abstractNumId w:val="2"/>
  </w:num>
  <w:num w:numId="3" w16cid:durableId="156062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4CD"/>
    <w:rsid w:val="00025F95"/>
    <w:rsid w:val="00040201"/>
    <w:rsid w:val="00062DC5"/>
    <w:rsid w:val="000921AA"/>
    <w:rsid w:val="000A4B98"/>
    <w:rsid w:val="000B32AB"/>
    <w:rsid w:val="000E10C7"/>
    <w:rsid w:val="00100FB1"/>
    <w:rsid w:val="001334B5"/>
    <w:rsid w:val="00154B6C"/>
    <w:rsid w:val="001B1047"/>
    <w:rsid w:val="001E4475"/>
    <w:rsid w:val="001F4090"/>
    <w:rsid w:val="00254FBC"/>
    <w:rsid w:val="002D1194"/>
    <w:rsid w:val="002E3B0F"/>
    <w:rsid w:val="002E5CEE"/>
    <w:rsid w:val="002F68B4"/>
    <w:rsid w:val="00304FF9"/>
    <w:rsid w:val="00314AC8"/>
    <w:rsid w:val="00315A22"/>
    <w:rsid w:val="00316439"/>
    <w:rsid w:val="00324AAB"/>
    <w:rsid w:val="003A5D31"/>
    <w:rsid w:val="003D428E"/>
    <w:rsid w:val="003E5593"/>
    <w:rsid w:val="00420F57"/>
    <w:rsid w:val="004675E8"/>
    <w:rsid w:val="00485F9F"/>
    <w:rsid w:val="00490F12"/>
    <w:rsid w:val="004A1926"/>
    <w:rsid w:val="004B1D11"/>
    <w:rsid w:val="004D6262"/>
    <w:rsid w:val="004F61B2"/>
    <w:rsid w:val="004F7DFE"/>
    <w:rsid w:val="00524381"/>
    <w:rsid w:val="00546E27"/>
    <w:rsid w:val="005A295D"/>
    <w:rsid w:val="005A59D8"/>
    <w:rsid w:val="005B6B4F"/>
    <w:rsid w:val="005C520A"/>
    <w:rsid w:val="00634769"/>
    <w:rsid w:val="00651D9F"/>
    <w:rsid w:val="006661F2"/>
    <w:rsid w:val="006F3691"/>
    <w:rsid w:val="00724F3C"/>
    <w:rsid w:val="007674D0"/>
    <w:rsid w:val="007A006F"/>
    <w:rsid w:val="007C5633"/>
    <w:rsid w:val="008679FC"/>
    <w:rsid w:val="00897041"/>
    <w:rsid w:val="008B15C5"/>
    <w:rsid w:val="008B6808"/>
    <w:rsid w:val="008D5EA6"/>
    <w:rsid w:val="008E71A6"/>
    <w:rsid w:val="008F3BAB"/>
    <w:rsid w:val="008F64DB"/>
    <w:rsid w:val="00947B0A"/>
    <w:rsid w:val="00975D7F"/>
    <w:rsid w:val="0098157C"/>
    <w:rsid w:val="009823C6"/>
    <w:rsid w:val="009864CD"/>
    <w:rsid w:val="009C590A"/>
    <w:rsid w:val="009E0E94"/>
    <w:rsid w:val="009E289D"/>
    <w:rsid w:val="00A36674"/>
    <w:rsid w:val="00A407EA"/>
    <w:rsid w:val="00A47281"/>
    <w:rsid w:val="00A678EC"/>
    <w:rsid w:val="00AA25D5"/>
    <w:rsid w:val="00AC4A8D"/>
    <w:rsid w:val="00AC5C84"/>
    <w:rsid w:val="00B463AE"/>
    <w:rsid w:val="00B55894"/>
    <w:rsid w:val="00B560F1"/>
    <w:rsid w:val="00B73F13"/>
    <w:rsid w:val="00B74030"/>
    <w:rsid w:val="00B81731"/>
    <w:rsid w:val="00BB0154"/>
    <w:rsid w:val="00BB3CDF"/>
    <w:rsid w:val="00BB5D5B"/>
    <w:rsid w:val="00BD234C"/>
    <w:rsid w:val="00BF1157"/>
    <w:rsid w:val="00C32D75"/>
    <w:rsid w:val="00C8754E"/>
    <w:rsid w:val="00CA6605"/>
    <w:rsid w:val="00CF33FF"/>
    <w:rsid w:val="00CF35AB"/>
    <w:rsid w:val="00D331C8"/>
    <w:rsid w:val="00DB68A9"/>
    <w:rsid w:val="00DF6577"/>
    <w:rsid w:val="00E14F7D"/>
    <w:rsid w:val="00E20DC5"/>
    <w:rsid w:val="00E34595"/>
    <w:rsid w:val="00EC6819"/>
    <w:rsid w:val="00F31507"/>
    <w:rsid w:val="00F337EE"/>
    <w:rsid w:val="00F429E7"/>
    <w:rsid w:val="00F45324"/>
    <w:rsid w:val="00F45AC0"/>
    <w:rsid w:val="00F476FB"/>
    <w:rsid w:val="00F5609A"/>
    <w:rsid w:val="00F71E98"/>
    <w:rsid w:val="00F9133D"/>
    <w:rsid w:val="00F94A7F"/>
    <w:rsid w:val="00F9533D"/>
    <w:rsid w:val="00FB477D"/>
    <w:rsid w:val="00FC2A11"/>
    <w:rsid w:val="00FC72D9"/>
    <w:rsid w:val="00FE21EF"/>
    <w:rsid w:val="00FE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796D"/>
  <w15:chartTrackingRefBased/>
  <w15:docId w15:val="{2526885E-0D21-43AF-99CA-93E64716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">
    <w:name w:val="h1a"/>
    <w:basedOn w:val="Predvolenpsmoodseku"/>
    <w:rsid w:val="002E5CEE"/>
  </w:style>
  <w:style w:type="paragraph" w:styleId="Textbubliny">
    <w:name w:val="Balloon Text"/>
    <w:basedOn w:val="Normlny"/>
    <w:link w:val="TextbublinyChar"/>
    <w:uiPriority w:val="99"/>
    <w:semiHidden/>
    <w:unhideWhenUsed/>
    <w:rsid w:val="00DB6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68A9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1B104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1B104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F45324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semiHidden/>
    <w:unhideWhenUsed/>
    <w:rsid w:val="00F429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7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839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4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5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7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spravodlivosti SR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MARTAUS Tomáš</dc:creator>
  <cp:keywords/>
  <dc:description/>
  <cp:lastModifiedBy>Andrej Pitonak</cp:lastModifiedBy>
  <cp:revision>10</cp:revision>
  <cp:lastPrinted>2021-11-10T10:11:00Z</cp:lastPrinted>
  <dcterms:created xsi:type="dcterms:W3CDTF">2022-11-10T20:46:00Z</dcterms:created>
  <dcterms:modified xsi:type="dcterms:W3CDTF">2022-11-11T12:51:00Z</dcterms:modified>
</cp:coreProperties>
</file>