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AFEEC" w14:textId="77777777" w:rsidR="00BD7A23" w:rsidRPr="006C25C6" w:rsidRDefault="00BE2399" w:rsidP="00766B03">
      <w:pPr>
        <w:spacing w:line="276" w:lineRule="auto"/>
        <w:jc w:val="center"/>
        <w:rPr>
          <w:rFonts w:asciiTheme="majorBidi" w:hAnsiTheme="majorBidi" w:cstheme="majorBidi"/>
          <w:b/>
          <w:bCs/>
          <w:caps/>
          <w:spacing w:val="30"/>
        </w:rPr>
      </w:pPr>
      <w:r w:rsidRPr="006C25C6">
        <w:rPr>
          <w:rFonts w:asciiTheme="majorBidi" w:hAnsiTheme="majorBidi" w:cstheme="majorBidi"/>
          <w:b/>
          <w:bCs/>
          <w:caps/>
          <w:spacing w:val="30"/>
        </w:rPr>
        <w:t>Dôvodová správa</w:t>
      </w:r>
    </w:p>
    <w:p w14:paraId="74826538" w14:textId="77777777" w:rsidR="00BE2399" w:rsidRPr="006C25C6" w:rsidRDefault="00BE2399" w:rsidP="00766B03">
      <w:pPr>
        <w:spacing w:line="276" w:lineRule="auto"/>
        <w:jc w:val="both"/>
        <w:rPr>
          <w:rFonts w:asciiTheme="majorBidi" w:hAnsiTheme="majorBidi" w:cstheme="majorBidi"/>
        </w:rPr>
      </w:pPr>
    </w:p>
    <w:p w14:paraId="49720C1B" w14:textId="77777777" w:rsidR="00BE2399" w:rsidRPr="006C25C6" w:rsidRDefault="00BE2399" w:rsidP="00766B03">
      <w:pPr>
        <w:spacing w:line="276" w:lineRule="auto"/>
        <w:jc w:val="both"/>
        <w:rPr>
          <w:rFonts w:asciiTheme="majorBidi" w:hAnsiTheme="majorBidi" w:cstheme="majorBidi"/>
          <w:b/>
          <w:bCs/>
        </w:rPr>
      </w:pPr>
      <w:r w:rsidRPr="006C25C6">
        <w:rPr>
          <w:rFonts w:asciiTheme="majorBidi" w:hAnsiTheme="majorBidi" w:cstheme="majorBidi"/>
          <w:b/>
          <w:bCs/>
        </w:rPr>
        <w:t>Všeobecná časť</w:t>
      </w:r>
    </w:p>
    <w:p w14:paraId="37473DE7" w14:textId="77777777" w:rsidR="00BE2399" w:rsidRPr="006C25C6" w:rsidRDefault="00BE2399" w:rsidP="00766B03">
      <w:pPr>
        <w:spacing w:line="276" w:lineRule="auto"/>
        <w:jc w:val="both"/>
        <w:rPr>
          <w:rFonts w:asciiTheme="majorBidi" w:hAnsiTheme="majorBidi" w:cstheme="majorBidi"/>
          <w:color w:val="000000" w:themeColor="text1"/>
        </w:rPr>
      </w:pPr>
    </w:p>
    <w:p w14:paraId="431E9571" w14:textId="77777777" w:rsidR="00145931" w:rsidRPr="006C25C6" w:rsidRDefault="00145931" w:rsidP="00766B03">
      <w:pPr>
        <w:spacing w:line="276" w:lineRule="auto"/>
        <w:ind w:firstLine="708"/>
        <w:jc w:val="both"/>
        <w:rPr>
          <w:rFonts w:asciiTheme="majorBidi" w:hAnsiTheme="majorBidi" w:cstheme="majorBidi"/>
          <w:color w:val="000000" w:themeColor="text1"/>
        </w:rPr>
      </w:pPr>
      <w:r w:rsidRPr="006C25C6">
        <w:rPr>
          <w:rFonts w:asciiTheme="majorBidi" w:hAnsiTheme="majorBidi" w:cstheme="majorBidi"/>
          <w:color w:val="000000" w:themeColor="text1"/>
        </w:rPr>
        <w:t>N</w:t>
      </w:r>
      <w:r w:rsidR="00EF0811" w:rsidRPr="006C25C6">
        <w:rPr>
          <w:rFonts w:asciiTheme="majorBidi" w:hAnsiTheme="majorBidi" w:cstheme="majorBidi"/>
          <w:color w:val="000000" w:themeColor="text1"/>
        </w:rPr>
        <w:t xml:space="preserve">ávrh zákona, ktorým sa mení a dopĺňa zákon č. </w:t>
      </w:r>
      <w:r w:rsidRPr="006C25C6">
        <w:rPr>
          <w:rFonts w:asciiTheme="majorBidi" w:hAnsiTheme="majorBidi" w:cstheme="majorBidi"/>
          <w:color w:val="000000" w:themeColor="text1"/>
        </w:rPr>
        <w:t>461/2003 Z. z. o sociálnom poistení v znení neskorších predpiso</w:t>
      </w:r>
      <w:r w:rsidR="00AF7F00" w:rsidRPr="006C25C6">
        <w:rPr>
          <w:rFonts w:asciiTheme="majorBidi" w:hAnsiTheme="majorBidi" w:cstheme="majorBidi"/>
          <w:color w:val="000000" w:themeColor="text1"/>
        </w:rPr>
        <w:t>v</w:t>
      </w:r>
      <w:r w:rsidR="00EF0811" w:rsidRPr="006C25C6">
        <w:rPr>
          <w:rFonts w:asciiTheme="majorBidi" w:hAnsiTheme="majorBidi" w:cstheme="majorBidi"/>
          <w:color w:val="000000" w:themeColor="text1"/>
        </w:rPr>
        <w:t xml:space="preserve"> </w:t>
      </w:r>
      <w:r w:rsidRPr="006C25C6">
        <w:rPr>
          <w:rFonts w:asciiTheme="majorBidi" w:hAnsiTheme="majorBidi" w:cstheme="majorBidi"/>
          <w:color w:val="000000" w:themeColor="text1"/>
        </w:rPr>
        <w:t xml:space="preserve">sa predkladá ako návrh skupiny poslancov NRSR. </w:t>
      </w:r>
    </w:p>
    <w:p w14:paraId="0757F7AE" w14:textId="77777777" w:rsidR="00145931" w:rsidRPr="006C25C6" w:rsidRDefault="00145931" w:rsidP="00766B03">
      <w:pPr>
        <w:spacing w:line="276" w:lineRule="auto"/>
        <w:ind w:firstLine="708"/>
        <w:jc w:val="both"/>
        <w:rPr>
          <w:rFonts w:asciiTheme="majorBidi" w:hAnsiTheme="majorBidi" w:cstheme="majorBidi"/>
          <w:color w:val="000000" w:themeColor="text1"/>
        </w:rPr>
      </w:pPr>
    </w:p>
    <w:p w14:paraId="54C589B4" w14:textId="77777777" w:rsidR="00710A4E" w:rsidRDefault="00710A4E" w:rsidP="00710A4E">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 xml:space="preserve">Predkladaný návrh zákona reaguje na nevyhnutnosť systémovo „vyzbrojiť“ štát a Sociálnu poisťovňu nástrojom, ktorý umožní automaticky reagovať na mimoriadne zvyšovanie spotrebiteľských cien vo vzťahu k poberateľom dôchodkových dávok. Inflácia (rast spotrebiteľských cien) za 11 rokov v období 2010 – 2020 dosiahla priemerne 1,58% ročne. Zatiaľ čo za rok 2021 vykázal Štatistický úrad SR infláciu na úrovni 3,2%, v júni 2022 ročná inflácia dosiahla 13,2%. </w:t>
      </w:r>
    </w:p>
    <w:p w14:paraId="1FFB03F2" w14:textId="6CE7BDFD" w:rsidR="00ED3BE7" w:rsidRDefault="00551B40" w:rsidP="00ED3BE7">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Zákon síce na základe ustanovení § 82 používa pre každoročnú valorizáciu tzv. dôchodcovskú infláciu, čiže medziročný rast spotrebiteľských cien za domácnosti dôchodcov, avšak vzhľadom na metodiku výpočt</w:t>
      </w:r>
      <w:r w:rsidRPr="00ED3BE7">
        <w:rPr>
          <w:rFonts w:asciiTheme="majorBidi" w:hAnsiTheme="majorBidi" w:cstheme="majorBidi"/>
          <w:color w:val="000000" w:themeColor="text1"/>
        </w:rPr>
        <w:t>u</w:t>
      </w:r>
      <w:r w:rsidR="00BD7A23" w:rsidRPr="00ED3BE7">
        <w:rPr>
          <w:rFonts w:asciiTheme="majorBidi" w:hAnsiTheme="majorBidi" w:cstheme="majorBidi"/>
          <w:color w:val="000000" w:themeColor="text1"/>
        </w:rPr>
        <w:t xml:space="preserve"> „všeobecnej“ a „dôchodcovskej“ inflácie, ako aj vzhľadom na vnútornú štruktúru rastu spotrebiteľských cien v roku 2022 je zrejmé, že obdobne by vyzeral prehľad vývoja rastu spotrebiteľských cien za domácnosti dôchodcov. Napokon, ŠÚ SR už oznámil, že dôchodcovská medziročná inflácia za prvý polrok 2022 dosiahla 11,8%, </w:t>
      </w:r>
      <w:r w:rsidR="00ED3BE7" w:rsidRPr="00ED3BE7">
        <w:rPr>
          <w:rFonts w:asciiTheme="majorBidi" w:hAnsiTheme="majorBidi" w:cstheme="majorBidi"/>
          <w:color w:val="000000" w:themeColor="text1"/>
        </w:rPr>
        <w:t>na čom sa podpísal najmä rast cien potravín a nákladov na bývanie</w:t>
      </w:r>
      <w:r w:rsidR="00ED3BE7">
        <w:rPr>
          <w:rFonts w:asciiTheme="majorBidi" w:hAnsiTheme="majorBidi" w:cstheme="majorBidi"/>
          <w:color w:val="000000" w:themeColor="text1"/>
        </w:rPr>
        <w:t>, ktoré</w:t>
      </w:r>
      <w:r w:rsidR="00ED3BE7" w:rsidRPr="00ED3BE7">
        <w:rPr>
          <w:rFonts w:asciiTheme="majorBidi" w:hAnsiTheme="majorBidi" w:cstheme="majorBidi"/>
        </w:rPr>
        <w:t xml:space="preserve"> boli na medziročnej báze vyššie takmer o 20 %</w:t>
      </w:r>
      <w:r w:rsidR="00ED3BE7">
        <w:rPr>
          <w:rFonts w:asciiTheme="majorBidi" w:hAnsiTheme="majorBidi" w:cstheme="majorBidi"/>
        </w:rPr>
        <w:t xml:space="preserve">, pričom tieto výdavky majú v spotrebiteľskom koši dôchodcovských domácností vyššiu váhu, než v spotrebiteľskom koši bežných domácností. </w:t>
      </w:r>
      <w:r w:rsidR="00ED3BE7" w:rsidRPr="00ED3BE7">
        <w:rPr>
          <w:rFonts w:asciiTheme="majorBidi" w:hAnsiTheme="majorBidi" w:cstheme="majorBidi"/>
          <w:color w:val="000000" w:themeColor="text1"/>
        </w:rPr>
        <w:t xml:space="preserve"> </w:t>
      </w:r>
      <w:r w:rsidR="00ED3BE7">
        <w:rPr>
          <w:rFonts w:asciiTheme="majorBidi" w:hAnsiTheme="majorBidi" w:cstheme="majorBidi"/>
          <w:color w:val="000000" w:themeColor="text1"/>
        </w:rPr>
        <w:t xml:space="preserve">Reakcia vlády SR, ktorú možno jednoznačne nazvať zlyhaním ukázala, že nie je možné sa spoliehať na jednorazové nesystémové a nepredvídateľné opatrenia pri zachraňovaní kúpyschopnosti poberateľov dôchodkov, pretože tie môžu prísť neskoro a nemusia dostatočne kompenzovať masívny pokles reálnych príjmov spôsobených skokovo rastúcou infláciou. </w:t>
      </w:r>
    </w:p>
    <w:p w14:paraId="6CDE6CD9" w14:textId="77777777" w:rsidR="00ED3BE7" w:rsidRDefault="00ED3BE7" w:rsidP="00ED3BE7">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 xml:space="preserve">Predkladaný návrh preto zavádza dve zmeny do určovania výšky dôchodkových dávok. Prvou je predĺženie obdobia, za ktoré sa posudzuje vývoj spotrebiteľských cien v roku predchádzajúcom zvýšeniu dôchodkových dávok. Umožní tak presnejšie zohľadniť infláciu pre riadnu každoročnú valorizáciu dôchodkov. </w:t>
      </w:r>
    </w:p>
    <w:p w14:paraId="7F5597CA" w14:textId="77777777" w:rsidR="00ED3BE7" w:rsidRDefault="00ED3BE7" w:rsidP="00ED3BE7">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 xml:space="preserve">Druhá zmena zavádza mechanizmus mimoriadnej valorizácie pre prípad, že sa inflácia vymkne spod kontroly v priebehu príslušného roka a zvýši sa vysoko nad dlhodobé inflačné ciele ECB a NBS, čím spôsobí prudký pokles reálnych príjmov dôchodcovských domácností. </w:t>
      </w:r>
    </w:p>
    <w:p w14:paraId="3B5D39EE" w14:textId="3F2C713D" w:rsidR="00ED3BE7" w:rsidRDefault="00ED3BE7" w:rsidP="00ED3BE7">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Navrhované zmeny v zákone poskytnú potrebnú mieru istoty poberateľom dôchodkových dávok pokiaľ ide o stabilizáciu ich kúpyschopnosti a zároveň poskytne dostatočnú predvídateľnosť hospodárenia Sociálnej poisťovne v priebehu príslušného roka.</w:t>
      </w:r>
      <w:r w:rsidR="001A2EED">
        <w:rPr>
          <w:rFonts w:asciiTheme="majorBidi" w:hAnsiTheme="majorBidi" w:cstheme="majorBidi"/>
          <w:color w:val="000000" w:themeColor="text1"/>
        </w:rPr>
        <w:t xml:space="preserve"> V</w:t>
      </w:r>
      <w:r>
        <w:rPr>
          <w:rFonts w:asciiTheme="majorBidi" w:hAnsiTheme="majorBidi" w:cstheme="majorBidi"/>
          <w:color w:val="000000" w:themeColor="text1"/>
        </w:rPr>
        <w:t xml:space="preserve">láde umožní vyhnúť sa nesystémovým opatreniam bez rizika, že domácnosti dôchodcov sa vplyvom razantného rastu cien dostanú do sociálnych či až existenčných problémov. </w:t>
      </w:r>
    </w:p>
    <w:p w14:paraId="453DF094" w14:textId="11709524" w:rsidR="001A2EED" w:rsidRPr="001A2EED" w:rsidRDefault="001A2EED" w:rsidP="001A2EED">
      <w:pPr>
        <w:spacing w:line="276" w:lineRule="auto"/>
        <w:jc w:val="both"/>
        <w:rPr>
          <w:rFonts w:asciiTheme="majorBidi" w:hAnsiTheme="majorBidi" w:cstheme="majorBidi"/>
          <w:color w:val="000000" w:themeColor="text1"/>
        </w:rPr>
      </w:pPr>
      <w:r>
        <w:rPr>
          <w:rFonts w:asciiTheme="majorBidi" w:hAnsiTheme="majorBidi" w:cstheme="majorBidi"/>
          <w:color w:val="000000" w:themeColor="text1"/>
        </w:rPr>
        <w:tab/>
      </w:r>
      <w:r w:rsidRPr="001A2EED">
        <w:rPr>
          <w:rFonts w:asciiTheme="majorBidi" w:hAnsiTheme="majorBidi" w:cstheme="majorBidi"/>
          <w:color w:val="000000" w:themeColor="text1"/>
        </w:rPr>
        <w:t>Predkladaný návrh zákona je v súlade s Ústavou Slovenskej republiky, ústavnými</w:t>
      </w:r>
      <w:r>
        <w:rPr>
          <w:rFonts w:asciiTheme="majorBidi" w:hAnsiTheme="majorBidi" w:cstheme="majorBidi"/>
          <w:color w:val="000000" w:themeColor="text1"/>
        </w:rPr>
        <w:t xml:space="preserve"> </w:t>
      </w:r>
      <w:r w:rsidRPr="001A2EED">
        <w:rPr>
          <w:rFonts w:asciiTheme="majorBidi" w:hAnsiTheme="majorBidi" w:cstheme="majorBidi"/>
          <w:color w:val="000000" w:themeColor="text1"/>
        </w:rPr>
        <w:t>zákonmi a ostatnými všeobecne záväznými právnymi predpismi Slovenskej republiky,</w:t>
      </w:r>
      <w:r>
        <w:rPr>
          <w:rFonts w:asciiTheme="majorBidi" w:hAnsiTheme="majorBidi" w:cstheme="majorBidi"/>
          <w:color w:val="000000" w:themeColor="text1"/>
        </w:rPr>
        <w:t xml:space="preserve"> </w:t>
      </w:r>
      <w:r w:rsidRPr="001A2EED">
        <w:rPr>
          <w:rFonts w:asciiTheme="majorBidi" w:hAnsiTheme="majorBidi" w:cstheme="majorBidi"/>
          <w:color w:val="000000" w:themeColor="text1"/>
        </w:rPr>
        <w:t>medzinárodnými zmluvami a inými medzinárodnými dokumentmi, ktorými je Slovenská</w:t>
      </w:r>
      <w:r>
        <w:rPr>
          <w:rFonts w:asciiTheme="majorBidi" w:hAnsiTheme="majorBidi" w:cstheme="majorBidi"/>
          <w:color w:val="000000" w:themeColor="text1"/>
        </w:rPr>
        <w:t xml:space="preserve"> </w:t>
      </w:r>
      <w:r w:rsidRPr="001A2EED">
        <w:rPr>
          <w:rFonts w:asciiTheme="majorBidi" w:hAnsiTheme="majorBidi" w:cstheme="majorBidi"/>
          <w:color w:val="000000" w:themeColor="text1"/>
        </w:rPr>
        <w:t>republika viazaná. Návrh zákona je v súlade s právom Európskej únie.</w:t>
      </w:r>
    </w:p>
    <w:p w14:paraId="24AE3B1F" w14:textId="77777777" w:rsidR="00ED3BE7" w:rsidRPr="006C25C6" w:rsidRDefault="00ED3BE7" w:rsidP="00766B03">
      <w:pPr>
        <w:spacing w:line="276" w:lineRule="auto"/>
        <w:jc w:val="both"/>
        <w:rPr>
          <w:rFonts w:asciiTheme="majorBidi" w:hAnsiTheme="majorBidi" w:cstheme="majorBidi"/>
          <w:b/>
          <w:bCs/>
          <w:color w:val="000000" w:themeColor="text1"/>
        </w:rPr>
      </w:pPr>
    </w:p>
    <w:p w14:paraId="4B1EE230" w14:textId="77777777" w:rsidR="009C28AE" w:rsidRPr="00191F5B" w:rsidRDefault="009C28AE" w:rsidP="009C28AE">
      <w:pPr>
        <w:jc w:val="both"/>
        <w:rPr>
          <w:rFonts w:ascii="Times New Roman" w:hAnsi="Times New Roman" w:cs="Times New Roman"/>
          <w:b/>
        </w:rPr>
      </w:pPr>
      <w:r w:rsidRPr="00191F5B">
        <w:rPr>
          <w:rFonts w:ascii="Times New Roman" w:hAnsi="Times New Roman" w:cs="Times New Roman"/>
          <w:b/>
        </w:rPr>
        <w:lastRenderedPageBreak/>
        <w:t>B</w:t>
      </w:r>
      <w:r>
        <w:rPr>
          <w:rFonts w:ascii="Times New Roman" w:hAnsi="Times New Roman" w:cs="Times New Roman"/>
          <w:b/>
        </w:rPr>
        <w:t>. O</w:t>
      </w:r>
      <w:r w:rsidRPr="00191F5B">
        <w:rPr>
          <w:rFonts w:ascii="Times New Roman" w:hAnsi="Times New Roman" w:cs="Times New Roman"/>
          <w:b/>
        </w:rPr>
        <w:t>sobitná časť</w:t>
      </w:r>
    </w:p>
    <w:p w14:paraId="7AD838AE" w14:textId="77777777" w:rsidR="009C28AE" w:rsidRPr="00191F5B" w:rsidRDefault="009C28AE" w:rsidP="009C28AE">
      <w:pPr>
        <w:jc w:val="both"/>
        <w:rPr>
          <w:rFonts w:ascii="Times New Roman" w:hAnsi="Times New Roman" w:cs="Times New Roman"/>
          <w:b/>
        </w:rPr>
      </w:pPr>
    </w:p>
    <w:p w14:paraId="540364F8" w14:textId="77777777" w:rsidR="009C28AE" w:rsidRPr="00A2237B" w:rsidRDefault="009C28AE" w:rsidP="009C28AE">
      <w:pPr>
        <w:jc w:val="both"/>
        <w:rPr>
          <w:rFonts w:ascii="Times New Roman" w:hAnsi="Times New Roman" w:cs="Times New Roman"/>
          <w:b/>
          <w:u w:val="single"/>
        </w:rPr>
      </w:pPr>
      <w:r w:rsidRPr="00A2237B">
        <w:rPr>
          <w:rFonts w:ascii="Times New Roman" w:hAnsi="Times New Roman" w:cs="Times New Roman"/>
          <w:b/>
          <w:u w:val="single"/>
        </w:rPr>
        <w:t>K čl. I</w:t>
      </w:r>
    </w:p>
    <w:p w14:paraId="21455E61" w14:textId="77777777" w:rsidR="009C28AE" w:rsidRDefault="009C28AE" w:rsidP="009C28AE">
      <w:pPr>
        <w:spacing w:line="276" w:lineRule="auto"/>
        <w:jc w:val="both"/>
        <w:rPr>
          <w:rFonts w:ascii="Times New Roman" w:hAnsi="Times New Roman" w:cs="Times New Roman"/>
          <w:b/>
        </w:rPr>
      </w:pPr>
    </w:p>
    <w:p w14:paraId="7D42725F" w14:textId="77777777" w:rsidR="00794C60" w:rsidRPr="006C25C6" w:rsidRDefault="009C28AE" w:rsidP="009C28AE">
      <w:pPr>
        <w:spacing w:line="276" w:lineRule="auto"/>
        <w:jc w:val="both"/>
        <w:rPr>
          <w:rFonts w:asciiTheme="majorBidi" w:hAnsiTheme="majorBidi" w:cstheme="majorBidi"/>
          <w:color w:val="000000" w:themeColor="text1"/>
        </w:rPr>
      </w:pPr>
      <w:r w:rsidRPr="00A2237B">
        <w:rPr>
          <w:rFonts w:ascii="Times New Roman" w:hAnsi="Times New Roman" w:cs="Times New Roman"/>
          <w:b/>
        </w:rPr>
        <w:t>K bodu 1</w:t>
      </w:r>
    </w:p>
    <w:p w14:paraId="792A9D1F" w14:textId="77777777" w:rsidR="009C28AE" w:rsidRDefault="009C28AE" w:rsidP="009C28AE">
      <w:pPr>
        <w:spacing w:line="276" w:lineRule="auto"/>
        <w:jc w:val="both"/>
        <w:rPr>
          <w:rFonts w:asciiTheme="majorBidi" w:hAnsiTheme="majorBidi" w:cstheme="majorBidi"/>
        </w:rPr>
      </w:pPr>
      <w:r>
        <w:rPr>
          <w:rFonts w:asciiTheme="majorBidi" w:hAnsiTheme="majorBidi" w:cstheme="majorBidi"/>
        </w:rPr>
        <w:t xml:space="preserve">Predĺženie obdobia zohľadneného pre valorizáciu dôchodkových dávok. </w:t>
      </w:r>
    </w:p>
    <w:p w14:paraId="72DA9CC7" w14:textId="77777777" w:rsidR="009C28AE" w:rsidRDefault="009C28AE" w:rsidP="009C28AE">
      <w:pPr>
        <w:spacing w:line="276" w:lineRule="auto"/>
        <w:jc w:val="both"/>
        <w:rPr>
          <w:rFonts w:asciiTheme="majorBidi" w:hAnsiTheme="majorBidi" w:cstheme="majorBidi"/>
        </w:rPr>
      </w:pPr>
    </w:p>
    <w:p w14:paraId="47BD7B7F" w14:textId="77777777" w:rsidR="009C28AE" w:rsidRPr="009C28AE" w:rsidRDefault="009C28AE" w:rsidP="009C28AE">
      <w:pPr>
        <w:spacing w:line="276" w:lineRule="auto"/>
        <w:jc w:val="both"/>
        <w:rPr>
          <w:rFonts w:asciiTheme="majorBidi" w:hAnsiTheme="majorBidi" w:cstheme="majorBidi"/>
          <w:b/>
          <w:bCs/>
        </w:rPr>
      </w:pPr>
      <w:r w:rsidRPr="009C28AE">
        <w:rPr>
          <w:rFonts w:asciiTheme="majorBidi" w:hAnsiTheme="majorBidi" w:cstheme="majorBidi"/>
          <w:b/>
          <w:bCs/>
        </w:rPr>
        <w:t xml:space="preserve">K bodu 2 </w:t>
      </w:r>
    </w:p>
    <w:p w14:paraId="4B37A50E" w14:textId="77777777" w:rsidR="009C28AE" w:rsidRDefault="009C28AE" w:rsidP="00E1418A">
      <w:pPr>
        <w:spacing w:line="276" w:lineRule="auto"/>
        <w:jc w:val="both"/>
        <w:rPr>
          <w:rFonts w:asciiTheme="majorBidi" w:hAnsiTheme="majorBidi" w:cstheme="majorBidi"/>
        </w:rPr>
      </w:pPr>
      <w:r>
        <w:rPr>
          <w:rFonts w:asciiTheme="majorBidi" w:hAnsiTheme="majorBidi" w:cstheme="majorBidi"/>
        </w:rPr>
        <w:t xml:space="preserve">Zavedenie mechanizmu mimoriadnej valorizácie dôchodkov. </w:t>
      </w:r>
      <w:r w:rsidR="00E1418A">
        <w:rPr>
          <w:rFonts w:asciiTheme="majorBidi" w:hAnsiTheme="majorBidi" w:cstheme="majorBidi"/>
        </w:rPr>
        <w:t xml:space="preserve">V prípade, ak sa mechanizmus mimoriadnej valorizácie - pretože tzv. dôchodcovská inflácia za prvý polrok príslušného roka dosiahne aspoň 5 percent - uplatní, na základe navrhovaného ustanovenia ods. 3 riadna valorizácia k 1. januáru nasledujúceho roka zohľadní už priznanú mimoriadnu valorizáciu a to tak, že sa ročná valorizácia dôchodkových dávok upravených k 1. júlu vypočíta o percento tzv. dôchodcovskej inflácie za 3. štvrťrok roka, v ktorom sa mimoriadna valorizácia uskutočnila. Záujmom zákonodarcu je zabezpečiť spravodlivú valorizáciu vo vzťahu k úprave ods. 1 a zabrániť nespravodlivej „opakovanej“ valorizácii podľa inflácie, ktorá už raz (pri mimoriadnej valorizácii) zohľadnená bola. </w:t>
      </w:r>
    </w:p>
    <w:p w14:paraId="30C3F5D6" w14:textId="77777777" w:rsidR="009C28AE" w:rsidRDefault="009C28AE" w:rsidP="009C28AE">
      <w:pPr>
        <w:spacing w:line="276" w:lineRule="auto"/>
        <w:jc w:val="both"/>
        <w:rPr>
          <w:rFonts w:asciiTheme="majorBidi" w:hAnsiTheme="majorBidi" w:cstheme="majorBidi"/>
        </w:rPr>
      </w:pPr>
    </w:p>
    <w:p w14:paraId="68BACDDC" w14:textId="77777777" w:rsidR="009C28AE" w:rsidRPr="009C28AE" w:rsidRDefault="009C28AE" w:rsidP="009C28AE">
      <w:pPr>
        <w:spacing w:line="276" w:lineRule="auto"/>
        <w:jc w:val="both"/>
        <w:rPr>
          <w:rFonts w:asciiTheme="majorBidi" w:hAnsiTheme="majorBidi" w:cstheme="majorBidi"/>
          <w:b/>
          <w:bCs/>
        </w:rPr>
      </w:pPr>
      <w:r w:rsidRPr="009C28AE">
        <w:rPr>
          <w:rFonts w:asciiTheme="majorBidi" w:hAnsiTheme="majorBidi" w:cstheme="majorBidi"/>
          <w:b/>
          <w:bCs/>
        </w:rPr>
        <w:t xml:space="preserve">K bodu </w:t>
      </w:r>
      <w:r>
        <w:rPr>
          <w:rFonts w:asciiTheme="majorBidi" w:hAnsiTheme="majorBidi" w:cstheme="majorBidi"/>
          <w:b/>
          <w:bCs/>
        </w:rPr>
        <w:t>3</w:t>
      </w:r>
      <w:r w:rsidRPr="009C28AE">
        <w:rPr>
          <w:rFonts w:asciiTheme="majorBidi" w:hAnsiTheme="majorBidi" w:cstheme="majorBidi"/>
          <w:b/>
          <w:bCs/>
        </w:rPr>
        <w:t xml:space="preserve"> </w:t>
      </w:r>
    </w:p>
    <w:p w14:paraId="617856D3" w14:textId="77777777" w:rsidR="009C28AE" w:rsidRDefault="009C28AE" w:rsidP="009C28AE">
      <w:pPr>
        <w:spacing w:line="276" w:lineRule="auto"/>
        <w:jc w:val="both"/>
        <w:rPr>
          <w:rFonts w:asciiTheme="majorBidi" w:hAnsiTheme="majorBidi" w:cstheme="majorBidi"/>
        </w:rPr>
      </w:pPr>
      <w:r>
        <w:rPr>
          <w:rFonts w:asciiTheme="majorBidi" w:hAnsiTheme="majorBidi" w:cstheme="majorBidi"/>
        </w:rPr>
        <w:t xml:space="preserve">Legislatívno-technická úprava, aby bolo zrejmé, že zákonodarca si želá úpravu výšky pozostalostných dôchodkových dávok vyplácaných od 1. júla príslušného roka podobne, ako sa upraví výška k nim príslušnej starobnej dôchodkovej dávky. Zabezpečí sa tým aj mimoriadna valorizácia pozostalostných dôchodkov. </w:t>
      </w:r>
    </w:p>
    <w:p w14:paraId="60A7B7B0" w14:textId="77777777" w:rsidR="009C28AE" w:rsidRDefault="009C28AE" w:rsidP="009C28AE">
      <w:pPr>
        <w:spacing w:line="276" w:lineRule="auto"/>
        <w:jc w:val="both"/>
        <w:rPr>
          <w:rFonts w:asciiTheme="majorBidi" w:hAnsiTheme="majorBidi" w:cstheme="majorBidi"/>
        </w:rPr>
      </w:pPr>
    </w:p>
    <w:p w14:paraId="1D3ECF61" w14:textId="77777777" w:rsidR="009C28AE" w:rsidRPr="009C28AE" w:rsidRDefault="009C28AE" w:rsidP="009C28AE">
      <w:pPr>
        <w:spacing w:line="276" w:lineRule="auto"/>
        <w:jc w:val="both"/>
        <w:rPr>
          <w:rFonts w:asciiTheme="majorBidi" w:hAnsiTheme="majorBidi" w:cstheme="majorBidi"/>
          <w:b/>
          <w:bCs/>
        </w:rPr>
      </w:pPr>
      <w:r w:rsidRPr="009C28AE">
        <w:rPr>
          <w:rFonts w:asciiTheme="majorBidi" w:hAnsiTheme="majorBidi" w:cstheme="majorBidi"/>
          <w:b/>
          <w:bCs/>
        </w:rPr>
        <w:t xml:space="preserve">K bodu </w:t>
      </w:r>
      <w:r>
        <w:rPr>
          <w:rFonts w:asciiTheme="majorBidi" w:hAnsiTheme="majorBidi" w:cstheme="majorBidi"/>
          <w:b/>
          <w:bCs/>
        </w:rPr>
        <w:t>4</w:t>
      </w:r>
    </w:p>
    <w:p w14:paraId="0DA67A0F" w14:textId="77777777" w:rsidR="009C28AE" w:rsidRDefault="009C28AE" w:rsidP="009C28AE">
      <w:pPr>
        <w:spacing w:line="276" w:lineRule="auto"/>
        <w:jc w:val="both"/>
        <w:rPr>
          <w:rFonts w:asciiTheme="majorBidi" w:hAnsiTheme="majorBidi" w:cstheme="majorBidi"/>
        </w:rPr>
      </w:pPr>
      <w:r>
        <w:rPr>
          <w:rFonts w:asciiTheme="majorBidi" w:hAnsiTheme="majorBidi" w:cstheme="majorBidi"/>
        </w:rPr>
        <w:t>Legislatívno-technická úprava.</w:t>
      </w:r>
    </w:p>
    <w:p w14:paraId="46A53F4E" w14:textId="77777777" w:rsidR="009C28AE" w:rsidRDefault="009C28AE" w:rsidP="009C28AE">
      <w:pPr>
        <w:spacing w:line="276" w:lineRule="auto"/>
        <w:jc w:val="both"/>
        <w:rPr>
          <w:rFonts w:asciiTheme="majorBidi" w:hAnsiTheme="majorBidi" w:cstheme="majorBidi"/>
        </w:rPr>
      </w:pPr>
    </w:p>
    <w:p w14:paraId="4C7A7378" w14:textId="77777777" w:rsidR="009C28AE" w:rsidRPr="009C28AE" w:rsidRDefault="009C28AE" w:rsidP="009C28AE">
      <w:pPr>
        <w:spacing w:line="276" w:lineRule="auto"/>
        <w:jc w:val="both"/>
        <w:rPr>
          <w:rFonts w:asciiTheme="majorBidi" w:hAnsiTheme="majorBidi" w:cstheme="majorBidi"/>
          <w:b/>
          <w:bCs/>
        </w:rPr>
      </w:pPr>
      <w:r w:rsidRPr="009C28AE">
        <w:rPr>
          <w:rFonts w:asciiTheme="majorBidi" w:hAnsiTheme="majorBidi" w:cstheme="majorBidi"/>
          <w:b/>
          <w:bCs/>
        </w:rPr>
        <w:t xml:space="preserve">K bodu </w:t>
      </w:r>
      <w:r>
        <w:rPr>
          <w:rFonts w:asciiTheme="majorBidi" w:hAnsiTheme="majorBidi" w:cstheme="majorBidi"/>
          <w:b/>
          <w:bCs/>
        </w:rPr>
        <w:t>5</w:t>
      </w:r>
    </w:p>
    <w:p w14:paraId="10AC9E29" w14:textId="77777777" w:rsidR="009C28AE" w:rsidRDefault="009C28AE" w:rsidP="009C28AE">
      <w:pPr>
        <w:spacing w:line="276" w:lineRule="auto"/>
        <w:jc w:val="both"/>
        <w:rPr>
          <w:rFonts w:asciiTheme="majorBidi" w:hAnsiTheme="majorBidi" w:cstheme="majorBidi"/>
        </w:rPr>
      </w:pPr>
      <w:r>
        <w:rPr>
          <w:rFonts w:asciiTheme="majorBidi" w:hAnsiTheme="majorBidi" w:cstheme="majorBidi"/>
        </w:rPr>
        <w:t>Legislatívno-technická úprava súvisiaca s vykonateľnosťou zmeny v bode 1.</w:t>
      </w:r>
    </w:p>
    <w:p w14:paraId="493C3D05" w14:textId="77777777" w:rsidR="009C28AE" w:rsidRDefault="009C28AE" w:rsidP="009C28AE">
      <w:pPr>
        <w:spacing w:line="276" w:lineRule="auto"/>
        <w:jc w:val="both"/>
        <w:rPr>
          <w:rFonts w:asciiTheme="majorBidi" w:hAnsiTheme="majorBidi" w:cstheme="majorBidi"/>
        </w:rPr>
      </w:pPr>
    </w:p>
    <w:p w14:paraId="26FDD683" w14:textId="77777777" w:rsidR="009C28AE" w:rsidRPr="009C28AE" w:rsidRDefault="009C28AE" w:rsidP="009C28AE">
      <w:pPr>
        <w:spacing w:line="276" w:lineRule="auto"/>
        <w:jc w:val="both"/>
        <w:rPr>
          <w:rFonts w:asciiTheme="majorBidi" w:hAnsiTheme="majorBidi" w:cstheme="majorBidi"/>
          <w:b/>
          <w:bCs/>
        </w:rPr>
      </w:pPr>
      <w:r w:rsidRPr="009C28AE">
        <w:rPr>
          <w:rFonts w:asciiTheme="majorBidi" w:hAnsiTheme="majorBidi" w:cstheme="majorBidi"/>
          <w:b/>
          <w:bCs/>
        </w:rPr>
        <w:t xml:space="preserve">K bodu </w:t>
      </w:r>
      <w:r>
        <w:rPr>
          <w:rFonts w:asciiTheme="majorBidi" w:hAnsiTheme="majorBidi" w:cstheme="majorBidi"/>
          <w:b/>
          <w:bCs/>
        </w:rPr>
        <w:t>6</w:t>
      </w:r>
    </w:p>
    <w:p w14:paraId="731B366E" w14:textId="77777777" w:rsidR="009C28AE" w:rsidRDefault="009C28AE" w:rsidP="009C28AE">
      <w:pPr>
        <w:spacing w:line="276" w:lineRule="auto"/>
        <w:jc w:val="both"/>
        <w:rPr>
          <w:rFonts w:asciiTheme="majorBidi" w:hAnsiTheme="majorBidi" w:cstheme="majorBidi"/>
        </w:rPr>
      </w:pPr>
      <w:r>
        <w:rPr>
          <w:rFonts w:asciiTheme="majorBidi" w:hAnsiTheme="majorBidi" w:cstheme="majorBidi"/>
        </w:rPr>
        <w:t>Legislatívno-technická úprava súvisiaca s vykonateľnosťou bodu 2.</w:t>
      </w:r>
    </w:p>
    <w:p w14:paraId="760407CE" w14:textId="77777777" w:rsidR="009C28AE" w:rsidRDefault="009C28AE" w:rsidP="009C28AE">
      <w:pPr>
        <w:spacing w:line="276" w:lineRule="auto"/>
        <w:jc w:val="both"/>
        <w:rPr>
          <w:rFonts w:asciiTheme="majorBidi" w:hAnsiTheme="majorBidi" w:cstheme="majorBidi"/>
        </w:rPr>
      </w:pPr>
    </w:p>
    <w:p w14:paraId="13AC4EC4" w14:textId="77777777" w:rsidR="009C28AE" w:rsidRPr="00A2237B" w:rsidRDefault="009C28AE" w:rsidP="009C28AE">
      <w:pPr>
        <w:jc w:val="both"/>
        <w:rPr>
          <w:rFonts w:ascii="Times New Roman" w:hAnsi="Times New Roman" w:cs="Times New Roman"/>
          <w:b/>
          <w:u w:val="single"/>
        </w:rPr>
      </w:pPr>
      <w:r w:rsidRPr="00A2237B">
        <w:rPr>
          <w:rFonts w:ascii="Times New Roman" w:hAnsi="Times New Roman" w:cs="Times New Roman"/>
          <w:b/>
          <w:u w:val="single"/>
        </w:rPr>
        <w:t>K čl. I</w:t>
      </w:r>
      <w:r>
        <w:rPr>
          <w:rFonts w:ascii="Times New Roman" w:hAnsi="Times New Roman" w:cs="Times New Roman"/>
          <w:b/>
          <w:u w:val="single"/>
        </w:rPr>
        <w:t>I</w:t>
      </w:r>
    </w:p>
    <w:p w14:paraId="54568274" w14:textId="77777777" w:rsidR="00316A26" w:rsidRPr="006C25C6" w:rsidRDefault="00316A26" w:rsidP="00766B03">
      <w:pPr>
        <w:spacing w:line="276" w:lineRule="auto"/>
        <w:jc w:val="both"/>
        <w:rPr>
          <w:rFonts w:asciiTheme="majorBidi" w:hAnsiTheme="majorBidi" w:cstheme="majorBidi"/>
          <w:color w:val="000000" w:themeColor="text1"/>
        </w:rPr>
      </w:pPr>
    </w:p>
    <w:p w14:paraId="15D78066" w14:textId="59A30525" w:rsidR="00316A26" w:rsidRPr="006C25C6" w:rsidRDefault="009C28AE" w:rsidP="009C28AE">
      <w:pPr>
        <w:spacing w:line="276"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Navrhuje </w:t>
      </w:r>
      <w:r w:rsidR="00057603" w:rsidRPr="006C25C6">
        <w:rPr>
          <w:rFonts w:asciiTheme="majorBidi" w:hAnsiTheme="majorBidi" w:cstheme="majorBidi"/>
          <w:color w:val="000000" w:themeColor="text1"/>
        </w:rPr>
        <w:t xml:space="preserve">sa </w:t>
      </w:r>
      <w:r w:rsidR="006C25C6" w:rsidRPr="006C25C6">
        <w:rPr>
          <w:rFonts w:asciiTheme="majorBidi" w:hAnsiTheme="majorBidi" w:cstheme="majorBidi"/>
          <w:color w:val="000000" w:themeColor="text1"/>
        </w:rPr>
        <w:t xml:space="preserve">účinnosť </w:t>
      </w:r>
      <w:r>
        <w:rPr>
          <w:rFonts w:asciiTheme="majorBidi" w:hAnsiTheme="majorBidi" w:cstheme="majorBidi"/>
          <w:color w:val="000000" w:themeColor="text1"/>
        </w:rPr>
        <w:t>od 1. marca 2023 s výnimkou bodu 1, ktoré</w:t>
      </w:r>
      <w:r w:rsidR="00A507FF">
        <w:rPr>
          <w:rFonts w:asciiTheme="majorBidi" w:hAnsiTheme="majorBidi" w:cstheme="majorBidi"/>
          <w:color w:val="000000" w:themeColor="text1"/>
        </w:rPr>
        <w:t>ho</w:t>
      </w:r>
      <w:bookmarkStart w:id="0" w:name="_GoBack"/>
      <w:bookmarkEnd w:id="0"/>
      <w:r>
        <w:rPr>
          <w:rFonts w:asciiTheme="majorBidi" w:hAnsiTheme="majorBidi" w:cstheme="majorBidi"/>
          <w:color w:val="000000" w:themeColor="text1"/>
        </w:rPr>
        <w:t xml:space="preserve"> účinnosť sa navrhuje od 1. januára 2024. </w:t>
      </w:r>
    </w:p>
    <w:p w14:paraId="07657DE2" w14:textId="77777777" w:rsidR="006C25C6" w:rsidRPr="006C25C6" w:rsidRDefault="006C25C6" w:rsidP="006C25C6">
      <w:pPr>
        <w:spacing w:line="276" w:lineRule="auto"/>
        <w:ind w:firstLine="708"/>
        <w:jc w:val="both"/>
        <w:rPr>
          <w:rFonts w:asciiTheme="majorBidi" w:hAnsiTheme="majorBidi" w:cstheme="majorBidi"/>
          <w:color w:val="000000" w:themeColor="text1"/>
        </w:rPr>
      </w:pPr>
    </w:p>
    <w:p w14:paraId="5B9AFCC0" w14:textId="77777777" w:rsidR="006C25C6" w:rsidRPr="006C25C6" w:rsidRDefault="006C25C6" w:rsidP="006C25C6">
      <w:pPr>
        <w:spacing w:line="276" w:lineRule="auto"/>
        <w:ind w:firstLine="708"/>
        <w:jc w:val="both"/>
        <w:rPr>
          <w:rFonts w:asciiTheme="majorBidi" w:hAnsiTheme="majorBidi" w:cstheme="majorBidi"/>
          <w:color w:val="000000" w:themeColor="text1"/>
        </w:rPr>
      </w:pPr>
    </w:p>
    <w:p w14:paraId="63DF2DAF" w14:textId="77777777" w:rsidR="006C25C6" w:rsidRPr="006C25C6" w:rsidRDefault="006C25C6" w:rsidP="006C25C6">
      <w:pPr>
        <w:spacing w:line="276" w:lineRule="auto"/>
        <w:ind w:firstLine="708"/>
        <w:jc w:val="both"/>
        <w:rPr>
          <w:rFonts w:asciiTheme="majorBidi" w:hAnsiTheme="majorBidi" w:cstheme="majorBidi"/>
          <w:color w:val="000000" w:themeColor="text1"/>
        </w:rPr>
      </w:pPr>
    </w:p>
    <w:p w14:paraId="03E88DE9" w14:textId="77777777" w:rsidR="006C25C6" w:rsidRPr="006C25C6" w:rsidRDefault="006C25C6" w:rsidP="006C25C6">
      <w:pPr>
        <w:spacing w:line="276" w:lineRule="auto"/>
        <w:ind w:firstLine="708"/>
        <w:jc w:val="both"/>
        <w:rPr>
          <w:rFonts w:asciiTheme="majorBidi" w:hAnsiTheme="majorBidi" w:cstheme="majorBidi"/>
          <w:color w:val="000000" w:themeColor="text1"/>
        </w:rPr>
      </w:pPr>
    </w:p>
    <w:p w14:paraId="0B98D660" w14:textId="77777777" w:rsidR="006C25C6" w:rsidRPr="006C25C6" w:rsidRDefault="006C25C6" w:rsidP="006C25C6">
      <w:pPr>
        <w:spacing w:line="276" w:lineRule="auto"/>
        <w:ind w:firstLine="708"/>
        <w:jc w:val="both"/>
        <w:rPr>
          <w:rFonts w:asciiTheme="majorBidi" w:hAnsiTheme="majorBidi" w:cstheme="majorBidi"/>
          <w:color w:val="000000" w:themeColor="text1"/>
        </w:rPr>
      </w:pPr>
    </w:p>
    <w:p w14:paraId="0164D33B" w14:textId="77777777" w:rsidR="006C25C6" w:rsidRPr="006C25C6" w:rsidRDefault="006C25C6" w:rsidP="006C25C6">
      <w:pPr>
        <w:spacing w:line="276" w:lineRule="auto"/>
        <w:ind w:firstLine="708"/>
        <w:jc w:val="both"/>
        <w:rPr>
          <w:rFonts w:asciiTheme="majorBidi" w:hAnsiTheme="majorBidi" w:cstheme="majorBidi"/>
          <w:color w:val="000000" w:themeColor="text1"/>
        </w:rPr>
      </w:pPr>
    </w:p>
    <w:p w14:paraId="1408344F" w14:textId="77777777" w:rsidR="006C25C6" w:rsidRPr="006C25C6" w:rsidRDefault="006C25C6" w:rsidP="006C25C6">
      <w:pPr>
        <w:spacing w:line="276" w:lineRule="auto"/>
        <w:ind w:firstLine="708"/>
        <w:jc w:val="both"/>
        <w:rPr>
          <w:rFonts w:asciiTheme="majorBidi" w:hAnsiTheme="majorBidi" w:cstheme="majorBidi"/>
          <w:color w:val="000000" w:themeColor="text1"/>
        </w:rPr>
      </w:pPr>
    </w:p>
    <w:p w14:paraId="4A01B9D8" w14:textId="77777777" w:rsidR="00B83154" w:rsidRPr="00D60773" w:rsidRDefault="006C25C6"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lastRenderedPageBreak/>
        <w:t>D</w:t>
      </w:r>
      <w:r w:rsidR="00B83154" w:rsidRPr="00D60773">
        <w:rPr>
          <w:rFonts w:ascii="Times New Roman" w:hAnsi="Times New Roman" w:cs="Times New Roman"/>
          <w:b/>
          <w:bCs/>
          <w:caps/>
          <w:color w:val="000000" w:themeColor="text1"/>
          <w:spacing w:val="30"/>
        </w:rPr>
        <w:t>OLOŽKA ZLUČITEĽNOSTI</w:t>
      </w:r>
    </w:p>
    <w:p w14:paraId="3F43600C" w14:textId="77777777" w:rsidR="00B83154" w:rsidRPr="00D60773" w:rsidRDefault="00B83154" w:rsidP="00766B03">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14:paraId="16C87844" w14:textId="77777777" w:rsidR="00B83154" w:rsidRPr="00D60773" w:rsidRDefault="00B83154" w:rsidP="00766B03">
      <w:pPr>
        <w:pStyle w:val="Normlnywebov"/>
        <w:spacing w:before="120" w:after="0" w:line="276" w:lineRule="auto"/>
        <w:jc w:val="both"/>
        <w:rPr>
          <w:color w:val="000000" w:themeColor="text1"/>
        </w:rPr>
      </w:pPr>
      <w:r w:rsidRPr="00D60773">
        <w:rPr>
          <w:color w:val="000000" w:themeColor="text1"/>
        </w:rPr>
        <w:t> </w:t>
      </w:r>
    </w:p>
    <w:p w14:paraId="23BA7C41" w14:textId="77777777" w:rsidR="00B83154" w:rsidRPr="00D60773" w:rsidRDefault="00B83154" w:rsidP="00766B03">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skupina poslancov Národnej rady Slovenskej republiky</w:t>
      </w:r>
    </w:p>
    <w:p w14:paraId="443DA241" w14:textId="77777777" w:rsidR="00B83154" w:rsidRPr="00D60773" w:rsidRDefault="00B83154" w:rsidP="00766B03">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6E26EC">
        <w:rPr>
          <w:color w:val="000000" w:themeColor="text1"/>
        </w:rPr>
        <w:t>N</w:t>
      </w:r>
      <w:r w:rsidRPr="00D60773">
        <w:rPr>
          <w:color w:val="000000" w:themeColor="text1"/>
        </w:rPr>
        <w:t xml:space="preserve">ávrh zákona, ktorým sa mení a dopĺňa zákon č. </w:t>
      </w:r>
      <w:r w:rsidR="00057603" w:rsidRPr="00145931">
        <w:rPr>
          <w:color w:val="000000" w:themeColor="text1"/>
        </w:rPr>
        <w:t>461/2003 Z. z. o sociálnom poistení v znení neskorších predpiso</w:t>
      </w:r>
      <w:r w:rsidR="00057603">
        <w:rPr>
          <w:color w:val="000000" w:themeColor="text1"/>
        </w:rPr>
        <w:t>v</w:t>
      </w:r>
      <w:r w:rsidR="009D10CE">
        <w:rPr>
          <w:color w:val="000000" w:themeColor="text1"/>
        </w:rPr>
        <w:t>.</w:t>
      </w:r>
    </w:p>
    <w:p w14:paraId="0B866CE3" w14:textId="77777777" w:rsidR="00B83154" w:rsidRPr="00D60773" w:rsidRDefault="00B83154" w:rsidP="00766B03">
      <w:pPr>
        <w:pStyle w:val="Normlnywebov"/>
        <w:spacing w:before="120" w:after="0" w:line="276" w:lineRule="auto"/>
        <w:jc w:val="both"/>
        <w:rPr>
          <w:b/>
          <w:bCs/>
          <w:color w:val="000000" w:themeColor="text1"/>
        </w:rPr>
      </w:pPr>
      <w:r w:rsidRPr="00D60773">
        <w:rPr>
          <w:b/>
          <w:bCs/>
          <w:color w:val="000000" w:themeColor="text1"/>
        </w:rPr>
        <w:t>3. Predmet návrhu zákona:</w:t>
      </w:r>
    </w:p>
    <w:p w14:paraId="3F0BE8B4" w14:textId="77777777"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primárnom práve Európskej únie,</w:t>
      </w:r>
    </w:p>
    <w:p w14:paraId="46EB099F" w14:textId="77777777"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sekundárnom práve Európskej únie,</w:t>
      </w:r>
    </w:p>
    <w:p w14:paraId="41DCF67F" w14:textId="77777777"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obsiahnutý v judikatúre Súdneho dvora Európskej únie.</w:t>
      </w:r>
    </w:p>
    <w:p w14:paraId="54E948E4" w14:textId="77777777" w:rsidR="00B83154" w:rsidRPr="00D60773" w:rsidRDefault="00B83154" w:rsidP="00766B03">
      <w:pPr>
        <w:pStyle w:val="Normlnywebov"/>
        <w:suppressAutoHyphens/>
        <w:spacing w:before="120" w:beforeAutospacing="0" w:after="0" w:afterAutospacing="0" w:line="276" w:lineRule="auto"/>
        <w:jc w:val="both"/>
        <w:rPr>
          <w:bCs/>
          <w:color w:val="000000" w:themeColor="text1"/>
        </w:rPr>
      </w:pPr>
    </w:p>
    <w:p w14:paraId="149E3C1B" w14:textId="77777777" w:rsidR="00B83154" w:rsidRPr="00D60773" w:rsidRDefault="00B83154" w:rsidP="00766B03">
      <w:pPr>
        <w:spacing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Vzhľadom na to, že predmet návrhu zákona nie je upravený v práve Európskej únie, je bezpredmetné vyjadrovať sa k bodom 4. a 5.</w:t>
      </w:r>
    </w:p>
    <w:p w14:paraId="15749328"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343E139D"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4C833CB6"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61BCE151"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261CBA0B"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3719F4C4"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79CFC297"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32690E52"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0357362F"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43C66D1C"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2E54A251"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7FE3BA6A"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5E736F2A"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0D7C8570"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7D17D1BB"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15D5EE0B"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4B19E041"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3ABD09A9"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01286F64"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0745FE63"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233CD224"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6F567A91"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63A8F9CF" w14:textId="77777777" w:rsidR="00B83154" w:rsidRPr="00D60773" w:rsidRDefault="00B83154" w:rsidP="00766B03">
      <w:pPr>
        <w:spacing w:line="276" w:lineRule="auto"/>
        <w:jc w:val="both"/>
        <w:rPr>
          <w:rFonts w:ascii="Times New Roman" w:hAnsi="Times New Roman" w:cs="Times New Roman"/>
          <w:b/>
          <w:bCs/>
          <w:color w:val="000000" w:themeColor="text1"/>
        </w:rPr>
      </w:pPr>
    </w:p>
    <w:p w14:paraId="6484566F" w14:textId="77777777" w:rsidR="00B83154" w:rsidRDefault="00B83154" w:rsidP="00766B03">
      <w:pPr>
        <w:spacing w:line="276" w:lineRule="auto"/>
        <w:jc w:val="both"/>
        <w:rPr>
          <w:rFonts w:ascii="Times New Roman" w:hAnsi="Times New Roman" w:cs="Times New Roman"/>
          <w:b/>
          <w:bCs/>
          <w:color w:val="000000" w:themeColor="text1"/>
        </w:rPr>
      </w:pPr>
    </w:p>
    <w:p w14:paraId="2209273B" w14:textId="77777777" w:rsidR="00F42969" w:rsidRDefault="00F42969"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lastRenderedPageBreak/>
        <w:t>Doložka</w:t>
      </w:r>
    </w:p>
    <w:p w14:paraId="5432B648" w14:textId="77777777" w:rsidR="00F42969" w:rsidRDefault="00F42969" w:rsidP="00766B03">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14:paraId="3887DCAC" w14:textId="77777777" w:rsidR="00F42969" w:rsidRDefault="00F42969" w:rsidP="00766B03">
      <w:pPr>
        <w:spacing w:before="120" w:line="276" w:lineRule="auto"/>
        <w:jc w:val="both"/>
        <w:rPr>
          <w:rFonts w:ascii="Times New Roman" w:hAnsi="Times New Roman" w:cs="Times New Roman"/>
          <w:color w:val="000000" w:themeColor="text1"/>
        </w:rPr>
      </w:pPr>
    </w:p>
    <w:p w14:paraId="4F297745" w14:textId="77777777" w:rsidR="00F42969" w:rsidRPr="006E26EC" w:rsidRDefault="00F42969" w:rsidP="00766B03">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Pr="006E26EC">
        <w:rPr>
          <w:rFonts w:ascii="Times New Roman" w:hAnsi="Times New Roman" w:cs="Times New Roman"/>
          <w:color w:val="000000" w:themeColor="text1"/>
        </w:rPr>
        <w:t>Návrh zákona, ktorým sa mení a dopĺňa zákon č. 461/2003 Z. z. o sociálnom poistení v znení neskorších predpisov</w:t>
      </w:r>
    </w:p>
    <w:p w14:paraId="04D1622B" w14:textId="77777777" w:rsidR="00F42969" w:rsidRDefault="00F42969" w:rsidP="00766B03">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14:paraId="6FAFC5C3" w14:textId="77777777" w:rsidR="00F42969" w:rsidRDefault="00F42969" w:rsidP="00766B03">
      <w:pPr>
        <w:spacing w:before="120" w:line="276" w:lineRule="auto"/>
        <w:jc w:val="both"/>
        <w:rPr>
          <w:rFonts w:ascii="Times New Roman" w:hAnsi="Times New Roman" w:cs="Times New Roman"/>
          <w:b/>
          <w:bCs/>
          <w:color w:val="000000" w:themeColor="text1"/>
        </w:rPr>
      </w:pPr>
    </w:p>
    <w:p w14:paraId="4542C83E" w14:textId="77777777"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14:paraId="6415A6C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2E08DCD9" w14:textId="77777777" w:rsidR="00F42969" w:rsidRDefault="00F42969" w:rsidP="00766B03">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250D4102"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883AAD8"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3E3DCE07"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14:paraId="75640EC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DACF285"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EE0AF4E" w14:textId="77777777"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CB23F1D" w14:textId="77777777"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0D2C3E70" w14:textId="77777777"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14:paraId="28C95694"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1A96C135"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247EBFA2" w14:textId="77777777" w:rsidR="00F42969" w:rsidRDefault="00F42969" w:rsidP="00766B03">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8A783A" w14:textId="77777777"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43322C3" w14:textId="77777777" w:rsidR="00F42969" w:rsidRDefault="00F42969" w:rsidP="00766B03">
            <w:pPr>
              <w:spacing w:before="120" w:line="276" w:lineRule="auto"/>
              <w:jc w:val="center"/>
              <w:rPr>
                <w:rFonts w:ascii="Times New Roman" w:hAnsi="Times New Roman" w:cs="Times New Roman"/>
                <w:color w:val="000000" w:themeColor="text1"/>
              </w:rPr>
            </w:pPr>
          </w:p>
        </w:tc>
      </w:tr>
      <w:tr w:rsidR="00F42969" w14:paraId="2A1520A3"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4F0B2709"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79E551BE" w14:textId="4C148EBD" w:rsidR="00F42969" w:rsidRDefault="001A2EED"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D7DDF2E" w14:textId="77777777"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10E7DCFA" w14:textId="77777777" w:rsidR="00F42969" w:rsidRDefault="00F42969" w:rsidP="00766B03">
            <w:pPr>
              <w:spacing w:before="120" w:line="276" w:lineRule="auto"/>
              <w:jc w:val="both"/>
              <w:rPr>
                <w:rFonts w:ascii="Times New Roman" w:hAnsi="Times New Roman" w:cs="Times New Roman"/>
                <w:color w:val="000000" w:themeColor="text1"/>
              </w:rPr>
            </w:pPr>
          </w:p>
        </w:tc>
      </w:tr>
      <w:tr w:rsidR="00F42969" w14:paraId="4A099175"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791E170"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02823F76" w14:textId="70B618BF" w:rsidR="00F42969" w:rsidRDefault="001A2EED"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9C94711" w14:textId="77777777"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19B82FAC" w14:textId="77777777" w:rsidR="00F42969" w:rsidRDefault="00F42969" w:rsidP="00766B03">
            <w:pPr>
              <w:spacing w:before="120" w:line="276" w:lineRule="auto"/>
              <w:jc w:val="both"/>
              <w:rPr>
                <w:rFonts w:ascii="Times New Roman" w:hAnsi="Times New Roman" w:cs="Times New Roman"/>
                <w:color w:val="000000" w:themeColor="text1"/>
              </w:rPr>
            </w:pPr>
          </w:p>
        </w:tc>
      </w:tr>
      <w:tr w:rsidR="00F42969" w14:paraId="172A3507"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C1E0347"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5670A976" w14:textId="77777777" w:rsidR="00F42969" w:rsidRDefault="00F42969" w:rsidP="00766B03">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3B21F8A5" w14:textId="77777777" w:rsidR="00F42969" w:rsidRDefault="002061AA"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14CB78C" w14:textId="77777777" w:rsidR="00F42969" w:rsidRDefault="00F42969" w:rsidP="00766B03">
            <w:pPr>
              <w:spacing w:before="120" w:line="276" w:lineRule="auto"/>
              <w:jc w:val="both"/>
              <w:rPr>
                <w:rFonts w:ascii="Times New Roman" w:hAnsi="Times New Roman" w:cs="Times New Roman"/>
                <w:color w:val="000000" w:themeColor="text1"/>
              </w:rPr>
            </w:pPr>
          </w:p>
        </w:tc>
      </w:tr>
      <w:tr w:rsidR="00F42969" w14:paraId="52842707"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494105BD"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5E860657" w14:textId="77777777"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6AE19E9" w14:textId="77777777"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7024E578" w14:textId="77777777" w:rsidR="00F42969" w:rsidRDefault="00F42969" w:rsidP="00766B03">
            <w:pPr>
              <w:spacing w:before="120" w:line="276" w:lineRule="auto"/>
              <w:jc w:val="both"/>
              <w:rPr>
                <w:rFonts w:ascii="Times New Roman" w:hAnsi="Times New Roman" w:cs="Times New Roman"/>
                <w:color w:val="000000" w:themeColor="text1"/>
              </w:rPr>
            </w:pPr>
          </w:p>
        </w:tc>
      </w:tr>
      <w:tr w:rsidR="00F42969" w14:paraId="57C9ACA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2DA09E4"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71BA3B34" w14:textId="77777777"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07E2FC2" w14:textId="77777777"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53FACE50" w14:textId="77777777" w:rsidR="00F42969" w:rsidRDefault="00F42969" w:rsidP="00766B03">
            <w:pPr>
              <w:spacing w:before="120" w:line="276" w:lineRule="auto"/>
              <w:jc w:val="both"/>
              <w:rPr>
                <w:rFonts w:ascii="Times New Roman" w:hAnsi="Times New Roman" w:cs="Times New Roman"/>
                <w:color w:val="000000" w:themeColor="text1"/>
              </w:rPr>
            </w:pPr>
          </w:p>
        </w:tc>
      </w:tr>
      <w:tr w:rsidR="00F42969" w14:paraId="6D66B5E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EF24BFA"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60599B92" w14:textId="77777777"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8B223A7" w14:textId="77777777"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150EA1ED" w14:textId="77777777" w:rsidR="00F42969" w:rsidRDefault="00F42969" w:rsidP="00766B03">
            <w:pPr>
              <w:spacing w:before="120" w:line="276" w:lineRule="auto"/>
              <w:jc w:val="both"/>
              <w:rPr>
                <w:rFonts w:ascii="Times New Roman" w:hAnsi="Times New Roman" w:cs="Times New Roman"/>
                <w:color w:val="000000" w:themeColor="text1"/>
              </w:rPr>
            </w:pPr>
          </w:p>
        </w:tc>
      </w:tr>
    </w:tbl>
    <w:p w14:paraId="185DFAC0" w14:textId="77777777" w:rsidR="00F42969" w:rsidRDefault="00F42969" w:rsidP="00766B03">
      <w:pPr>
        <w:spacing w:before="120" w:line="276" w:lineRule="auto"/>
        <w:jc w:val="both"/>
        <w:rPr>
          <w:rFonts w:ascii="Times New Roman" w:hAnsi="Times New Roman" w:cs="Times New Roman"/>
          <w:color w:val="000000" w:themeColor="text1"/>
        </w:rPr>
      </w:pPr>
    </w:p>
    <w:p w14:paraId="68694D52" w14:textId="77777777"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14:paraId="2AC83E1F" w14:textId="77777777"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w:t>
      </w:r>
    </w:p>
    <w:p w14:paraId="5F04045A" w14:textId="77777777" w:rsidR="00F42969" w:rsidRDefault="00F42969" w:rsidP="00766B03">
      <w:pPr>
        <w:spacing w:before="120" w:line="276" w:lineRule="auto"/>
        <w:jc w:val="both"/>
        <w:rPr>
          <w:rFonts w:ascii="Times New Roman" w:hAnsi="Times New Roman" w:cs="Times New Roman"/>
          <w:b/>
          <w:bCs/>
          <w:color w:val="000000" w:themeColor="text1"/>
        </w:rPr>
      </w:pPr>
    </w:p>
    <w:p w14:paraId="3827C969" w14:textId="77777777"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14:paraId="69669D61" w14:textId="77777777"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14:paraId="20B08315" w14:textId="77777777" w:rsidR="00F42969" w:rsidRDefault="00F42969" w:rsidP="00766B03">
      <w:pPr>
        <w:pStyle w:val="Normlnywebov"/>
        <w:spacing w:before="120" w:beforeAutospacing="0" w:after="0" w:afterAutospacing="0" w:line="276" w:lineRule="auto"/>
        <w:ind w:left="567" w:hanging="567"/>
        <w:jc w:val="both"/>
        <w:rPr>
          <w:b/>
          <w:bCs/>
          <w:color w:val="000000" w:themeColor="text1"/>
        </w:rPr>
      </w:pPr>
    </w:p>
    <w:p w14:paraId="2EA1853C" w14:textId="77777777" w:rsidR="00F42969" w:rsidRDefault="00F42969" w:rsidP="00766B03">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14:paraId="05812904" w14:textId="77777777" w:rsidR="00F42969" w:rsidRPr="00D60773" w:rsidRDefault="00F42969" w:rsidP="006C25C6">
      <w:pPr>
        <w:pStyle w:val="Normlnywebov"/>
        <w:spacing w:before="120" w:beforeAutospacing="0" w:after="0" w:afterAutospacing="0" w:line="276" w:lineRule="auto"/>
        <w:jc w:val="both"/>
        <w:rPr>
          <w:color w:val="000000" w:themeColor="text1"/>
        </w:rPr>
      </w:pPr>
      <w:r>
        <w:rPr>
          <w:i/>
          <w:iCs/>
          <w:color w:val="000000" w:themeColor="text1"/>
        </w:rPr>
        <w:t>Návrh zákona bol zaslaný na vyjadrenie Ministerstvu financií SR.</w:t>
      </w: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65F81" w14:textId="77777777" w:rsidR="00901BDD" w:rsidRDefault="00901BDD" w:rsidP="00A8760C">
      <w:r>
        <w:separator/>
      </w:r>
    </w:p>
  </w:endnote>
  <w:endnote w:type="continuationSeparator" w:id="0">
    <w:p w14:paraId="576F598B" w14:textId="77777777" w:rsidR="00901BDD" w:rsidRDefault="00901BDD"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14:paraId="45DBF2A5" w14:textId="77777777" w:rsidR="00ED3BE7" w:rsidRDefault="006366A1" w:rsidP="00BD7A23">
        <w:pPr>
          <w:pStyle w:val="Pta"/>
          <w:framePr w:wrap="none" w:vAnchor="text" w:hAnchor="margin" w:xAlign="center" w:y="1"/>
          <w:rPr>
            <w:rStyle w:val="slostrany"/>
          </w:rPr>
        </w:pPr>
        <w:r>
          <w:rPr>
            <w:rStyle w:val="slostrany"/>
          </w:rPr>
          <w:fldChar w:fldCharType="begin"/>
        </w:r>
        <w:r w:rsidR="00ED3BE7">
          <w:rPr>
            <w:rStyle w:val="slostrany"/>
          </w:rPr>
          <w:instrText xml:space="preserve"> PAGE </w:instrText>
        </w:r>
        <w:r>
          <w:rPr>
            <w:rStyle w:val="slostrany"/>
          </w:rPr>
          <w:fldChar w:fldCharType="end"/>
        </w:r>
      </w:p>
    </w:sdtContent>
  </w:sdt>
  <w:p w14:paraId="21F86BBA" w14:textId="77777777" w:rsidR="00ED3BE7" w:rsidRDefault="00ED3B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66BA4741" w14:textId="77777777" w:rsidR="00ED3BE7" w:rsidRPr="00A8760C" w:rsidRDefault="006366A1" w:rsidP="00BD7A23">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00ED3BE7"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E1418A">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134C6FA5" w14:textId="77777777" w:rsidR="00ED3BE7" w:rsidRPr="00A8760C" w:rsidRDefault="00ED3BE7">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14:paraId="66CCB3D1" w14:textId="77777777" w:rsidR="00ED3BE7" w:rsidRDefault="00EB2E02">
        <w:pPr>
          <w:pStyle w:val="Pta"/>
          <w:jc w:val="center"/>
        </w:pPr>
        <w:r>
          <w:fldChar w:fldCharType="begin"/>
        </w:r>
        <w:r>
          <w:instrText>PAGE   \* MERGEFORMAT</w:instrText>
        </w:r>
        <w:r>
          <w:fldChar w:fldCharType="separate"/>
        </w:r>
        <w:r w:rsidR="00E1418A">
          <w:rPr>
            <w:noProof/>
          </w:rPr>
          <w:t>1</w:t>
        </w:r>
        <w:r>
          <w:rPr>
            <w:noProof/>
          </w:rPr>
          <w:fldChar w:fldCharType="end"/>
        </w:r>
      </w:p>
    </w:sdtContent>
  </w:sdt>
  <w:p w14:paraId="561B50F6" w14:textId="77777777" w:rsidR="00ED3BE7" w:rsidRDefault="00ED3B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33B05" w14:textId="77777777" w:rsidR="00901BDD" w:rsidRDefault="00901BDD" w:rsidP="00A8760C">
      <w:r>
        <w:separator/>
      </w:r>
    </w:p>
  </w:footnote>
  <w:footnote w:type="continuationSeparator" w:id="0">
    <w:p w14:paraId="0FC1143B" w14:textId="77777777" w:rsidR="00901BDD" w:rsidRDefault="00901BDD"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4AB5" w14:textId="77777777" w:rsidR="00ED3BE7" w:rsidRDefault="00ED3BE7">
    <w:pPr>
      <w:pStyle w:val="Hlavika"/>
      <w:jc w:val="center"/>
    </w:pPr>
  </w:p>
  <w:p w14:paraId="3DA8EBA1" w14:textId="77777777" w:rsidR="00ED3BE7" w:rsidRDefault="00ED3B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qNaADPqZdcsAAAA"/>
  </w:docVars>
  <w:rsids>
    <w:rsidRoot w:val="00BE2399"/>
    <w:rsid w:val="00045086"/>
    <w:rsid w:val="00055641"/>
    <w:rsid w:val="00057603"/>
    <w:rsid w:val="000761CB"/>
    <w:rsid w:val="00082E79"/>
    <w:rsid w:val="000843A4"/>
    <w:rsid w:val="00090EA2"/>
    <w:rsid w:val="0009435F"/>
    <w:rsid w:val="000A35E6"/>
    <w:rsid w:val="000A6519"/>
    <w:rsid w:val="000B54AD"/>
    <w:rsid w:val="000B5E7A"/>
    <w:rsid w:val="000C493B"/>
    <w:rsid w:val="000F56B6"/>
    <w:rsid w:val="001264FB"/>
    <w:rsid w:val="00127F4B"/>
    <w:rsid w:val="00145931"/>
    <w:rsid w:val="00155991"/>
    <w:rsid w:val="0019318E"/>
    <w:rsid w:val="001A2EED"/>
    <w:rsid w:val="001B0FF5"/>
    <w:rsid w:val="001B22FF"/>
    <w:rsid w:val="001F103A"/>
    <w:rsid w:val="001F4D4E"/>
    <w:rsid w:val="002061AA"/>
    <w:rsid w:val="002063ED"/>
    <w:rsid w:val="002471FC"/>
    <w:rsid w:val="00260CC7"/>
    <w:rsid w:val="00277BE4"/>
    <w:rsid w:val="00281B1D"/>
    <w:rsid w:val="002A37C4"/>
    <w:rsid w:val="00316A26"/>
    <w:rsid w:val="003175E8"/>
    <w:rsid w:val="003205C3"/>
    <w:rsid w:val="00350DC1"/>
    <w:rsid w:val="003527EB"/>
    <w:rsid w:val="00355B12"/>
    <w:rsid w:val="0037025A"/>
    <w:rsid w:val="00377B0D"/>
    <w:rsid w:val="003920F8"/>
    <w:rsid w:val="003A4F3F"/>
    <w:rsid w:val="003D2FCA"/>
    <w:rsid w:val="003E1AD9"/>
    <w:rsid w:val="003F46AF"/>
    <w:rsid w:val="00404741"/>
    <w:rsid w:val="00433D46"/>
    <w:rsid w:val="00446004"/>
    <w:rsid w:val="00463651"/>
    <w:rsid w:val="00482331"/>
    <w:rsid w:val="004C3D7A"/>
    <w:rsid w:val="004C5139"/>
    <w:rsid w:val="004D1400"/>
    <w:rsid w:val="004D6BA8"/>
    <w:rsid w:val="00500013"/>
    <w:rsid w:val="00505E0A"/>
    <w:rsid w:val="0051761C"/>
    <w:rsid w:val="00526BCB"/>
    <w:rsid w:val="00535B17"/>
    <w:rsid w:val="00544392"/>
    <w:rsid w:val="00551B40"/>
    <w:rsid w:val="005776A7"/>
    <w:rsid w:val="00587C8F"/>
    <w:rsid w:val="00595F40"/>
    <w:rsid w:val="005B0819"/>
    <w:rsid w:val="005B4EF1"/>
    <w:rsid w:val="005C0DF7"/>
    <w:rsid w:val="005D6D52"/>
    <w:rsid w:val="006213AF"/>
    <w:rsid w:val="00630934"/>
    <w:rsid w:val="006351F6"/>
    <w:rsid w:val="00635F60"/>
    <w:rsid w:val="006366A1"/>
    <w:rsid w:val="00680087"/>
    <w:rsid w:val="006864D9"/>
    <w:rsid w:val="00696D3E"/>
    <w:rsid w:val="006C15A1"/>
    <w:rsid w:val="006C25C6"/>
    <w:rsid w:val="006C74C4"/>
    <w:rsid w:val="006E26EC"/>
    <w:rsid w:val="00706D76"/>
    <w:rsid w:val="00710A4E"/>
    <w:rsid w:val="00711180"/>
    <w:rsid w:val="00713FB0"/>
    <w:rsid w:val="007270FB"/>
    <w:rsid w:val="0073149C"/>
    <w:rsid w:val="007453F7"/>
    <w:rsid w:val="00750A03"/>
    <w:rsid w:val="0076386C"/>
    <w:rsid w:val="0076645F"/>
    <w:rsid w:val="00766B03"/>
    <w:rsid w:val="00774679"/>
    <w:rsid w:val="00785942"/>
    <w:rsid w:val="00794C60"/>
    <w:rsid w:val="007C2246"/>
    <w:rsid w:val="007D4705"/>
    <w:rsid w:val="007F535E"/>
    <w:rsid w:val="008126BB"/>
    <w:rsid w:val="00851889"/>
    <w:rsid w:val="00866D63"/>
    <w:rsid w:val="00872B76"/>
    <w:rsid w:val="0089040E"/>
    <w:rsid w:val="008A7D9F"/>
    <w:rsid w:val="008C014A"/>
    <w:rsid w:val="008D3514"/>
    <w:rsid w:val="008D7E9B"/>
    <w:rsid w:val="008E37A2"/>
    <w:rsid w:val="008F0400"/>
    <w:rsid w:val="00901BDD"/>
    <w:rsid w:val="00905CEF"/>
    <w:rsid w:val="0091278C"/>
    <w:rsid w:val="009144C1"/>
    <w:rsid w:val="009337B1"/>
    <w:rsid w:val="00936279"/>
    <w:rsid w:val="009425C3"/>
    <w:rsid w:val="00947904"/>
    <w:rsid w:val="00995168"/>
    <w:rsid w:val="009A1EA0"/>
    <w:rsid w:val="009C0174"/>
    <w:rsid w:val="009C28AE"/>
    <w:rsid w:val="009D10CE"/>
    <w:rsid w:val="009E363D"/>
    <w:rsid w:val="00A17B2E"/>
    <w:rsid w:val="00A246AD"/>
    <w:rsid w:val="00A246F7"/>
    <w:rsid w:val="00A34902"/>
    <w:rsid w:val="00A503B5"/>
    <w:rsid w:val="00A507FF"/>
    <w:rsid w:val="00A54DCA"/>
    <w:rsid w:val="00A82E11"/>
    <w:rsid w:val="00A8760C"/>
    <w:rsid w:val="00A9400B"/>
    <w:rsid w:val="00AA4BFC"/>
    <w:rsid w:val="00AF7F00"/>
    <w:rsid w:val="00B026AE"/>
    <w:rsid w:val="00B14ECB"/>
    <w:rsid w:val="00B1528B"/>
    <w:rsid w:val="00B15AA7"/>
    <w:rsid w:val="00B2540E"/>
    <w:rsid w:val="00B27823"/>
    <w:rsid w:val="00B4147C"/>
    <w:rsid w:val="00B83154"/>
    <w:rsid w:val="00B86ECF"/>
    <w:rsid w:val="00B94948"/>
    <w:rsid w:val="00BB4A28"/>
    <w:rsid w:val="00BD39E2"/>
    <w:rsid w:val="00BD7A23"/>
    <w:rsid w:val="00BE1434"/>
    <w:rsid w:val="00BE2399"/>
    <w:rsid w:val="00BE418B"/>
    <w:rsid w:val="00BF538E"/>
    <w:rsid w:val="00C01600"/>
    <w:rsid w:val="00C27F38"/>
    <w:rsid w:val="00C5445B"/>
    <w:rsid w:val="00C5793B"/>
    <w:rsid w:val="00C66CD7"/>
    <w:rsid w:val="00C8069D"/>
    <w:rsid w:val="00C87D0B"/>
    <w:rsid w:val="00C90AC6"/>
    <w:rsid w:val="00CA2EF0"/>
    <w:rsid w:val="00CC33BC"/>
    <w:rsid w:val="00CD71EC"/>
    <w:rsid w:val="00CF7915"/>
    <w:rsid w:val="00CF7CED"/>
    <w:rsid w:val="00D60773"/>
    <w:rsid w:val="00D768CD"/>
    <w:rsid w:val="00D83641"/>
    <w:rsid w:val="00D85EA2"/>
    <w:rsid w:val="00DA3104"/>
    <w:rsid w:val="00DC68C8"/>
    <w:rsid w:val="00DE6B19"/>
    <w:rsid w:val="00DF7B06"/>
    <w:rsid w:val="00E1418A"/>
    <w:rsid w:val="00E14DDF"/>
    <w:rsid w:val="00E22B80"/>
    <w:rsid w:val="00E24535"/>
    <w:rsid w:val="00E64BD2"/>
    <w:rsid w:val="00EA1B5A"/>
    <w:rsid w:val="00EA3411"/>
    <w:rsid w:val="00EB2E02"/>
    <w:rsid w:val="00ED3BE7"/>
    <w:rsid w:val="00EE7B5F"/>
    <w:rsid w:val="00EF0811"/>
    <w:rsid w:val="00EF4DB6"/>
    <w:rsid w:val="00EF5B40"/>
    <w:rsid w:val="00F17D4B"/>
    <w:rsid w:val="00F25E33"/>
    <w:rsid w:val="00F31928"/>
    <w:rsid w:val="00F42969"/>
    <w:rsid w:val="00F5283D"/>
    <w:rsid w:val="00F52CE4"/>
    <w:rsid w:val="00F56ACD"/>
    <w:rsid w:val="00F763F4"/>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A66B"/>
  <w15:docId w15:val="{43799F2B-06AD-4B37-8CEA-9E6D1F0C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028E-3BA3-489F-A1C0-08A462A7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891</Words>
  <Characters>5083</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Igor Tkačivský</cp:lastModifiedBy>
  <cp:revision>5</cp:revision>
  <dcterms:created xsi:type="dcterms:W3CDTF">2022-11-06T13:32:00Z</dcterms:created>
  <dcterms:modified xsi:type="dcterms:W3CDTF">2022-11-10T08:55:00Z</dcterms:modified>
</cp:coreProperties>
</file>