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D8058" w14:textId="77777777" w:rsidR="00852CEC" w:rsidRPr="002F27EB" w:rsidRDefault="00852CEC" w:rsidP="003B0DA0">
      <w:pPr>
        <w:pBdr>
          <w:bottom w:val="single" w:sz="12" w:space="1" w:color="auto"/>
        </w:pBdr>
        <w:spacing w:before="0" w:after="0"/>
        <w:ind w:firstLine="62"/>
        <w:jc w:val="center"/>
        <w:rPr>
          <w:b/>
          <w:bCs/>
          <w:spacing w:val="20"/>
        </w:rPr>
      </w:pPr>
      <w:r w:rsidRPr="002F27EB">
        <w:rPr>
          <w:b/>
          <w:bCs/>
          <w:spacing w:val="20"/>
        </w:rPr>
        <w:t>NÁRODNÁ  RADA  SLOVENSKEJ  REPUBLIKY</w:t>
      </w:r>
    </w:p>
    <w:p w14:paraId="0E217129" w14:textId="7D1F1AED" w:rsidR="00852CEC" w:rsidRPr="002F27EB" w:rsidRDefault="00852CEC" w:rsidP="003B0DA0">
      <w:pPr>
        <w:pBdr>
          <w:bottom w:val="single" w:sz="12" w:space="1" w:color="auto"/>
        </w:pBdr>
        <w:spacing w:before="0" w:after="0"/>
        <w:ind w:firstLine="62"/>
        <w:jc w:val="center"/>
        <w:rPr>
          <w:b/>
          <w:bCs/>
          <w:spacing w:val="20"/>
        </w:rPr>
      </w:pPr>
      <w:r w:rsidRPr="002F27EB">
        <w:rPr>
          <w:b/>
          <w:bCs/>
          <w:spacing w:val="20"/>
        </w:rPr>
        <w:t>VII</w:t>
      </w:r>
      <w:r w:rsidR="00D5463E">
        <w:rPr>
          <w:b/>
          <w:bCs/>
          <w:spacing w:val="20"/>
        </w:rPr>
        <w:t>I</w:t>
      </w:r>
      <w:r w:rsidRPr="002F27EB">
        <w:rPr>
          <w:b/>
          <w:bCs/>
          <w:spacing w:val="20"/>
        </w:rPr>
        <w:t>. volebné obdobie</w:t>
      </w:r>
    </w:p>
    <w:p w14:paraId="33FEE66C" w14:textId="77777777" w:rsidR="00852CEC" w:rsidRPr="002F27EB" w:rsidRDefault="00852CEC" w:rsidP="0085544D">
      <w:pPr>
        <w:spacing w:before="0" w:after="0"/>
        <w:jc w:val="center"/>
        <w:rPr>
          <w:spacing w:val="20"/>
        </w:rPr>
      </w:pPr>
    </w:p>
    <w:p w14:paraId="54DA7D5F" w14:textId="77777777" w:rsidR="00852CEC" w:rsidRPr="002F27EB" w:rsidRDefault="00852CEC" w:rsidP="0085544D">
      <w:pPr>
        <w:spacing w:before="0" w:after="0"/>
        <w:jc w:val="center"/>
        <w:rPr>
          <w:b/>
          <w:bCs/>
          <w:spacing w:val="30"/>
        </w:rPr>
      </w:pPr>
    </w:p>
    <w:p w14:paraId="5D0891EE" w14:textId="03C0C66E" w:rsidR="00852CEC" w:rsidRPr="002F27EB" w:rsidRDefault="00852CEC" w:rsidP="003B0DA0">
      <w:pPr>
        <w:spacing w:before="0" w:after="0"/>
        <w:ind w:firstLine="62"/>
        <w:jc w:val="center"/>
        <w:rPr>
          <w:b/>
          <w:bCs/>
          <w:spacing w:val="30"/>
        </w:rPr>
      </w:pPr>
      <w:r w:rsidRPr="002F27EB">
        <w:rPr>
          <w:b/>
          <w:bCs/>
          <w:spacing w:val="30"/>
        </w:rPr>
        <w:t>Návrh</w:t>
      </w:r>
    </w:p>
    <w:p w14:paraId="2CD3514C" w14:textId="77777777" w:rsidR="00852CEC" w:rsidRPr="002F27EB" w:rsidRDefault="00852CEC" w:rsidP="003B0DA0">
      <w:pPr>
        <w:spacing w:before="0" w:after="0"/>
        <w:ind w:firstLine="62"/>
        <w:jc w:val="center"/>
        <w:rPr>
          <w:b/>
          <w:bCs/>
          <w:spacing w:val="30"/>
        </w:rPr>
      </w:pPr>
    </w:p>
    <w:p w14:paraId="41E2916C" w14:textId="77777777" w:rsidR="00852CEC" w:rsidRPr="002F27EB" w:rsidRDefault="00852CEC" w:rsidP="003B0DA0">
      <w:pPr>
        <w:spacing w:before="0" w:after="0"/>
        <w:ind w:firstLine="62"/>
        <w:jc w:val="center"/>
        <w:rPr>
          <w:b/>
          <w:bCs/>
          <w:spacing w:val="30"/>
        </w:rPr>
      </w:pPr>
      <w:r w:rsidRPr="002F27EB">
        <w:rPr>
          <w:b/>
          <w:bCs/>
          <w:spacing w:val="30"/>
        </w:rPr>
        <w:t>ZÁKON</w:t>
      </w:r>
    </w:p>
    <w:p w14:paraId="2BF1BAA5" w14:textId="77777777" w:rsidR="00852CEC" w:rsidRPr="002F27EB" w:rsidRDefault="00852CEC" w:rsidP="003B0DA0">
      <w:pPr>
        <w:spacing w:before="0" w:after="0"/>
        <w:ind w:firstLine="62"/>
        <w:jc w:val="center"/>
        <w:rPr>
          <w:b/>
          <w:bCs/>
          <w:spacing w:val="30"/>
        </w:rPr>
      </w:pPr>
    </w:p>
    <w:p w14:paraId="739220AF" w14:textId="6CE091FE" w:rsidR="00852CEC" w:rsidRPr="002F27EB" w:rsidRDefault="00D5463E" w:rsidP="003B0DA0">
      <w:pPr>
        <w:spacing w:before="0" w:after="0"/>
        <w:ind w:firstLine="62"/>
        <w:jc w:val="center"/>
      </w:pPr>
      <w:r>
        <w:t>z ....... 2022</w:t>
      </w:r>
      <w:r w:rsidR="00852CEC" w:rsidRPr="002F27EB">
        <w:t>,</w:t>
      </w:r>
    </w:p>
    <w:p w14:paraId="47FCC41F" w14:textId="77777777" w:rsidR="00852CEC" w:rsidRPr="00785D12" w:rsidRDefault="00852CEC" w:rsidP="003B0DA0">
      <w:pPr>
        <w:spacing w:before="0" w:after="0"/>
        <w:ind w:firstLine="62"/>
        <w:jc w:val="center"/>
        <w:rPr>
          <w:b/>
        </w:rPr>
      </w:pPr>
    </w:p>
    <w:p w14:paraId="46FCBE7D" w14:textId="2FDDC270" w:rsidR="00852CEC" w:rsidRPr="00785D12" w:rsidRDefault="001B7843" w:rsidP="003B0DA0">
      <w:pPr>
        <w:spacing w:before="0" w:after="0"/>
        <w:ind w:firstLine="62"/>
        <w:jc w:val="center"/>
        <w:rPr>
          <w:b/>
          <w:bCs/>
        </w:rPr>
      </w:pPr>
      <w:r w:rsidRPr="00A356FD">
        <w:rPr>
          <w:rFonts w:cstheme="minorHAnsi"/>
          <w:b/>
        </w:rPr>
        <w:t>ktorým sa mení a dopĺňa zákon č. 461/2003 Z. z. o sociálnom poistení v znení neskorších predpisov</w:t>
      </w:r>
      <w:r w:rsidRPr="00A356FD">
        <w:rPr>
          <w:rFonts w:eastAsia="SimSun" w:cstheme="minorHAnsi"/>
          <w:b/>
          <w:kern w:val="2"/>
          <w:lang w:eastAsia="hi-IN" w:bidi="hi-IN"/>
        </w:rPr>
        <w:t xml:space="preserve"> a ktorým sa menia niektoré zákony</w:t>
      </w:r>
    </w:p>
    <w:p w14:paraId="6924AA75" w14:textId="77777777" w:rsidR="00852CEC" w:rsidRPr="002F27EB" w:rsidRDefault="00852CEC" w:rsidP="003B0DA0">
      <w:pPr>
        <w:spacing w:before="0" w:after="0"/>
        <w:ind w:firstLine="62"/>
        <w:jc w:val="center"/>
        <w:rPr>
          <w:b/>
          <w:bCs/>
        </w:rPr>
      </w:pPr>
    </w:p>
    <w:p w14:paraId="3EAC3DAB" w14:textId="15891ECA" w:rsidR="00852CEC" w:rsidRPr="002F27EB" w:rsidRDefault="00852CEC" w:rsidP="003B0DA0">
      <w:pPr>
        <w:spacing w:before="0" w:after="0" w:line="276" w:lineRule="auto"/>
        <w:ind w:firstLine="62"/>
        <w:jc w:val="center"/>
      </w:pPr>
      <w:r w:rsidRPr="002F27EB">
        <w:t>Národná rada Slovenskej republiky sa uzniesla na tomto zákone:</w:t>
      </w:r>
    </w:p>
    <w:p w14:paraId="0BF2687B" w14:textId="77777777" w:rsidR="0085544D" w:rsidRDefault="0085544D" w:rsidP="0085544D">
      <w:pPr>
        <w:spacing w:before="0" w:after="0"/>
        <w:ind w:left="0" w:firstLine="0"/>
        <w:jc w:val="center"/>
        <w:rPr>
          <w:b/>
        </w:rPr>
      </w:pPr>
    </w:p>
    <w:p w14:paraId="71230579" w14:textId="1C3B0B6D" w:rsidR="009B5D48" w:rsidRDefault="00852CEC" w:rsidP="0085544D">
      <w:pPr>
        <w:spacing w:before="0" w:after="0"/>
        <w:ind w:left="0" w:firstLine="0"/>
        <w:jc w:val="center"/>
        <w:rPr>
          <w:b/>
        </w:rPr>
      </w:pPr>
      <w:r>
        <w:rPr>
          <w:b/>
        </w:rPr>
        <w:t>Čl. I</w:t>
      </w:r>
    </w:p>
    <w:p w14:paraId="61315C9C" w14:textId="77777777" w:rsidR="00C452E8" w:rsidRPr="00A356FD" w:rsidRDefault="00C452E8" w:rsidP="00C452E8">
      <w:pPr>
        <w:rPr>
          <w:rFonts w:cstheme="minorHAnsi"/>
          <w:color w:val="494949"/>
        </w:rPr>
      </w:pPr>
      <w:r w:rsidRPr="00A356FD">
        <w:rPr>
          <w:rFonts w:cstheme="minorHAnsi"/>
          <w:color w:val="000000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uznesenia Ústavného súdu Slovenskej republiky č. 566/2006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Z. z., zákona č. 368/2018 Z. z., zákona č. 35/2019 Z. z., zákona č. 83/2019 Z. z., zákona 105/2019 Z. z., zákona č. 221/2019 Z. z., zákona č. 225/2019 Z. z., zákona č. 231/2019 Z. z., zákona č. 321/2019 Z. z., zákona č. 381/2019 Z. z., zákona č. 382/2019 Z. z., zákona č. 385/2019 Z. z., zákona č. 390/2019 Z. z., zákona č. 393/2019 Z. z., zákona č. 466/2019 Z. z., zákona č. 467/2019 Z. z., zákona č. 46/2020 Z. z., zákona č. 63/2020 Z. z., zákona č. 66/2020 Z. z., zákona č. 68/2020 Z. z., zákona č. 95/2020 Z. z., zákona č. 125/2020 Z. z., zákona č. 127/2020 Z. z., zákona č. 157/2020 Z. z., zákona č. 198/2020 Z. z., zákona č. 258/2020 Z. z., zákona č. 275/2020 Z. z., zákona č. 296/2020 Z. z., zákona č. 330/2020 Z. z., zákona č. 365/2020 </w:t>
      </w:r>
      <w:r w:rsidRPr="00A356FD">
        <w:rPr>
          <w:rFonts w:cstheme="minorHAnsi"/>
          <w:color w:val="000000"/>
        </w:rPr>
        <w:lastRenderedPageBreak/>
        <w:t>Z. z., zákona č. 372/2020 Z. z., nálezu Ústavného súdu Slovenskej republiky č. 388/2020 Z. z., zákona č. 426/2020 Z. z., zákona č. 126/2021 Z. z., zákona č. 130/2021 Z. z., zákona č. 215/2021 Z. z., zákona č. 265/2021 Z. z., zákona č. 283/2021 Z. z., zákona č. 355/2021 Z. z., zákona č. 397/2021 Z. z., zákona č. 412/2021 Z. z., zákona č. 431/2021 Z. z., zákona č. 454/2021 Z. z., zákona č. 92/2022 Z. z., zákona č. 125/ 2022 Z. z., zákona č. 248/2022 Z. z., zákona č. 249/2022 Z. z.</w:t>
      </w:r>
      <w:r>
        <w:rPr>
          <w:rFonts w:cstheme="minorHAnsi"/>
          <w:color w:val="000000"/>
        </w:rPr>
        <w:t xml:space="preserve">, </w:t>
      </w:r>
      <w:r w:rsidRPr="00A356FD">
        <w:rPr>
          <w:rFonts w:cstheme="minorHAnsi"/>
          <w:color w:val="000000"/>
        </w:rPr>
        <w:t xml:space="preserve">zákona č. </w:t>
      </w:r>
      <w:r>
        <w:rPr>
          <w:rFonts w:cstheme="minorHAnsi"/>
          <w:color w:val="000000"/>
        </w:rPr>
        <w:t>350</w:t>
      </w:r>
      <w:r w:rsidRPr="00A356FD">
        <w:rPr>
          <w:rFonts w:cstheme="minorHAnsi"/>
          <w:color w:val="000000"/>
        </w:rPr>
        <w:t xml:space="preserve">/2022 Z. z. </w:t>
      </w:r>
      <w:r>
        <w:rPr>
          <w:rFonts w:cstheme="minorHAnsi"/>
          <w:color w:val="000000"/>
        </w:rPr>
        <w:t xml:space="preserve">a zákona č. 352/2022 Z. z. </w:t>
      </w:r>
      <w:r w:rsidRPr="00A356FD">
        <w:rPr>
          <w:rFonts w:cstheme="minorHAnsi"/>
          <w:color w:val="000000"/>
        </w:rPr>
        <w:t>sa mení a dopĺňa takto:</w:t>
      </w:r>
    </w:p>
    <w:p w14:paraId="3DBABC3E" w14:textId="77777777" w:rsidR="00C452E8" w:rsidRDefault="00C452E8" w:rsidP="00C452E8">
      <w:pPr>
        <w:pStyle w:val="Odsekzoznamu"/>
        <w:numPr>
          <w:ilvl w:val="0"/>
          <w:numId w:val="2"/>
        </w:numPr>
        <w:spacing w:before="0" w:after="200" w:line="276" w:lineRule="auto"/>
        <w:rPr>
          <w:rFonts w:cstheme="minorHAnsi"/>
        </w:rPr>
      </w:pPr>
      <w:r w:rsidRPr="00090CEE">
        <w:rPr>
          <w:rFonts w:cstheme="minorHAnsi"/>
        </w:rPr>
        <w:t>V § 82 ods. 1 sa slová „prvý polrok“ menia na slová „prvých deväť mesiacov“.</w:t>
      </w:r>
    </w:p>
    <w:p w14:paraId="3FD45BC2" w14:textId="0C29DDCF" w:rsidR="00C452E8" w:rsidRDefault="00C452E8" w:rsidP="00C452E8">
      <w:pPr>
        <w:pStyle w:val="Odsekzoznamu"/>
        <w:numPr>
          <w:ilvl w:val="0"/>
          <w:numId w:val="2"/>
        </w:numPr>
        <w:spacing w:before="0" w:after="200" w:line="276" w:lineRule="auto"/>
        <w:rPr>
          <w:rFonts w:cstheme="minorHAnsi"/>
        </w:rPr>
      </w:pPr>
      <w:r>
        <w:rPr>
          <w:rFonts w:cstheme="minorHAnsi"/>
        </w:rPr>
        <w:t>V § 82 sa</w:t>
      </w:r>
      <w:r w:rsidR="00944933">
        <w:rPr>
          <w:rFonts w:cstheme="minorHAnsi"/>
        </w:rPr>
        <w:t xml:space="preserve"> za</w:t>
      </w:r>
      <w:bookmarkStart w:id="0" w:name="_GoBack"/>
      <w:bookmarkEnd w:id="0"/>
      <w:r>
        <w:rPr>
          <w:rFonts w:cstheme="minorHAnsi"/>
        </w:rPr>
        <w:t xml:space="preserve"> ods. 1 vkladajú nové ods. 2 a 3, ktoré znejú: </w:t>
      </w:r>
    </w:p>
    <w:p w14:paraId="50D0F505" w14:textId="77777777" w:rsidR="00C452E8" w:rsidRDefault="00C452E8" w:rsidP="00C452E8">
      <w:pPr>
        <w:pStyle w:val="Odsekzoznamu"/>
      </w:pPr>
      <w:r>
        <w:rPr>
          <w:rFonts w:cstheme="minorHAnsi"/>
        </w:rPr>
        <w:t xml:space="preserve">„(2) Ak medziročný rast spotrebiteľských cien </w:t>
      </w:r>
      <w:r>
        <w:t xml:space="preserve">za domácnosti dôchodcov </w:t>
      </w:r>
      <w:r>
        <w:rPr>
          <w:rFonts w:cstheme="minorHAnsi"/>
        </w:rPr>
        <w:t xml:space="preserve">za prvý polrok príslušného roka </w:t>
      </w:r>
      <w:r>
        <w:t xml:space="preserve">vykázaný štatistickým úradom </w:t>
      </w:r>
      <w:r>
        <w:rPr>
          <w:rFonts w:cstheme="minorHAnsi"/>
        </w:rPr>
        <w:t>dosiahne aspoň päť percent, d</w:t>
      </w:r>
      <w:r>
        <w:t>ôchodková dávka vyplácaná k 1. júlu príslušného kalendárneho roka a dôchodková dávka priznaná od 1. júla  do 31. decembra príslušného kalendárneho roka sa zvyšuje o percento medziročného rastu spotrebiteľských cien za domácnosti dôchodcov vykázaného štatistickým úradom za prvý polrok príslušného kalendárneho roka.</w:t>
      </w:r>
    </w:p>
    <w:p w14:paraId="7B54AEF5" w14:textId="77777777" w:rsidR="00C452E8" w:rsidRPr="00484CD5" w:rsidRDefault="00C452E8" w:rsidP="00C452E8">
      <w:pPr>
        <w:pStyle w:val="Odsekzoznamu"/>
      </w:pPr>
      <w:r>
        <w:t>(3) Dôchodková dávka vyplácaná k 1. januáru príslušného kalendárneho roka nasledujúceho po roku, v ktorom sa uplatní postup podľa ods. 2 sa nezvyšuje podľa ods. 1, ale zvyšuje sa o percento trojmesačného priemeru mesačného rastu spotrebiteľských cien za domácnosti dôchodcov vykázaného štatistickým úradom za siedmy, ôsmy a deviaty mesiac kalendárneho roka, ktorý predchádza príslušnému kalendárnemu roku.“.</w:t>
      </w:r>
    </w:p>
    <w:p w14:paraId="7AC8EDA7" w14:textId="77777777" w:rsidR="00C452E8" w:rsidRDefault="00C452E8" w:rsidP="00C452E8">
      <w:pPr>
        <w:pStyle w:val="Odsekzoznamu"/>
        <w:numPr>
          <w:ilvl w:val="0"/>
          <w:numId w:val="2"/>
        </w:numPr>
        <w:spacing w:before="0" w:after="0"/>
        <w:rPr>
          <w:rFonts w:cstheme="minorHAnsi"/>
          <w:bCs/>
          <w:color w:val="000000"/>
        </w:rPr>
      </w:pPr>
      <w:r>
        <w:rPr>
          <w:rFonts w:cstheme="minorHAnsi"/>
        </w:rPr>
        <w:t>V § 82 sa ods. 9 sa vkladá druhá veta, ktorá znie: „V prípade postupu podľa ods. 2 sa výška v</w:t>
      </w:r>
      <w:r>
        <w:t>dovského dôchodku, vdoveckého dôchodku a sirotského dôchodku v príslušnom kalendárnom roku s účinnosťou od 1. júla určí zo starobného dôchodku, predčasného starobného dôchodku alebo invalidného dôchodku zvýšeného k 1. júlu príslušného kalendárnom roka.“</w:t>
      </w:r>
    </w:p>
    <w:p w14:paraId="09521B3A" w14:textId="77777777" w:rsidR="00C452E8" w:rsidRDefault="00C452E8" w:rsidP="00C452E8">
      <w:pPr>
        <w:pStyle w:val="Odsekzoznamu"/>
        <w:numPr>
          <w:ilvl w:val="0"/>
          <w:numId w:val="2"/>
        </w:numPr>
        <w:spacing w:before="0" w:after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V § 82 ods. 10 sa číslica „8“ mení na číslicu „10“.</w:t>
      </w:r>
    </w:p>
    <w:p w14:paraId="2DEB47C7" w14:textId="77777777" w:rsidR="00C452E8" w:rsidRPr="00090CEE" w:rsidRDefault="00C452E8" w:rsidP="00C452E8">
      <w:pPr>
        <w:pStyle w:val="Odsekzoznamu"/>
        <w:numPr>
          <w:ilvl w:val="0"/>
          <w:numId w:val="2"/>
        </w:numPr>
        <w:spacing w:before="0" w:after="0"/>
        <w:rPr>
          <w:rFonts w:cstheme="minorHAnsi"/>
          <w:bCs/>
          <w:color w:val="000000"/>
        </w:rPr>
      </w:pPr>
      <w:r w:rsidRPr="00090CEE">
        <w:rPr>
          <w:rFonts w:cstheme="minorHAnsi"/>
          <w:bCs/>
          <w:color w:val="000000"/>
        </w:rPr>
        <w:t>V § 233 ods. 5 písm. b) v druhom a treťom bode sa slová „30. septembra“ nahrádzajú slovami „31. októbra“.</w:t>
      </w:r>
    </w:p>
    <w:p w14:paraId="362D709D" w14:textId="77777777" w:rsidR="00C452E8" w:rsidRDefault="00C452E8" w:rsidP="00C452E8">
      <w:pPr>
        <w:pStyle w:val="Odsekzoznamu"/>
        <w:numPr>
          <w:ilvl w:val="0"/>
          <w:numId w:val="2"/>
        </w:numPr>
        <w:spacing w:before="0" w:after="200" w:line="276" w:lineRule="auto"/>
        <w:rPr>
          <w:rFonts w:cstheme="minorHAnsi"/>
        </w:rPr>
      </w:pPr>
      <w:r>
        <w:rPr>
          <w:rFonts w:cstheme="minorHAnsi"/>
        </w:rPr>
        <w:t xml:space="preserve">V § 233 ods. 5 písm. b) sa za tretí bod dopĺňa nový štvrtý bod, ktorý znie: </w:t>
      </w:r>
    </w:p>
    <w:p w14:paraId="1664F90F" w14:textId="08461047" w:rsidR="00BE122F" w:rsidRDefault="00C452E8" w:rsidP="00C452E8">
      <w:pPr>
        <w:pStyle w:val="Odsekzoznamu"/>
        <w:ind w:left="567" w:firstLine="0"/>
      </w:pPr>
      <w:r>
        <w:rPr>
          <w:rFonts w:cstheme="minorHAnsi"/>
        </w:rPr>
        <w:t xml:space="preserve">„4. do 30. júla </w:t>
      </w:r>
      <w:r>
        <w:t>medziročný rast spotrebiteľských cien za domácnosti dôchodcov za prvý polrok aktuálneho roka,“.</w:t>
      </w:r>
    </w:p>
    <w:p w14:paraId="5F07D504" w14:textId="5FFF4027" w:rsidR="00852CEC" w:rsidRDefault="00852CEC" w:rsidP="0085544D">
      <w:pPr>
        <w:spacing w:before="0" w:after="0"/>
        <w:ind w:left="0" w:firstLine="0"/>
        <w:jc w:val="center"/>
        <w:rPr>
          <w:b/>
        </w:rPr>
      </w:pPr>
      <w:r w:rsidRPr="00852CEC">
        <w:rPr>
          <w:b/>
        </w:rPr>
        <w:t>Čl. II</w:t>
      </w:r>
    </w:p>
    <w:p w14:paraId="2F752AF8" w14:textId="77777777" w:rsidR="0085544D" w:rsidRDefault="0085544D" w:rsidP="0085544D">
      <w:pPr>
        <w:pStyle w:val="Odsekzoznamu"/>
        <w:spacing w:before="0" w:after="0"/>
        <w:ind w:left="0" w:firstLine="0"/>
        <w:rPr>
          <w:szCs w:val="24"/>
        </w:rPr>
      </w:pPr>
    </w:p>
    <w:p w14:paraId="755D63F6" w14:textId="272A5C74" w:rsidR="00852CEC" w:rsidRPr="00F17B03" w:rsidRDefault="00C444CE" w:rsidP="00C444CE">
      <w:pPr>
        <w:spacing w:before="0" w:after="0"/>
        <w:ind w:left="0"/>
        <w:rPr>
          <w:szCs w:val="24"/>
        </w:rPr>
      </w:pPr>
      <w:r>
        <w:rPr>
          <w:rFonts w:cstheme="minorHAnsi"/>
        </w:rPr>
        <w:t>Tento zákon nadobúda účinnosť 1. 3. 2023 s výnimkou čl. I bod 1., ktorý nadobúda účinnosť 1. 1. 2024.</w:t>
      </w:r>
    </w:p>
    <w:sectPr w:rsidR="00852CEC" w:rsidRPr="00F17B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5AF66" w14:textId="77777777" w:rsidR="001B12B6" w:rsidRDefault="001B12B6" w:rsidP="00C0691C">
      <w:pPr>
        <w:spacing w:before="0" w:after="0"/>
      </w:pPr>
      <w:r>
        <w:separator/>
      </w:r>
    </w:p>
  </w:endnote>
  <w:endnote w:type="continuationSeparator" w:id="0">
    <w:p w14:paraId="40DCD536" w14:textId="77777777" w:rsidR="001B12B6" w:rsidRDefault="001B12B6" w:rsidP="00C0691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DA9ED" w14:textId="77777777" w:rsidR="00C74E95" w:rsidRDefault="00C74E9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31B7D" w14:textId="77777777" w:rsidR="00C74E95" w:rsidRDefault="00C74E9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C72CE" w14:textId="77777777" w:rsidR="00C74E95" w:rsidRDefault="00C74E9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444DB" w14:textId="77777777" w:rsidR="001B12B6" w:rsidRDefault="001B12B6" w:rsidP="00C0691C">
      <w:pPr>
        <w:spacing w:before="0" w:after="0"/>
      </w:pPr>
      <w:r>
        <w:separator/>
      </w:r>
    </w:p>
  </w:footnote>
  <w:footnote w:type="continuationSeparator" w:id="0">
    <w:p w14:paraId="3624EC6A" w14:textId="77777777" w:rsidR="001B12B6" w:rsidRDefault="001B12B6" w:rsidP="00C0691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24097" w14:textId="77777777" w:rsidR="00C74E95" w:rsidRDefault="00C74E9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FEC1F" w14:textId="77777777" w:rsidR="00C74E95" w:rsidRDefault="00C74E9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665D8" w14:textId="77777777" w:rsidR="00C74E95" w:rsidRDefault="00C74E9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04EC4"/>
    <w:multiLevelType w:val="hybridMultilevel"/>
    <w:tmpl w:val="B0E4A818"/>
    <w:lvl w:ilvl="0" w:tplc="18A03152">
      <w:start w:val="1"/>
      <w:numFmt w:val="decimal"/>
      <w:lvlText w:val="%1."/>
      <w:lvlJc w:val="left"/>
      <w:pPr>
        <w:ind w:left="1225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945" w:hanging="360"/>
      </w:pPr>
    </w:lvl>
    <w:lvl w:ilvl="2" w:tplc="041B001B" w:tentative="1">
      <w:start w:val="1"/>
      <w:numFmt w:val="lowerRoman"/>
      <w:lvlText w:val="%3."/>
      <w:lvlJc w:val="right"/>
      <w:pPr>
        <w:ind w:left="2665" w:hanging="180"/>
      </w:pPr>
    </w:lvl>
    <w:lvl w:ilvl="3" w:tplc="041B000F" w:tentative="1">
      <w:start w:val="1"/>
      <w:numFmt w:val="decimal"/>
      <w:lvlText w:val="%4."/>
      <w:lvlJc w:val="left"/>
      <w:pPr>
        <w:ind w:left="3385" w:hanging="360"/>
      </w:pPr>
    </w:lvl>
    <w:lvl w:ilvl="4" w:tplc="041B0019" w:tentative="1">
      <w:start w:val="1"/>
      <w:numFmt w:val="lowerLetter"/>
      <w:lvlText w:val="%5."/>
      <w:lvlJc w:val="left"/>
      <w:pPr>
        <w:ind w:left="4105" w:hanging="360"/>
      </w:pPr>
    </w:lvl>
    <w:lvl w:ilvl="5" w:tplc="041B001B" w:tentative="1">
      <w:start w:val="1"/>
      <w:numFmt w:val="lowerRoman"/>
      <w:lvlText w:val="%6."/>
      <w:lvlJc w:val="right"/>
      <w:pPr>
        <w:ind w:left="4825" w:hanging="180"/>
      </w:pPr>
    </w:lvl>
    <w:lvl w:ilvl="6" w:tplc="041B000F" w:tentative="1">
      <w:start w:val="1"/>
      <w:numFmt w:val="decimal"/>
      <w:lvlText w:val="%7."/>
      <w:lvlJc w:val="left"/>
      <w:pPr>
        <w:ind w:left="5545" w:hanging="360"/>
      </w:pPr>
    </w:lvl>
    <w:lvl w:ilvl="7" w:tplc="041B0019" w:tentative="1">
      <w:start w:val="1"/>
      <w:numFmt w:val="lowerLetter"/>
      <w:lvlText w:val="%8."/>
      <w:lvlJc w:val="left"/>
      <w:pPr>
        <w:ind w:left="6265" w:hanging="360"/>
      </w:pPr>
    </w:lvl>
    <w:lvl w:ilvl="8" w:tplc="041B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1" w15:restartNumberingAfterBreak="0">
    <w:nsid w:val="492C609D"/>
    <w:multiLevelType w:val="hybridMultilevel"/>
    <w:tmpl w:val="37620E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1MDC1NDc1tTCxsLRQ0lEKTi0uzszPAykwrAUAObnMoSwAAAA="/>
  </w:docVars>
  <w:rsids>
    <w:rsidRoot w:val="009B5D48"/>
    <w:rsid w:val="00062C51"/>
    <w:rsid w:val="000D40D2"/>
    <w:rsid w:val="00181E8B"/>
    <w:rsid w:val="001B12B6"/>
    <w:rsid w:val="001B7843"/>
    <w:rsid w:val="0020212C"/>
    <w:rsid w:val="00256A18"/>
    <w:rsid w:val="002E4413"/>
    <w:rsid w:val="003217D5"/>
    <w:rsid w:val="00357EE6"/>
    <w:rsid w:val="003B0DA0"/>
    <w:rsid w:val="004048C7"/>
    <w:rsid w:val="00432CD3"/>
    <w:rsid w:val="0047414F"/>
    <w:rsid w:val="004D0D64"/>
    <w:rsid w:val="00547895"/>
    <w:rsid w:val="00581583"/>
    <w:rsid w:val="00581F80"/>
    <w:rsid w:val="005960D1"/>
    <w:rsid w:val="005A2384"/>
    <w:rsid w:val="00641120"/>
    <w:rsid w:val="00672711"/>
    <w:rsid w:val="00690810"/>
    <w:rsid w:val="006918DE"/>
    <w:rsid w:val="007349E4"/>
    <w:rsid w:val="007A0B8C"/>
    <w:rsid w:val="007B37F4"/>
    <w:rsid w:val="00813C04"/>
    <w:rsid w:val="00852CEC"/>
    <w:rsid w:val="0085544D"/>
    <w:rsid w:val="00867B2D"/>
    <w:rsid w:val="00943505"/>
    <w:rsid w:val="00944933"/>
    <w:rsid w:val="00954B52"/>
    <w:rsid w:val="009866B3"/>
    <w:rsid w:val="009B5D48"/>
    <w:rsid w:val="009F67D2"/>
    <w:rsid w:val="00A127EF"/>
    <w:rsid w:val="00A27F4F"/>
    <w:rsid w:val="00A30611"/>
    <w:rsid w:val="00AB520F"/>
    <w:rsid w:val="00B82125"/>
    <w:rsid w:val="00BA635F"/>
    <w:rsid w:val="00BB617E"/>
    <w:rsid w:val="00BE003A"/>
    <w:rsid w:val="00BE122F"/>
    <w:rsid w:val="00BF678D"/>
    <w:rsid w:val="00C0691C"/>
    <w:rsid w:val="00C21331"/>
    <w:rsid w:val="00C444CE"/>
    <w:rsid w:val="00C452E8"/>
    <w:rsid w:val="00C60186"/>
    <w:rsid w:val="00C74E95"/>
    <w:rsid w:val="00C933B4"/>
    <w:rsid w:val="00CE3F79"/>
    <w:rsid w:val="00D5463E"/>
    <w:rsid w:val="00D621E3"/>
    <w:rsid w:val="00D738A9"/>
    <w:rsid w:val="00DA2FA5"/>
    <w:rsid w:val="00F33714"/>
    <w:rsid w:val="00F46820"/>
    <w:rsid w:val="00FE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2CC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B5D48"/>
    <w:pPr>
      <w:spacing w:before="240" w:after="240" w:line="240" w:lineRule="auto"/>
      <w:ind w:left="-62" w:firstLine="567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9B5D4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B5D48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B5D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B5D4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5D48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852CE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0691C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C0691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0691C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C0691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1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A127EF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865</Words>
  <Characters>4936</Characters>
  <Application>Microsoft Office Word</Application>
  <DocSecurity>0</DocSecurity>
  <Lines>41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2022-09-13T12:05:00Z</dcterms:created>
  <dcterms:modified xsi:type="dcterms:W3CDTF">2022-11-11T07:42:00Z</dcterms:modified>
</cp:coreProperties>
</file>