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8270C" w14:textId="77777777" w:rsidR="0074282F" w:rsidRPr="0008694F" w:rsidRDefault="0074282F" w:rsidP="0074282F">
      <w:pPr>
        <w:spacing w:after="0" w:line="240" w:lineRule="auto"/>
        <w:jc w:val="center"/>
        <w:rPr>
          <w:rFonts w:ascii="Times New Roman" w:hAnsi="Times New Roman" w:cs="Times New Roman"/>
          <w:b/>
          <w:sz w:val="24"/>
          <w:szCs w:val="24"/>
        </w:rPr>
      </w:pPr>
      <w:r w:rsidRPr="0008694F">
        <w:rPr>
          <w:rFonts w:ascii="Times New Roman" w:hAnsi="Times New Roman" w:cs="Times New Roman"/>
          <w:b/>
          <w:sz w:val="24"/>
          <w:szCs w:val="24"/>
        </w:rPr>
        <w:t>Dôvodová správa</w:t>
      </w:r>
    </w:p>
    <w:p w14:paraId="003ED03B" w14:textId="77777777" w:rsidR="0074282F" w:rsidRPr="0008694F" w:rsidRDefault="0074282F" w:rsidP="0074282F">
      <w:pPr>
        <w:spacing w:after="0" w:line="240" w:lineRule="auto"/>
        <w:jc w:val="center"/>
        <w:rPr>
          <w:rFonts w:ascii="Times New Roman" w:hAnsi="Times New Roman" w:cs="Times New Roman"/>
          <w:b/>
          <w:sz w:val="24"/>
          <w:szCs w:val="24"/>
        </w:rPr>
      </w:pPr>
    </w:p>
    <w:p w14:paraId="04C704E2" w14:textId="77777777" w:rsidR="0074282F" w:rsidRPr="00895E96" w:rsidRDefault="0074282F" w:rsidP="0074282F">
      <w:pPr>
        <w:spacing w:after="0" w:line="240" w:lineRule="auto"/>
        <w:jc w:val="both"/>
        <w:rPr>
          <w:rFonts w:ascii="Times New Roman" w:hAnsi="Times New Roman" w:cs="Times New Roman"/>
          <w:b/>
          <w:sz w:val="24"/>
          <w:szCs w:val="24"/>
        </w:rPr>
      </w:pPr>
      <w:r w:rsidRPr="0008694F">
        <w:rPr>
          <w:rFonts w:ascii="Times New Roman" w:hAnsi="Times New Roman" w:cs="Times New Roman"/>
          <w:b/>
          <w:sz w:val="24"/>
          <w:szCs w:val="24"/>
        </w:rPr>
        <w:t>A. Všeobecná časť</w:t>
      </w:r>
    </w:p>
    <w:p w14:paraId="62131456" w14:textId="702DC69A" w:rsidR="0074282F" w:rsidRPr="00895E96" w:rsidRDefault="0074282F" w:rsidP="0074282F">
      <w:pPr>
        <w:pStyle w:val="Normlnywebov"/>
        <w:spacing w:before="240" w:beforeAutospacing="0"/>
        <w:ind w:firstLine="708"/>
        <w:jc w:val="both"/>
      </w:pPr>
      <w:r>
        <w:t>Vláda Slovenskej republiky</w:t>
      </w:r>
      <w:r w:rsidRPr="00895E96">
        <w:t xml:space="preserve"> predkladá na </w:t>
      </w:r>
      <w:r>
        <w:t>rokovanie N</w:t>
      </w:r>
      <w:r w:rsidRPr="00166716">
        <w:t>árodnej rady Slovenskej republiky</w:t>
      </w:r>
      <w:r>
        <w:t xml:space="preserve"> </w:t>
      </w:r>
      <w:r w:rsidRPr="00895E96">
        <w:t xml:space="preserve">návrh zákona, </w:t>
      </w:r>
      <w:r w:rsidRPr="00002004">
        <w:t xml:space="preserve">ktorým sa mení a dopĺňa zákon č. 54/2019 Z. z. o ochrane oznamovateľov protispoločenskej činnosti a o zmene a doplnení niektorých zákonov a ktorým sa mení 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Pr="00895E96">
        <w:t>(ďalej len „návrh zákona“).</w:t>
      </w:r>
    </w:p>
    <w:p w14:paraId="11002556" w14:textId="77777777" w:rsidR="0074282F" w:rsidRPr="00895E96" w:rsidRDefault="0074282F" w:rsidP="0074282F">
      <w:pPr>
        <w:pStyle w:val="Normlnywebov"/>
        <w:spacing w:before="240" w:beforeAutospacing="0"/>
        <w:ind w:firstLine="708"/>
        <w:jc w:val="both"/>
      </w:pPr>
      <w:r w:rsidRPr="00895E96">
        <w:t xml:space="preserve">Návrh zákona predstavuje realizáciu úlohy B.1 uznesenia vlády Slovenskej republiky </w:t>
      </w:r>
      <w:r>
        <w:t xml:space="preserve">                                                                 </w:t>
      </w:r>
      <w:r w:rsidRPr="00895E96">
        <w:t>č. 340 zo 16. júna 2021 k „</w:t>
      </w:r>
      <w:r w:rsidRPr="00895E96">
        <w:rPr>
          <w:i/>
        </w:rPr>
        <w:t>Plánu legislatívnych úloh vlády Slovenskej republiky na mesiace jún až december 2021</w:t>
      </w:r>
      <w:r w:rsidRPr="00895E96">
        <w:t xml:space="preserve">“, úlohy B.17 uznesenia vlády č. 468 z 15. júla 2020 k </w:t>
      </w:r>
      <w:r w:rsidRPr="00895E96">
        <w:rPr>
          <w:i/>
        </w:rPr>
        <w:t>„návrhu na určenie gestorských ústredných orgánov štátnej správy a niektorých orgánov verejnej moci zodpovedných za prebratie a aplikáciu smerníc“</w:t>
      </w:r>
      <w:r w:rsidRPr="00895E96">
        <w:t xml:space="preserve"> a úlohy č. 27 Plánu legislatívnych úloh vlády na rok 2021. </w:t>
      </w:r>
    </w:p>
    <w:p w14:paraId="4DA50BC3" w14:textId="77777777" w:rsidR="0074282F" w:rsidRPr="00895E96" w:rsidRDefault="0074282F" w:rsidP="0074282F">
      <w:pPr>
        <w:pStyle w:val="Normlnywebov"/>
        <w:spacing w:after="0"/>
        <w:ind w:firstLine="720"/>
        <w:jc w:val="both"/>
      </w:pPr>
      <w:r w:rsidRPr="00895E96">
        <w:t>Zákon č. 54/2019 Z. z. o ochrane oznamovateľov protispoločenskej činnosti a o zmene a doplnení niektorých zákonov, ktorý a priori návrh zákona novelizuje</w:t>
      </w:r>
      <w:r>
        <w:t>,</w:t>
      </w:r>
      <w:r w:rsidRPr="00895E96">
        <w:t xml:space="preserve"> nadobudol účinnosť 1. marca 2019 a nadviazal na poznatky, ktoré vyplynuli z praxe zákona č. 307/2014 Z. z. v znení zákona č. 125/2016 Z. z. Súčasne znenie dotknutého zákona nemožno považovať za znenie, ktoré by bolo v súlade s úniovým právom a preto je predmetom návrhu zákona najmä transpozícia smernice Európskeho parlamentu a Rady (EÚ) 2019/1937 z 23. októbra 2019 o ochrane osôb, ktoré</w:t>
      </w:r>
      <w:r>
        <w:t xml:space="preserve"> nahlasujú porušenia práva Únie (</w:t>
      </w:r>
      <w:r w:rsidRPr="0005669D">
        <w:t xml:space="preserve">Ú. v. EÚ L 305, 26.11.2019) </w:t>
      </w:r>
      <w:r>
        <w:t xml:space="preserve">v platnom znení </w:t>
      </w:r>
      <w:r w:rsidRPr="00895E96">
        <w:t>(ďalej len „smernica (EÚ) 2019/1937</w:t>
      </w:r>
      <w:r>
        <w:t xml:space="preserve"> v platnom znení</w:t>
      </w:r>
      <w:r w:rsidRPr="00895E96">
        <w:t xml:space="preserve">“). </w:t>
      </w:r>
      <w:r>
        <w:t>Obsahom návrhu zákona je najmä prebratie</w:t>
      </w:r>
      <w:r w:rsidRPr="00895E96">
        <w:t xml:space="preserve"> jednotlivých článkov smernice (EÚ) 2019/1937 </w:t>
      </w:r>
      <w:r>
        <w:t xml:space="preserve">v platnom znení </w:t>
      </w:r>
      <w:r w:rsidRPr="00895E96">
        <w:t xml:space="preserve">do súčasného znenia zákona. Uvedená smernica (EÚ) 2019/1937 </w:t>
      </w:r>
      <w:r>
        <w:t xml:space="preserve">v platnom znení do dnešného dňa nebola dostatočne, v plnej miere a správne transponovaná do slovenského vnútroštátneho právneho poriadku. Z tohto dôvodu Slovenskej republike hrozí nesplnenie záväzkov vyplývajúcich zo Zmluvy o pristúpení Slovenskej republiky k Európskej únii nedodržaním lehoty určenej na prebratie smernice (EÚ) 2019/1937 v platnom znení. </w:t>
      </w:r>
    </w:p>
    <w:p w14:paraId="4FC12888" w14:textId="77777777" w:rsidR="0074282F" w:rsidRDefault="0074282F" w:rsidP="0074282F">
      <w:pPr>
        <w:pStyle w:val="Normlnywebov"/>
        <w:spacing w:before="0" w:beforeAutospacing="0" w:after="240" w:afterAutospacing="0"/>
        <w:ind w:firstLine="720"/>
        <w:jc w:val="both"/>
      </w:pPr>
      <w:r w:rsidRPr="00895E96">
        <w:t xml:space="preserve">Zároveň, návrh zákona reaguje na viaceré nedostatky právnej úpravy, ktoré boli predkladateľom v spolupráci s Úradom na ochranu oznamovateľov protispoločenskej činnosti identifikované až v aplikačnej praxi. </w:t>
      </w:r>
      <w:r>
        <w:t>Nad rámec transpozície sa navrhuje zmena názvu Úradu na ochranu oznamovateľov protispoločenskej činnosti a to na kratší názov „Úrad na ochranu oznamovateľov“.</w:t>
      </w:r>
    </w:p>
    <w:p w14:paraId="403CCA70" w14:textId="77777777" w:rsidR="0074282F" w:rsidRPr="00895E96" w:rsidRDefault="0074282F" w:rsidP="0074282F">
      <w:pPr>
        <w:pStyle w:val="Normlnywebov"/>
        <w:spacing w:after="240"/>
        <w:ind w:firstLine="720"/>
        <w:jc w:val="both"/>
      </w:pPr>
      <w:r>
        <w:t xml:space="preserve">Platné znenie § 1 ods. 1 písm. a) zákona o ochrane oznamovateľov v platnom znení má širšiu vecnú pôsobnosť, než vyžaduje smernica (EÚ) č. 2019/1937 v platnom znení v zmysle čl. 2 ods. 2. V § 1 ods. 1 písm. a) zákona o ochrane oznamovateľov v platnom znení definuje podmienky poskytovania ochrany osobám v pracovnoprávnom vzťahu v súvislosti s oznamovaním kriminality alebo inej protispoločenskej činnosti. Cieľom predmetného návrhu zákona nie je zúžiť vecnú pôsobnosť zákona o ochrane oznamovateľov v platnom znení, a teda zúžiť už existujúcu ochranu oznamovateľov akejkoľvek protispoločenskej činnosti. V § 10 ods. 1 zákona o ochrane oznamovateľov v platnom znení je od roku 2019 zavedená povinnosť pre všetkých zamestnávateľov, ktorí zamestnávajú viac ako 50 zamestnancov mať vnútorný kanál preverovania oznámení a určenú zodpovednú osobu. Uvedeným je teda nad rámec požiadavky </w:t>
      </w:r>
      <w:r>
        <w:lastRenderedPageBreak/>
        <w:t xml:space="preserve">stanovenej v čl. 26 ods. 2 smernice (EÚ) 2019/1937 v platnom znení už zavedená povinnosť aj pre zamestnávateľov, ktorí zamestnávajú 50 a viac zamestnancov a menej ako 250 zamestnancov mať vnútorné kanály preverovania oznámení. V nadväznosti na čl. 20 ods. 2 smernice (EÚ) 2019/1937 v platnom znení, predkladateľ v § 20 ods. 2  návrhu zákona rozširuje možnosť Úradu na ochranu oznamovateľov protispoločenskej uhradiť náklady na advokáta alebo iného právneho zástupcu, ak ho potreboval oznamovateľ v súvislosti s oznámením. </w:t>
      </w:r>
    </w:p>
    <w:p w14:paraId="772F0D24" w14:textId="77777777" w:rsidR="0074282F" w:rsidRPr="00895E96" w:rsidRDefault="0074282F" w:rsidP="0074282F">
      <w:pPr>
        <w:spacing w:line="240" w:lineRule="auto"/>
        <w:ind w:firstLine="708"/>
        <w:jc w:val="both"/>
        <w:rPr>
          <w:rFonts w:ascii="Times New Roman" w:hAnsi="Times New Roman" w:cs="Times New Roman"/>
          <w:sz w:val="24"/>
          <w:szCs w:val="24"/>
        </w:rPr>
      </w:pPr>
      <w:r w:rsidRPr="00895E96">
        <w:rPr>
          <w:rFonts w:ascii="Times New Roman" w:hAnsi="Times New Roman" w:cs="Times New Roman"/>
          <w:sz w:val="24"/>
          <w:szCs w:val="24"/>
        </w:rPr>
        <w:t xml:space="preserve">Návrh zákona je kontinuitný vo vzťahu k platnej právnej úprave, z ktorej vychádza a na ktorú nadväzuje. Primárnym cieľom návrhu zákona je najmä posilnenie presadzovania práva a právom chránených záujmov oznamovateľov kriminality alebo inej protispoločenskej činnosti a  podpora postihovania protispoločenskej činnosti za účasti verejnosti. </w:t>
      </w:r>
    </w:p>
    <w:p w14:paraId="631811D7" w14:textId="77777777" w:rsidR="0074282F" w:rsidRPr="00895E96" w:rsidRDefault="0074282F" w:rsidP="0074282F">
      <w:pPr>
        <w:spacing w:after="4"/>
        <w:ind w:firstLine="708"/>
        <w:jc w:val="both"/>
        <w:rPr>
          <w:rFonts w:ascii="Times New Roman" w:hAnsi="Times New Roman" w:cs="Times New Roman"/>
          <w:iCs/>
          <w:noProof/>
          <w:sz w:val="24"/>
          <w:szCs w:val="24"/>
        </w:rPr>
      </w:pPr>
      <w:r w:rsidRPr="00895E96">
        <w:rPr>
          <w:rFonts w:ascii="Times New Roman" w:hAnsi="Times New Roman" w:cs="Times New Roman"/>
          <w:iCs/>
          <w:noProof/>
          <w:sz w:val="24"/>
          <w:szCs w:val="24"/>
        </w:rPr>
        <w:t xml:space="preserve">Medzi najvýznamnejšie </w:t>
      </w:r>
      <w:r>
        <w:rPr>
          <w:rFonts w:ascii="Times New Roman" w:hAnsi="Times New Roman" w:cs="Times New Roman"/>
          <w:iCs/>
          <w:noProof/>
          <w:sz w:val="24"/>
          <w:szCs w:val="24"/>
        </w:rPr>
        <w:t xml:space="preserve">zmeny </w:t>
      </w:r>
      <w:r w:rsidRPr="00895E96">
        <w:rPr>
          <w:rFonts w:ascii="Times New Roman" w:hAnsi="Times New Roman" w:cs="Times New Roman"/>
          <w:iCs/>
          <w:noProof/>
          <w:sz w:val="24"/>
          <w:szCs w:val="24"/>
        </w:rPr>
        <w:t>obsiahnuté v návrhu zákona, patria:</w:t>
      </w:r>
    </w:p>
    <w:p w14:paraId="2D71575F" w14:textId="77777777" w:rsidR="0074282F" w:rsidRPr="00895E96" w:rsidRDefault="0074282F" w:rsidP="0074282F">
      <w:pPr>
        <w:pStyle w:val="Odsekzoznamu"/>
        <w:numPr>
          <w:ilvl w:val="0"/>
          <w:numId w:val="7"/>
        </w:numPr>
        <w:spacing w:after="4"/>
        <w:ind w:left="426" w:hanging="426"/>
        <w:jc w:val="both"/>
        <w:rPr>
          <w:rFonts w:ascii="Times New Roman" w:hAnsi="Times New Roman" w:cs="Times New Roman"/>
          <w:iCs/>
          <w:noProof/>
          <w:sz w:val="24"/>
          <w:szCs w:val="24"/>
        </w:rPr>
      </w:pPr>
      <w:r w:rsidRPr="00895E96">
        <w:rPr>
          <w:rFonts w:ascii="Times New Roman" w:hAnsi="Times New Roman" w:cs="Times New Roman"/>
          <w:iCs/>
          <w:noProof/>
          <w:sz w:val="24"/>
          <w:szCs w:val="24"/>
        </w:rPr>
        <w:t xml:space="preserve">rozšírenie poskytovania ochrany osobám nahlasujúcim porušenia práva Únie, </w:t>
      </w:r>
    </w:p>
    <w:p w14:paraId="7031B16C" w14:textId="77777777" w:rsidR="0074282F" w:rsidRPr="00895E96" w:rsidRDefault="0074282F" w:rsidP="0074282F">
      <w:pPr>
        <w:pStyle w:val="Odsekzoznamu"/>
        <w:numPr>
          <w:ilvl w:val="0"/>
          <w:numId w:val="7"/>
        </w:numPr>
        <w:spacing w:after="4"/>
        <w:ind w:left="426" w:hanging="426"/>
        <w:jc w:val="both"/>
        <w:rPr>
          <w:rFonts w:ascii="Times New Roman" w:hAnsi="Times New Roman" w:cs="Times New Roman"/>
          <w:iCs/>
          <w:noProof/>
          <w:sz w:val="24"/>
          <w:szCs w:val="24"/>
        </w:rPr>
      </w:pPr>
      <w:r w:rsidRPr="00895E96">
        <w:rPr>
          <w:rFonts w:ascii="Times New Roman" w:hAnsi="Times New Roman" w:cs="Times New Roman"/>
          <w:iCs/>
          <w:noProof/>
          <w:sz w:val="24"/>
          <w:szCs w:val="24"/>
        </w:rPr>
        <w:t>rozšírenie poskytovania ochrany osobe, ktorá v zákonom vymedzených prípadoch zverejnila informácie o protispoločenskej činnosti,</w:t>
      </w:r>
    </w:p>
    <w:p w14:paraId="3D707B3D" w14:textId="77777777" w:rsidR="0074282F" w:rsidRPr="00895E96" w:rsidRDefault="0074282F" w:rsidP="0074282F">
      <w:pPr>
        <w:pStyle w:val="Odsekzoznamu"/>
        <w:numPr>
          <w:ilvl w:val="0"/>
          <w:numId w:val="7"/>
        </w:numPr>
        <w:spacing w:after="4"/>
        <w:ind w:left="426" w:hanging="426"/>
        <w:jc w:val="both"/>
        <w:rPr>
          <w:rFonts w:ascii="Times New Roman" w:hAnsi="Times New Roman" w:cs="Times New Roman"/>
          <w:iCs/>
          <w:noProof/>
          <w:sz w:val="24"/>
          <w:szCs w:val="24"/>
        </w:rPr>
      </w:pPr>
      <w:r w:rsidRPr="00895E96">
        <w:rPr>
          <w:rFonts w:ascii="Times New Roman" w:hAnsi="Times New Roman" w:cs="Times New Roman"/>
          <w:iCs/>
          <w:noProof/>
          <w:sz w:val="24"/>
          <w:szCs w:val="24"/>
        </w:rPr>
        <w:t>rozšírenie poskytovania ochrany osobe, ktorá podala oznámenie anonymne a ktorej totožnosť bola následne odhalená,</w:t>
      </w:r>
    </w:p>
    <w:p w14:paraId="1F34A881" w14:textId="77777777" w:rsidR="0074282F" w:rsidRDefault="0074282F" w:rsidP="0074282F">
      <w:pPr>
        <w:pStyle w:val="Odsekzoznamu"/>
        <w:numPr>
          <w:ilvl w:val="0"/>
          <w:numId w:val="7"/>
        </w:numPr>
        <w:spacing w:after="4"/>
        <w:ind w:left="426" w:hanging="426"/>
        <w:jc w:val="both"/>
        <w:rPr>
          <w:rFonts w:ascii="Times New Roman" w:hAnsi="Times New Roman" w:cs="Times New Roman"/>
          <w:iCs/>
          <w:noProof/>
          <w:sz w:val="24"/>
          <w:szCs w:val="24"/>
        </w:rPr>
      </w:pPr>
      <w:r w:rsidRPr="00895E96">
        <w:rPr>
          <w:rFonts w:ascii="Times New Roman" w:hAnsi="Times New Roman" w:cs="Times New Roman"/>
          <w:iCs/>
          <w:noProof/>
          <w:sz w:val="24"/>
          <w:szCs w:val="24"/>
        </w:rPr>
        <w:t xml:space="preserve">rozšírenie </w:t>
      </w:r>
      <w:r>
        <w:rPr>
          <w:rFonts w:ascii="Times New Roman" w:hAnsi="Times New Roman" w:cs="Times New Roman"/>
          <w:iCs/>
          <w:noProof/>
          <w:sz w:val="24"/>
          <w:szCs w:val="24"/>
        </w:rPr>
        <w:t>osobnej pôsobnosti zákona,</w:t>
      </w:r>
    </w:p>
    <w:p w14:paraId="4231326E" w14:textId="77777777" w:rsidR="0074282F" w:rsidRPr="00895E96" w:rsidRDefault="0074282F" w:rsidP="0074282F">
      <w:pPr>
        <w:pStyle w:val="Odsekzoznamu"/>
        <w:numPr>
          <w:ilvl w:val="0"/>
          <w:numId w:val="7"/>
        </w:numPr>
        <w:spacing w:after="4"/>
        <w:ind w:left="426" w:hanging="426"/>
        <w:jc w:val="both"/>
        <w:rPr>
          <w:rFonts w:ascii="Times New Roman" w:hAnsi="Times New Roman" w:cs="Times New Roman"/>
          <w:iCs/>
          <w:noProof/>
          <w:sz w:val="24"/>
          <w:szCs w:val="24"/>
        </w:rPr>
      </w:pPr>
      <w:r>
        <w:rPr>
          <w:rFonts w:ascii="Times New Roman" w:hAnsi="Times New Roman" w:cs="Times New Roman"/>
          <w:iCs/>
          <w:noProof/>
          <w:sz w:val="24"/>
          <w:szCs w:val="24"/>
        </w:rPr>
        <w:t>zavedenie úplnej povinnosti mať internú zodpovednú osobu po splnení kritérií v zákone a zároveň zúženie oprávnení externej zodpovednej osoby pri preverovaní oznámení</w:t>
      </w:r>
    </w:p>
    <w:p w14:paraId="7468906E" w14:textId="77777777" w:rsidR="0074282F" w:rsidRPr="00895E96" w:rsidRDefault="0074282F" w:rsidP="0074282F">
      <w:pPr>
        <w:pStyle w:val="Odsekzoznamu"/>
        <w:numPr>
          <w:ilvl w:val="0"/>
          <w:numId w:val="7"/>
        </w:numPr>
        <w:spacing w:after="4"/>
        <w:ind w:left="426" w:hanging="426"/>
        <w:jc w:val="both"/>
        <w:rPr>
          <w:rFonts w:ascii="Times New Roman" w:hAnsi="Times New Roman" w:cs="Times New Roman"/>
          <w:iCs/>
          <w:noProof/>
          <w:sz w:val="24"/>
          <w:szCs w:val="24"/>
        </w:rPr>
      </w:pPr>
      <w:r w:rsidRPr="00895E96">
        <w:rPr>
          <w:rFonts w:ascii="Times New Roman" w:hAnsi="Times New Roman" w:cs="Times New Roman"/>
          <w:iCs/>
          <w:noProof/>
          <w:sz w:val="24"/>
          <w:szCs w:val="24"/>
        </w:rPr>
        <w:t>rozšírenie povinností zamestnávateľa,</w:t>
      </w:r>
    </w:p>
    <w:p w14:paraId="6A79D06F" w14:textId="77777777" w:rsidR="0074282F" w:rsidRPr="00895E96" w:rsidRDefault="0074282F" w:rsidP="0074282F">
      <w:pPr>
        <w:pStyle w:val="Odsekzoznamu"/>
        <w:numPr>
          <w:ilvl w:val="0"/>
          <w:numId w:val="7"/>
        </w:numPr>
        <w:spacing w:after="4"/>
        <w:ind w:left="426" w:hanging="426"/>
        <w:jc w:val="both"/>
        <w:rPr>
          <w:rFonts w:ascii="Times New Roman" w:hAnsi="Times New Roman" w:cs="Times New Roman"/>
          <w:iCs/>
          <w:noProof/>
          <w:sz w:val="24"/>
          <w:szCs w:val="24"/>
        </w:rPr>
      </w:pPr>
      <w:r w:rsidRPr="00895E96">
        <w:rPr>
          <w:rFonts w:ascii="Times New Roman" w:hAnsi="Times New Roman" w:cs="Times New Roman"/>
          <w:iCs/>
          <w:noProof/>
          <w:sz w:val="24"/>
          <w:szCs w:val="24"/>
        </w:rPr>
        <w:t>rozšírenie povinností Úradu na ochranu oznamovateľov protispoločenskej činnosti,</w:t>
      </w:r>
    </w:p>
    <w:p w14:paraId="5E3E118E" w14:textId="77777777" w:rsidR="0074282F" w:rsidRPr="00895E96" w:rsidRDefault="0074282F" w:rsidP="0074282F">
      <w:pPr>
        <w:pStyle w:val="Odsekzoznamu"/>
        <w:numPr>
          <w:ilvl w:val="0"/>
          <w:numId w:val="7"/>
        </w:numPr>
        <w:spacing w:after="4"/>
        <w:ind w:left="426" w:hanging="426"/>
        <w:jc w:val="both"/>
        <w:rPr>
          <w:rFonts w:ascii="Times New Roman" w:hAnsi="Times New Roman" w:cs="Times New Roman"/>
          <w:iCs/>
          <w:noProof/>
          <w:sz w:val="24"/>
          <w:szCs w:val="24"/>
        </w:rPr>
      </w:pPr>
      <w:r w:rsidRPr="00895E96">
        <w:rPr>
          <w:rFonts w:ascii="Times New Roman" w:hAnsi="Times New Roman" w:cs="Times New Roman"/>
          <w:iCs/>
          <w:noProof/>
          <w:sz w:val="24"/>
          <w:szCs w:val="24"/>
        </w:rPr>
        <w:t>vymedzenie rozsahu povinných údajov, ktoré sú príslušné orgány verejnej moci povinné sprístupniť,</w:t>
      </w:r>
    </w:p>
    <w:p w14:paraId="0E346F9F" w14:textId="77777777" w:rsidR="0074282F" w:rsidRPr="00812FD6" w:rsidRDefault="0074282F" w:rsidP="0074282F">
      <w:pPr>
        <w:pStyle w:val="Odsekzoznamu"/>
        <w:numPr>
          <w:ilvl w:val="0"/>
          <w:numId w:val="7"/>
        </w:numPr>
        <w:ind w:left="426" w:hanging="426"/>
        <w:jc w:val="both"/>
        <w:rPr>
          <w:rFonts w:ascii="Times New Roman" w:hAnsi="Times New Roman" w:cs="Times New Roman"/>
          <w:iCs/>
          <w:noProof/>
          <w:sz w:val="24"/>
          <w:szCs w:val="24"/>
        </w:rPr>
      </w:pPr>
      <w:r w:rsidRPr="00895E96">
        <w:rPr>
          <w:rFonts w:ascii="Times New Roman" w:hAnsi="Times New Roman" w:cs="Times New Roman"/>
          <w:iCs/>
          <w:noProof/>
          <w:sz w:val="24"/>
          <w:szCs w:val="24"/>
        </w:rPr>
        <w:t xml:space="preserve">rozšírenie povinnosti zachovávať mlčanlivosť </w:t>
      </w:r>
      <w:r>
        <w:rPr>
          <w:rFonts w:ascii="Times New Roman" w:hAnsi="Times New Roman" w:cs="Times New Roman"/>
          <w:iCs/>
          <w:noProof/>
          <w:sz w:val="24"/>
          <w:szCs w:val="24"/>
        </w:rPr>
        <w:t>a</w:t>
      </w:r>
    </w:p>
    <w:p w14:paraId="0CAAE3FB" w14:textId="77777777" w:rsidR="0074282F" w:rsidRPr="00F472B8" w:rsidRDefault="0074282F" w:rsidP="0074282F">
      <w:pPr>
        <w:pStyle w:val="Odsekzoznamu"/>
        <w:numPr>
          <w:ilvl w:val="0"/>
          <w:numId w:val="7"/>
        </w:numPr>
        <w:ind w:left="426" w:hanging="426"/>
        <w:jc w:val="both"/>
        <w:rPr>
          <w:rFonts w:ascii="Times New Roman" w:hAnsi="Times New Roman" w:cs="Times New Roman"/>
          <w:iCs/>
          <w:noProof/>
          <w:sz w:val="24"/>
          <w:szCs w:val="24"/>
        </w:rPr>
      </w:pPr>
      <w:r w:rsidRPr="00F472B8">
        <w:rPr>
          <w:rFonts w:ascii="Times New Roman" w:hAnsi="Times New Roman" w:cs="Times New Roman"/>
          <w:iCs/>
          <w:noProof/>
          <w:sz w:val="24"/>
          <w:szCs w:val="24"/>
        </w:rPr>
        <w:t>zvýšenie sadzby pokút.</w:t>
      </w:r>
    </w:p>
    <w:p w14:paraId="6F5DB58D" w14:textId="77777777" w:rsidR="0074282F" w:rsidRPr="00895E96" w:rsidRDefault="0074282F" w:rsidP="0074282F">
      <w:pPr>
        <w:spacing w:before="240" w:after="0" w:line="240" w:lineRule="auto"/>
        <w:ind w:firstLine="708"/>
        <w:jc w:val="both"/>
        <w:rPr>
          <w:rFonts w:ascii="Times New Roman" w:hAnsi="Times New Roman" w:cs="Times New Roman"/>
          <w:bCs/>
          <w:sz w:val="24"/>
          <w:szCs w:val="24"/>
        </w:rPr>
      </w:pPr>
      <w:r w:rsidRPr="00895E96">
        <w:rPr>
          <w:rFonts w:ascii="Times New Roman" w:hAnsi="Times New Roman" w:cs="Times New Roman"/>
          <w:bCs/>
          <w:sz w:val="24"/>
          <w:szCs w:val="24"/>
        </w:rPr>
        <w:t>Návrh zákona je v súlade s Ústavou Slovenskej republiky, ústavnými zákonmi, nálezmi Ústavného súdu Slovenskej republiky, medzinárodnými zmluvami a inými medzinárodnými dokumentmi, ktorými je Slovenská republika viazaná, zákonmi a súčasne je v súlade s právom Európskej únie.</w:t>
      </w:r>
    </w:p>
    <w:p w14:paraId="790AE126" w14:textId="11A40132" w:rsidR="0074282F" w:rsidRDefault="0074282F" w:rsidP="0074282F">
      <w:pPr>
        <w:spacing w:before="240" w:after="0" w:line="240" w:lineRule="auto"/>
        <w:ind w:firstLine="708"/>
        <w:jc w:val="both"/>
        <w:rPr>
          <w:rFonts w:ascii="Times New Roman" w:hAnsi="Times New Roman" w:cs="Times New Roman"/>
          <w:bCs/>
          <w:sz w:val="24"/>
          <w:szCs w:val="24"/>
        </w:rPr>
      </w:pPr>
      <w:r w:rsidRPr="00895E96">
        <w:rPr>
          <w:rFonts w:ascii="Times New Roman" w:hAnsi="Times New Roman" w:cs="Times New Roman"/>
          <w:bCs/>
          <w:sz w:val="24"/>
          <w:szCs w:val="24"/>
        </w:rPr>
        <w:t>Návrh zákona nemá vplyv na rozpočet verejnej správy, vplyv na informatizáciu</w:t>
      </w:r>
      <w:r>
        <w:rPr>
          <w:rFonts w:ascii="Times New Roman" w:hAnsi="Times New Roman" w:cs="Times New Roman"/>
          <w:bCs/>
          <w:sz w:val="24"/>
          <w:szCs w:val="24"/>
        </w:rPr>
        <w:t xml:space="preserve"> spoločnosti, </w:t>
      </w:r>
      <w:r w:rsidRPr="00895E96">
        <w:rPr>
          <w:rFonts w:ascii="Times New Roman" w:hAnsi="Times New Roman" w:cs="Times New Roman"/>
          <w:bCs/>
          <w:sz w:val="24"/>
          <w:szCs w:val="24"/>
        </w:rPr>
        <w:t xml:space="preserve">sociálne vplyvy, vplyvy na životné prostredie, vplyvy na služby verejnej správy pre občana a ani vplyvy na manželstvo, rodičovstvo a rodinu. </w:t>
      </w:r>
      <w:r>
        <w:rPr>
          <w:rFonts w:ascii="Times New Roman" w:hAnsi="Times New Roman" w:cs="Times New Roman"/>
          <w:bCs/>
          <w:sz w:val="24"/>
          <w:szCs w:val="24"/>
        </w:rPr>
        <w:t>Predkladateľ identifikoval negatívne vplyvy na podnikateľské prostredie, ktorých analýza je súčasťou návrhu zákona.</w:t>
      </w:r>
    </w:p>
    <w:p w14:paraId="17293A24" w14:textId="77777777" w:rsidR="0074282F" w:rsidRDefault="0074282F" w:rsidP="0074282F">
      <w:pPr>
        <w:spacing w:after="0" w:line="240" w:lineRule="auto"/>
        <w:jc w:val="both"/>
        <w:rPr>
          <w:rFonts w:ascii="Times New Roman" w:hAnsi="Times New Roman" w:cs="Times New Roman"/>
          <w:bCs/>
          <w:sz w:val="24"/>
          <w:szCs w:val="24"/>
        </w:rPr>
      </w:pPr>
    </w:p>
    <w:p w14:paraId="77E14344" w14:textId="47BF7646" w:rsidR="0074282F" w:rsidRPr="0074282F" w:rsidRDefault="0074282F" w:rsidP="0074282F">
      <w:pPr>
        <w:spacing w:after="0" w:line="240" w:lineRule="auto"/>
        <w:ind w:firstLine="708"/>
        <w:jc w:val="both"/>
        <w:rPr>
          <w:rFonts w:ascii="Times New Roman" w:hAnsi="Times New Roman" w:cs="Times New Roman"/>
          <w:bCs/>
          <w:sz w:val="24"/>
          <w:szCs w:val="24"/>
        </w:rPr>
      </w:pPr>
      <w:r w:rsidRPr="0074282F">
        <w:rPr>
          <w:rFonts w:ascii="Times New Roman" w:hAnsi="Times New Roman" w:cs="Times New Roman"/>
          <w:bCs/>
          <w:sz w:val="24"/>
          <w:szCs w:val="24"/>
        </w:rPr>
        <w:t xml:space="preserve">Návrh zákona nebol predmetom </w:t>
      </w:r>
      <w:proofErr w:type="spellStart"/>
      <w:r w:rsidRPr="0074282F">
        <w:rPr>
          <w:rFonts w:ascii="Times New Roman" w:hAnsi="Times New Roman" w:cs="Times New Roman"/>
          <w:bCs/>
          <w:sz w:val="24"/>
          <w:szCs w:val="24"/>
        </w:rPr>
        <w:t>vnútrokomunitárneho</w:t>
      </w:r>
      <w:proofErr w:type="spellEnd"/>
      <w:r w:rsidRPr="0074282F">
        <w:rPr>
          <w:rFonts w:ascii="Times New Roman" w:hAnsi="Times New Roman" w:cs="Times New Roman"/>
          <w:bCs/>
          <w:sz w:val="24"/>
          <w:szCs w:val="24"/>
        </w:rPr>
        <w:t xml:space="preserve"> pripomienkového konania. Návrh zákona bol predmetom skráteného medzirezortného pripomienkového konania. Vláda Slovenskej republiky návrh zákona prerokovala a schválila 9. novembra 2022.</w:t>
      </w:r>
    </w:p>
    <w:p w14:paraId="0E0B75F0" w14:textId="77777777" w:rsidR="0074282F" w:rsidRPr="00895E96" w:rsidRDefault="0074282F" w:rsidP="0074282F">
      <w:pPr>
        <w:spacing w:before="240" w:after="0" w:line="240" w:lineRule="auto"/>
        <w:ind w:firstLine="708"/>
        <w:jc w:val="both"/>
        <w:rPr>
          <w:rFonts w:ascii="Times New Roman" w:hAnsi="Times New Roman" w:cs="Times New Roman"/>
          <w:bCs/>
          <w:sz w:val="24"/>
          <w:szCs w:val="24"/>
        </w:rPr>
      </w:pPr>
    </w:p>
    <w:p w14:paraId="316C639E" w14:textId="359C7213" w:rsidR="0074282F" w:rsidRDefault="0074282F">
      <w:pPr>
        <w:rPr>
          <w:rFonts w:ascii="Times New Roman" w:hAnsi="Times New Roman" w:cs="Times New Roman"/>
          <w:b/>
          <w:sz w:val="24"/>
          <w:szCs w:val="24"/>
        </w:rPr>
      </w:pPr>
      <w:r>
        <w:rPr>
          <w:rFonts w:ascii="Times New Roman" w:hAnsi="Times New Roman" w:cs="Times New Roman"/>
          <w:b/>
          <w:sz w:val="24"/>
          <w:szCs w:val="24"/>
        </w:rPr>
        <w:br w:type="page"/>
      </w:r>
    </w:p>
    <w:p w14:paraId="3428A149" w14:textId="23C4DCFC" w:rsidR="009638E0" w:rsidRPr="008617AD" w:rsidRDefault="009638E0" w:rsidP="009638E0">
      <w:pPr>
        <w:spacing w:after="0" w:line="240" w:lineRule="auto"/>
        <w:rPr>
          <w:rFonts w:ascii="Times New Roman" w:hAnsi="Times New Roman" w:cs="Times New Roman"/>
          <w:b/>
          <w:sz w:val="24"/>
          <w:szCs w:val="24"/>
        </w:rPr>
      </w:pPr>
      <w:r w:rsidRPr="008617AD">
        <w:rPr>
          <w:rFonts w:ascii="Times New Roman" w:hAnsi="Times New Roman" w:cs="Times New Roman"/>
          <w:b/>
          <w:sz w:val="24"/>
          <w:szCs w:val="24"/>
        </w:rPr>
        <w:lastRenderedPageBreak/>
        <w:t>B. Osobitná časť</w:t>
      </w:r>
    </w:p>
    <w:p w14:paraId="15C02DD0" w14:textId="77777777" w:rsidR="009638E0" w:rsidRPr="008617AD" w:rsidRDefault="009638E0" w:rsidP="009638E0">
      <w:pPr>
        <w:spacing w:after="0" w:line="240" w:lineRule="auto"/>
        <w:jc w:val="both"/>
        <w:rPr>
          <w:rFonts w:ascii="Times New Roman" w:hAnsi="Times New Roman" w:cs="Times New Roman"/>
          <w:sz w:val="24"/>
          <w:szCs w:val="24"/>
        </w:rPr>
      </w:pPr>
    </w:p>
    <w:p w14:paraId="08AA3233" w14:textId="77777777" w:rsidR="00747F96" w:rsidRPr="004C446C" w:rsidRDefault="009638E0" w:rsidP="009638E0">
      <w:pPr>
        <w:spacing w:after="0" w:line="240" w:lineRule="auto"/>
        <w:jc w:val="both"/>
        <w:rPr>
          <w:rFonts w:ascii="Times New Roman" w:hAnsi="Times New Roman" w:cs="Times New Roman"/>
          <w:b/>
          <w:sz w:val="24"/>
          <w:szCs w:val="24"/>
        </w:rPr>
      </w:pPr>
      <w:r w:rsidRPr="008617AD">
        <w:rPr>
          <w:rFonts w:ascii="Times New Roman" w:hAnsi="Times New Roman" w:cs="Times New Roman"/>
          <w:b/>
          <w:sz w:val="24"/>
          <w:szCs w:val="24"/>
        </w:rPr>
        <w:t xml:space="preserve">K čl. </w:t>
      </w:r>
      <w:r w:rsidR="00EA0C7A" w:rsidRPr="008617AD">
        <w:rPr>
          <w:rFonts w:ascii="Times New Roman" w:hAnsi="Times New Roman" w:cs="Times New Roman"/>
          <w:b/>
          <w:sz w:val="24"/>
          <w:szCs w:val="24"/>
        </w:rPr>
        <w:t>I</w:t>
      </w:r>
    </w:p>
    <w:p w14:paraId="04547365" w14:textId="77777777" w:rsidR="00F8372A" w:rsidRPr="008617AD" w:rsidRDefault="00F8372A" w:rsidP="004A003A">
      <w:pPr>
        <w:spacing w:after="0" w:line="240" w:lineRule="auto"/>
        <w:rPr>
          <w:rFonts w:ascii="Times New Roman" w:hAnsi="Times New Roman" w:cs="Times New Roman"/>
          <w:b/>
          <w:bCs/>
          <w:sz w:val="24"/>
          <w:szCs w:val="24"/>
        </w:rPr>
      </w:pPr>
    </w:p>
    <w:p w14:paraId="36DBAB41" w14:textId="4E1B5461" w:rsidR="00436011" w:rsidRPr="008617AD" w:rsidRDefault="004A003A" w:rsidP="004A003A">
      <w:pPr>
        <w:spacing w:after="0" w:line="240" w:lineRule="auto"/>
        <w:rPr>
          <w:rFonts w:ascii="Times New Roman" w:hAnsi="Times New Roman" w:cs="Times New Roman"/>
          <w:b/>
          <w:bCs/>
          <w:sz w:val="24"/>
          <w:szCs w:val="24"/>
        </w:rPr>
      </w:pPr>
      <w:r w:rsidRPr="008617AD">
        <w:rPr>
          <w:rFonts w:ascii="Times New Roman" w:hAnsi="Times New Roman" w:cs="Times New Roman"/>
          <w:b/>
          <w:bCs/>
          <w:sz w:val="24"/>
          <w:szCs w:val="24"/>
        </w:rPr>
        <w:t>K</w:t>
      </w:r>
      <w:r w:rsidR="00305354">
        <w:rPr>
          <w:rFonts w:ascii="Times New Roman" w:hAnsi="Times New Roman" w:cs="Times New Roman"/>
          <w:b/>
          <w:bCs/>
          <w:sz w:val="24"/>
          <w:szCs w:val="24"/>
        </w:rPr>
        <w:t> </w:t>
      </w:r>
      <w:r w:rsidRPr="008617AD">
        <w:rPr>
          <w:rFonts w:ascii="Times New Roman" w:hAnsi="Times New Roman" w:cs="Times New Roman"/>
          <w:b/>
          <w:bCs/>
          <w:sz w:val="24"/>
          <w:szCs w:val="24"/>
        </w:rPr>
        <w:t>bod</w:t>
      </w:r>
      <w:r w:rsidR="003A20E2" w:rsidRPr="008617AD">
        <w:rPr>
          <w:rFonts w:ascii="Times New Roman" w:hAnsi="Times New Roman" w:cs="Times New Roman"/>
          <w:b/>
          <w:bCs/>
          <w:sz w:val="24"/>
          <w:szCs w:val="24"/>
        </w:rPr>
        <w:t>u</w:t>
      </w:r>
      <w:r w:rsidR="00305354">
        <w:rPr>
          <w:rFonts w:ascii="Times New Roman" w:hAnsi="Times New Roman" w:cs="Times New Roman"/>
          <w:b/>
          <w:bCs/>
          <w:sz w:val="24"/>
          <w:szCs w:val="24"/>
        </w:rPr>
        <w:t xml:space="preserve"> </w:t>
      </w:r>
      <w:r w:rsidR="00DD3317" w:rsidRPr="008617AD">
        <w:rPr>
          <w:rFonts w:ascii="Times New Roman" w:hAnsi="Times New Roman" w:cs="Times New Roman"/>
          <w:b/>
          <w:bCs/>
          <w:sz w:val="24"/>
          <w:szCs w:val="24"/>
        </w:rPr>
        <w:t>1</w:t>
      </w:r>
      <w:r w:rsidR="00603507">
        <w:rPr>
          <w:rFonts w:ascii="Times New Roman" w:hAnsi="Times New Roman" w:cs="Times New Roman"/>
          <w:b/>
          <w:bCs/>
          <w:sz w:val="24"/>
          <w:szCs w:val="24"/>
        </w:rPr>
        <w:t xml:space="preserve"> </w:t>
      </w:r>
      <w:r w:rsidR="000E7DFC">
        <w:rPr>
          <w:rFonts w:ascii="Times New Roman" w:hAnsi="Times New Roman" w:cs="Times New Roman"/>
          <w:b/>
          <w:bCs/>
          <w:sz w:val="24"/>
          <w:szCs w:val="24"/>
        </w:rPr>
        <w:t xml:space="preserve">a </w:t>
      </w:r>
      <w:r w:rsidR="006C4FB1">
        <w:rPr>
          <w:rFonts w:ascii="Times New Roman" w:hAnsi="Times New Roman" w:cs="Times New Roman"/>
          <w:b/>
          <w:bCs/>
          <w:sz w:val="24"/>
          <w:szCs w:val="24"/>
        </w:rPr>
        <w:t>10</w:t>
      </w:r>
      <w:r w:rsidR="002E76E4">
        <w:rPr>
          <w:rFonts w:ascii="Times New Roman" w:hAnsi="Times New Roman" w:cs="Times New Roman"/>
          <w:b/>
          <w:bCs/>
          <w:sz w:val="24"/>
          <w:szCs w:val="24"/>
        </w:rPr>
        <w:br/>
      </w:r>
      <w:r w:rsidR="002E76E4" w:rsidRPr="002E76E4">
        <w:rPr>
          <w:rFonts w:ascii="Times New Roman" w:hAnsi="Times New Roman" w:cs="Times New Roman"/>
          <w:b/>
          <w:bCs/>
          <w:i/>
          <w:sz w:val="24"/>
          <w:szCs w:val="24"/>
        </w:rPr>
        <w:t>(</w:t>
      </w:r>
      <w:r w:rsidR="002E76E4">
        <w:rPr>
          <w:rFonts w:ascii="Times New Roman" w:hAnsi="Times New Roman" w:cs="Times New Roman"/>
          <w:b/>
          <w:bCs/>
          <w:i/>
          <w:sz w:val="24"/>
          <w:szCs w:val="24"/>
        </w:rPr>
        <w:t>§ 1 ods. 1 písm. a) a § 2 písm. f)</w:t>
      </w:r>
      <w:r w:rsidR="00A9183D">
        <w:rPr>
          <w:rFonts w:ascii="Times New Roman" w:hAnsi="Times New Roman" w:cs="Times New Roman"/>
          <w:b/>
          <w:bCs/>
          <w:i/>
          <w:sz w:val="24"/>
          <w:szCs w:val="24"/>
        </w:rPr>
        <w:t xml:space="preserve">, až </w:t>
      </w:r>
      <w:r w:rsidR="00C308D2">
        <w:rPr>
          <w:rFonts w:ascii="Times New Roman" w:hAnsi="Times New Roman" w:cs="Times New Roman"/>
          <w:b/>
          <w:bCs/>
          <w:i/>
          <w:sz w:val="24"/>
          <w:szCs w:val="24"/>
        </w:rPr>
        <w:t>h</w:t>
      </w:r>
      <w:r w:rsidR="00F44EAF">
        <w:rPr>
          <w:rFonts w:ascii="Times New Roman" w:hAnsi="Times New Roman" w:cs="Times New Roman"/>
          <w:b/>
          <w:bCs/>
          <w:i/>
          <w:sz w:val="24"/>
          <w:szCs w:val="24"/>
        </w:rPr>
        <w:t>)</w:t>
      </w:r>
      <w:r w:rsidR="002E76E4" w:rsidRPr="002E76E4">
        <w:rPr>
          <w:rFonts w:ascii="Times New Roman" w:hAnsi="Times New Roman" w:cs="Times New Roman"/>
          <w:b/>
          <w:bCs/>
          <w:i/>
          <w:sz w:val="24"/>
          <w:szCs w:val="24"/>
        </w:rPr>
        <w:t>)</w:t>
      </w:r>
    </w:p>
    <w:p w14:paraId="2445B3FB" w14:textId="77777777" w:rsidR="00436011" w:rsidRPr="008617AD" w:rsidRDefault="00436011" w:rsidP="004A003A">
      <w:pPr>
        <w:spacing w:after="0" w:line="240" w:lineRule="auto"/>
        <w:rPr>
          <w:rFonts w:ascii="Times New Roman" w:hAnsi="Times New Roman" w:cs="Times New Roman"/>
          <w:sz w:val="24"/>
          <w:szCs w:val="24"/>
        </w:rPr>
      </w:pPr>
    </w:p>
    <w:p w14:paraId="21167615" w14:textId="23CEC0E3" w:rsidR="007F12DA" w:rsidRDefault="003F03E8" w:rsidP="007F12D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Aktuálne znenie</w:t>
      </w:r>
      <w:r w:rsidR="0081311C">
        <w:rPr>
          <w:rFonts w:ascii="Times New Roman" w:hAnsi="Times New Roman" w:cs="Times New Roman"/>
          <w:sz w:val="24"/>
          <w:szCs w:val="24"/>
        </w:rPr>
        <w:t xml:space="preserve"> </w:t>
      </w:r>
      <w:r w:rsidR="005335AA">
        <w:rPr>
          <w:rFonts w:ascii="Times New Roman" w:hAnsi="Times New Roman" w:cs="Times New Roman"/>
          <w:sz w:val="24"/>
          <w:szCs w:val="24"/>
        </w:rPr>
        <w:t xml:space="preserve">zákona č. 54/2019 </w:t>
      </w:r>
      <w:r>
        <w:rPr>
          <w:rFonts w:ascii="Times New Roman" w:hAnsi="Times New Roman" w:cs="Times New Roman"/>
          <w:sz w:val="24"/>
          <w:szCs w:val="24"/>
        </w:rPr>
        <w:t xml:space="preserve">Z. z. o ochrane oznamovateľov protispoločenskej činnosti a o zmene a doplnení niektorých zákonov </w:t>
      </w:r>
      <w:r w:rsidR="00396473">
        <w:rPr>
          <w:rFonts w:ascii="Times New Roman" w:hAnsi="Times New Roman" w:cs="Times New Roman"/>
          <w:sz w:val="24"/>
          <w:szCs w:val="24"/>
        </w:rPr>
        <w:t xml:space="preserve">(ďalej len „zákon“) </w:t>
      </w:r>
      <w:r>
        <w:rPr>
          <w:rFonts w:ascii="Times New Roman" w:hAnsi="Times New Roman" w:cs="Times New Roman"/>
          <w:sz w:val="24"/>
          <w:szCs w:val="24"/>
        </w:rPr>
        <w:t>poskytuje ochranu len osobám</w:t>
      </w:r>
      <w:r w:rsidR="006C4FB1">
        <w:rPr>
          <w:rFonts w:ascii="Times New Roman" w:hAnsi="Times New Roman" w:cs="Times New Roman"/>
          <w:sz w:val="24"/>
          <w:szCs w:val="24"/>
        </w:rPr>
        <w:t xml:space="preserve"> </w:t>
      </w:r>
      <w:r>
        <w:rPr>
          <w:rFonts w:ascii="Times New Roman" w:hAnsi="Times New Roman" w:cs="Times New Roman"/>
          <w:sz w:val="24"/>
          <w:szCs w:val="24"/>
        </w:rPr>
        <w:t>v pracovnoprávnom vzťahu v súvislosti s oznamovaním kriminality</w:t>
      </w:r>
      <w:r w:rsidR="0021274E">
        <w:rPr>
          <w:rFonts w:ascii="Times New Roman" w:hAnsi="Times New Roman" w:cs="Times New Roman"/>
          <w:sz w:val="24"/>
          <w:szCs w:val="24"/>
        </w:rPr>
        <w:t xml:space="preserve"> a inej protispoločenskej činnosti</w:t>
      </w:r>
      <w:r>
        <w:rPr>
          <w:rFonts w:ascii="Times New Roman" w:hAnsi="Times New Roman" w:cs="Times New Roman"/>
          <w:sz w:val="24"/>
          <w:szCs w:val="24"/>
        </w:rPr>
        <w:t xml:space="preserve">, čo predstavuje výrazné zúženie okruhu osôb, ktorým táto ochrana </w:t>
      </w:r>
      <w:r w:rsidR="00396473">
        <w:rPr>
          <w:rFonts w:ascii="Times New Roman" w:hAnsi="Times New Roman" w:cs="Times New Roman"/>
          <w:sz w:val="24"/>
          <w:szCs w:val="24"/>
        </w:rPr>
        <w:t>bola priznaná</w:t>
      </w:r>
      <w:r w:rsidR="0081311C">
        <w:rPr>
          <w:rFonts w:ascii="Times New Roman" w:hAnsi="Times New Roman" w:cs="Times New Roman"/>
          <w:sz w:val="24"/>
          <w:szCs w:val="24"/>
        </w:rPr>
        <w:t xml:space="preserve"> </w:t>
      </w:r>
      <w:r w:rsidR="00CA40B5">
        <w:rPr>
          <w:rFonts w:ascii="Times New Roman" w:hAnsi="Times New Roman" w:cs="Times New Roman"/>
          <w:sz w:val="24"/>
          <w:szCs w:val="24"/>
        </w:rPr>
        <w:t>v zmysle smernice</w:t>
      </w:r>
      <w:r w:rsidR="0081311C">
        <w:rPr>
          <w:rFonts w:ascii="Times New Roman" w:hAnsi="Times New Roman" w:cs="Times New Roman"/>
          <w:sz w:val="24"/>
          <w:szCs w:val="24"/>
        </w:rPr>
        <w:t xml:space="preserve"> </w:t>
      </w:r>
      <w:r w:rsidRPr="003F03E8">
        <w:rPr>
          <w:rFonts w:ascii="Times New Roman" w:hAnsi="Times New Roman" w:cs="Times New Roman"/>
          <w:sz w:val="24"/>
          <w:szCs w:val="24"/>
        </w:rPr>
        <w:t>Európskeho parlamentu a Rady (EÚ) 2019/1937 z 23. októbra 2019 o ochrane osôb, ktoré nahlasujú porušenia práva Únie</w:t>
      </w:r>
      <w:r w:rsidR="001B0A60">
        <w:rPr>
          <w:rFonts w:ascii="Times New Roman" w:hAnsi="Times New Roman" w:cs="Times New Roman"/>
          <w:sz w:val="24"/>
          <w:szCs w:val="24"/>
        </w:rPr>
        <w:t xml:space="preserve"> (</w:t>
      </w:r>
      <w:r w:rsidR="001B0A60" w:rsidRPr="00D06F04">
        <w:rPr>
          <w:rFonts w:ascii="Times" w:hAnsi="Times" w:cs="Times"/>
          <w:sz w:val="25"/>
          <w:szCs w:val="25"/>
        </w:rPr>
        <w:t>Ú. v. EÚ L 305, 26.11.2019)</w:t>
      </w:r>
      <w:r w:rsidR="001B0A60" w:rsidRPr="003F03E8">
        <w:rPr>
          <w:rFonts w:ascii="Times New Roman" w:hAnsi="Times New Roman" w:cs="Times New Roman"/>
          <w:sz w:val="24"/>
          <w:szCs w:val="24"/>
        </w:rPr>
        <w:t xml:space="preserve"> </w:t>
      </w:r>
      <w:r w:rsidR="00D81CBB">
        <w:rPr>
          <w:rFonts w:ascii="Times New Roman" w:hAnsi="Times New Roman" w:cs="Times New Roman"/>
          <w:sz w:val="24"/>
          <w:szCs w:val="24"/>
        </w:rPr>
        <w:t xml:space="preserve">v platnom znení </w:t>
      </w:r>
      <w:r w:rsidRPr="003F03E8">
        <w:rPr>
          <w:rFonts w:ascii="Times New Roman" w:hAnsi="Times New Roman" w:cs="Times New Roman"/>
          <w:sz w:val="24"/>
          <w:szCs w:val="24"/>
        </w:rPr>
        <w:t>(ďalej len „smernica (EÚ) 2019/1937</w:t>
      </w:r>
      <w:r w:rsidR="009E30CD">
        <w:rPr>
          <w:rFonts w:ascii="Times New Roman" w:hAnsi="Times New Roman" w:cs="Times New Roman"/>
          <w:sz w:val="24"/>
          <w:szCs w:val="24"/>
        </w:rPr>
        <w:t xml:space="preserve"> </w:t>
      </w:r>
      <w:r w:rsidR="00ED647A">
        <w:rPr>
          <w:rFonts w:ascii="Times New Roman" w:hAnsi="Times New Roman" w:cs="Times New Roman"/>
          <w:sz w:val="24"/>
          <w:szCs w:val="24"/>
        </w:rPr>
        <w:t>v platnom znení</w:t>
      </w:r>
      <w:r w:rsidRPr="003F03E8">
        <w:rPr>
          <w:rFonts w:ascii="Times New Roman" w:hAnsi="Times New Roman" w:cs="Times New Roman"/>
          <w:sz w:val="24"/>
          <w:szCs w:val="24"/>
        </w:rPr>
        <w:t>“)</w:t>
      </w:r>
      <w:r>
        <w:rPr>
          <w:rFonts w:ascii="Times New Roman" w:hAnsi="Times New Roman" w:cs="Times New Roman"/>
          <w:sz w:val="24"/>
          <w:szCs w:val="24"/>
        </w:rPr>
        <w:t xml:space="preserve">. </w:t>
      </w:r>
      <w:r w:rsidR="006076DF">
        <w:rPr>
          <w:rFonts w:ascii="Times New Roman" w:hAnsi="Times New Roman" w:cs="Times New Roman"/>
          <w:sz w:val="24"/>
          <w:szCs w:val="24"/>
        </w:rPr>
        <w:t>Zo samotného názvu smernice (EÚ) 2019/1937</w:t>
      </w:r>
      <w:r w:rsidR="00CA4F4C">
        <w:rPr>
          <w:rFonts w:ascii="Times New Roman" w:hAnsi="Times New Roman" w:cs="Times New Roman"/>
          <w:sz w:val="24"/>
          <w:szCs w:val="24"/>
        </w:rPr>
        <w:t xml:space="preserve"> v platnom znení</w:t>
      </w:r>
      <w:r w:rsidR="006076DF">
        <w:rPr>
          <w:rFonts w:ascii="Times New Roman" w:hAnsi="Times New Roman" w:cs="Times New Roman"/>
          <w:sz w:val="24"/>
          <w:szCs w:val="24"/>
        </w:rPr>
        <w:t>, jej obsahu ale i jednotlivých ustanovení a to najmä čl. 4 vyplýva, že primárnym zámerom bolo poskytnúť ochranu akýmkoľvek osobám pracujúcim v súkromnom alebo verejnom sektore, ktoré nahlasujú porušenia práva</w:t>
      </w:r>
      <w:r w:rsidR="0081311C">
        <w:rPr>
          <w:rFonts w:ascii="Times New Roman" w:hAnsi="Times New Roman" w:cs="Times New Roman"/>
          <w:sz w:val="24"/>
          <w:szCs w:val="24"/>
        </w:rPr>
        <w:t xml:space="preserve"> </w:t>
      </w:r>
      <w:r w:rsidR="006076DF">
        <w:rPr>
          <w:rFonts w:ascii="Times New Roman" w:hAnsi="Times New Roman" w:cs="Times New Roman"/>
          <w:sz w:val="24"/>
          <w:szCs w:val="24"/>
        </w:rPr>
        <w:t xml:space="preserve">Európskej únie, pričom tieto osoby </w:t>
      </w:r>
      <w:r w:rsidR="007F12DA">
        <w:rPr>
          <w:rFonts w:ascii="Times New Roman" w:hAnsi="Times New Roman" w:cs="Times New Roman"/>
          <w:sz w:val="24"/>
          <w:szCs w:val="24"/>
        </w:rPr>
        <w:t xml:space="preserve">neboli vymedzené len ako „osoby v pracovnoprávnom vzťahu“. </w:t>
      </w:r>
    </w:p>
    <w:p w14:paraId="75BCCB8F" w14:textId="77777777" w:rsidR="007F12DA" w:rsidRDefault="007F12DA" w:rsidP="007F12DA">
      <w:pPr>
        <w:spacing w:after="0" w:line="240" w:lineRule="auto"/>
        <w:ind w:firstLine="708"/>
        <w:jc w:val="both"/>
        <w:rPr>
          <w:rFonts w:ascii="Times New Roman" w:hAnsi="Times New Roman" w:cs="Times New Roman"/>
          <w:sz w:val="24"/>
          <w:szCs w:val="24"/>
        </w:rPr>
      </w:pPr>
    </w:p>
    <w:p w14:paraId="66DA152C" w14:textId="242550B6" w:rsidR="0061053F" w:rsidRDefault="0061053F" w:rsidP="0061053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nadväznosti na vyššie uvedené preto</w:t>
      </w:r>
      <w:r w:rsidR="00396473">
        <w:rPr>
          <w:rFonts w:ascii="Times New Roman" w:hAnsi="Times New Roman" w:cs="Times New Roman"/>
          <w:sz w:val="24"/>
          <w:szCs w:val="24"/>
        </w:rPr>
        <w:t xml:space="preserve"> pôvodné vymedzenie okruhu osôb, ktorým zákon poskytuje ochranu v súvislosti s </w:t>
      </w:r>
      <w:r w:rsidR="006F57BD">
        <w:rPr>
          <w:rFonts w:ascii="Times New Roman" w:hAnsi="Times New Roman" w:cs="Times New Roman"/>
          <w:sz w:val="24"/>
          <w:szCs w:val="24"/>
        </w:rPr>
        <w:t>oznamovaním</w:t>
      </w:r>
      <w:r w:rsidR="00396473">
        <w:rPr>
          <w:rFonts w:ascii="Times New Roman" w:hAnsi="Times New Roman" w:cs="Times New Roman"/>
          <w:sz w:val="24"/>
          <w:szCs w:val="24"/>
        </w:rPr>
        <w:t xml:space="preserve"> protis</w:t>
      </w:r>
      <w:r w:rsidR="000E7DFC">
        <w:rPr>
          <w:rFonts w:ascii="Times New Roman" w:hAnsi="Times New Roman" w:cs="Times New Roman"/>
          <w:sz w:val="24"/>
          <w:szCs w:val="24"/>
        </w:rPr>
        <w:t>poločenskej činnosti</w:t>
      </w:r>
      <w:r w:rsidR="00CA4EC9">
        <w:rPr>
          <w:rFonts w:ascii="Times New Roman" w:hAnsi="Times New Roman" w:cs="Times New Roman"/>
          <w:sz w:val="24"/>
          <w:szCs w:val="24"/>
        </w:rPr>
        <w:t>,</w:t>
      </w:r>
      <w:r w:rsidR="000E7DFC">
        <w:rPr>
          <w:rFonts w:ascii="Times New Roman" w:hAnsi="Times New Roman" w:cs="Times New Roman"/>
          <w:sz w:val="24"/>
          <w:szCs w:val="24"/>
        </w:rPr>
        <w:t xml:space="preserve"> </w:t>
      </w:r>
      <w:r w:rsidR="00396473">
        <w:rPr>
          <w:rFonts w:ascii="Times New Roman" w:hAnsi="Times New Roman" w:cs="Times New Roman"/>
          <w:sz w:val="24"/>
          <w:szCs w:val="24"/>
        </w:rPr>
        <w:t>nebol</w:t>
      </w:r>
      <w:r w:rsidR="000E7DFC">
        <w:rPr>
          <w:rFonts w:ascii="Times New Roman" w:hAnsi="Times New Roman" w:cs="Times New Roman"/>
          <w:sz w:val="24"/>
          <w:szCs w:val="24"/>
        </w:rPr>
        <w:t>o</w:t>
      </w:r>
      <w:r w:rsidR="0081311C">
        <w:rPr>
          <w:rFonts w:ascii="Times New Roman" w:hAnsi="Times New Roman" w:cs="Times New Roman"/>
          <w:sz w:val="24"/>
          <w:szCs w:val="24"/>
        </w:rPr>
        <w:t xml:space="preserve"> </w:t>
      </w:r>
      <w:r w:rsidR="00396473">
        <w:rPr>
          <w:rFonts w:ascii="Times New Roman" w:hAnsi="Times New Roman" w:cs="Times New Roman"/>
          <w:sz w:val="24"/>
          <w:szCs w:val="24"/>
        </w:rPr>
        <w:t>dos</w:t>
      </w:r>
      <w:r w:rsidR="000E7DFC">
        <w:rPr>
          <w:rFonts w:ascii="Times New Roman" w:hAnsi="Times New Roman" w:cs="Times New Roman"/>
          <w:sz w:val="24"/>
          <w:szCs w:val="24"/>
        </w:rPr>
        <w:t>tatočné</w:t>
      </w:r>
      <w:r>
        <w:rPr>
          <w:rFonts w:ascii="Times New Roman" w:hAnsi="Times New Roman" w:cs="Times New Roman"/>
          <w:sz w:val="24"/>
          <w:szCs w:val="24"/>
        </w:rPr>
        <w:t xml:space="preserve"> a z tohto dôvodu</w:t>
      </w:r>
      <w:r w:rsidR="00396473">
        <w:rPr>
          <w:rFonts w:ascii="Times New Roman" w:hAnsi="Times New Roman" w:cs="Times New Roman"/>
          <w:sz w:val="24"/>
          <w:szCs w:val="24"/>
        </w:rPr>
        <w:t xml:space="preserve"> je </w:t>
      </w:r>
      <w:r w:rsidR="00B7197C">
        <w:rPr>
          <w:rFonts w:ascii="Times New Roman" w:hAnsi="Times New Roman" w:cs="Times New Roman"/>
          <w:sz w:val="24"/>
          <w:szCs w:val="24"/>
        </w:rPr>
        <w:t xml:space="preserve">navrhovaná </w:t>
      </w:r>
      <w:r w:rsidR="000E7DFC">
        <w:rPr>
          <w:rFonts w:ascii="Times New Roman" w:hAnsi="Times New Roman" w:cs="Times New Roman"/>
          <w:sz w:val="24"/>
          <w:szCs w:val="24"/>
        </w:rPr>
        <w:t xml:space="preserve">právna </w:t>
      </w:r>
      <w:r w:rsidR="00B7197C">
        <w:rPr>
          <w:rFonts w:ascii="Times New Roman" w:hAnsi="Times New Roman" w:cs="Times New Roman"/>
          <w:sz w:val="24"/>
          <w:szCs w:val="24"/>
        </w:rPr>
        <w:t>úprava zameraná</w:t>
      </w:r>
      <w:r w:rsidR="0081311C">
        <w:rPr>
          <w:rFonts w:ascii="Times New Roman" w:hAnsi="Times New Roman" w:cs="Times New Roman"/>
          <w:sz w:val="24"/>
          <w:szCs w:val="24"/>
        </w:rPr>
        <w:t xml:space="preserve"> </w:t>
      </w:r>
      <w:r w:rsidR="000E7DFC">
        <w:rPr>
          <w:rFonts w:ascii="Times New Roman" w:hAnsi="Times New Roman" w:cs="Times New Roman"/>
          <w:sz w:val="24"/>
          <w:szCs w:val="24"/>
        </w:rPr>
        <w:t xml:space="preserve">i </w:t>
      </w:r>
      <w:r w:rsidR="00396473">
        <w:rPr>
          <w:rFonts w:ascii="Times New Roman" w:hAnsi="Times New Roman" w:cs="Times New Roman"/>
          <w:sz w:val="24"/>
          <w:szCs w:val="24"/>
        </w:rPr>
        <w:t>na úvodné ustanoveni</w:t>
      </w:r>
      <w:r w:rsidR="006F57BD">
        <w:rPr>
          <w:rFonts w:ascii="Times New Roman" w:hAnsi="Times New Roman" w:cs="Times New Roman"/>
          <w:sz w:val="24"/>
          <w:szCs w:val="24"/>
        </w:rPr>
        <w:t>e</w:t>
      </w:r>
      <w:r w:rsidR="00396473">
        <w:rPr>
          <w:rFonts w:ascii="Times New Roman" w:hAnsi="Times New Roman" w:cs="Times New Roman"/>
          <w:sz w:val="24"/>
          <w:szCs w:val="24"/>
        </w:rPr>
        <w:t xml:space="preserve"> § 1 zákona</w:t>
      </w:r>
      <w:r w:rsidR="0081311C">
        <w:rPr>
          <w:rFonts w:ascii="Times New Roman" w:hAnsi="Times New Roman" w:cs="Times New Roman"/>
          <w:sz w:val="24"/>
          <w:szCs w:val="24"/>
        </w:rPr>
        <w:t xml:space="preserve"> </w:t>
      </w:r>
      <w:r w:rsidR="00B7197C">
        <w:rPr>
          <w:rFonts w:ascii="Times New Roman" w:hAnsi="Times New Roman" w:cs="Times New Roman"/>
          <w:sz w:val="24"/>
          <w:szCs w:val="24"/>
        </w:rPr>
        <w:t>s cieľom rozšíriť osobnú pôsobnosť zákona</w:t>
      </w:r>
      <w:r w:rsidR="00BE0D57">
        <w:rPr>
          <w:rFonts w:ascii="Times New Roman" w:hAnsi="Times New Roman" w:cs="Times New Roman"/>
          <w:sz w:val="24"/>
          <w:szCs w:val="24"/>
        </w:rPr>
        <w:t>. Rozhodnutie predkladateľa, na ktoré osoby sa bude, resp. nebude vzťahovať ochrana podľa zákona nebolo svojvo</w:t>
      </w:r>
      <w:r>
        <w:rPr>
          <w:rFonts w:ascii="Times New Roman" w:hAnsi="Times New Roman" w:cs="Times New Roman"/>
          <w:sz w:val="24"/>
          <w:szCs w:val="24"/>
        </w:rPr>
        <w:t xml:space="preserve">ľné, </w:t>
      </w:r>
      <w:proofErr w:type="spellStart"/>
      <w:r>
        <w:rPr>
          <w:rFonts w:ascii="Times New Roman" w:hAnsi="Times New Roman" w:cs="Times New Roman"/>
          <w:sz w:val="24"/>
          <w:szCs w:val="24"/>
        </w:rPr>
        <w:t>v</w:t>
      </w:r>
      <w:r w:rsidRPr="0061053F">
        <w:rPr>
          <w:rFonts w:ascii="Times New Roman" w:hAnsi="Times New Roman" w:cs="Times New Roman"/>
          <w:sz w:val="24"/>
          <w:szCs w:val="24"/>
        </w:rPr>
        <w:t>ice</w:t>
      </w:r>
      <w:proofErr w:type="spellEnd"/>
      <w:r w:rsidRPr="0061053F">
        <w:rPr>
          <w:rFonts w:ascii="Times New Roman" w:hAnsi="Times New Roman" w:cs="Times New Roman"/>
          <w:sz w:val="24"/>
          <w:szCs w:val="24"/>
        </w:rPr>
        <w:t xml:space="preserve"> </w:t>
      </w:r>
      <w:proofErr w:type="spellStart"/>
      <w:r w:rsidRPr="0061053F">
        <w:rPr>
          <w:rFonts w:ascii="Times New Roman" w:hAnsi="Times New Roman" w:cs="Times New Roman"/>
          <w:sz w:val="24"/>
          <w:szCs w:val="24"/>
        </w:rPr>
        <w:t>versa</w:t>
      </w:r>
      <w:proofErr w:type="spellEnd"/>
      <w:r w:rsidR="00BE0D57">
        <w:rPr>
          <w:rFonts w:ascii="Times New Roman" w:hAnsi="Times New Roman" w:cs="Times New Roman"/>
          <w:sz w:val="24"/>
          <w:szCs w:val="24"/>
        </w:rPr>
        <w:t xml:space="preserve"> predkladateľ </w:t>
      </w:r>
      <w:r>
        <w:rPr>
          <w:rFonts w:ascii="Times New Roman" w:hAnsi="Times New Roman" w:cs="Times New Roman"/>
          <w:sz w:val="24"/>
          <w:szCs w:val="24"/>
        </w:rPr>
        <w:t>tieto osoby definoval v súlade so smernicou (EÚ) 2019</w:t>
      </w:r>
      <w:r w:rsidR="0090742D">
        <w:rPr>
          <w:rFonts w:ascii="Times New Roman" w:hAnsi="Times New Roman" w:cs="Times New Roman"/>
          <w:sz w:val="24"/>
          <w:szCs w:val="24"/>
        </w:rPr>
        <w:t>/193</w:t>
      </w:r>
      <w:r>
        <w:rPr>
          <w:rFonts w:ascii="Times New Roman" w:hAnsi="Times New Roman" w:cs="Times New Roman"/>
          <w:sz w:val="24"/>
          <w:szCs w:val="24"/>
        </w:rPr>
        <w:t>7</w:t>
      </w:r>
      <w:r w:rsidR="007B0317">
        <w:rPr>
          <w:rFonts w:ascii="Times New Roman" w:hAnsi="Times New Roman" w:cs="Times New Roman"/>
          <w:sz w:val="24"/>
          <w:szCs w:val="24"/>
        </w:rPr>
        <w:t xml:space="preserve"> v platnom znení</w:t>
      </w:r>
      <w:r>
        <w:rPr>
          <w:rFonts w:ascii="Times New Roman" w:hAnsi="Times New Roman" w:cs="Times New Roman"/>
          <w:sz w:val="24"/>
          <w:szCs w:val="24"/>
        </w:rPr>
        <w:t xml:space="preserve">, pričom navrhovaná právna úprava nie </w:t>
      </w:r>
      <w:r w:rsidR="00DE7D8A">
        <w:rPr>
          <w:rFonts w:ascii="Times New Roman" w:hAnsi="Times New Roman" w:cs="Times New Roman"/>
          <w:sz w:val="24"/>
          <w:szCs w:val="24"/>
        </w:rPr>
        <w:t xml:space="preserve">je </w:t>
      </w:r>
      <w:r>
        <w:rPr>
          <w:rFonts w:ascii="Times New Roman" w:hAnsi="Times New Roman" w:cs="Times New Roman"/>
          <w:sz w:val="24"/>
          <w:szCs w:val="24"/>
        </w:rPr>
        <w:t xml:space="preserve">vo vzťahu k úniovému právu zextenzívnená. </w:t>
      </w:r>
    </w:p>
    <w:p w14:paraId="576B2C4C" w14:textId="77777777" w:rsidR="000E7DFC" w:rsidRDefault="000E7DFC" w:rsidP="000D0D6E">
      <w:pPr>
        <w:spacing w:after="0" w:line="240" w:lineRule="auto"/>
        <w:jc w:val="both"/>
        <w:rPr>
          <w:rFonts w:ascii="Times New Roman" w:hAnsi="Times New Roman" w:cs="Times New Roman"/>
          <w:sz w:val="24"/>
          <w:szCs w:val="24"/>
        </w:rPr>
      </w:pPr>
    </w:p>
    <w:p w14:paraId="6DCCB234" w14:textId="5A79DB14" w:rsidR="00DE7B36" w:rsidRDefault="00BE0D57" w:rsidP="00A91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Základným kritériom </w:t>
      </w:r>
      <w:r w:rsidR="00DC775D">
        <w:rPr>
          <w:rFonts w:ascii="Times New Roman" w:hAnsi="Times New Roman" w:cs="Times New Roman"/>
          <w:sz w:val="24"/>
          <w:szCs w:val="24"/>
        </w:rPr>
        <w:t xml:space="preserve">pre </w:t>
      </w:r>
      <w:r w:rsidR="00D67793">
        <w:rPr>
          <w:rFonts w:ascii="Times New Roman" w:hAnsi="Times New Roman" w:cs="Times New Roman"/>
          <w:sz w:val="24"/>
          <w:szCs w:val="24"/>
        </w:rPr>
        <w:t xml:space="preserve">určenie osôb, </w:t>
      </w:r>
      <w:r w:rsidR="00A911B4">
        <w:rPr>
          <w:rFonts w:ascii="Times New Roman" w:hAnsi="Times New Roman" w:cs="Times New Roman"/>
          <w:sz w:val="24"/>
          <w:szCs w:val="24"/>
        </w:rPr>
        <w:t>na ktoré sa bude vzťahovať osobná pôsobnosť zákona</w:t>
      </w:r>
      <w:r w:rsidR="00D67793">
        <w:rPr>
          <w:rFonts w:ascii="Times New Roman" w:hAnsi="Times New Roman" w:cs="Times New Roman"/>
          <w:sz w:val="24"/>
          <w:szCs w:val="24"/>
        </w:rPr>
        <w:t xml:space="preserve"> bolo vymedzenie </w:t>
      </w:r>
      <w:r w:rsidR="00DC775D">
        <w:rPr>
          <w:rFonts w:ascii="Times New Roman" w:hAnsi="Times New Roman" w:cs="Times New Roman"/>
          <w:sz w:val="24"/>
          <w:szCs w:val="24"/>
        </w:rPr>
        <w:t>okruhu osôb, ktoré</w:t>
      </w:r>
      <w:r w:rsidR="0081311C">
        <w:rPr>
          <w:rFonts w:ascii="Times New Roman" w:hAnsi="Times New Roman" w:cs="Times New Roman"/>
          <w:sz w:val="24"/>
          <w:szCs w:val="24"/>
        </w:rPr>
        <w:t xml:space="preserve"> </w:t>
      </w:r>
      <w:r w:rsidR="00DC775D" w:rsidRPr="00DC775D">
        <w:rPr>
          <w:rFonts w:ascii="Times New Roman" w:hAnsi="Times New Roman" w:cs="Times New Roman"/>
          <w:sz w:val="24"/>
          <w:szCs w:val="24"/>
        </w:rPr>
        <w:t xml:space="preserve">pracujú pre verejnú alebo súkromnú organizáciu alebo </w:t>
      </w:r>
      <w:r w:rsidR="00DC775D">
        <w:rPr>
          <w:rFonts w:ascii="Times New Roman" w:hAnsi="Times New Roman" w:cs="Times New Roman"/>
          <w:sz w:val="24"/>
          <w:szCs w:val="24"/>
        </w:rPr>
        <w:t xml:space="preserve">sú/ alebo boli </w:t>
      </w:r>
      <w:r w:rsidR="00DC775D" w:rsidRPr="00DC775D">
        <w:rPr>
          <w:rFonts w:ascii="Times New Roman" w:hAnsi="Times New Roman" w:cs="Times New Roman"/>
          <w:sz w:val="24"/>
          <w:szCs w:val="24"/>
        </w:rPr>
        <w:t>v styku s takouto organizáciou</w:t>
      </w:r>
      <w:r w:rsidR="00DC775D">
        <w:rPr>
          <w:rFonts w:ascii="Times New Roman" w:hAnsi="Times New Roman" w:cs="Times New Roman"/>
          <w:sz w:val="24"/>
          <w:szCs w:val="24"/>
        </w:rPr>
        <w:t>.</w:t>
      </w:r>
      <w:r w:rsidR="0081311C">
        <w:rPr>
          <w:rFonts w:ascii="Times New Roman" w:hAnsi="Times New Roman" w:cs="Times New Roman"/>
          <w:sz w:val="24"/>
          <w:szCs w:val="24"/>
        </w:rPr>
        <w:t xml:space="preserve"> </w:t>
      </w:r>
      <w:r w:rsidR="002430A4">
        <w:rPr>
          <w:rFonts w:ascii="Times New Roman" w:hAnsi="Times New Roman" w:cs="Times New Roman"/>
          <w:sz w:val="24"/>
          <w:szCs w:val="24"/>
        </w:rPr>
        <w:t>Na veľkú časť tejto skupiny bolo možné aplikovať ustanovenia tohto zákona už v minulosti, pretože jej zástupcovia spĺňali požiadavku pracovnoprávneho vzťahu, v kontexte ktorého urobili oznámenie. S verejnými či s</w:t>
      </w:r>
      <w:r w:rsidR="00A911B4">
        <w:rPr>
          <w:rFonts w:ascii="Times New Roman" w:hAnsi="Times New Roman" w:cs="Times New Roman"/>
          <w:sz w:val="24"/>
          <w:szCs w:val="24"/>
        </w:rPr>
        <w:t>úk</w:t>
      </w:r>
      <w:r w:rsidR="002430A4">
        <w:rPr>
          <w:rFonts w:ascii="Times New Roman" w:hAnsi="Times New Roman" w:cs="Times New Roman"/>
          <w:sz w:val="24"/>
          <w:szCs w:val="24"/>
        </w:rPr>
        <w:t>r</w:t>
      </w:r>
      <w:r w:rsidR="00A911B4">
        <w:rPr>
          <w:rFonts w:ascii="Times New Roman" w:hAnsi="Times New Roman" w:cs="Times New Roman"/>
          <w:sz w:val="24"/>
          <w:szCs w:val="24"/>
        </w:rPr>
        <w:t>o</w:t>
      </w:r>
      <w:r w:rsidR="002430A4">
        <w:rPr>
          <w:rFonts w:ascii="Times New Roman" w:hAnsi="Times New Roman" w:cs="Times New Roman"/>
          <w:sz w:val="24"/>
          <w:szCs w:val="24"/>
        </w:rPr>
        <w:t xml:space="preserve">mnými organizáciami však </w:t>
      </w:r>
      <w:r w:rsidR="00A911B4">
        <w:rPr>
          <w:rFonts w:ascii="Times New Roman" w:hAnsi="Times New Roman" w:cs="Times New Roman"/>
          <w:sz w:val="24"/>
          <w:szCs w:val="24"/>
        </w:rPr>
        <w:t xml:space="preserve">častokrát </w:t>
      </w:r>
      <w:r w:rsidR="002430A4">
        <w:rPr>
          <w:rFonts w:ascii="Times New Roman" w:hAnsi="Times New Roman" w:cs="Times New Roman"/>
          <w:sz w:val="24"/>
          <w:szCs w:val="24"/>
        </w:rPr>
        <w:t xml:space="preserve">prichádzajú do </w:t>
      </w:r>
      <w:r w:rsidR="00C5325C">
        <w:rPr>
          <w:rFonts w:ascii="Times New Roman" w:hAnsi="Times New Roman" w:cs="Times New Roman"/>
          <w:sz w:val="24"/>
          <w:szCs w:val="24"/>
        </w:rPr>
        <w:t xml:space="preserve">pracovného </w:t>
      </w:r>
      <w:r w:rsidR="002430A4">
        <w:rPr>
          <w:rFonts w:ascii="Times New Roman" w:hAnsi="Times New Roman" w:cs="Times New Roman"/>
          <w:sz w:val="24"/>
          <w:szCs w:val="24"/>
        </w:rPr>
        <w:t>kontaktu i iné fyzické osoby,</w:t>
      </w:r>
      <w:r w:rsidR="00A911B4">
        <w:rPr>
          <w:rFonts w:ascii="Times New Roman" w:hAnsi="Times New Roman" w:cs="Times New Roman"/>
          <w:sz w:val="24"/>
          <w:szCs w:val="24"/>
        </w:rPr>
        <w:t xml:space="preserve"> ako ich zamestnanci</w:t>
      </w:r>
      <w:r w:rsidR="002430A4">
        <w:rPr>
          <w:rFonts w:ascii="Times New Roman" w:hAnsi="Times New Roman" w:cs="Times New Roman"/>
          <w:sz w:val="24"/>
          <w:szCs w:val="24"/>
        </w:rPr>
        <w:t xml:space="preserve">. Tieto </w:t>
      </w:r>
      <w:r w:rsidR="00A911B4">
        <w:rPr>
          <w:rFonts w:ascii="Times New Roman" w:hAnsi="Times New Roman" w:cs="Times New Roman"/>
          <w:sz w:val="24"/>
          <w:szCs w:val="24"/>
        </w:rPr>
        <w:t xml:space="preserve">fyzické </w:t>
      </w:r>
      <w:r w:rsidR="002430A4">
        <w:rPr>
          <w:rFonts w:ascii="Times New Roman" w:hAnsi="Times New Roman" w:cs="Times New Roman"/>
          <w:sz w:val="24"/>
          <w:szCs w:val="24"/>
        </w:rPr>
        <w:t xml:space="preserve">osoby môžu </w:t>
      </w:r>
      <w:r w:rsidR="00A911B4">
        <w:rPr>
          <w:rFonts w:ascii="Times New Roman" w:hAnsi="Times New Roman" w:cs="Times New Roman"/>
          <w:sz w:val="24"/>
          <w:szCs w:val="24"/>
        </w:rPr>
        <w:t>nadväzovať</w:t>
      </w:r>
      <w:r w:rsidR="002430A4">
        <w:rPr>
          <w:rFonts w:ascii="Times New Roman" w:hAnsi="Times New Roman" w:cs="Times New Roman"/>
          <w:sz w:val="24"/>
          <w:szCs w:val="24"/>
        </w:rPr>
        <w:t xml:space="preserve"> vzťahy s inými verejnými alebo súkromnými organizáciami za účelom zárobku, ako napríklad podnikatelia – živnostníci, či osoby </w:t>
      </w:r>
      <w:r w:rsidR="00A911B4">
        <w:rPr>
          <w:rFonts w:ascii="Times New Roman" w:hAnsi="Times New Roman" w:cs="Times New Roman"/>
          <w:sz w:val="24"/>
          <w:szCs w:val="24"/>
        </w:rPr>
        <w:t>zastávajúce funkcie v</w:t>
      </w:r>
      <w:r w:rsidR="0081311C">
        <w:rPr>
          <w:rFonts w:ascii="Times New Roman" w:hAnsi="Times New Roman" w:cs="Times New Roman"/>
          <w:sz w:val="24"/>
          <w:szCs w:val="24"/>
        </w:rPr>
        <w:t> </w:t>
      </w:r>
      <w:r w:rsidR="00A911B4">
        <w:rPr>
          <w:rFonts w:ascii="Times New Roman" w:hAnsi="Times New Roman" w:cs="Times New Roman"/>
          <w:sz w:val="24"/>
          <w:szCs w:val="24"/>
        </w:rPr>
        <w:t>rôznych</w:t>
      </w:r>
      <w:r w:rsidR="0081311C">
        <w:rPr>
          <w:rFonts w:ascii="Times New Roman" w:hAnsi="Times New Roman" w:cs="Times New Roman"/>
          <w:sz w:val="24"/>
          <w:szCs w:val="24"/>
        </w:rPr>
        <w:t xml:space="preserve"> </w:t>
      </w:r>
      <w:r w:rsidR="00A911B4">
        <w:rPr>
          <w:rFonts w:ascii="Times New Roman" w:hAnsi="Times New Roman" w:cs="Times New Roman"/>
          <w:sz w:val="24"/>
          <w:szCs w:val="24"/>
        </w:rPr>
        <w:t>právnických osobách</w:t>
      </w:r>
      <w:r w:rsidR="002430A4">
        <w:rPr>
          <w:rFonts w:ascii="Times New Roman" w:hAnsi="Times New Roman" w:cs="Times New Roman"/>
          <w:sz w:val="24"/>
          <w:szCs w:val="24"/>
        </w:rPr>
        <w:t xml:space="preserve">, </w:t>
      </w:r>
      <w:r w:rsidR="00A911B4">
        <w:rPr>
          <w:rFonts w:ascii="Times New Roman" w:hAnsi="Times New Roman" w:cs="Times New Roman"/>
          <w:sz w:val="24"/>
          <w:szCs w:val="24"/>
        </w:rPr>
        <w:t>alebo z</w:t>
      </w:r>
      <w:r w:rsidR="00F23BAA">
        <w:rPr>
          <w:rFonts w:ascii="Times New Roman" w:hAnsi="Times New Roman" w:cs="Times New Roman"/>
          <w:sz w:val="24"/>
          <w:szCs w:val="24"/>
        </w:rPr>
        <w:t>a účelom nadobudnutia praxe či</w:t>
      </w:r>
      <w:r w:rsidR="00A911B4">
        <w:rPr>
          <w:rFonts w:ascii="Times New Roman" w:hAnsi="Times New Roman" w:cs="Times New Roman"/>
          <w:sz w:val="24"/>
          <w:szCs w:val="24"/>
        </w:rPr>
        <w:t xml:space="preserve"> iných odborných zručností</w:t>
      </w:r>
      <w:r w:rsidR="00F23BAA">
        <w:rPr>
          <w:rFonts w:ascii="Times New Roman" w:hAnsi="Times New Roman" w:cs="Times New Roman"/>
          <w:sz w:val="24"/>
          <w:szCs w:val="24"/>
        </w:rPr>
        <w:t>,</w:t>
      </w:r>
      <w:r w:rsidR="00A911B4">
        <w:rPr>
          <w:rFonts w:ascii="Times New Roman" w:hAnsi="Times New Roman" w:cs="Times New Roman"/>
          <w:sz w:val="24"/>
          <w:szCs w:val="24"/>
        </w:rPr>
        <w:t xml:space="preserve"> ako sú napríklad stážisti, dobrovo</w:t>
      </w:r>
      <w:r w:rsidR="00F23BAA">
        <w:rPr>
          <w:rFonts w:ascii="Times New Roman" w:hAnsi="Times New Roman" w:cs="Times New Roman"/>
          <w:sz w:val="24"/>
          <w:szCs w:val="24"/>
        </w:rPr>
        <w:t>ľníci a</w:t>
      </w:r>
      <w:r w:rsidR="00A911B4">
        <w:rPr>
          <w:rFonts w:ascii="Times New Roman" w:hAnsi="Times New Roman" w:cs="Times New Roman"/>
          <w:sz w:val="24"/>
          <w:szCs w:val="24"/>
        </w:rPr>
        <w:t xml:space="preserve"> iní odborní praktikanti atď. Z tohto dôvodu predkladateľ v</w:t>
      </w:r>
      <w:r w:rsidR="00305354">
        <w:rPr>
          <w:rFonts w:ascii="Times New Roman" w:hAnsi="Times New Roman" w:cs="Times New Roman"/>
          <w:sz w:val="24"/>
          <w:szCs w:val="24"/>
        </w:rPr>
        <w:t xml:space="preserve"> navrhovanom </w:t>
      </w:r>
      <w:r w:rsidR="00A911B4">
        <w:rPr>
          <w:rFonts w:ascii="Times New Roman" w:hAnsi="Times New Roman" w:cs="Times New Roman"/>
          <w:sz w:val="24"/>
          <w:szCs w:val="24"/>
        </w:rPr>
        <w:t>§ 2 písm.</w:t>
      </w:r>
      <w:r w:rsidR="00171AB3">
        <w:rPr>
          <w:rFonts w:ascii="Times New Roman" w:hAnsi="Times New Roman" w:cs="Times New Roman"/>
          <w:sz w:val="24"/>
          <w:szCs w:val="24"/>
        </w:rPr>
        <w:t xml:space="preserve"> f</w:t>
      </w:r>
      <w:r w:rsidR="00A911B4">
        <w:rPr>
          <w:rFonts w:ascii="Times New Roman" w:hAnsi="Times New Roman" w:cs="Times New Roman"/>
          <w:sz w:val="24"/>
          <w:szCs w:val="24"/>
        </w:rPr>
        <w:t xml:space="preserve">) (čl. I bod </w:t>
      </w:r>
      <w:r w:rsidR="006C4FB1">
        <w:rPr>
          <w:rFonts w:ascii="Times New Roman" w:hAnsi="Times New Roman" w:cs="Times New Roman"/>
          <w:sz w:val="24"/>
          <w:szCs w:val="24"/>
        </w:rPr>
        <w:t>10</w:t>
      </w:r>
      <w:r w:rsidR="00A911B4">
        <w:rPr>
          <w:rFonts w:ascii="Times New Roman" w:hAnsi="Times New Roman" w:cs="Times New Roman"/>
          <w:sz w:val="24"/>
          <w:szCs w:val="24"/>
        </w:rPr>
        <w:t xml:space="preserve">.) </w:t>
      </w:r>
      <w:r w:rsidR="00574712">
        <w:rPr>
          <w:rFonts w:ascii="Times New Roman" w:hAnsi="Times New Roman" w:cs="Times New Roman"/>
          <w:sz w:val="24"/>
          <w:szCs w:val="24"/>
        </w:rPr>
        <w:t xml:space="preserve">návrhu zákona, </w:t>
      </w:r>
      <w:r w:rsidR="00574712" w:rsidRPr="00574712">
        <w:rPr>
          <w:rFonts w:ascii="Times New Roman" w:hAnsi="Times New Roman" w:cs="Times New Roman"/>
          <w:sz w:val="24"/>
          <w:szCs w:val="24"/>
        </w:rPr>
        <w:t xml:space="preserve">ktorým sa mení a dopĺňa zákon č. 54/2019 Z. z. o ochrane oznamovateľov protispoločenskej činnosti a o zmene a doplnení niektorých zákonov a ktorým sa mení 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006408B7">
        <w:rPr>
          <w:rFonts w:ascii="Times New Roman" w:hAnsi="Times New Roman" w:cs="Times New Roman"/>
          <w:sz w:val="24"/>
          <w:szCs w:val="24"/>
        </w:rPr>
        <w:t xml:space="preserve">(ďalej len „návrh zákona“) </w:t>
      </w:r>
      <w:r w:rsidR="0007565D">
        <w:rPr>
          <w:rFonts w:ascii="Times New Roman" w:hAnsi="Times New Roman" w:cs="Times New Roman"/>
          <w:sz w:val="24"/>
          <w:szCs w:val="24"/>
        </w:rPr>
        <w:t>vymedzuje, čo sa rozumie pod pojmom</w:t>
      </w:r>
      <w:r w:rsidR="00B7197C">
        <w:rPr>
          <w:rFonts w:ascii="Times New Roman" w:hAnsi="Times New Roman" w:cs="Times New Roman"/>
          <w:sz w:val="24"/>
          <w:szCs w:val="24"/>
        </w:rPr>
        <w:t xml:space="preserve"> „v inom obdobnom vzťahu“</w:t>
      </w:r>
      <w:r w:rsidR="00A911B4">
        <w:rPr>
          <w:rFonts w:ascii="Times New Roman" w:hAnsi="Times New Roman" w:cs="Times New Roman"/>
          <w:sz w:val="24"/>
          <w:szCs w:val="24"/>
        </w:rPr>
        <w:t xml:space="preserve">, resp. uvádza </w:t>
      </w:r>
      <w:r w:rsidR="00DE7B36">
        <w:rPr>
          <w:rFonts w:ascii="Times New Roman" w:hAnsi="Times New Roman" w:cs="Times New Roman"/>
          <w:sz w:val="24"/>
          <w:szCs w:val="24"/>
        </w:rPr>
        <w:t xml:space="preserve">demonštratívny </w:t>
      </w:r>
      <w:r w:rsidR="00A911B4">
        <w:rPr>
          <w:rFonts w:ascii="Times New Roman" w:hAnsi="Times New Roman" w:cs="Times New Roman"/>
          <w:sz w:val="24"/>
          <w:szCs w:val="24"/>
        </w:rPr>
        <w:t xml:space="preserve">výpočet činností, </w:t>
      </w:r>
      <w:r w:rsidR="00622EF1">
        <w:rPr>
          <w:rFonts w:ascii="Times New Roman" w:hAnsi="Times New Roman" w:cs="Times New Roman"/>
          <w:sz w:val="24"/>
          <w:szCs w:val="24"/>
        </w:rPr>
        <w:t>počas ktorých</w:t>
      </w:r>
      <w:r w:rsidR="0081311C">
        <w:rPr>
          <w:rFonts w:ascii="Times New Roman" w:hAnsi="Times New Roman" w:cs="Times New Roman"/>
          <w:sz w:val="24"/>
          <w:szCs w:val="24"/>
        </w:rPr>
        <w:t xml:space="preserve"> </w:t>
      </w:r>
      <w:r w:rsidR="00A911B4">
        <w:rPr>
          <w:rFonts w:ascii="Times New Roman" w:hAnsi="Times New Roman" w:cs="Times New Roman"/>
          <w:sz w:val="24"/>
          <w:szCs w:val="24"/>
        </w:rPr>
        <w:t>v prípade n</w:t>
      </w:r>
      <w:r w:rsidR="0007565D">
        <w:rPr>
          <w:rFonts w:ascii="Times New Roman" w:hAnsi="Times New Roman" w:cs="Times New Roman"/>
          <w:sz w:val="24"/>
          <w:szCs w:val="24"/>
        </w:rPr>
        <w:t>adviazania</w:t>
      </w:r>
      <w:r w:rsidR="00A911B4">
        <w:rPr>
          <w:rFonts w:ascii="Times New Roman" w:hAnsi="Times New Roman" w:cs="Times New Roman"/>
          <w:sz w:val="24"/>
          <w:szCs w:val="24"/>
        </w:rPr>
        <w:t xml:space="preserve"> kontaktu </w:t>
      </w:r>
      <w:r w:rsidR="0007565D">
        <w:rPr>
          <w:rFonts w:ascii="Times New Roman" w:hAnsi="Times New Roman" w:cs="Times New Roman"/>
          <w:sz w:val="24"/>
          <w:szCs w:val="24"/>
        </w:rPr>
        <w:t xml:space="preserve">medzi dotknutým subjektom </w:t>
      </w:r>
      <w:r w:rsidR="007A7920">
        <w:rPr>
          <w:rFonts w:ascii="Times New Roman" w:hAnsi="Times New Roman" w:cs="Times New Roman"/>
          <w:sz w:val="24"/>
          <w:szCs w:val="24"/>
        </w:rPr>
        <w:t xml:space="preserve">(osobou) </w:t>
      </w:r>
      <w:r w:rsidR="0007565D">
        <w:rPr>
          <w:rFonts w:ascii="Times New Roman" w:hAnsi="Times New Roman" w:cs="Times New Roman"/>
          <w:sz w:val="24"/>
          <w:szCs w:val="24"/>
        </w:rPr>
        <w:t xml:space="preserve">a </w:t>
      </w:r>
      <w:r w:rsidR="00A911B4">
        <w:rPr>
          <w:rFonts w:ascii="Times New Roman" w:hAnsi="Times New Roman" w:cs="Times New Roman"/>
          <w:sz w:val="24"/>
          <w:szCs w:val="24"/>
        </w:rPr>
        <w:t xml:space="preserve">verejnou alebo súkromnou organizáciou </w:t>
      </w:r>
      <w:r w:rsidR="00622EF1">
        <w:rPr>
          <w:rFonts w:ascii="Times New Roman" w:hAnsi="Times New Roman" w:cs="Times New Roman"/>
          <w:sz w:val="24"/>
          <w:szCs w:val="24"/>
        </w:rPr>
        <w:t xml:space="preserve">sa môže </w:t>
      </w:r>
      <w:r w:rsidR="0007565D">
        <w:rPr>
          <w:rFonts w:ascii="Times New Roman" w:hAnsi="Times New Roman" w:cs="Times New Roman"/>
          <w:sz w:val="24"/>
          <w:szCs w:val="24"/>
        </w:rPr>
        <w:t>vytvoriť</w:t>
      </w:r>
      <w:r w:rsidR="00A911B4">
        <w:rPr>
          <w:rFonts w:ascii="Times New Roman" w:hAnsi="Times New Roman" w:cs="Times New Roman"/>
          <w:sz w:val="24"/>
          <w:szCs w:val="24"/>
        </w:rPr>
        <w:t xml:space="preserve"> „</w:t>
      </w:r>
      <w:r w:rsidR="0007565D">
        <w:rPr>
          <w:rFonts w:ascii="Times New Roman" w:hAnsi="Times New Roman" w:cs="Times New Roman"/>
          <w:sz w:val="24"/>
          <w:szCs w:val="24"/>
        </w:rPr>
        <w:t>iný o</w:t>
      </w:r>
      <w:r w:rsidR="00A911B4">
        <w:rPr>
          <w:rFonts w:ascii="Times New Roman" w:hAnsi="Times New Roman" w:cs="Times New Roman"/>
          <w:sz w:val="24"/>
          <w:szCs w:val="24"/>
        </w:rPr>
        <w:t>b</w:t>
      </w:r>
      <w:r w:rsidR="0007565D">
        <w:rPr>
          <w:rFonts w:ascii="Times New Roman" w:hAnsi="Times New Roman" w:cs="Times New Roman"/>
          <w:sz w:val="24"/>
          <w:szCs w:val="24"/>
        </w:rPr>
        <w:t>dob</w:t>
      </w:r>
      <w:r w:rsidR="00A911B4">
        <w:rPr>
          <w:rFonts w:ascii="Times New Roman" w:hAnsi="Times New Roman" w:cs="Times New Roman"/>
          <w:sz w:val="24"/>
          <w:szCs w:val="24"/>
        </w:rPr>
        <w:t xml:space="preserve">ný vzťah“. </w:t>
      </w:r>
      <w:r w:rsidR="0007565D">
        <w:rPr>
          <w:rFonts w:ascii="Times New Roman" w:hAnsi="Times New Roman" w:cs="Times New Roman"/>
          <w:sz w:val="24"/>
          <w:szCs w:val="24"/>
        </w:rPr>
        <w:t xml:space="preserve">Všetky tieto činnosti je potrebné vždy posudzovať v kontexte vzájomného vzťahu medzi </w:t>
      </w:r>
      <w:r w:rsidR="00622EF1">
        <w:rPr>
          <w:rFonts w:ascii="Times New Roman" w:hAnsi="Times New Roman" w:cs="Times New Roman"/>
          <w:sz w:val="24"/>
          <w:szCs w:val="24"/>
        </w:rPr>
        <w:t xml:space="preserve">konkrétnou </w:t>
      </w:r>
      <w:r w:rsidR="0007565D">
        <w:rPr>
          <w:rFonts w:ascii="Times New Roman" w:hAnsi="Times New Roman" w:cs="Times New Roman"/>
          <w:sz w:val="24"/>
          <w:szCs w:val="24"/>
        </w:rPr>
        <w:t xml:space="preserve">fyzickou osobou a dotknutou verejnou alebo súkromnou organizáciou. </w:t>
      </w:r>
      <w:r w:rsidR="007A7920">
        <w:rPr>
          <w:rFonts w:ascii="Times New Roman" w:hAnsi="Times New Roman" w:cs="Times New Roman"/>
          <w:sz w:val="24"/>
          <w:szCs w:val="24"/>
        </w:rPr>
        <w:t xml:space="preserve">V tomto kontexte je na záver potrebné zvýrazniť, že </w:t>
      </w:r>
      <w:r w:rsidR="00305354">
        <w:rPr>
          <w:rFonts w:ascii="Times New Roman" w:hAnsi="Times New Roman" w:cs="Times New Roman"/>
          <w:sz w:val="24"/>
          <w:szCs w:val="24"/>
        </w:rPr>
        <w:t xml:space="preserve">navrhované </w:t>
      </w:r>
      <w:r w:rsidR="007A7920">
        <w:rPr>
          <w:rFonts w:ascii="Times New Roman" w:hAnsi="Times New Roman" w:cs="Times New Roman"/>
          <w:sz w:val="24"/>
          <w:szCs w:val="24"/>
        </w:rPr>
        <w:t xml:space="preserve">ustanovenie § 2 písm. f) </w:t>
      </w:r>
      <w:r w:rsidR="006408B7">
        <w:rPr>
          <w:rFonts w:ascii="Times New Roman" w:hAnsi="Times New Roman" w:cs="Times New Roman"/>
          <w:sz w:val="24"/>
          <w:szCs w:val="24"/>
        </w:rPr>
        <w:t xml:space="preserve">návrhu zákona </w:t>
      </w:r>
      <w:r w:rsidR="007A7920">
        <w:rPr>
          <w:rFonts w:ascii="Times New Roman" w:hAnsi="Times New Roman" w:cs="Times New Roman"/>
          <w:sz w:val="24"/>
          <w:szCs w:val="24"/>
        </w:rPr>
        <w:t xml:space="preserve">neobsahuje </w:t>
      </w:r>
      <w:r w:rsidR="007A7920">
        <w:rPr>
          <w:rFonts w:ascii="Times New Roman" w:hAnsi="Times New Roman" w:cs="Times New Roman"/>
          <w:sz w:val="24"/>
          <w:szCs w:val="24"/>
        </w:rPr>
        <w:lastRenderedPageBreak/>
        <w:t xml:space="preserve">explicitne </w:t>
      </w:r>
      <w:r w:rsidR="00E238BB">
        <w:rPr>
          <w:rFonts w:ascii="Times New Roman" w:hAnsi="Times New Roman" w:cs="Times New Roman"/>
          <w:sz w:val="24"/>
          <w:szCs w:val="24"/>
        </w:rPr>
        <w:t xml:space="preserve">stanovený </w:t>
      </w:r>
      <w:proofErr w:type="spellStart"/>
      <w:r w:rsidR="00E238BB">
        <w:rPr>
          <w:rFonts w:ascii="Times New Roman" w:hAnsi="Times New Roman" w:cs="Times New Roman"/>
          <w:sz w:val="24"/>
          <w:szCs w:val="24"/>
        </w:rPr>
        <w:t>n</w:t>
      </w:r>
      <w:r w:rsidR="00E238BB" w:rsidRPr="00E238BB">
        <w:rPr>
          <w:rFonts w:ascii="Times New Roman" w:hAnsi="Times New Roman" w:cs="Times New Roman"/>
          <w:sz w:val="24"/>
          <w:szCs w:val="24"/>
        </w:rPr>
        <w:t>umerus</w:t>
      </w:r>
      <w:proofErr w:type="spellEnd"/>
      <w:r w:rsidR="00E238BB" w:rsidRPr="00E238BB">
        <w:rPr>
          <w:rFonts w:ascii="Times New Roman" w:hAnsi="Times New Roman" w:cs="Times New Roman"/>
          <w:sz w:val="24"/>
          <w:szCs w:val="24"/>
        </w:rPr>
        <w:t xml:space="preserve"> </w:t>
      </w:r>
      <w:proofErr w:type="spellStart"/>
      <w:r w:rsidR="00E238BB" w:rsidRPr="00E238BB">
        <w:rPr>
          <w:rFonts w:ascii="Times New Roman" w:hAnsi="Times New Roman" w:cs="Times New Roman"/>
          <w:sz w:val="24"/>
          <w:szCs w:val="24"/>
        </w:rPr>
        <w:t>clausus</w:t>
      </w:r>
      <w:proofErr w:type="spellEnd"/>
      <w:r w:rsidR="0081311C">
        <w:rPr>
          <w:rFonts w:ascii="Times New Roman" w:hAnsi="Times New Roman" w:cs="Times New Roman"/>
          <w:sz w:val="24"/>
          <w:szCs w:val="24"/>
        </w:rPr>
        <w:t xml:space="preserve"> </w:t>
      </w:r>
      <w:r w:rsidR="007A7920">
        <w:rPr>
          <w:rFonts w:ascii="Times New Roman" w:hAnsi="Times New Roman" w:cs="Times New Roman"/>
          <w:sz w:val="24"/>
          <w:szCs w:val="24"/>
        </w:rPr>
        <w:t>vzťahov, ktoré na účely zákona môžu byť posudzované ako „iný obdobný vzťah“.</w:t>
      </w:r>
    </w:p>
    <w:p w14:paraId="032E64F5" w14:textId="77777777" w:rsidR="00DE7B36" w:rsidRDefault="00DE7B36" w:rsidP="00A911B4">
      <w:pPr>
        <w:spacing w:after="0" w:line="240" w:lineRule="auto"/>
        <w:ind w:firstLine="708"/>
        <w:jc w:val="both"/>
        <w:rPr>
          <w:rFonts w:ascii="Times New Roman" w:hAnsi="Times New Roman" w:cs="Times New Roman"/>
          <w:sz w:val="24"/>
          <w:szCs w:val="24"/>
        </w:rPr>
      </w:pPr>
    </w:p>
    <w:p w14:paraId="05620F01" w14:textId="3AD2A07D" w:rsidR="00DE7B36" w:rsidRDefault="00DE7B36" w:rsidP="00A91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Ďalej sa v § 2 písm. g) spresňuje výpočet subjektov, ktoré sú oprávnené a zároveň povinné prijať oznámenie o protispoločenskej činnosti, nakoľko doteraz musel oznamovateľ dedukovať kam môže uvedené oznámenie podať. Okruh orgánov, ktoré sú príslušné prijímať oznámenia sa týmto nerozširuje a drží sa ustálenej praxe. Týmito orgánmi sú Úrad na ochranu oznamovateľov, prokuratúra a</w:t>
      </w:r>
      <w:r w:rsidR="00C308D2">
        <w:rPr>
          <w:rFonts w:ascii="Times New Roman" w:hAnsi="Times New Roman" w:cs="Times New Roman"/>
          <w:sz w:val="24"/>
          <w:szCs w:val="24"/>
        </w:rPr>
        <w:t>lebo</w:t>
      </w:r>
      <w:r>
        <w:rPr>
          <w:rFonts w:ascii="Times New Roman" w:hAnsi="Times New Roman" w:cs="Times New Roman"/>
          <w:sz w:val="24"/>
          <w:szCs w:val="24"/>
        </w:rPr>
        <w:t> správne orgány.</w:t>
      </w:r>
    </w:p>
    <w:p w14:paraId="1B6401FA" w14:textId="6F4B4EE1" w:rsidR="00696D22" w:rsidRDefault="00696D22" w:rsidP="00C308D2">
      <w:pPr>
        <w:spacing w:after="0" w:line="240" w:lineRule="auto"/>
        <w:jc w:val="both"/>
        <w:rPr>
          <w:rFonts w:ascii="Times New Roman" w:hAnsi="Times New Roman"/>
          <w:sz w:val="24"/>
          <w:szCs w:val="24"/>
        </w:rPr>
      </w:pPr>
    </w:p>
    <w:p w14:paraId="458F4E5A" w14:textId="7AF153B6" w:rsidR="00B7197C" w:rsidRDefault="00696D22" w:rsidP="00A911B4">
      <w:pPr>
        <w:spacing w:after="0" w:line="240" w:lineRule="auto"/>
        <w:ind w:firstLine="708"/>
        <w:jc w:val="both"/>
        <w:rPr>
          <w:rFonts w:ascii="Times New Roman" w:hAnsi="Times New Roman" w:cs="Times New Roman"/>
          <w:sz w:val="24"/>
          <w:szCs w:val="24"/>
        </w:rPr>
      </w:pPr>
      <w:r>
        <w:rPr>
          <w:rFonts w:ascii="Times New Roman" w:hAnsi="Times New Roman"/>
          <w:sz w:val="24"/>
          <w:szCs w:val="24"/>
        </w:rPr>
        <w:t>Zároveň návrh zákona zavádza legislatívnu skratku dotknutá osoba, ktorú definuje ako fyzickú</w:t>
      </w:r>
      <w:r w:rsidRPr="006408E3">
        <w:rPr>
          <w:rFonts w:ascii="Times New Roman" w:hAnsi="Times New Roman"/>
          <w:sz w:val="24"/>
          <w:szCs w:val="24"/>
        </w:rPr>
        <w:t xml:space="preserve"> alebo </w:t>
      </w:r>
      <w:r>
        <w:rPr>
          <w:rFonts w:ascii="Times New Roman" w:hAnsi="Times New Roman"/>
          <w:sz w:val="24"/>
          <w:szCs w:val="24"/>
        </w:rPr>
        <w:t>právnickú osobu</w:t>
      </w:r>
      <w:r w:rsidRPr="006408E3">
        <w:rPr>
          <w:rFonts w:ascii="Times New Roman" w:hAnsi="Times New Roman"/>
          <w:sz w:val="24"/>
          <w:szCs w:val="24"/>
        </w:rPr>
        <w:t xml:space="preserve"> proti ktorej oznámenie smeruje</w:t>
      </w:r>
      <w:r>
        <w:rPr>
          <w:rFonts w:ascii="Times New Roman" w:hAnsi="Times New Roman"/>
          <w:sz w:val="24"/>
          <w:szCs w:val="24"/>
        </w:rPr>
        <w:t>.</w:t>
      </w:r>
    </w:p>
    <w:p w14:paraId="6CCF9B6A" w14:textId="77777777" w:rsidR="007E53BE" w:rsidRPr="008617AD" w:rsidRDefault="007E53BE" w:rsidP="003A20E2">
      <w:pPr>
        <w:spacing w:after="0" w:line="240" w:lineRule="auto"/>
        <w:jc w:val="both"/>
        <w:rPr>
          <w:rFonts w:ascii="Times New Roman" w:hAnsi="Times New Roman" w:cs="Times New Roman"/>
          <w:sz w:val="24"/>
          <w:szCs w:val="24"/>
        </w:rPr>
      </w:pPr>
    </w:p>
    <w:p w14:paraId="738A329B" w14:textId="542FA7C1" w:rsidR="00436011" w:rsidRDefault="009638E0" w:rsidP="009638E0">
      <w:pPr>
        <w:spacing w:after="0" w:line="240" w:lineRule="auto"/>
        <w:rPr>
          <w:rFonts w:ascii="Times New Roman" w:hAnsi="Times New Roman" w:cs="Times New Roman"/>
          <w:b/>
          <w:bCs/>
          <w:sz w:val="24"/>
          <w:szCs w:val="24"/>
        </w:rPr>
      </w:pPr>
      <w:r w:rsidRPr="008617AD">
        <w:rPr>
          <w:rFonts w:ascii="Times New Roman" w:hAnsi="Times New Roman" w:cs="Times New Roman"/>
          <w:b/>
          <w:bCs/>
          <w:sz w:val="24"/>
          <w:szCs w:val="24"/>
        </w:rPr>
        <w:t>K</w:t>
      </w:r>
      <w:r w:rsidR="003A20E2" w:rsidRPr="008617AD">
        <w:rPr>
          <w:rFonts w:ascii="Times New Roman" w:hAnsi="Times New Roman" w:cs="Times New Roman"/>
          <w:b/>
          <w:bCs/>
          <w:sz w:val="24"/>
          <w:szCs w:val="24"/>
        </w:rPr>
        <w:t> </w:t>
      </w:r>
      <w:r w:rsidRPr="008617AD">
        <w:rPr>
          <w:rFonts w:ascii="Times New Roman" w:hAnsi="Times New Roman" w:cs="Times New Roman"/>
          <w:b/>
          <w:bCs/>
          <w:sz w:val="24"/>
          <w:szCs w:val="24"/>
        </w:rPr>
        <w:t>bo</w:t>
      </w:r>
      <w:r w:rsidR="003A20E2" w:rsidRPr="008617AD">
        <w:rPr>
          <w:rFonts w:ascii="Times New Roman" w:hAnsi="Times New Roman" w:cs="Times New Roman"/>
          <w:b/>
          <w:bCs/>
          <w:sz w:val="24"/>
          <w:szCs w:val="24"/>
        </w:rPr>
        <w:t xml:space="preserve">du </w:t>
      </w:r>
      <w:r w:rsidR="00DD3317" w:rsidRPr="008617AD">
        <w:rPr>
          <w:rFonts w:ascii="Times New Roman" w:hAnsi="Times New Roman" w:cs="Times New Roman"/>
          <w:b/>
          <w:bCs/>
          <w:sz w:val="24"/>
          <w:szCs w:val="24"/>
        </w:rPr>
        <w:t>2</w:t>
      </w:r>
    </w:p>
    <w:p w14:paraId="43438329" w14:textId="495EE696" w:rsidR="002E76E4" w:rsidRDefault="002E76E4" w:rsidP="009638E0">
      <w:pPr>
        <w:spacing w:after="0" w:line="240" w:lineRule="auto"/>
        <w:rPr>
          <w:rFonts w:ascii="Times New Roman" w:hAnsi="Times New Roman" w:cs="Times New Roman"/>
          <w:b/>
          <w:bCs/>
          <w:sz w:val="24"/>
          <w:szCs w:val="24"/>
        </w:rPr>
      </w:pPr>
      <w:r w:rsidRPr="009F4A0E">
        <w:rPr>
          <w:rFonts w:ascii="Times New Roman" w:hAnsi="Times New Roman" w:cs="Times New Roman"/>
          <w:b/>
          <w:bCs/>
          <w:sz w:val="24"/>
          <w:szCs w:val="24"/>
        </w:rPr>
        <w:t>(</w:t>
      </w:r>
      <w:r w:rsidR="009F4A0E" w:rsidRPr="00F23BAA">
        <w:rPr>
          <w:rFonts w:ascii="Times New Roman" w:hAnsi="Times New Roman" w:cs="Times New Roman"/>
          <w:b/>
          <w:i/>
          <w:sz w:val="24"/>
          <w:szCs w:val="24"/>
        </w:rPr>
        <w:t xml:space="preserve">§ 1 ods. </w:t>
      </w:r>
      <w:r w:rsidR="009F4A0E">
        <w:rPr>
          <w:rFonts w:ascii="Times New Roman" w:hAnsi="Times New Roman" w:cs="Times New Roman"/>
          <w:b/>
          <w:i/>
          <w:sz w:val="24"/>
          <w:szCs w:val="24"/>
        </w:rPr>
        <w:t>1 písm. c)</w:t>
      </w:r>
      <w:r w:rsidRPr="009F4A0E">
        <w:rPr>
          <w:rFonts w:ascii="Times New Roman" w:hAnsi="Times New Roman" w:cs="Times New Roman"/>
          <w:b/>
          <w:bCs/>
          <w:sz w:val="24"/>
          <w:szCs w:val="24"/>
        </w:rPr>
        <w:t>)</w:t>
      </w:r>
    </w:p>
    <w:p w14:paraId="17C46351" w14:textId="77777777" w:rsidR="006076DF" w:rsidRPr="000D0D6E" w:rsidRDefault="006076DF" w:rsidP="009638E0">
      <w:pPr>
        <w:spacing w:after="0" w:line="240" w:lineRule="auto"/>
        <w:rPr>
          <w:rFonts w:ascii="Times New Roman" w:hAnsi="Times New Roman" w:cs="Times New Roman"/>
          <w:bCs/>
          <w:sz w:val="24"/>
          <w:szCs w:val="24"/>
        </w:rPr>
      </w:pPr>
    </w:p>
    <w:p w14:paraId="6422C967" w14:textId="01143C54" w:rsidR="006076DF" w:rsidRDefault="002718FF" w:rsidP="008D63AC">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Navrhovaná</w:t>
      </w:r>
      <w:r w:rsidR="00137232">
        <w:rPr>
          <w:rFonts w:ascii="Times New Roman" w:hAnsi="Times New Roman" w:cs="Times New Roman"/>
          <w:bCs/>
          <w:sz w:val="24"/>
          <w:szCs w:val="24"/>
        </w:rPr>
        <w:t xml:space="preserve"> právna</w:t>
      </w:r>
      <w:r>
        <w:rPr>
          <w:rFonts w:ascii="Times New Roman" w:hAnsi="Times New Roman" w:cs="Times New Roman"/>
          <w:bCs/>
          <w:sz w:val="24"/>
          <w:szCs w:val="24"/>
        </w:rPr>
        <w:t xml:space="preserve"> úprava predstavuje faktickú zmenu súčasného názvu Úradu na ochranu oznamovateľov protispoločenskej činnosti</w:t>
      </w:r>
      <w:r w:rsidR="00137232">
        <w:rPr>
          <w:rFonts w:ascii="Times New Roman" w:hAnsi="Times New Roman" w:cs="Times New Roman"/>
          <w:bCs/>
          <w:sz w:val="24"/>
          <w:szCs w:val="24"/>
        </w:rPr>
        <w:t xml:space="preserve"> (ďalej len „úrad“)</w:t>
      </w:r>
      <w:r>
        <w:rPr>
          <w:rFonts w:ascii="Times New Roman" w:hAnsi="Times New Roman" w:cs="Times New Roman"/>
          <w:bCs/>
          <w:sz w:val="24"/>
          <w:szCs w:val="24"/>
        </w:rPr>
        <w:t xml:space="preserve"> na nový</w:t>
      </w:r>
      <w:r w:rsidR="00EE0974">
        <w:rPr>
          <w:rFonts w:ascii="Times New Roman" w:hAnsi="Times New Roman" w:cs="Times New Roman"/>
          <w:bCs/>
          <w:sz w:val="24"/>
          <w:szCs w:val="24"/>
        </w:rPr>
        <w:t>, skrátený</w:t>
      </w:r>
      <w:r>
        <w:rPr>
          <w:rFonts w:ascii="Times New Roman" w:hAnsi="Times New Roman" w:cs="Times New Roman"/>
          <w:bCs/>
          <w:sz w:val="24"/>
          <w:szCs w:val="24"/>
        </w:rPr>
        <w:t xml:space="preserve"> názov a to Úrad na ochranu oznamovateľov. </w:t>
      </w:r>
      <w:r w:rsidR="00DE6142" w:rsidRPr="00DE6142">
        <w:rPr>
          <w:rFonts w:ascii="Times New Roman" w:hAnsi="Times New Roman" w:cs="Times New Roman"/>
          <w:bCs/>
          <w:sz w:val="24"/>
          <w:szCs w:val="24"/>
        </w:rPr>
        <w:t xml:space="preserve">Účelom navrhovanej zmeny je zmena názvu úradu na názov, ktorý je jednoduchší a pre verejnosť ľahšie rozpoznateľný. </w:t>
      </w:r>
      <w:r w:rsidR="00DE6142">
        <w:rPr>
          <w:rFonts w:ascii="Times New Roman" w:hAnsi="Times New Roman" w:cs="Times New Roman"/>
          <w:bCs/>
          <w:sz w:val="24"/>
          <w:szCs w:val="24"/>
        </w:rPr>
        <w:t xml:space="preserve">Samotná smernica (EÚ) 2019/1937 v platnom znení </w:t>
      </w:r>
      <w:r w:rsidR="0091757E">
        <w:rPr>
          <w:rFonts w:ascii="Times New Roman" w:hAnsi="Times New Roman" w:cs="Times New Roman"/>
          <w:bCs/>
          <w:sz w:val="24"/>
          <w:szCs w:val="24"/>
        </w:rPr>
        <w:t>neurčuje povinnosť zriadiť osobitný správny orgán</w:t>
      </w:r>
      <w:r w:rsidR="007B0317">
        <w:rPr>
          <w:rFonts w:ascii="Times New Roman" w:hAnsi="Times New Roman" w:cs="Times New Roman"/>
          <w:bCs/>
          <w:sz w:val="24"/>
          <w:szCs w:val="24"/>
        </w:rPr>
        <w:t>. Z tohto dôvodu je</w:t>
      </w:r>
      <w:r w:rsidR="00DE6142">
        <w:rPr>
          <w:rFonts w:ascii="Times New Roman" w:hAnsi="Times New Roman" w:cs="Times New Roman"/>
          <w:bCs/>
          <w:sz w:val="24"/>
          <w:szCs w:val="24"/>
        </w:rPr>
        <w:t xml:space="preserve"> zriadenie</w:t>
      </w:r>
      <w:r w:rsidR="007B0317">
        <w:rPr>
          <w:rFonts w:ascii="Times New Roman" w:hAnsi="Times New Roman" w:cs="Times New Roman"/>
          <w:bCs/>
          <w:sz w:val="24"/>
          <w:szCs w:val="24"/>
        </w:rPr>
        <w:t>, názov</w:t>
      </w:r>
      <w:r w:rsidR="00DE6142">
        <w:rPr>
          <w:rFonts w:ascii="Times New Roman" w:hAnsi="Times New Roman" w:cs="Times New Roman"/>
          <w:bCs/>
          <w:sz w:val="24"/>
          <w:szCs w:val="24"/>
        </w:rPr>
        <w:t xml:space="preserve"> a</w:t>
      </w:r>
      <w:r w:rsidR="007B0317">
        <w:rPr>
          <w:rFonts w:ascii="Times New Roman" w:hAnsi="Times New Roman" w:cs="Times New Roman"/>
          <w:bCs/>
          <w:sz w:val="24"/>
          <w:szCs w:val="24"/>
        </w:rPr>
        <w:t xml:space="preserve">ko i </w:t>
      </w:r>
      <w:r w:rsidR="00DE6142">
        <w:rPr>
          <w:rFonts w:ascii="Times New Roman" w:hAnsi="Times New Roman" w:cs="Times New Roman"/>
          <w:bCs/>
          <w:sz w:val="24"/>
          <w:szCs w:val="24"/>
        </w:rPr>
        <w:t xml:space="preserve">kompetencie úradu </w:t>
      </w:r>
      <w:r w:rsidR="007B0317">
        <w:rPr>
          <w:rFonts w:ascii="Times New Roman" w:hAnsi="Times New Roman" w:cs="Times New Roman"/>
          <w:bCs/>
          <w:sz w:val="24"/>
          <w:szCs w:val="24"/>
        </w:rPr>
        <w:t>výlučne regulované</w:t>
      </w:r>
      <w:r w:rsidR="00DE6142">
        <w:rPr>
          <w:rFonts w:ascii="Times New Roman" w:hAnsi="Times New Roman" w:cs="Times New Roman"/>
          <w:bCs/>
          <w:sz w:val="24"/>
          <w:szCs w:val="24"/>
        </w:rPr>
        <w:t xml:space="preserve"> vnútroštátnym právom. </w:t>
      </w:r>
      <w:r w:rsidR="007B0317">
        <w:rPr>
          <w:rFonts w:ascii="Times New Roman" w:hAnsi="Times New Roman" w:cs="Times New Roman"/>
          <w:bCs/>
          <w:sz w:val="24"/>
          <w:szCs w:val="24"/>
        </w:rPr>
        <w:t>Z uvedeného vyplýva, že i</w:t>
      </w:r>
      <w:r w:rsidR="00DE6142">
        <w:rPr>
          <w:rFonts w:ascii="Times New Roman" w:hAnsi="Times New Roman" w:cs="Times New Roman"/>
          <w:bCs/>
          <w:sz w:val="24"/>
          <w:szCs w:val="24"/>
        </w:rPr>
        <w:t> názov úradu a</w:t>
      </w:r>
      <w:r w:rsidR="007B0317">
        <w:rPr>
          <w:rFonts w:ascii="Times New Roman" w:hAnsi="Times New Roman" w:cs="Times New Roman"/>
          <w:bCs/>
          <w:sz w:val="24"/>
          <w:szCs w:val="24"/>
        </w:rPr>
        <w:t>lebo</w:t>
      </w:r>
      <w:r w:rsidR="00DE6142">
        <w:rPr>
          <w:rFonts w:ascii="Times New Roman" w:hAnsi="Times New Roman" w:cs="Times New Roman"/>
          <w:bCs/>
          <w:sz w:val="24"/>
          <w:szCs w:val="24"/>
        </w:rPr>
        <w:t> </w:t>
      </w:r>
      <w:r w:rsidR="007B0317">
        <w:rPr>
          <w:rFonts w:ascii="Times New Roman" w:hAnsi="Times New Roman" w:cs="Times New Roman"/>
          <w:bCs/>
          <w:sz w:val="24"/>
          <w:szCs w:val="24"/>
        </w:rPr>
        <w:t>prípadná zmena názvu úradu je</w:t>
      </w:r>
      <w:r w:rsidR="00DE6142">
        <w:rPr>
          <w:rFonts w:ascii="Times New Roman" w:hAnsi="Times New Roman" w:cs="Times New Roman"/>
          <w:bCs/>
          <w:sz w:val="24"/>
          <w:szCs w:val="24"/>
        </w:rPr>
        <w:t xml:space="preserve"> výlučne v kompetencii </w:t>
      </w:r>
      <w:r w:rsidR="007B0317">
        <w:rPr>
          <w:rFonts w:ascii="Times New Roman" w:hAnsi="Times New Roman" w:cs="Times New Roman"/>
          <w:bCs/>
          <w:sz w:val="24"/>
          <w:szCs w:val="24"/>
        </w:rPr>
        <w:t>zákonoda</w:t>
      </w:r>
      <w:r w:rsidR="00DE6142">
        <w:rPr>
          <w:rFonts w:ascii="Times New Roman" w:hAnsi="Times New Roman" w:cs="Times New Roman"/>
          <w:bCs/>
          <w:sz w:val="24"/>
          <w:szCs w:val="24"/>
        </w:rPr>
        <w:t>rcu, pričom predkladateľ neidentifikoval žiadny dôvod, či povinnosť, ktorá by odôvodňovala n</w:t>
      </w:r>
      <w:r w:rsidR="00DE6142" w:rsidRPr="00DE6142">
        <w:rPr>
          <w:rFonts w:ascii="Times New Roman" w:hAnsi="Times New Roman" w:cs="Times New Roman"/>
          <w:bCs/>
          <w:sz w:val="24"/>
          <w:szCs w:val="24"/>
        </w:rPr>
        <w:t>áz</w:t>
      </w:r>
      <w:r w:rsidR="00DE6142">
        <w:rPr>
          <w:rFonts w:ascii="Times New Roman" w:hAnsi="Times New Roman" w:cs="Times New Roman"/>
          <w:bCs/>
          <w:sz w:val="24"/>
          <w:szCs w:val="24"/>
        </w:rPr>
        <w:t>or, že náz</w:t>
      </w:r>
      <w:r w:rsidR="00DE6142" w:rsidRPr="00DE6142">
        <w:rPr>
          <w:rFonts w:ascii="Times New Roman" w:hAnsi="Times New Roman" w:cs="Times New Roman"/>
          <w:bCs/>
          <w:sz w:val="24"/>
          <w:szCs w:val="24"/>
        </w:rPr>
        <w:t xml:space="preserve">ov úradu </w:t>
      </w:r>
      <w:r w:rsidR="00DE6142">
        <w:rPr>
          <w:rFonts w:ascii="Times New Roman" w:hAnsi="Times New Roman" w:cs="Times New Roman"/>
          <w:bCs/>
          <w:sz w:val="24"/>
          <w:szCs w:val="24"/>
        </w:rPr>
        <w:t>má byť totožný s názvom</w:t>
      </w:r>
      <w:r w:rsidR="00DE6142" w:rsidRPr="00DE6142">
        <w:rPr>
          <w:rFonts w:ascii="Times New Roman" w:hAnsi="Times New Roman" w:cs="Times New Roman"/>
          <w:bCs/>
          <w:sz w:val="24"/>
          <w:szCs w:val="24"/>
        </w:rPr>
        <w:t xml:space="preserve"> zákona</w:t>
      </w:r>
      <w:r w:rsidR="00DE6142">
        <w:rPr>
          <w:rFonts w:ascii="Times New Roman" w:hAnsi="Times New Roman" w:cs="Times New Roman"/>
          <w:bCs/>
          <w:sz w:val="24"/>
          <w:szCs w:val="24"/>
        </w:rPr>
        <w:t>, na základe ktorého bol úrad zriadený.</w:t>
      </w:r>
      <w:r w:rsidR="00DE6142" w:rsidRPr="00DE6142">
        <w:rPr>
          <w:rFonts w:ascii="Times New Roman" w:hAnsi="Times New Roman" w:cs="Times New Roman"/>
          <w:bCs/>
          <w:sz w:val="24"/>
          <w:szCs w:val="24"/>
        </w:rPr>
        <w:t xml:space="preserve"> </w:t>
      </w:r>
      <w:r w:rsidR="00DE6142">
        <w:rPr>
          <w:rFonts w:ascii="Times New Roman" w:hAnsi="Times New Roman" w:cs="Times New Roman"/>
          <w:bCs/>
          <w:sz w:val="24"/>
          <w:szCs w:val="24"/>
        </w:rPr>
        <w:t xml:space="preserve">Predkladateľ zastáva názor, že samotný názov úradu má a priori </w:t>
      </w:r>
      <w:r w:rsidR="007B0317">
        <w:rPr>
          <w:rFonts w:ascii="Times New Roman" w:hAnsi="Times New Roman" w:cs="Times New Roman"/>
          <w:bCs/>
          <w:sz w:val="24"/>
          <w:szCs w:val="24"/>
        </w:rPr>
        <w:t xml:space="preserve">vystihovať </w:t>
      </w:r>
      <w:r w:rsidR="00DE6142" w:rsidRPr="00DE6142">
        <w:rPr>
          <w:rFonts w:ascii="Times New Roman" w:hAnsi="Times New Roman" w:cs="Times New Roman"/>
          <w:bCs/>
          <w:sz w:val="24"/>
          <w:szCs w:val="24"/>
        </w:rPr>
        <w:t xml:space="preserve">podstatu </w:t>
      </w:r>
      <w:r w:rsidR="00DE6142">
        <w:rPr>
          <w:rFonts w:ascii="Times New Roman" w:hAnsi="Times New Roman" w:cs="Times New Roman"/>
          <w:bCs/>
          <w:sz w:val="24"/>
          <w:szCs w:val="24"/>
        </w:rPr>
        <w:t>a hlavnú úlohu</w:t>
      </w:r>
      <w:r w:rsidR="007B0317">
        <w:rPr>
          <w:rFonts w:ascii="Times New Roman" w:hAnsi="Times New Roman" w:cs="Times New Roman"/>
          <w:bCs/>
          <w:sz w:val="24"/>
          <w:szCs w:val="24"/>
        </w:rPr>
        <w:t xml:space="preserve"> úradu</w:t>
      </w:r>
      <w:r w:rsidR="00DE6142">
        <w:rPr>
          <w:rFonts w:ascii="Times New Roman" w:hAnsi="Times New Roman" w:cs="Times New Roman"/>
          <w:bCs/>
          <w:sz w:val="24"/>
          <w:szCs w:val="24"/>
        </w:rPr>
        <w:t xml:space="preserve">, ktorou je </w:t>
      </w:r>
      <w:r w:rsidR="00DE6142" w:rsidRPr="00DE6142">
        <w:rPr>
          <w:rFonts w:ascii="Times New Roman" w:hAnsi="Times New Roman" w:cs="Times New Roman"/>
          <w:bCs/>
          <w:sz w:val="24"/>
          <w:szCs w:val="24"/>
        </w:rPr>
        <w:t>ochrana oznamovateľov. Zákon samotný pritom tiež pracuje iba s po</w:t>
      </w:r>
      <w:r w:rsidR="007B0317">
        <w:rPr>
          <w:rFonts w:ascii="Times New Roman" w:hAnsi="Times New Roman" w:cs="Times New Roman"/>
          <w:bCs/>
          <w:sz w:val="24"/>
          <w:szCs w:val="24"/>
        </w:rPr>
        <w:t>jmom „oznamovateľ“ (§2 písm. a)</w:t>
      </w:r>
      <w:r w:rsidR="00DE6142">
        <w:rPr>
          <w:rFonts w:ascii="Times New Roman" w:hAnsi="Times New Roman" w:cs="Times New Roman"/>
          <w:bCs/>
          <w:sz w:val="24"/>
          <w:szCs w:val="24"/>
        </w:rPr>
        <w:t xml:space="preserve"> zákona</w:t>
      </w:r>
      <w:r w:rsidR="007B0317">
        <w:rPr>
          <w:rFonts w:ascii="Times New Roman" w:hAnsi="Times New Roman" w:cs="Times New Roman"/>
          <w:bCs/>
          <w:sz w:val="24"/>
          <w:szCs w:val="24"/>
        </w:rPr>
        <w:t>)</w:t>
      </w:r>
      <w:r w:rsidR="00DE6142" w:rsidRPr="00DE6142">
        <w:rPr>
          <w:rFonts w:ascii="Times New Roman" w:hAnsi="Times New Roman" w:cs="Times New Roman"/>
          <w:bCs/>
          <w:sz w:val="24"/>
          <w:szCs w:val="24"/>
        </w:rPr>
        <w:t xml:space="preserve">, nie </w:t>
      </w:r>
      <w:r w:rsidR="00DE6142">
        <w:rPr>
          <w:rFonts w:ascii="Times New Roman" w:hAnsi="Times New Roman" w:cs="Times New Roman"/>
          <w:bCs/>
          <w:sz w:val="24"/>
          <w:szCs w:val="24"/>
        </w:rPr>
        <w:t xml:space="preserve">s pojmom </w:t>
      </w:r>
      <w:r w:rsidR="00DE6142" w:rsidRPr="00DE6142">
        <w:rPr>
          <w:rFonts w:ascii="Times New Roman" w:hAnsi="Times New Roman" w:cs="Times New Roman"/>
          <w:bCs/>
          <w:sz w:val="24"/>
          <w:szCs w:val="24"/>
        </w:rPr>
        <w:t>oznamovateľ protispoločenskej činnosti.</w:t>
      </w:r>
    </w:p>
    <w:p w14:paraId="39FA5138" w14:textId="506B6202" w:rsidR="00DE6142" w:rsidRDefault="00DE6142" w:rsidP="008D63AC">
      <w:pPr>
        <w:spacing w:after="0" w:line="240" w:lineRule="auto"/>
        <w:ind w:firstLine="708"/>
        <w:jc w:val="both"/>
        <w:rPr>
          <w:rFonts w:ascii="Times New Roman" w:hAnsi="Times New Roman" w:cs="Times New Roman"/>
          <w:bCs/>
          <w:sz w:val="24"/>
          <w:szCs w:val="24"/>
        </w:rPr>
      </w:pPr>
    </w:p>
    <w:p w14:paraId="429BD505" w14:textId="0F95DC47" w:rsidR="00DE6142" w:rsidRPr="000D0D6E" w:rsidRDefault="00DE6142" w:rsidP="008D63AC">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Rovnako predkladateľ </w:t>
      </w:r>
      <w:r w:rsidR="00F92344">
        <w:rPr>
          <w:rFonts w:ascii="Times New Roman" w:hAnsi="Times New Roman" w:cs="Times New Roman"/>
          <w:bCs/>
          <w:sz w:val="24"/>
          <w:szCs w:val="24"/>
        </w:rPr>
        <w:t>konštatuje,</w:t>
      </w:r>
      <w:r>
        <w:rPr>
          <w:rFonts w:ascii="Times New Roman" w:hAnsi="Times New Roman" w:cs="Times New Roman"/>
          <w:bCs/>
          <w:sz w:val="24"/>
          <w:szCs w:val="24"/>
        </w:rPr>
        <w:t xml:space="preserve"> že </w:t>
      </w:r>
      <w:r w:rsidR="00CC114B">
        <w:rPr>
          <w:rFonts w:ascii="Times New Roman" w:hAnsi="Times New Roman" w:cs="Times New Roman"/>
          <w:bCs/>
          <w:sz w:val="24"/>
          <w:szCs w:val="24"/>
        </w:rPr>
        <w:t xml:space="preserve">sa </w:t>
      </w:r>
      <w:r>
        <w:rPr>
          <w:rFonts w:ascii="Times New Roman" w:hAnsi="Times New Roman" w:cs="Times New Roman"/>
          <w:bCs/>
          <w:sz w:val="24"/>
          <w:szCs w:val="24"/>
        </w:rPr>
        <w:t>úrad už od svojho zriadenia</w:t>
      </w:r>
      <w:r w:rsidR="00CA4F4C">
        <w:rPr>
          <w:rFonts w:ascii="Times New Roman" w:hAnsi="Times New Roman" w:cs="Times New Roman"/>
          <w:bCs/>
          <w:sz w:val="24"/>
          <w:szCs w:val="24"/>
        </w:rPr>
        <w:t xml:space="preserve"> identifikuje prostredníctvom </w:t>
      </w:r>
      <w:r w:rsidR="006408B7">
        <w:rPr>
          <w:rFonts w:ascii="Times New Roman" w:hAnsi="Times New Roman" w:cs="Times New Roman"/>
          <w:bCs/>
          <w:sz w:val="24"/>
          <w:szCs w:val="24"/>
        </w:rPr>
        <w:t>skráteného</w:t>
      </w:r>
      <w:r w:rsidR="00CA4F4C">
        <w:rPr>
          <w:rFonts w:ascii="Times New Roman" w:hAnsi="Times New Roman" w:cs="Times New Roman"/>
          <w:bCs/>
          <w:sz w:val="24"/>
          <w:szCs w:val="24"/>
        </w:rPr>
        <w:t xml:space="preserve"> názvu, ktorý sa navrhuje až týmto návrhom zákona</w:t>
      </w:r>
      <w:r>
        <w:rPr>
          <w:rFonts w:ascii="Times New Roman" w:hAnsi="Times New Roman" w:cs="Times New Roman"/>
          <w:bCs/>
          <w:sz w:val="24"/>
          <w:szCs w:val="24"/>
        </w:rPr>
        <w:t xml:space="preserve">. </w:t>
      </w:r>
      <w:r w:rsidR="00CA4F4C">
        <w:rPr>
          <w:rFonts w:ascii="Times New Roman" w:hAnsi="Times New Roman" w:cs="Times New Roman"/>
          <w:bCs/>
          <w:sz w:val="24"/>
          <w:szCs w:val="24"/>
        </w:rPr>
        <w:t>I keď</w:t>
      </w:r>
      <w:r w:rsidR="00CA4F4C" w:rsidRPr="00CA4F4C">
        <w:rPr>
          <w:rFonts w:ascii="Times New Roman" w:hAnsi="Times New Roman" w:cs="Times New Roman"/>
          <w:bCs/>
          <w:sz w:val="24"/>
          <w:szCs w:val="24"/>
        </w:rPr>
        <w:t xml:space="preserve"> aj v tomto prípade platí, že nie z pravidla sa vyvodzuje právo, ale z práva, ktoré je, sa má vyvodiť pravidlo (</w:t>
      </w:r>
      <w:proofErr w:type="spellStart"/>
      <w:r w:rsidR="00CA4F4C" w:rsidRPr="00CA4F4C">
        <w:rPr>
          <w:rFonts w:ascii="Times New Roman" w:hAnsi="Times New Roman" w:cs="Times New Roman"/>
          <w:bCs/>
          <w:sz w:val="24"/>
          <w:szCs w:val="24"/>
        </w:rPr>
        <w:t>non</w:t>
      </w:r>
      <w:proofErr w:type="spellEnd"/>
      <w:r w:rsidR="00CA4F4C" w:rsidRPr="00CA4F4C">
        <w:rPr>
          <w:rFonts w:ascii="Times New Roman" w:hAnsi="Times New Roman" w:cs="Times New Roman"/>
          <w:bCs/>
          <w:sz w:val="24"/>
          <w:szCs w:val="24"/>
        </w:rPr>
        <w:t xml:space="preserve"> ex regula </w:t>
      </w:r>
      <w:proofErr w:type="spellStart"/>
      <w:r w:rsidR="00CA4F4C" w:rsidRPr="00CA4F4C">
        <w:rPr>
          <w:rFonts w:ascii="Times New Roman" w:hAnsi="Times New Roman" w:cs="Times New Roman"/>
          <w:bCs/>
          <w:sz w:val="24"/>
          <w:szCs w:val="24"/>
        </w:rPr>
        <w:t>ius</w:t>
      </w:r>
      <w:proofErr w:type="spellEnd"/>
      <w:r w:rsidR="00CA4F4C" w:rsidRPr="00CA4F4C">
        <w:rPr>
          <w:rFonts w:ascii="Times New Roman" w:hAnsi="Times New Roman" w:cs="Times New Roman"/>
          <w:bCs/>
          <w:sz w:val="24"/>
          <w:szCs w:val="24"/>
        </w:rPr>
        <w:t xml:space="preserve"> </w:t>
      </w:r>
      <w:proofErr w:type="spellStart"/>
      <w:r w:rsidR="00CA4F4C" w:rsidRPr="00CA4F4C">
        <w:rPr>
          <w:rFonts w:ascii="Times New Roman" w:hAnsi="Times New Roman" w:cs="Times New Roman"/>
          <w:bCs/>
          <w:sz w:val="24"/>
          <w:szCs w:val="24"/>
        </w:rPr>
        <w:t>sumatur</w:t>
      </w:r>
      <w:proofErr w:type="spellEnd"/>
      <w:r w:rsidR="00CA4F4C" w:rsidRPr="00CA4F4C">
        <w:rPr>
          <w:rFonts w:ascii="Times New Roman" w:hAnsi="Times New Roman" w:cs="Times New Roman"/>
          <w:bCs/>
          <w:sz w:val="24"/>
          <w:szCs w:val="24"/>
        </w:rPr>
        <w:t xml:space="preserve">, sed ex </w:t>
      </w:r>
      <w:proofErr w:type="spellStart"/>
      <w:r w:rsidR="00CA4F4C" w:rsidRPr="00CA4F4C">
        <w:rPr>
          <w:rFonts w:ascii="Times New Roman" w:hAnsi="Times New Roman" w:cs="Times New Roman"/>
          <w:bCs/>
          <w:sz w:val="24"/>
          <w:szCs w:val="24"/>
        </w:rPr>
        <w:t>iure</w:t>
      </w:r>
      <w:proofErr w:type="spellEnd"/>
      <w:r w:rsidR="00CA4F4C" w:rsidRPr="00CA4F4C">
        <w:rPr>
          <w:rFonts w:ascii="Times New Roman" w:hAnsi="Times New Roman" w:cs="Times New Roman"/>
          <w:bCs/>
          <w:sz w:val="24"/>
          <w:szCs w:val="24"/>
        </w:rPr>
        <w:t xml:space="preserve"> </w:t>
      </w:r>
      <w:proofErr w:type="spellStart"/>
      <w:r w:rsidR="00CA4F4C" w:rsidRPr="00CA4F4C">
        <w:rPr>
          <w:rFonts w:ascii="Times New Roman" w:hAnsi="Times New Roman" w:cs="Times New Roman"/>
          <w:bCs/>
          <w:sz w:val="24"/>
          <w:szCs w:val="24"/>
        </w:rPr>
        <w:t>quod</w:t>
      </w:r>
      <w:proofErr w:type="spellEnd"/>
      <w:r w:rsidR="00CA4F4C" w:rsidRPr="00CA4F4C">
        <w:rPr>
          <w:rFonts w:ascii="Times New Roman" w:hAnsi="Times New Roman" w:cs="Times New Roman"/>
          <w:bCs/>
          <w:sz w:val="24"/>
          <w:szCs w:val="24"/>
        </w:rPr>
        <w:t xml:space="preserve"> </w:t>
      </w:r>
      <w:proofErr w:type="spellStart"/>
      <w:r w:rsidR="00CA4F4C" w:rsidRPr="00CA4F4C">
        <w:rPr>
          <w:rFonts w:ascii="Times New Roman" w:hAnsi="Times New Roman" w:cs="Times New Roman"/>
          <w:bCs/>
          <w:sz w:val="24"/>
          <w:szCs w:val="24"/>
        </w:rPr>
        <w:t>esr</w:t>
      </w:r>
      <w:proofErr w:type="spellEnd"/>
      <w:r w:rsidR="00CA4F4C" w:rsidRPr="00CA4F4C">
        <w:rPr>
          <w:rFonts w:ascii="Times New Roman" w:hAnsi="Times New Roman" w:cs="Times New Roman"/>
          <w:bCs/>
          <w:sz w:val="24"/>
          <w:szCs w:val="24"/>
        </w:rPr>
        <w:t xml:space="preserve"> regula </w:t>
      </w:r>
      <w:r w:rsidR="00CA4F4C">
        <w:rPr>
          <w:rFonts w:ascii="Times New Roman" w:hAnsi="Times New Roman" w:cs="Times New Roman"/>
          <w:bCs/>
          <w:sz w:val="24"/>
          <w:szCs w:val="24"/>
        </w:rPr>
        <w:t>fiat), predkladateľ návrhom zákona len reflektoval faktický stav. R</w:t>
      </w:r>
      <w:r w:rsidR="00CA4F4C" w:rsidRPr="00CA4F4C">
        <w:rPr>
          <w:rFonts w:ascii="Times New Roman" w:hAnsi="Times New Roman" w:cs="Times New Roman"/>
          <w:bCs/>
          <w:sz w:val="24"/>
          <w:szCs w:val="24"/>
        </w:rPr>
        <w:t>ozhodnutie predkladateľa nepopiera žiadny z princípov demokratického a právneho štátu, ale naopak potvrdzuje, akým spôsobom funguje deľba moci v štáte.</w:t>
      </w:r>
    </w:p>
    <w:p w14:paraId="2595705A" w14:textId="77777777" w:rsidR="00B849AE" w:rsidRPr="000D0D6E" w:rsidRDefault="00B849AE" w:rsidP="009638E0">
      <w:pPr>
        <w:spacing w:after="0" w:line="240" w:lineRule="auto"/>
        <w:rPr>
          <w:rFonts w:ascii="Times New Roman" w:hAnsi="Times New Roman" w:cs="Times New Roman"/>
          <w:sz w:val="24"/>
          <w:szCs w:val="24"/>
        </w:rPr>
      </w:pPr>
    </w:p>
    <w:p w14:paraId="7103F0CD" w14:textId="77777777" w:rsidR="000D0D6E" w:rsidRPr="000D0D6E" w:rsidRDefault="000D0D6E" w:rsidP="009638E0">
      <w:pPr>
        <w:spacing w:after="0" w:line="240" w:lineRule="auto"/>
        <w:rPr>
          <w:rFonts w:ascii="Times New Roman" w:hAnsi="Times New Roman" w:cs="Times New Roman"/>
          <w:b/>
          <w:sz w:val="24"/>
          <w:szCs w:val="24"/>
        </w:rPr>
      </w:pPr>
      <w:r w:rsidRPr="000D0D6E">
        <w:rPr>
          <w:rFonts w:ascii="Times New Roman" w:hAnsi="Times New Roman" w:cs="Times New Roman"/>
          <w:b/>
          <w:sz w:val="24"/>
          <w:szCs w:val="24"/>
        </w:rPr>
        <w:t>K bodu 3</w:t>
      </w:r>
    </w:p>
    <w:p w14:paraId="3F39ECF2" w14:textId="77777777" w:rsidR="000D0D6E" w:rsidRDefault="00F23BAA" w:rsidP="009638E0">
      <w:pPr>
        <w:spacing w:after="0" w:line="240" w:lineRule="auto"/>
        <w:rPr>
          <w:rFonts w:ascii="Times New Roman" w:hAnsi="Times New Roman" w:cs="Times New Roman"/>
          <w:b/>
          <w:i/>
          <w:sz w:val="24"/>
          <w:szCs w:val="24"/>
        </w:rPr>
      </w:pPr>
      <w:r w:rsidRPr="00F23BAA">
        <w:rPr>
          <w:rFonts w:ascii="Times New Roman" w:hAnsi="Times New Roman" w:cs="Times New Roman"/>
          <w:b/>
          <w:i/>
          <w:sz w:val="24"/>
          <w:szCs w:val="24"/>
        </w:rPr>
        <w:t>(§ 1 ods. 3)</w:t>
      </w:r>
    </w:p>
    <w:p w14:paraId="2C43DF26" w14:textId="77777777" w:rsidR="00736602" w:rsidRDefault="00736602" w:rsidP="009638E0">
      <w:pPr>
        <w:spacing w:after="0" w:line="240" w:lineRule="auto"/>
        <w:rPr>
          <w:rFonts w:ascii="Times New Roman" w:hAnsi="Times New Roman" w:cs="Times New Roman"/>
          <w:b/>
          <w:i/>
          <w:sz w:val="24"/>
          <w:szCs w:val="24"/>
        </w:rPr>
      </w:pPr>
    </w:p>
    <w:p w14:paraId="42D48979" w14:textId="632C58E4" w:rsidR="00736602" w:rsidRDefault="00736602" w:rsidP="008131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73C43" w:rsidRPr="002E76E4">
        <w:rPr>
          <w:rFonts w:ascii="Times New Roman" w:hAnsi="Times New Roman" w:cs="Times New Roman"/>
          <w:sz w:val="24"/>
          <w:szCs w:val="24"/>
        </w:rPr>
        <w:t>Navrhovaná úprava predstavuje</w:t>
      </w:r>
      <w:r w:rsidR="0081311C" w:rsidRPr="002E76E4">
        <w:rPr>
          <w:rFonts w:ascii="Times New Roman" w:hAnsi="Times New Roman" w:cs="Times New Roman"/>
          <w:sz w:val="24"/>
          <w:szCs w:val="24"/>
        </w:rPr>
        <w:t xml:space="preserve"> trans</w:t>
      </w:r>
      <w:r w:rsidR="00573C43" w:rsidRPr="002E76E4">
        <w:rPr>
          <w:rFonts w:ascii="Times New Roman" w:hAnsi="Times New Roman" w:cs="Times New Roman"/>
          <w:sz w:val="24"/>
          <w:szCs w:val="24"/>
        </w:rPr>
        <w:t>pozíci</w:t>
      </w:r>
      <w:r w:rsidR="0081311C" w:rsidRPr="002E76E4">
        <w:rPr>
          <w:rFonts w:ascii="Times New Roman" w:hAnsi="Times New Roman" w:cs="Times New Roman"/>
          <w:sz w:val="24"/>
          <w:szCs w:val="24"/>
        </w:rPr>
        <w:t>u čl. 21 smernice</w:t>
      </w:r>
      <w:r w:rsidR="00573C43" w:rsidRPr="002E76E4">
        <w:rPr>
          <w:rFonts w:ascii="Times New Roman" w:hAnsi="Times New Roman" w:cs="Times New Roman"/>
          <w:sz w:val="24"/>
          <w:szCs w:val="24"/>
        </w:rPr>
        <w:t xml:space="preserve"> (EÚ) 2019/1937</w:t>
      </w:r>
      <w:r w:rsidR="00DE6142">
        <w:rPr>
          <w:rFonts w:ascii="Times New Roman" w:hAnsi="Times New Roman" w:cs="Times New Roman"/>
          <w:sz w:val="24"/>
          <w:szCs w:val="24"/>
        </w:rPr>
        <w:t xml:space="preserve"> v platnom znení</w:t>
      </w:r>
      <w:r w:rsidR="00573C43" w:rsidRPr="002E76E4">
        <w:rPr>
          <w:rFonts w:ascii="Times New Roman" w:hAnsi="Times New Roman" w:cs="Times New Roman"/>
          <w:sz w:val="24"/>
          <w:szCs w:val="24"/>
        </w:rPr>
        <w:t>.</w:t>
      </w:r>
      <w:r w:rsidR="0081311C" w:rsidRPr="002E76E4">
        <w:rPr>
          <w:rFonts w:ascii="Times New Roman" w:hAnsi="Times New Roman" w:cs="Times New Roman"/>
          <w:sz w:val="24"/>
          <w:szCs w:val="24"/>
        </w:rPr>
        <w:t xml:space="preserve"> </w:t>
      </w:r>
      <w:r w:rsidR="009D2EF9">
        <w:rPr>
          <w:rFonts w:ascii="Times New Roman" w:hAnsi="Times New Roman" w:cs="Times New Roman"/>
          <w:sz w:val="24"/>
          <w:szCs w:val="24"/>
        </w:rPr>
        <w:t>Dotknuté ustanovenie</w:t>
      </w:r>
      <w:r w:rsidR="0081311C" w:rsidRPr="002E76E4">
        <w:rPr>
          <w:rFonts w:ascii="Times New Roman" w:hAnsi="Times New Roman" w:cs="Times New Roman"/>
          <w:sz w:val="24"/>
          <w:szCs w:val="24"/>
        </w:rPr>
        <w:t xml:space="preserve"> zabezpečuje ochranu oznamovateľov, ktorí oznámia alebo zverejnia informácie o</w:t>
      </w:r>
      <w:r w:rsidR="00573C43" w:rsidRPr="002E76E4">
        <w:rPr>
          <w:rFonts w:ascii="Times New Roman" w:hAnsi="Times New Roman" w:cs="Times New Roman"/>
          <w:sz w:val="24"/>
          <w:szCs w:val="24"/>
        </w:rPr>
        <w:t xml:space="preserve"> závažnej </w:t>
      </w:r>
      <w:r w:rsidR="0081311C" w:rsidRPr="002E76E4">
        <w:rPr>
          <w:rFonts w:ascii="Times New Roman" w:hAnsi="Times New Roman" w:cs="Times New Roman"/>
          <w:sz w:val="24"/>
          <w:szCs w:val="24"/>
        </w:rPr>
        <w:t>protispoločenskej činnosti</w:t>
      </w:r>
      <w:r w:rsidR="00573C43" w:rsidRPr="002E76E4">
        <w:rPr>
          <w:rFonts w:ascii="Times New Roman" w:hAnsi="Times New Roman" w:cs="Times New Roman"/>
          <w:sz w:val="24"/>
          <w:szCs w:val="24"/>
        </w:rPr>
        <w:t xml:space="preserve"> a tieto informácie zároveň podliehajú </w:t>
      </w:r>
      <w:r w:rsidR="00573C43" w:rsidRPr="005748DA">
        <w:rPr>
          <w:rFonts w:ascii="Times New Roman" w:hAnsi="Times New Roman" w:cs="Times New Roman"/>
          <w:sz w:val="24"/>
          <w:szCs w:val="24"/>
        </w:rPr>
        <w:t>určitej ochrane na základe osobitných predpisov</w:t>
      </w:r>
      <w:r w:rsidR="009D2EF9" w:rsidRPr="005748DA">
        <w:rPr>
          <w:rFonts w:ascii="Times New Roman" w:hAnsi="Times New Roman" w:cs="Times New Roman"/>
          <w:sz w:val="24"/>
          <w:szCs w:val="24"/>
        </w:rPr>
        <w:t xml:space="preserve">. Vypustenie ochrany </w:t>
      </w:r>
      <w:r w:rsidR="00D87132" w:rsidRPr="005748DA">
        <w:rPr>
          <w:rFonts w:ascii="Times New Roman" w:hAnsi="Times New Roman" w:cs="Times New Roman"/>
          <w:sz w:val="24"/>
          <w:szCs w:val="24"/>
        </w:rPr>
        <w:t>obchodného</w:t>
      </w:r>
      <w:r w:rsidR="009D2EF9" w:rsidRPr="005748DA">
        <w:rPr>
          <w:rFonts w:ascii="Times New Roman" w:hAnsi="Times New Roman" w:cs="Times New Roman"/>
          <w:sz w:val="24"/>
          <w:szCs w:val="24"/>
        </w:rPr>
        <w:t xml:space="preserve"> tajomstva zo súčasného znenia § 1 ods. 3 zákona je transpozíciou čl. </w:t>
      </w:r>
      <w:r w:rsidR="00D87132" w:rsidRPr="005748DA">
        <w:rPr>
          <w:rFonts w:ascii="Times New Roman" w:hAnsi="Times New Roman" w:cs="Times New Roman"/>
          <w:sz w:val="24"/>
          <w:szCs w:val="24"/>
        </w:rPr>
        <w:t>21 ods. 7</w:t>
      </w:r>
      <w:r w:rsidR="009D2EF9" w:rsidRPr="005748DA">
        <w:rPr>
          <w:rFonts w:ascii="Times New Roman" w:hAnsi="Times New Roman" w:cs="Times New Roman"/>
          <w:sz w:val="24"/>
          <w:szCs w:val="24"/>
        </w:rPr>
        <w:t xml:space="preserve"> smernice (EÚ) 2019/1937 v platnom znení. </w:t>
      </w:r>
      <w:r w:rsidR="00B84803" w:rsidRPr="005748DA">
        <w:rPr>
          <w:rFonts w:ascii="Times New Roman" w:hAnsi="Times New Roman" w:cs="Times New Roman"/>
          <w:sz w:val="24"/>
          <w:szCs w:val="24"/>
        </w:rPr>
        <w:t xml:space="preserve">Zároveň pri oznamovaní, či zverejňovaní informácii o protispoločenskej činnosti sa musia oznamovatelia odôvodnene domnievať, že ich oznámenie spolu s uvedením informácii, ktoré sú chránené osobitnými predpismi, ako napr. obchodné tajomstvo je nevyhnutné na odhalenie protispoločenskej činnosti, konajú v dobrej viere a takéto informácie sú </w:t>
      </w:r>
      <w:r w:rsidR="00643EDE" w:rsidRPr="005748DA">
        <w:rPr>
          <w:rFonts w:ascii="Times New Roman" w:hAnsi="Times New Roman" w:cs="Times New Roman"/>
          <w:sz w:val="24"/>
          <w:szCs w:val="24"/>
        </w:rPr>
        <w:t>neoddeliteľnou</w:t>
      </w:r>
      <w:r w:rsidR="00B84803" w:rsidRPr="005748DA">
        <w:rPr>
          <w:rFonts w:ascii="Times New Roman" w:hAnsi="Times New Roman" w:cs="Times New Roman"/>
          <w:sz w:val="24"/>
          <w:szCs w:val="24"/>
        </w:rPr>
        <w:t xml:space="preserve"> súčasťou oznámenia. Zároveň by oznamovatelia mali dbať na </w:t>
      </w:r>
      <w:r w:rsidR="00B84803" w:rsidRPr="005748DA">
        <w:rPr>
          <w:rFonts w:ascii="Times New Roman" w:hAnsi="Times New Roman" w:cs="Times New Roman"/>
          <w:sz w:val="24"/>
          <w:szCs w:val="24"/>
        </w:rPr>
        <w:lastRenderedPageBreak/>
        <w:t>minimalizáciu zverejňovania citlivých údajov a uvádzať iba tie skutočne nevyhnutné</w:t>
      </w:r>
      <w:r w:rsidR="00643EDE" w:rsidRPr="005748DA">
        <w:rPr>
          <w:rFonts w:ascii="Times New Roman" w:hAnsi="Times New Roman" w:cs="Times New Roman"/>
          <w:sz w:val="24"/>
          <w:szCs w:val="24"/>
        </w:rPr>
        <w:t xml:space="preserve"> pre oznámenie</w:t>
      </w:r>
      <w:r w:rsidR="00B84803" w:rsidRPr="005748DA">
        <w:rPr>
          <w:rFonts w:ascii="Times New Roman" w:hAnsi="Times New Roman" w:cs="Times New Roman"/>
          <w:sz w:val="24"/>
          <w:szCs w:val="24"/>
        </w:rPr>
        <w:t>.</w:t>
      </w:r>
    </w:p>
    <w:p w14:paraId="17C7A997" w14:textId="77777777" w:rsidR="00D87132" w:rsidRPr="00736602" w:rsidRDefault="00D87132" w:rsidP="0081311C">
      <w:pPr>
        <w:spacing w:after="0" w:line="240" w:lineRule="auto"/>
        <w:jc w:val="both"/>
        <w:rPr>
          <w:rFonts w:ascii="Times New Roman" w:hAnsi="Times New Roman" w:cs="Times New Roman"/>
          <w:sz w:val="24"/>
          <w:szCs w:val="24"/>
        </w:rPr>
      </w:pPr>
    </w:p>
    <w:p w14:paraId="2928D2F8" w14:textId="14D9607C" w:rsidR="000D0D6E" w:rsidRDefault="00185174" w:rsidP="000D0D6E">
      <w:pPr>
        <w:spacing w:after="0" w:line="240" w:lineRule="auto"/>
        <w:jc w:val="both"/>
        <w:rPr>
          <w:rFonts w:ascii="Times New Roman" w:hAnsi="Times New Roman" w:cs="Times New Roman"/>
          <w:b/>
          <w:sz w:val="24"/>
          <w:szCs w:val="24"/>
        </w:rPr>
      </w:pPr>
      <w:r w:rsidRPr="001B1C05">
        <w:rPr>
          <w:rFonts w:ascii="Times New Roman" w:hAnsi="Times New Roman" w:cs="Times New Roman"/>
          <w:b/>
          <w:sz w:val="24"/>
          <w:szCs w:val="24"/>
        </w:rPr>
        <w:t xml:space="preserve">K bodu 4 </w:t>
      </w:r>
      <w:r w:rsidR="00B950DD">
        <w:rPr>
          <w:rFonts w:ascii="Times New Roman" w:hAnsi="Times New Roman" w:cs="Times New Roman"/>
          <w:b/>
          <w:sz w:val="24"/>
          <w:szCs w:val="24"/>
        </w:rPr>
        <w:t>a 5</w:t>
      </w:r>
    </w:p>
    <w:p w14:paraId="1E324ED6" w14:textId="1D2101CD" w:rsidR="00861C64" w:rsidRPr="001B1C05" w:rsidRDefault="00861C64" w:rsidP="000D0D6E">
      <w:pPr>
        <w:spacing w:after="0" w:line="240" w:lineRule="auto"/>
        <w:jc w:val="both"/>
        <w:rPr>
          <w:rFonts w:ascii="Times New Roman" w:hAnsi="Times New Roman" w:cs="Times New Roman"/>
          <w:b/>
          <w:i/>
          <w:sz w:val="24"/>
          <w:szCs w:val="24"/>
        </w:rPr>
      </w:pPr>
      <w:r w:rsidRPr="001B1C05">
        <w:rPr>
          <w:rFonts w:ascii="Times New Roman" w:hAnsi="Times New Roman" w:cs="Times New Roman"/>
          <w:b/>
          <w:i/>
          <w:sz w:val="24"/>
          <w:szCs w:val="24"/>
        </w:rPr>
        <w:t>(§ 1 ods. 4 a </w:t>
      </w:r>
      <w:r w:rsidR="00B950DD">
        <w:rPr>
          <w:rFonts w:ascii="Times New Roman" w:hAnsi="Times New Roman" w:cs="Times New Roman"/>
          <w:b/>
          <w:i/>
          <w:sz w:val="24"/>
          <w:szCs w:val="24"/>
        </w:rPr>
        <w:t>§ 2 písm. a)</w:t>
      </w:r>
      <w:r w:rsidRPr="001B1C05">
        <w:rPr>
          <w:rFonts w:ascii="Times New Roman" w:hAnsi="Times New Roman" w:cs="Times New Roman"/>
          <w:b/>
          <w:i/>
          <w:sz w:val="24"/>
          <w:szCs w:val="24"/>
        </w:rPr>
        <w:t>)</w:t>
      </w:r>
    </w:p>
    <w:p w14:paraId="7FEFF770" w14:textId="0A2A6B5E" w:rsidR="00B950DD" w:rsidRDefault="00B950DD" w:rsidP="00B950DD">
      <w:pPr>
        <w:spacing w:after="0" w:line="240" w:lineRule="auto"/>
        <w:ind w:firstLine="708"/>
        <w:jc w:val="both"/>
        <w:rPr>
          <w:rFonts w:ascii="Times New Roman" w:hAnsi="Times New Roman" w:cs="Times New Roman"/>
          <w:sz w:val="24"/>
          <w:szCs w:val="24"/>
        </w:rPr>
      </w:pPr>
    </w:p>
    <w:p w14:paraId="72DD5B0B" w14:textId="6B69AFC2" w:rsidR="00EF5AD2" w:rsidRDefault="00EF5AD2" w:rsidP="00EF5AD2">
      <w:pPr>
        <w:spacing w:after="0" w:line="240" w:lineRule="auto"/>
        <w:ind w:firstLine="708"/>
        <w:jc w:val="both"/>
        <w:rPr>
          <w:rFonts w:ascii="Times New Roman" w:hAnsi="Times New Roman"/>
          <w:sz w:val="24"/>
          <w:szCs w:val="24"/>
        </w:rPr>
      </w:pPr>
      <w:r>
        <w:rPr>
          <w:rFonts w:ascii="Times New Roman" w:hAnsi="Times New Roman" w:cs="Times New Roman"/>
          <w:sz w:val="24"/>
          <w:szCs w:val="24"/>
        </w:rPr>
        <w:t xml:space="preserve">Podľa návrhu zákona sa za oznamovateľa už nebude považovať blízka osoba oznamovateľa ani </w:t>
      </w:r>
      <w:r>
        <w:rPr>
          <w:rFonts w:ascii="Times New Roman" w:hAnsi="Times New Roman"/>
          <w:sz w:val="24"/>
          <w:szCs w:val="24"/>
        </w:rPr>
        <w:t>fyzická osoba – podnikateľ</w:t>
      </w:r>
      <w:r w:rsidRPr="00557F92">
        <w:rPr>
          <w:rFonts w:ascii="Times New Roman" w:hAnsi="Times New Roman"/>
          <w:sz w:val="24"/>
          <w:szCs w:val="24"/>
        </w:rPr>
        <w:t xml:space="preserve"> alebo </w:t>
      </w:r>
      <w:r>
        <w:rPr>
          <w:rFonts w:ascii="Times New Roman" w:hAnsi="Times New Roman"/>
          <w:sz w:val="24"/>
          <w:szCs w:val="24"/>
        </w:rPr>
        <w:t>právnická osoba</w:t>
      </w:r>
      <w:r w:rsidRPr="00557F92">
        <w:rPr>
          <w:rFonts w:ascii="Times New Roman" w:hAnsi="Times New Roman"/>
          <w:sz w:val="24"/>
          <w:szCs w:val="24"/>
        </w:rPr>
        <w:t>, ktorú oznamovateľ ovláda, v ktorej má účasť, v ktorej vykonáva funkciu člena orgánu právnickej osoby, alebo pre ktorú vykonáva pracovnú činnosť</w:t>
      </w:r>
      <w:r>
        <w:rPr>
          <w:rFonts w:ascii="Times New Roman" w:hAnsi="Times New Roman"/>
          <w:sz w:val="24"/>
          <w:szCs w:val="24"/>
        </w:rPr>
        <w:t xml:space="preserve">. Nakoľko je však nevyhnutné poskytnúť ochranu aj týmto osobám, § 1 zákona bol doplnený odsekom 4, ktorý definuje, že ochrana podľa tohto zákona sa poskytuje aj týmto osobám. Zároveň sa ochrana podľa tohto zákona rozširuje aj na osobu, </w:t>
      </w:r>
      <w:r w:rsidRPr="008336BE">
        <w:rPr>
          <w:rFonts w:ascii="Times New Roman" w:hAnsi="Times New Roman"/>
          <w:sz w:val="24"/>
          <w:szCs w:val="24"/>
        </w:rPr>
        <w:t>ktorá oznamovateľovi poskytla pomoc v súvislosti s oznámením, alebo inej osobe, ktorá bola postihnutá v súvislosti s</w:t>
      </w:r>
      <w:r>
        <w:rPr>
          <w:rFonts w:ascii="Times New Roman" w:hAnsi="Times New Roman"/>
          <w:sz w:val="24"/>
          <w:szCs w:val="24"/>
        </w:rPr>
        <w:t> </w:t>
      </w:r>
      <w:r w:rsidRPr="008336BE">
        <w:rPr>
          <w:rFonts w:ascii="Times New Roman" w:hAnsi="Times New Roman"/>
          <w:sz w:val="24"/>
          <w:szCs w:val="24"/>
        </w:rPr>
        <w:t>oznámením</w:t>
      </w:r>
      <w:r>
        <w:rPr>
          <w:rFonts w:ascii="Times New Roman" w:hAnsi="Times New Roman"/>
          <w:sz w:val="24"/>
          <w:szCs w:val="24"/>
        </w:rPr>
        <w:t xml:space="preserve">. Taktiež je týmto ustanovením poskytnutá ochrana zodpovednej osobe, ktorá bola postihnutá v súvislosti s oznámením. Uvedený rozsah osôb, ktorým je poskytovaná ochrana vyplýva z čl. 4 ods. 4 smernice </w:t>
      </w:r>
      <w:r w:rsidRPr="008336BE">
        <w:rPr>
          <w:rFonts w:ascii="Times New Roman" w:hAnsi="Times New Roman"/>
          <w:sz w:val="24"/>
          <w:szCs w:val="24"/>
        </w:rPr>
        <w:t>(EÚ) 2019/1937</w:t>
      </w:r>
      <w:r>
        <w:rPr>
          <w:rFonts w:ascii="Times New Roman" w:hAnsi="Times New Roman"/>
          <w:sz w:val="24"/>
          <w:szCs w:val="24"/>
        </w:rPr>
        <w:t xml:space="preserve"> v platnom znení. Podmienkou poskytnutia ochrany uvedeným osobám je, že tieto osoby museli byť postihnuté v súvislosti s oznámením. Ďalej rozsah poskytovania ochrany týmto skupinám osôb vysvetľuje § 12. Tieto osoby by mali byť chránené predovšetkým pred akoukoľvek formou postihov a hrozieb postihov.</w:t>
      </w:r>
    </w:p>
    <w:p w14:paraId="30FA9AD3" w14:textId="77777777" w:rsidR="00EF5AD2" w:rsidRDefault="00EF5AD2" w:rsidP="00EF5AD2">
      <w:pPr>
        <w:spacing w:after="0" w:line="240" w:lineRule="auto"/>
        <w:ind w:firstLine="708"/>
        <w:jc w:val="both"/>
        <w:rPr>
          <w:rFonts w:ascii="Times New Roman" w:hAnsi="Times New Roman"/>
          <w:sz w:val="24"/>
          <w:szCs w:val="24"/>
        </w:rPr>
      </w:pPr>
    </w:p>
    <w:p w14:paraId="191264CD" w14:textId="1178E488" w:rsidR="00EF5AD2" w:rsidRDefault="00EF5AD2" w:rsidP="00EF5AD2">
      <w:pPr>
        <w:spacing w:after="0" w:line="240" w:lineRule="auto"/>
        <w:ind w:firstLine="708"/>
        <w:jc w:val="both"/>
        <w:rPr>
          <w:rFonts w:ascii="Times New Roman" w:hAnsi="Times New Roman"/>
          <w:sz w:val="24"/>
          <w:szCs w:val="24"/>
        </w:rPr>
      </w:pPr>
      <w:r>
        <w:rPr>
          <w:rFonts w:ascii="Times New Roman" w:hAnsi="Times New Roman"/>
          <w:sz w:val="24"/>
          <w:szCs w:val="24"/>
        </w:rPr>
        <w:t xml:space="preserve">Na účely tohto zákona sa blízkom osobou rozumie </w:t>
      </w:r>
      <w:r w:rsidRPr="007C0AD5">
        <w:rPr>
          <w:rFonts w:ascii="Times New Roman" w:hAnsi="Times New Roman"/>
          <w:sz w:val="24"/>
          <w:szCs w:val="24"/>
        </w:rPr>
        <w:t>príbuzný v priamom rade, súrodenec a manžel; iné osoby v pomere rodinnom alebo obdobnom sa pokladajú za osoby sebe navzájom blízke, ak by ujmu, ktorú utrpela jedna z nich, druhá dôvodne pociťovala ako vlastnú ujmu.</w:t>
      </w:r>
    </w:p>
    <w:p w14:paraId="65E3E12A" w14:textId="689584CA" w:rsidR="00503BF3" w:rsidRDefault="00503BF3" w:rsidP="00EF5AD2">
      <w:pPr>
        <w:spacing w:after="0" w:line="240" w:lineRule="auto"/>
        <w:ind w:firstLine="708"/>
        <w:jc w:val="both"/>
        <w:rPr>
          <w:rFonts w:ascii="Times New Roman" w:hAnsi="Times New Roman"/>
          <w:sz w:val="24"/>
          <w:szCs w:val="24"/>
        </w:rPr>
      </w:pPr>
    </w:p>
    <w:p w14:paraId="4B142D26" w14:textId="1FD7D678" w:rsidR="00503BF3" w:rsidRPr="006B3E28" w:rsidRDefault="00503BF3" w:rsidP="00EF5AD2">
      <w:pPr>
        <w:spacing w:after="0" w:line="240" w:lineRule="auto"/>
        <w:ind w:firstLine="708"/>
        <w:jc w:val="both"/>
        <w:rPr>
          <w:rFonts w:ascii="Times New Roman" w:hAnsi="Times New Roman" w:cs="Times New Roman"/>
          <w:color w:val="FF0000"/>
          <w:sz w:val="24"/>
          <w:szCs w:val="24"/>
        </w:rPr>
      </w:pPr>
      <w:r w:rsidRPr="006B3E28">
        <w:rPr>
          <w:rFonts w:ascii="Times New Roman" w:hAnsi="Times New Roman"/>
          <w:color w:val="FF0000"/>
          <w:sz w:val="24"/>
          <w:szCs w:val="24"/>
        </w:rPr>
        <w:t>Pod pojmom pracovná činnosť v § 1 ods. 4 písm. b) sa rozumie aj v kontexte čl. 4 smernice (EÚ) 2019/1937 v platnom znení predovšetkým akýkoľvek druh pracovnoprávneho vzťahu podľa Zákonník</w:t>
      </w:r>
      <w:r w:rsidR="006B3E28" w:rsidRPr="006B3E28">
        <w:rPr>
          <w:rFonts w:ascii="Times New Roman" w:hAnsi="Times New Roman"/>
          <w:color w:val="FF0000"/>
          <w:sz w:val="24"/>
          <w:szCs w:val="24"/>
        </w:rPr>
        <w:t>a</w:t>
      </w:r>
      <w:r w:rsidRPr="006B3E28">
        <w:rPr>
          <w:rFonts w:ascii="Times New Roman" w:hAnsi="Times New Roman"/>
          <w:color w:val="FF0000"/>
          <w:sz w:val="24"/>
          <w:szCs w:val="24"/>
        </w:rPr>
        <w:t xml:space="preserve"> práce, ako aj akýkoľvek zmluvný vzťah</w:t>
      </w:r>
      <w:r w:rsidR="006B3E28" w:rsidRPr="006B3E28">
        <w:rPr>
          <w:rFonts w:ascii="Times New Roman" w:hAnsi="Times New Roman"/>
          <w:color w:val="FF0000"/>
          <w:sz w:val="24"/>
          <w:szCs w:val="24"/>
        </w:rPr>
        <w:t xml:space="preserve"> medzi oznamovateľom a</w:t>
      </w:r>
      <w:r w:rsidRPr="006B3E28">
        <w:rPr>
          <w:rFonts w:ascii="Times New Roman" w:hAnsi="Times New Roman"/>
          <w:color w:val="FF0000"/>
          <w:sz w:val="24"/>
          <w:szCs w:val="24"/>
        </w:rPr>
        <w:t> fyzickou osobou – podnikateľom alebo právnickou osobou</w:t>
      </w:r>
      <w:r w:rsidR="006B3E28" w:rsidRPr="006B3E28">
        <w:rPr>
          <w:rFonts w:ascii="Times New Roman" w:hAnsi="Times New Roman"/>
          <w:color w:val="FF0000"/>
          <w:sz w:val="24"/>
          <w:szCs w:val="24"/>
        </w:rPr>
        <w:t>, na základe ktorého oznamovateľ poskytuje určité služby či iné protiplnenie</w:t>
      </w:r>
      <w:r w:rsidR="008D4EDC">
        <w:rPr>
          <w:rFonts w:ascii="Times New Roman" w:hAnsi="Times New Roman"/>
          <w:color w:val="FF0000"/>
          <w:sz w:val="24"/>
          <w:szCs w:val="24"/>
        </w:rPr>
        <w:t>.</w:t>
      </w:r>
    </w:p>
    <w:p w14:paraId="1865B750" w14:textId="77777777" w:rsidR="00EF5AD2" w:rsidRDefault="00EF5AD2" w:rsidP="00B950DD">
      <w:pPr>
        <w:spacing w:after="0" w:line="240" w:lineRule="auto"/>
        <w:ind w:firstLine="708"/>
        <w:jc w:val="both"/>
        <w:rPr>
          <w:rFonts w:ascii="Times New Roman" w:hAnsi="Times New Roman" w:cs="Times New Roman"/>
          <w:sz w:val="24"/>
          <w:szCs w:val="24"/>
        </w:rPr>
      </w:pPr>
    </w:p>
    <w:p w14:paraId="27246C9C" w14:textId="5E15AD3C" w:rsidR="00B950DD" w:rsidRDefault="00B950DD" w:rsidP="00B950D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Ustanovenie § 2 písm. a) je precizovaním definície oznamovateľa a zároveň rozšírením skupiny osôb, ktoré sa považujú na účely zákona za oznamovateľa. Oznamovateľom môže byť iba fyzická osoba, ktorá urobila oznámenie v dobrej viere a toto oznámenie adresovala príslušnému orgánu na prijatie takéhoto oznámenia. Uvedené ustanovenie nadväzuje na bod 36 recitálu smernice (EÚ) 2019/1937 v platnom znení. Zároveň sa za oznamovateľa považuje i osoba, ktorá za zákonom stanovených podmienok zverejnila informácie o protispoločenskej činnosti.</w:t>
      </w:r>
    </w:p>
    <w:p w14:paraId="3B675C36" w14:textId="77777777" w:rsidR="00B950DD" w:rsidRDefault="00B950DD" w:rsidP="00B950DD">
      <w:pPr>
        <w:spacing w:after="0" w:line="240" w:lineRule="auto"/>
        <w:jc w:val="both"/>
        <w:rPr>
          <w:rFonts w:ascii="Times New Roman" w:hAnsi="Times New Roman" w:cs="Times New Roman"/>
          <w:sz w:val="24"/>
          <w:szCs w:val="24"/>
        </w:rPr>
      </w:pPr>
    </w:p>
    <w:p w14:paraId="07495EA9" w14:textId="4F6FD593" w:rsidR="00B950DD" w:rsidRDefault="00B950DD" w:rsidP="00B950DD">
      <w:pPr>
        <w:spacing w:after="0" w:line="240" w:lineRule="auto"/>
        <w:jc w:val="both"/>
        <w:rPr>
          <w:rFonts w:ascii="Times New Roman" w:hAnsi="Times New Roman" w:cs="Times New Roman"/>
          <w:sz w:val="24"/>
          <w:szCs w:val="24"/>
        </w:rPr>
      </w:pPr>
      <w:r w:rsidRPr="008617AD">
        <w:rPr>
          <w:rFonts w:ascii="Times New Roman" w:hAnsi="Times New Roman" w:cs="Times New Roman"/>
          <w:sz w:val="24"/>
          <w:szCs w:val="24"/>
        </w:rPr>
        <w:tab/>
      </w:r>
      <w:r>
        <w:rPr>
          <w:rFonts w:ascii="Times New Roman" w:hAnsi="Times New Roman" w:cs="Times New Roman"/>
          <w:sz w:val="24"/>
          <w:szCs w:val="24"/>
        </w:rPr>
        <w:t>D</w:t>
      </w:r>
      <w:r w:rsidRPr="008617AD">
        <w:rPr>
          <w:rFonts w:ascii="Times New Roman" w:hAnsi="Times New Roman" w:cs="Times New Roman"/>
          <w:sz w:val="24"/>
          <w:szCs w:val="24"/>
        </w:rPr>
        <w:t xml:space="preserve">efinícia oznamovateľa </w:t>
      </w:r>
      <w:r>
        <w:rPr>
          <w:rFonts w:ascii="Times New Roman" w:hAnsi="Times New Roman" w:cs="Times New Roman"/>
          <w:sz w:val="24"/>
          <w:szCs w:val="24"/>
        </w:rPr>
        <w:t xml:space="preserve">sa </w:t>
      </w:r>
      <w:r w:rsidRPr="008617AD">
        <w:rPr>
          <w:rFonts w:ascii="Times New Roman" w:hAnsi="Times New Roman" w:cs="Times New Roman"/>
          <w:sz w:val="24"/>
          <w:szCs w:val="24"/>
        </w:rPr>
        <w:t>rozširuje</w:t>
      </w:r>
      <w:r>
        <w:rPr>
          <w:rFonts w:ascii="Times New Roman" w:hAnsi="Times New Roman" w:cs="Times New Roman"/>
          <w:sz w:val="24"/>
          <w:szCs w:val="24"/>
        </w:rPr>
        <w:t xml:space="preserve"> aj</w:t>
      </w:r>
      <w:r w:rsidRPr="008617AD">
        <w:rPr>
          <w:rFonts w:ascii="Times New Roman" w:hAnsi="Times New Roman" w:cs="Times New Roman"/>
          <w:sz w:val="24"/>
          <w:szCs w:val="24"/>
        </w:rPr>
        <w:t xml:space="preserve"> o osobu, ktorá</w:t>
      </w:r>
      <w:r>
        <w:rPr>
          <w:rFonts w:ascii="Times New Roman" w:hAnsi="Times New Roman" w:cs="Times New Roman"/>
          <w:sz w:val="24"/>
          <w:szCs w:val="24"/>
        </w:rPr>
        <w:t xml:space="preserve"> </w:t>
      </w:r>
      <w:r w:rsidRPr="008617AD">
        <w:rPr>
          <w:rFonts w:ascii="Times New Roman" w:hAnsi="Times New Roman" w:cs="Times New Roman"/>
          <w:sz w:val="24"/>
          <w:szCs w:val="24"/>
        </w:rPr>
        <w:t xml:space="preserve">oznámi informácie o protispoločenskej činnosti, o ktorej sa dozvedela počas </w:t>
      </w:r>
      <w:r>
        <w:rPr>
          <w:rFonts w:ascii="Times New Roman" w:hAnsi="Times New Roman" w:cs="Times New Roman"/>
          <w:sz w:val="24"/>
          <w:szCs w:val="24"/>
        </w:rPr>
        <w:t>trvania</w:t>
      </w:r>
      <w:r w:rsidRPr="008617AD">
        <w:rPr>
          <w:rFonts w:ascii="Times New Roman" w:hAnsi="Times New Roman" w:cs="Times New Roman"/>
          <w:sz w:val="24"/>
          <w:szCs w:val="24"/>
        </w:rPr>
        <w:t xml:space="preserve"> pracovnoprávneho vzťahu</w:t>
      </w:r>
      <w:r>
        <w:rPr>
          <w:rFonts w:ascii="Times New Roman" w:hAnsi="Times New Roman" w:cs="Times New Roman"/>
          <w:sz w:val="24"/>
          <w:szCs w:val="24"/>
        </w:rPr>
        <w:t xml:space="preserve"> alebo iného obdobného vzťahu</w:t>
      </w:r>
      <w:r w:rsidRPr="008617AD">
        <w:rPr>
          <w:rFonts w:ascii="Times New Roman" w:hAnsi="Times New Roman" w:cs="Times New Roman"/>
          <w:sz w:val="24"/>
          <w:szCs w:val="24"/>
        </w:rPr>
        <w:t>, pričom tento</w:t>
      </w:r>
      <w:r>
        <w:rPr>
          <w:rFonts w:ascii="Times New Roman" w:hAnsi="Times New Roman" w:cs="Times New Roman"/>
          <w:sz w:val="24"/>
          <w:szCs w:val="24"/>
        </w:rPr>
        <w:t xml:space="preserve"> pracovnoprávny</w:t>
      </w:r>
      <w:r w:rsidRPr="008617AD">
        <w:rPr>
          <w:rFonts w:ascii="Times New Roman" w:hAnsi="Times New Roman" w:cs="Times New Roman"/>
          <w:sz w:val="24"/>
          <w:szCs w:val="24"/>
        </w:rPr>
        <w:t xml:space="preserve"> vzťah </w:t>
      </w:r>
      <w:r>
        <w:rPr>
          <w:rFonts w:ascii="Times New Roman" w:hAnsi="Times New Roman" w:cs="Times New Roman"/>
          <w:sz w:val="24"/>
          <w:szCs w:val="24"/>
        </w:rPr>
        <w:t xml:space="preserve">alebo iný obdobný vzťah </w:t>
      </w:r>
      <w:r w:rsidRPr="008617AD">
        <w:rPr>
          <w:rFonts w:ascii="Times New Roman" w:hAnsi="Times New Roman" w:cs="Times New Roman"/>
          <w:sz w:val="24"/>
          <w:szCs w:val="24"/>
        </w:rPr>
        <w:t xml:space="preserve">sa už skončil. Definícia sa rozširuje taktiež o osobu, ktorej pracovnoprávny vzťah </w:t>
      </w:r>
      <w:r>
        <w:rPr>
          <w:rFonts w:ascii="Times New Roman" w:hAnsi="Times New Roman" w:cs="Times New Roman"/>
          <w:sz w:val="24"/>
          <w:szCs w:val="24"/>
        </w:rPr>
        <w:t xml:space="preserve">alebo iný obdobný vzťah </w:t>
      </w:r>
      <w:r w:rsidRPr="008617AD">
        <w:rPr>
          <w:rFonts w:ascii="Times New Roman" w:hAnsi="Times New Roman" w:cs="Times New Roman"/>
          <w:sz w:val="24"/>
          <w:szCs w:val="24"/>
        </w:rPr>
        <w:t xml:space="preserve">sa dosiaľ nezačal a má sa začať. Ochrana sa teda môže poskytovať aj uchádzačovi o zamestnanie bez ohľadu na to, či sa predmetný pracovnoprávny vzťah </w:t>
      </w:r>
      <w:r>
        <w:rPr>
          <w:rFonts w:ascii="Times New Roman" w:hAnsi="Times New Roman" w:cs="Times New Roman"/>
          <w:sz w:val="24"/>
          <w:szCs w:val="24"/>
        </w:rPr>
        <w:t xml:space="preserve">alebo iný obdobný vzťah </w:t>
      </w:r>
      <w:r w:rsidRPr="008617AD">
        <w:rPr>
          <w:rFonts w:ascii="Times New Roman" w:hAnsi="Times New Roman" w:cs="Times New Roman"/>
          <w:sz w:val="24"/>
          <w:szCs w:val="24"/>
        </w:rPr>
        <w:t>s týmto uchádzačom začne alebo nie.</w:t>
      </w:r>
      <w:r>
        <w:rPr>
          <w:rFonts w:ascii="Times New Roman" w:hAnsi="Times New Roman" w:cs="Times New Roman"/>
          <w:sz w:val="24"/>
          <w:szCs w:val="24"/>
        </w:rPr>
        <w:t xml:space="preserve"> Rovnako sa ochrana poskytuje aj inej osobe ako zamestnancovi, ktorá má určitý predzmluvný vzťah, s osobou voči ktorej smeruje oznámenie (napr. účastník </w:t>
      </w:r>
      <w:r w:rsidRPr="0081311C">
        <w:rPr>
          <w:rFonts w:ascii="Times New Roman" w:hAnsi="Times New Roman" w:cs="Times New Roman"/>
          <w:sz w:val="24"/>
          <w:szCs w:val="24"/>
        </w:rPr>
        <w:t>tendra realizovaného súkromnou spoločnosťou, ktorý sa dozvie o protispoločenskej činnosti v tendri).</w:t>
      </w:r>
      <w:r>
        <w:rPr>
          <w:rFonts w:ascii="Times New Roman" w:hAnsi="Times New Roman" w:cs="Times New Roman"/>
          <w:sz w:val="24"/>
          <w:szCs w:val="24"/>
        </w:rPr>
        <w:t xml:space="preserve"> Ďalšou skupinou je fyzická osoba, ktorá urobila </w:t>
      </w:r>
      <w:r>
        <w:rPr>
          <w:rFonts w:ascii="Times New Roman" w:hAnsi="Times New Roman" w:cs="Times New Roman"/>
          <w:sz w:val="24"/>
          <w:szCs w:val="24"/>
        </w:rPr>
        <w:lastRenderedPageBreak/>
        <w:t xml:space="preserve">oznámenie anonymne, avšak jej totožnosť bola odhalená. V danom prípade je irelevantné, na základe akých skutočností prišlo k odhaleniu identity anonymného oznamovateľa. </w:t>
      </w:r>
    </w:p>
    <w:p w14:paraId="24C1211C" w14:textId="77777777" w:rsidR="00B950DD" w:rsidRDefault="00B950DD" w:rsidP="00B950DD">
      <w:pPr>
        <w:spacing w:after="0" w:line="240" w:lineRule="auto"/>
        <w:jc w:val="both"/>
        <w:rPr>
          <w:rFonts w:ascii="Times New Roman" w:hAnsi="Times New Roman" w:cs="Times New Roman"/>
          <w:sz w:val="24"/>
          <w:szCs w:val="24"/>
        </w:rPr>
      </w:pPr>
    </w:p>
    <w:p w14:paraId="201FECFD" w14:textId="6A7743FB" w:rsidR="00B950DD" w:rsidRPr="008617AD" w:rsidRDefault="00B950DD" w:rsidP="00B950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Základným predpokladom pre naplnenie definície oznamovateľa je kritérium dobrej viery, v ktorej daná osoba urobí oznámenie alebo zverejní informácie. Navrhovaná úprava nadväzuje na </w:t>
      </w:r>
      <w:r w:rsidRPr="003A3D9C">
        <w:rPr>
          <w:rFonts w:ascii="Times New Roman" w:hAnsi="Times New Roman" w:cs="Times New Roman"/>
          <w:sz w:val="24"/>
          <w:szCs w:val="24"/>
        </w:rPr>
        <w:t>čl</w:t>
      </w:r>
      <w:r>
        <w:rPr>
          <w:rFonts w:ascii="Times New Roman" w:hAnsi="Times New Roman" w:cs="Times New Roman"/>
          <w:sz w:val="24"/>
          <w:szCs w:val="24"/>
        </w:rPr>
        <w:t xml:space="preserve">. 6 ods. 1 smernice (EÚ) 2019/1937 v platnom znení, pričom pojem „dobrá viera“ je vymedzený v ustanovení § 2 písm. h) zákona. </w:t>
      </w:r>
    </w:p>
    <w:p w14:paraId="0B0719F3" w14:textId="77777777" w:rsidR="00185174" w:rsidRDefault="00185174" w:rsidP="000D0D6E">
      <w:pPr>
        <w:spacing w:after="0" w:line="240" w:lineRule="auto"/>
        <w:jc w:val="both"/>
        <w:rPr>
          <w:rFonts w:ascii="Times New Roman" w:hAnsi="Times New Roman" w:cs="Times New Roman"/>
          <w:sz w:val="24"/>
          <w:szCs w:val="24"/>
        </w:rPr>
      </w:pPr>
    </w:p>
    <w:p w14:paraId="2A7B2737" w14:textId="04883F55" w:rsidR="00EB16D6" w:rsidRDefault="00B950DD" w:rsidP="00F62FF9">
      <w:pPr>
        <w:spacing w:after="0" w:line="240" w:lineRule="auto"/>
        <w:ind w:firstLine="708"/>
        <w:jc w:val="both"/>
        <w:rPr>
          <w:rFonts w:ascii="Times New Roman" w:hAnsi="Times New Roman"/>
          <w:sz w:val="24"/>
          <w:szCs w:val="24"/>
        </w:rPr>
      </w:pPr>
      <w:r>
        <w:rPr>
          <w:rFonts w:ascii="Times New Roman" w:hAnsi="Times New Roman" w:cs="Times New Roman"/>
          <w:sz w:val="24"/>
          <w:szCs w:val="24"/>
        </w:rPr>
        <w:t xml:space="preserve">Ustanovenie § 2 písm. a) bodu 4 návrhu zákona </w:t>
      </w:r>
      <w:r w:rsidR="00CC2157">
        <w:rPr>
          <w:rFonts w:ascii="Times New Roman" w:hAnsi="Times New Roman" w:cs="Times New Roman"/>
          <w:sz w:val="24"/>
          <w:szCs w:val="24"/>
        </w:rPr>
        <w:t>reaguje na výnimočné situácie, v ktorých nebolo oznámenie dostatočne preverené, ďalej sa s ním nezaoberalo</w:t>
      </w:r>
      <w:r w:rsidR="003B1B17">
        <w:rPr>
          <w:rFonts w:ascii="Times New Roman" w:hAnsi="Times New Roman" w:cs="Times New Roman"/>
          <w:sz w:val="24"/>
          <w:szCs w:val="24"/>
        </w:rPr>
        <w:t xml:space="preserve">, príp. fyzická osoba nebola v primeranej lehote oboznámená </w:t>
      </w:r>
      <w:r>
        <w:rPr>
          <w:rFonts w:ascii="Times New Roman" w:hAnsi="Times New Roman" w:cs="Times New Roman"/>
          <w:sz w:val="24"/>
          <w:szCs w:val="24"/>
        </w:rPr>
        <w:t>s výsledkom preverovania</w:t>
      </w:r>
      <w:r w:rsidR="003B1B17">
        <w:rPr>
          <w:rFonts w:ascii="Times New Roman" w:hAnsi="Times New Roman" w:cs="Times New Roman"/>
          <w:sz w:val="24"/>
          <w:szCs w:val="24"/>
        </w:rPr>
        <w:t xml:space="preserve"> alebo </w:t>
      </w:r>
      <w:r w:rsidR="00CC2157">
        <w:rPr>
          <w:rFonts w:ascii="Times New Roman" w:hAnsi="Times New Roman" w:cs="Times New Roman"/>
          <w:sz w:val="24"/>
          <w:szCs w:val="24"/>
        </w:rPr>
        <w:t>hrozí zmarenie jeho prešetrenia.</w:t>
      </w:r>
      <w:r w:rsidR="003B1B17">
        <w:rPr>
          <w:rFonts w:ascii="Times New Roman" w:hAnsi="Times New Roman" w:cs="Times New Roman"/>
          <w:sz w:val="24"/>
          <w:szCs w:val="24"/>
        </w:rPr>
        <w:t xml:space="preserve"> </w:t>
      </w:r>
      <w:r w:rsidR="00CC2157">
        <w:rPr>
          <w:rFonts w:ascii="Times New Roman" w:hAnsi="Times New Roman" w:cs="Times New Roman"/>
          <w:sz w:val="24"/>
          <w:szCs w:val="24"/>
        </w:rPr>
        <w:t xml:space="preserve">Taktiež v zmysle tohto ustanovenia, je umožnené fyzickej osobe zverejniť </w:t>
      </w:r>
      <w:r w:rsidR="00EB16D6">
        <w:rPr>
          <w:rFonts w:ascii="Times New Roman" w:hAnsi="Times New Roman" w:cs="Times New Roman"/>
          <w:sz w:val="24"/>
          <w:szCs w:val="24"/>
        </w:rPr>
        <w:t xml:space="preserve">informácie o protispoločenskej činnosti </w:t>
      </w:r>
      <w:r w:rsidR="00CC2157">
        <w:rPr>
          <w:rFonts w:ascii="Times New Roman" w:hAnsi="Times New Roman" w:cs="Times New Roman"/>
          <w:sz w:val="24"/>
          <w:szCs w:val="24"/>
        </w:rPr>
        <w:t xml:space="preserve">v prípadoch, keď hrozí </w:t>
      </w:r>
      <w:r w:rsidR="00CC2157" w:rsidRPr="00557F92">
        <w:rPr>
          <w:rFonts w:ascii="Times New Roman" w:hAnsi="Times New Roman"/>
          <w:sz w:val="24"/>
          <w:szCs w:val="24"/>
        </w:rPr>
        <w:t>bezprostredné alebo zjavné ohrozenie verejného záujmu</w:t>
      </w:r>
      <w:r w:rsidR="00CC2157">
        <w:rPr>
          <w:rFonts w:ascii="Times New Roman" w:hAnsi="Times New Roman"/>
          <w:sz w:val="24"/>
          <w:szCs w:val="24"/>
        </w:rPr>
        <w:t>.</w:t>
      </w:r>
    </w:p>
    <w:p w14:paraId="1D7D4D22" w14:textId="0F720DD5" w:rsidR="003B1B17" w:rsidRDefault="003B1B17" w:rsidP="00F62FF9">
      <w:pPr>
        <w:spacing w:after="0" w:line="240" w:lineRule="auto"/>
        <w:ind w:firstLine="708"/>
        <w:jc w:val="both"/>
        <w:rPr>
          <w:rFonts w:ascii="Times New Roman" w:hAnsi="Times New Roman"/>
          <w:sz w:val="24"/>
          <w:szCs w:val="24"/>
        </w:rPr>
      </w:pPr>
    </w:p>
    <w:p w14:paraId="25896D36" w14:textId="56EBA1CB" w:rsidR="003B1B17" w:rsidRDefault="006408B7" w:rsidP="006408B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danom prípade predkladateľ nepovažoval za vhodné a správne, aby návrh zákona stanovil i explicitnú lehotu dokedy má príslušný subjekt informovať </w:t>
      </w:r>
      <w:r w:rsidR="004B52F5">
        <w:rPr>
          <w:rFonts w:ascii="Times New Roman" w:hAnsi="Times New Roman" w:cs="Times New Roman"/>
          <w:sz w:val="24"/>
          <w:szCs w:val="24"/>
        </w:rPr>
        <w:t xml:space="preserve">dotknutú </w:t>
      </w:r>
      <w:r>
        <w:rPr>
          <w:rFonts w:ascii="Times New Roman" w:hAnsi="Times New Roman" w:cs="Times New Roman"/>
          <w:sz w:val="24"/>
          <w:szCs w:val="24"/>
        </w:rPr>
        <w:t xml:space="preserve">fyzickú osobu o  výsledku preverenia, nakoľko ani zákon č. </w:t>
      </w:r>
      <w:r w:rsidRPr="006408B7">
        <w:rPr>
          <w:rFonts w:ascii="Times New Roman" w:hAnsi="Times New Roman" w:cs="Times New Roman"/>
          <w:sz w:val="24"/>
          <w:szCs w:val="24"/>
        </w:rPr>
        <w:t>301/2005 Z. z.</w:t>
      </w:r>
      <w:r>
        <w:rPr>
          <w:rFonts w:ascii="Times New Roman" w:hAnsi="Times New Roman" w:cs="Times New Roman"/>
          <w:sz w:val="24"/>
          <w:szCs w:val="24"/>
        </w:rPr>
        <w:t xml:space="preserve"> Trestný poriadok v znení neskorších predpisov či iné príslušné platné právne predpisy neustanovujú konkrétne lehoty pre prešetrenie </w:t>
      </w:r>
      <w:r w:rsidR="004B52F5">
        <w:rPr>
          <w:rFonts w:ascii="Times New Roman" w:hAnsi="Times New Roman" w:cs="Times New Roman"/>
          <w:sz w:val="24"/>
          <w:szCs w:val="24"/>
        </w:rPr>
        <w:t xml:space="preserve">prijatých </w:t>
      </w:r>
      <w:r>
        <w:rPr>
          <w:rFonts w:ascii="Times New Roman" w:hAnsi="Times New Roman" w:cs="Times New Roman"/>
          <w:sz w:val="24"/>
          <w:szCs w:val="24"/>
        </w:rPr>
        <w:t>oznámení. Predkladateľ si je vedomý sk</w:t>
      </w:r>
      <w:r w:rsidR="004B52F5">
        <w:rPr>
          <w:rFonts w:ascii="Times New Roman" w:hAnsi="Times New Roman" w:cs="Times New Roman"/>
          <w:sz w:val="24"/>
          <w:szCs w:val="24"/>
        </w:rPr>
        <w:t>utočnosti</w:t>
      </w:r>
      <w:r>
        <w:rPr>
          <w:rFonts w:ascii="Times New Roman" w:hAnsi="Times New Roman" w:cs="Times New Roman"/>
          <w:sz w:val="24"/>
          <w:szCs w:val="24"/>
        </w:rPr>
        <w:t xml:space="preserve">, že dôsledné preverenie každého prijatého oznámenia nemožno časovo ohraničiť jednotnou </w:t>
      </w:r>
      <w:r w:rsidR="00F7090C">
        <w:rPr>
          <w:rFonts w:ascii="Times New Roman" w:hAnsi="Times New Roman" w:cs="Times New Roman"/>
          <w:sz w:val="24"/>
          <w:szCs w:val="24"/>
        </w:rPr>
        <w:t>lehotou. Aplikačná prax dokazuje</w:t>
      </w:r>
      <w:r>
        <w:rPr>
          <w:rFonts w:ascii="Times New Roman" w:hAnsi="Times New Roman" w:cs="Times New Roman"/>
          <w:sz w:val="24"/>
          <w:szCs w:val="24"/>
        </w:rPr>
        <w:t xml:space="preserve">, </w:t>
      </w:r>
      <w:r w:rsidR="00F7090C">
        <w:rPr>
          <w:rFonts w:ascii="Times New Roman" w:hAnsi="Times New Roman" w:cs="Times New Roman"/>
          <w:sz w:val="24"/>
          <w:szCs w:val="24"/>
        </w:rPr>
        <w:t xml:space="preserve">že </w:t>
      </w:r>
      <w:r>
        <w:rPr>
          <w:rFonts w:ascii="Times New Roman" w:hAnsi="Times New Roman" w:cs="Times New Roman"/>
          <w:sz w:val="24"/>
          <w:szCs w:val="24"/>
        </w:rPr>
        <w:t xml:space="preserve">jednotlivé oznámenia sa od seba odlišujú nielen svojim rozsahom, ale najmä závažnosťou a komplexnosťou svojho merita – obsahu. Navrhovaný pojem „v primeranej lehote“ je preto potrebné vždy vykladať v kontexte </w:t>
      </w:r>
      <w:r w:rsidR="004B52F5">
        <w:rPr>
          <w:rFonts w:ascii="Times New Roman" w:hAnsi="Times New Roman" w:cs="Times New Roman"/>
          <w:sz w:val="24"/>
          <w:szCs w:val="24"/>
        </w:rPr>
        <w:t>konkrétnych okolností a</w:t>
      </w:r>
      <w:r>
        <w:rPr>
          <w:rFonts w:ascii="Times New Roman" w:hAnsi="Times New Roman" w:cs="Times New Roman"/>
          <w:sz w:val="24"/>
          <w:szCs w:val="24"/>
        </w:rPr>
        <w:t xml:space="preserve"> štandardnej dĺžky zaužívaných postupov pri preverovaní oznámenia</w:t>
      </w:r>
      <w:r w:rsidR="00F7090C">
        <w:rPr>
          <w:rFonts w:ascii="Times New Roman" w:hAnsi="Times New Roman" w:cs="Times New Roman"/>
          <w:sz w:val="24"/>
          <w:szCs w:val="24"/>
        </w:rPr>
        <w:t xml:space="preserve"> konkrétnym orgánom, ktorý za preverenie zodpovedá</w:t>
      </w:r>
      <w:r w:rsidR="004B52F5">
        <w:rPr>
          <w:rFonts w:ascii="Times New Roman" w:hAnsi="Times New Roman" w:cs="Times New Roman"/>
          <w:sz w:val="24"/>
          <w:szCs w:val="24"/>
        </w:rPr>
        <w:t xml:space="preserve">. V tomto kontexte predkladateľ upozorňuje i na skutočnosť, že zmieňované slovné spojenie „v primeranej lehote“ je v platnom právnom poriadku pojmom ustáleným a preto ho možno považovať za pojem všeobecne zrozumiteľný. Obdobné stanovenie lehoty sa štandardne používa napríklad v § 27 zákona č. 71/1969 Z. z. </w:t>
      </w:r>
      <w:r w:rsidR="004B52F5" w:rsidRPr="004B52F5">
        <w:rPr>
          <w:rFonts w:ascii="Times New Roman" w:hAnsi="Times New Roman" w:cs="Times New Roman"/>
          <w:sz w:val="24"/>
          <w:szCs w:val="24"/>
        </w:rPr>
        <w:t>o správnom konaní (správny poriadok)</w:t>
      </w:r>
      <w:r w:rsidR="004B52F5">
        <w:rPr>
          <w:rFonts w:ascii="Times New Roman" w:hAnsi="Times New Roman" w:cs="Times New Roman"/>
          <w:sz w:val="24"/>
          <w:szCs w:val="24"/>
        </w:rPr>
        <w:t xml:space="preserve"> v znení neskorších predpisov, v § 90 ods. 2 zákona č. 160/2018 Z. z. </w:t>
      </w:r>
      <w:r w:rsidR="004B52F5" w:rsidRPr="004B52F5">
        <w:rPr>
          <w:rFonts w:ascii="Times New Roman" w:hAnsi="Times New Roman" w:cs="Times New Roman"/>
          <w:sz w:val="24"/>
          <w:szCs w:val="24"/>
        </w:rPr>
        <w:t>Civilný sporový poriadok</w:t>
      </w:r>
      <w:r w:rsidR="004B52F5">
        <w:rPr>
          <w:rFonts w:ascii="Times New Roman" w:hAnsi="Times New Roman" w:cs="Times New Roman"/>
          <w:sz w:val="24"/>
          <w:szCs w:val="24"/>
        </w:rPr>
        <w:t xml:space="preserve"> v znení neskorších predpisov, v § 2 ods. 6 zákona č. 301/2005 Z. z. Trestný poriadok v znení neskorších predpisov, ako i v mnohých ďalších zákono</w:t>
      </w:r>
      <w:r w:rsidR="00DE7D8A">
        <w:rPr>
          <w:rFonts w:ascii="Times New Roman" w:hAnsi="Times New Roman" w:cs="Times New Roman"/>
          <w:sz w:val="24"/>
          <w:szCs w:val="24"/>
        </w:rPr>
        <w:t>ch</w:t>
      </w:r>
      <w:r w:rsidR="004B52F5">
        <w:rPr>
          <w:rFonts w:ascii="Times New Roman" w:hAnsi="Times New Roman" w:cs="Times New Roman"/>
          <w:sz w:val="24"/>
          <w:szCs w:val="24"/>
        </w:rPr>
        <w:t xml:space="preserve">. </w:t>
      </w:r>
    </w:p>
    <w:p w14:paraId="519C3BB3" w14:textId="4A91CD2D" w:rsidR="00EB16D6" w:rsidRDefault="00EB16D6" w:rsidP="00F62FF9">
      <w:pPr>
        <w:spacing w:after="0" w:line="240" w:lineRule="auto"/>
        <w:ind w:firstLine="708"/>
        <w:jc w:val="both"/>
        <w:rPr>
          <w:rFonts w:ascii="Times New Roman" w:hAnsi="Times New Roman" w:cs="Times New Roman"/>
          <w:sz w:val="24"/>
          <w:szCs w:val="24"/>
        </w:rPr>
      </w:pPr>
    </w:p>
    <w:p w14:paraId="5679227E" w14:textId="16389A2E" w:rsidR="00F7090C" w:rsidRDefault="00F7090C" w:rsidP="005B4A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Návrh zákona v § </w:t>
      </w:r>
      <w:r w:rsidR="00EF5AD2">
        <w:rPr>
          <w:rFonts w:ascii="Times New Roman" w:hAnsi="Times New Roman" w:cs="Times New Roman"/>
          <w:sz w:val="24"/>
          <w:szCs w:val="24"/>
        </w:rPr>
        <w:t>2 písm. a) bodu 4 (4c.)</w:t>
      </w:r>
      <w:r>
        <w:rPr>
          <w:rFonts w:ascii="Times New Roman" w:hAnsi="Times New Roman" w:cs="Times New Roman"/>
          <w:sz w:val="24"/>
          <w:szCs w:val="24"/>
        </w:rPr>
        <w:t xml:space="preserve"> podmieňuje zverejnenie informácií o protispoločenskej činnosti fyzickou osobou i z „dôvodnej obavy bezprostredného alebo zjavného ohrozenia verejného záujmu“. </w:t>
      </w:r>
      <w:r w:rsidR="005B4AA7">
        <w:rPr>
          <w:rFonts w:ascii="Times New Roman" w:hAnsi="Times New Roman" w:cs="Times New Roman"/>
          <w:sz w:val="24"/>
          <w:szCs w:val="24"/>
        </w:rPr>
        <w:t>Slovné spojenie „verejný záujem“ je pojmom ústavným a zákonným, nakoľko predmetné slovné spojenie v sebe implikuje nielen Ústava Slovenskej republiky ale i celý rad zákonov a podzákonných právnych predpisov. Rovnako</w:t>
      </w:r>
      <w:r w:rsidR="00D6301D">
        <w:rPr>
          <w:rFonts w:ascii="Times New Roman" w:hAnsi="Times New Roman" w:cs="Times New Roman"/>
          <w:sz w:val="24"/>
          <w:szCs w:val="24"/>
        </w:rPr>
        <w:t>,</w:t>
      </w:r>
      <w:r w:rsidR="005B4AA7">
        <w:rPr>
          <w:rFonts w:ascii="Times New Roman" w:hAnsi="Times New Roman" w:cs="Times New Roman"/>
          <w:sz w:val="24"/>
          <w:szCs w:val="24"/>
        </w:rPr>
        <w:t xml:space="preserve"> predkladateľ upozorňuje i na rozsiahlu právnu teóriu a judikatúru, ktorá sa zaoberá nielen výkladom pojmu „verejný záujem“ ale i jeho ohrozením. Z uvedeného dôvodu predkladateľ nepovažuje za</w:t>
      </w:r>
      <w:r w:rsidR="00D6301D">
        <w:rPr>
          <w:rFonts w:ascii="Times New Roman" w:hAnsi="Times New Roman" w:cs="Times New Roman"/>
          <w:sz w:val="24"/>
          <w:szCs w:val="24"/>
        </w:rPr>
        <w:t xml:space="preserve"> účelné</w:t>
      </w:r>
      <w:r w:rsidR="005B4AA7">
        <w:rPr>
          <w:rFonts w:ascii="Times New Roman" w:hAnsi="Times New Roman" w:cs="Times New Roman"/>
          <w:sz w:val="24"/>
          <w:szCs w:val="24"/>
        </w:rPr>
        <w:t xml:space="preserve"> stanovovať exaktné </w:t>
      </w:r>
      <w:r w:rsidR="005B4AA7" w:rsidRPr="005B4AA7">
        <w:rPr>
          <w:rFonts w:ascii="Times New Roman" w:hAnsi="Times New Roman" w:cs="Times New Roman"/>
          <w:sz w:val="24"/>
          <w:szCs w:val="24"/>
        </w:rPr>
        <w:t>k</w:t>
      </w:r>
      <w:r w:rsidR="005B4AA7">
        <w:rPr>
          <w:rFonts w:ascii="Times New Roman" w:hAnsi="Times New Roman" w:cs="Times New Roman"/>
          <w:sz w:val="24"/>
          <w:szCs w:val="24"/>
        </w:rPr>
        <w:t>ritériá pre</w:t>
      </w:r>
      <w:r w:rsidR="005B4AA7" w:rsidRPr="005B4AA7">
        <w:rPr>
          <w:rFonts w:ascii="Times New Roman" w:hAnsi="Times New Roman" w:cs="Times New Roman"/>
          <w:sz w:val="24"/>
          <w:szCs w:val="24"/>
        </w:rPr>
        <w:t xml:space="preserve"> interpretáciu</w:t>
      </w:r>
      <w:r w:rsidR="005B4AA7">
        <w:rPr>
          <w:rFonts w:ascii="Times New Roman" w:hAnsi="Times New Roman" w:cs="Times New Roman"/>
          <w:sz w:val="24"/>
          <w:szCs w:val="24"/>
        </w:rPr>
        <w:t xml:space="preserve"> zmieňovaných pojmov</w:t>
      </w:r>
      <w:r w:rsidR="005B4AA7" w:rsidRPr="005B4AA7">
        <w:rPr>
          <w:rFonts w:ascii="Times New Roman" w:hAnsi="Times New Roman" w:cs="Times New Roman"/>
          <w:sz w:val="24"/>
          <w:szCs w:val="24"/>
        </w:rPr>
        <w:t>,</w:t>
      </w:r>
      <w:r w:rsidR="005B4AA7">
        <w:rPr>
          <w:rFonts w:ascii="Times New Roman" w:hAnsi="Times New Roman" w:cs="Times New Roman"/>
          <w:sz w:val="24"/>
          <w:szCs w:val="24"/>
        </w:rPr>
        <w:t xml:space="preserve"> nakoľko v</w:t>
      </w:r>
      <w:r w:rsidR="005B4AA7" w:rsidRPr="005B4AA7">
        <w:rPr>
          <w:rFonts w:ascii="Times New Roman" w:hAnsi="Times New Roman" w:cs="Times New Roman"/>
          <w:sz w:val="24"/>
          <w:szCs w:val="24"/>
        </w:rPr>
        <w:t>erejný záujem vyjadruje okamžitosť stavu záujmov a ich vzájomnú hierarchiu, je</w:t>
      </w:r>
      <w:r w:rsidR="005B4AA7">
        <w:rPr>
          <w:rFonts w:ascii="Times New Roman" w:hAnsi="Times New Roman" w:cs="Times New Roman"/>
          <w:sz w:val="24"/>
          <w:szCs w:val="24"/>
        </w:rPr>
        <w:t xml:space="preserve"> časovo a </w:t>
      </w:r>
      <w:r w:rsidR="005B4AA7" w:rsidRPr="005B4AA7">
        <w:rPr>
          <w:rFonts w:ascii="Times New Roman" w:hAnsi="Times New Roman" w:cs="Times New Roman"/>
          <w:sz w:val="24"/>
          <w:szCs w:val="24"/>
        </w:rPr>
        <w:t>miestne premenný, a preto sa musí posudzovať len v ko</w:t>
      </w:r>
      <w:r w:rsidR="005B4AA7">
        <w:rPr>
          <w:rFonts w:ascii="Times New Roman" w:hAnsi="Times New Roman" w:cs="Times New Roman"/>
          <w:sz w:val="24"/>
          <w:szCs w:val="24"/>
        </w:rPr>
        <w:t xml:space="preserve">nkrétnej situácii, v konkrétnom </w:t>
      </w:r>
      <w:r w:rsidR="005B4AA7" w:rsidRPr="005B4AA7">
        <w:rPr>
          <w:rFonts w:ascii="Times New Roman" w:hAnsi="Times New Roman" w:cs="Times New Roman"/>
          <w:sz w:val="24"/>
          <w:szCs w:val="24"/>
        </w:rPr>
        <w:t>mieste a v konkrétnom čase</w:t>
      </w:r>
      <w:r w:rsidR="005B4AA7">
        <w:rPr>
          <w:rFonts w:ascii="Times New Roman" w:hAnsi="Times New Roman" w:cs="Times New Roman"/>
          <w:sz w:val="24"/>
          <w:szCs w:val="24"/>
        </w:rPr>
        <w:t xml:space="preserve"> s ohľadom na ustálenú aplikačnú prax. </w:t>
      </w:r>
    </w:p>
    <w:p w14:paraId="34B75868" w14:textId="77777777" w:rsidR="00F7090C" w:rsidRDefault="00F7090C" w:rsidP="00F62FF9">
      <w:pPr>
        <w:spacing w:after="0" w:line="240" w:lineRule="auto"/>
        <w:ind w:firstLine="708"/>
        <w:jc w:val="both"/>
        <w:rPr>
          <w:rFonts w:ascii="Times New Roman" w:hAnsi="Times New Roman" w:cs="Times New Roman"/>
          <w:sz w:val="24"/>
          <w:szCs w:val="24"/>
        </w:rPr>
      </w:pPr>
    </w:p>
    <w:p w14:paraId="71AB303F" w14:textId="77777777" w:rsidR="00362F9A" w:rsidRDefault="00CC2157" w:rsidP="00F62FF9">
      <w:pPr>
        <w:spacing w:after="0" w:line="240" w:lineRule="auto"/>
        <w:ind w:firstLine="708"/>
        <w:jc w:val="both"/>
        <w:rPr>
          <w:rFonts w:ascii="Times New Roman" w:hAnsi="Times New Roman" w:cs="Times New Roman"/>
          <w:sz w:val="24"/>
          <w:szCs w:val="24"/>
        </w:rPr>
      </w:pPr>
      <w:r w:rsidRPr="008617AD">
        <w:rPr>
          <w:rFonts w:ascii="Times New Roman" w:hAnsi="Times New Roman" w:cs="Times New Roman"/>
          <w:sz w:val="24"/>
          <w:szCs w:val="24"/>
        </w:rPr>
        <w:t>Zverejnením sa rozumie sprístupnenie informácie o protispoločenskej činnosti, ktorá inak tvorí obsah oznámenia, pričom môže ísť napríklad o zverejnenie prostredníctvom textu v printových alebo internetových médiách, zverejnenie prostredníctvom sociálnych sietí, zverejnenie prostredníctvom videozáznamu, rozhlasom, televíziou alebo iným obdobne účinným spôsobom pred viacerými súčasne prítomnými osobami.</w:t>
      </w:r>
    </w:p>
    <w:p w14:paraId="7FD04873" w14:textId="1CC59BDA" w:rsidR="006C2B40" w:rsidRPr="0090742D" w:rsidRDefault="006C2B40" w:rsidP="00A3392F">
      <w:pPr>
        <w:spacing w:after="0" w:line="240" w:lineRule="auto"/>
        <w:jc w:val="both"/>
        <w:rPr>
          <w:rFonts w:ascii="Times New Roman" w:hAnsi="Times New Roman" w:cs="Times New Roman"/>
          <w:sz w:val="24"/>
          <w:szCs w:val="24"/>
        </w:rPr>
      </w:pPr>
    </w:p>
    <w:p w14:paraId="74787044" w14:textId="77777777" w:rsidR="00463E08" w:rsidRPr="00C02EF6" w:rsidRDefault="007E5DBE" w:rsidP="00D167DA">
      <w:pPr>
        <w:spacing w:after="0" w:line="240" w:lineRule="auto"/>
        <w:jc w:val="both"/>
        <w:rPr>
          <w:rFonts w:ascii="Times New Roman" w:hAnsi="Times New Roman" w:cs="Times New Roman"/>
          <w:b/>
          <w:sz w:val="24"/>
          <w:szCs w:val="24"/>
        </w:rPr>
      </w:pPr>
      <w:r w:rsidRPr="00C02EF6">
        <w:rPr>
          <w:rFonts w:ascii="Times New Roman" w:hAnsi="Times New Roman" w:cs="Times New Roman"/>
          <w:b/>
          <w:sz w:val="24"/>
          <w:szCs w:val="24"/>
        </w:rPr>
        <w:t xml:space="preserve">K bodu 6 </w:t>
      </w:r>
    </w:p>
    <w:p w14:paraId="4B77D0B8" w14:textId="77777777" w:rsidR="007E5DBE" w:rsidRPr="008E4358" w:rsidRDefault="007E5DBE" w:rsidP="00D167DA">
      <w:pPr>
        <w:spacing w:after="0" w:line="240" w:lineRule="auto"/>
        <w:jc w:val="both"/>
        <w:rPr>
          <w:rFonts w:ascii="Times New Roman" w:hAnsi="Times New Roman" w:cs="Times New Roman"/>
          <w:b/>
          <w:i/>
          <w:sz w:val="24"/>
          <w:szCs w:val="24"/>
        </w:rPr>
      </w:pPr>
      <w:r w:rsidRPr="008E4358">
        <w:rPr>
          <w:rFonts w:ascii="Times New Roman" w:hAnsi="Times New Roman" w:cs="Times New Roman"/>
          <w:b/>
          <w:i/>
          <w:sz w:val="24"/>
          <w:szCs w:val="24"/>
        </w:rPr>
        <w:t>(§ 2 písm. b))</w:t>
      </w:r>
    </w:p>
    <w:p w14:paraId="4E8F11F6" w14:textId="77777777" w:rsidR="00463E08" w:rsidRPr="008E4358" w:rsidRDefault="00463E08" w:rsidP="009638E0">
      <w:pPr>
        <w:spacing w:after="0" w:line="240" w:lineRule="auto"/>
        <w:rPr>
          <w:rFonts w:ascii="Times New Roman" w:hAnsi="Times New Roman" w:cs="Times New Roman"/>
          <w:sz w:val="24"/>
          <w:szCs w:val="24"/>
        </w:rPr>
      </w:pPr>
    </w:p>
    <w:p w14:paraId="61B0F284" w14:textId="78309A7B" w:rsidR="00C02EF6" w:rsidRDefault="00C02EF6" w:rsidP="00D537B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Navrhovaná zmena je transpozíci</w:t>
      </w:r>
      <w:r w:rsidR="00603838">
        <w:rPr>
          <w:rFonts w:ascii="Times New Roman" w:hAnsi="Times New Roman" w:cs="Times New Roman"/>
          <w:sz w:val="24"/>
          <w:szCs w:val="24"/>
        </w:rPr>
        <w:t>o</w:t>
      </w:r>
      <w:r>
        <w:rPr>
          <w:rFonts w:ascii="Times New Roman" w:hAnsi="Times New Roman" w:cs="Times New Roman"/>
          <w:sz w:val="24"/>
          <w:szCs w:val="24"/>
        </w:rPr>
        <w:t xml:space="preserve">u čl. 5 ods. 2 </w:t>
      </w:r>
      <w:r>
        <w:rPr>
          <w:rFonts w:ascii="Times New Roman" w:hAnsi="Times New Roman"/>
          <w:sz w:val="24"/>
          <w:szCs w:val="24"/>
        </w:rPr>
        <w:t xml:space="preserve">smernice </w:t>
      </w:r>
      <w:r w:rsidRPr="008336BE">
        <w:rPr>
          <w:rFonts w:ascii="Times New Roman" w:hAnsi="Times New Roman"/>
          <w:sz w:val="24"/>
          <w:szCs w:val="24"/>
        </w:rPr>
        <w:t>(EÚ) 2019/1937</w:t>
      </w:r>
      <w:r w:rsidR="003A3D9C">
        <w:rPr>
          <w:rFonts w:ascii="Times New Roman" w:hAnsi="Times New Roman"/>
          <w:sz w:val="24"/>
          <w:szCs w:val="24"/>
        </w:rPr>
        <w:t xml:space="preserve"> v platnom znení</w:t>
      </w:r>
      <w:r>
        <w:rPr>
          <w:rFonts w:ascii="Times New Roman" w:hAnsi="Times New Roman"/>
          <w:sz w:val="24"/>
          <w:szCs w:val="24"/>
        </w:rPr>
        <w:t xml:space="preserve">, ktorá adresnejšie definuje oznámenie </w:t>
      </w:r>
      <w:r w:rsidR="003F7126">
        <w:rPr>
          <w:rFonts w:ascii="Times New Roman" w:hAnsi="Times New Roman"/>
          <w:sz w:val="24"/>
          <w:szCs w:val="24"/>
        </w:rPr>
        <w:t>protispoločenskej činnosti</w:t>
      </w:r>
      <w:r>
        <w:rPr>
          <w:rFonts w:ascii="Times New Roman" w:hAnsi="Times New Roman"/>
          <w:sz w:val="24"/>
          <w:szCs w:val="24"/>
        </w:rPr>
        <w:t xml:space="preserve">, o ktorej sa oznamovateľ dozvie v súvislosti s jeho pracovnoprávnym alebo iným obdobným vzťahom. </w:t>
      </w:r>
      <w:r w:rsidR="00F44EAF">
        <w:rPr>
          <w:rFonts w:ascii="Times New Roman" w:hAnsi="Times New Roman"/>
          <w:sz w:val="24"/>
          <w:szCs w:val="24"/>
        </w:rPr>
        <w:t xml:space="preserve">Táto zmena nadväzuje na navrhované ustanovenie § 1 ods. 1 písm. a) a § 2 písm. f) návrhu zákona. </w:t>
      </w:r>
    </w:p>
    <w:p w14:paraId="5FFF9DB9" w14:textId="77777777" w:rsidR="008827A6" w:rsidRDefault="008827A6" w:rsidP="009638E0">
      <w:pPr>
        <w:spacing w:after="0" w:line="240" w:lineRule="auto"/>
        <w:jc w:val="both"/>
        <w:rPr>
          <w:rFonts w:ascii="Times New Roman" w:hAnsi="Times New Roman" w:cs="Times New Roman"/>
          <w:sz w:val="24"/>
          <w:szCs w:val="24"/>
          <w:u w:val="single"/>
        </w:rPr>
      </w:pPr>
    </w:p>
    <w:p w14:paraId="3546DC9B" w14:textId="5849D4A6" w:rsidR="007E5DBE" w:rsidRPr="00ED47A3" w:rsidRDefault="007E5DBE" w:rsidP="009638E0">
      <w:pPr>
        <w:spacing w:after="0" w:line="240" w:lineRule="auto"/>
        <w:jc w:val="both"/>
        <w:rPr>
          <w:rFonts w:ascii="Times New Roman" w:hAnsi="Times New Roman" w:cs="Times New Roman"/>
          <w:b/>
          <w:sz w:val="24"/>
          <w:szCs w:val="24"/>
        </w:rPr>
      </w:pPr>
      <w:r w:rsidRPr="00ED47A3">
        <w:rPr>
          <w:rFonts w:ascii="Times New Roman" w:hAnsi="Times New Roman" w:cs="Times New Roman"/>
          <w:b/>
          <w:sz w:val="24"/>
          <w:szCs w:val="24"/>
        </w:rPr>
        <w:t xml:space="preserve">K bodu 7 </w:t>
      </w:r>
      <w:r w:rsidR="004A08BE">
        <w:rPr>
          <w:rFonts w:ascii="Times New Roman" w:hAnsi="Times New Roman" w:cs="Times New Roman"/>
          <w:b/>
          <w:sz w:val="24"/>
          <w:szCs w:val="24"/>
        </w:rPr>
        <w:t>a 8</w:t>
      </w:r>
    </w:p>
    <w:p w14:paraId="7A89EF5C" w14:textId="77777777" w:rsidR="007E5DBE" w:rsidRPr="00ED47A3" w:rsidRDefault="007E5DBE" w:rsidP="009638E0">
      <w:pPr>
        <w:spacing w:after="0" w:line="240" w:lineRule="auto"/>
        <w:jc w:val="both"/>
        <w:rPr>
          <w:rFonts w:ascii="Times New Roman" w:hAnsi="Times New Roman" w:cs="Times New Roman"/>
          <w:b/>
          <w:i/>
          <w:sz w:val="24"/>
          <w:szCs w:val="24"/>
        </w:rPr>
      </w:pPr>
      <w:r w:rsidRPr="00ED47A3">
        <w:rPr>
          <w:rFonts w:ascii="Times New Roman" w:hAnsi="Times New Roman" w:cs="Times New Roman"/>
          <w:b/>
          <w:i/>
          <w:sz w:val="24"/>
          <w:szCs w:val="24"/>
        </w:rPr>
        <w:t>(</w:t>
      </w:r>
      <w:r w:rsidR="00C510C4" w:rsidRPr="00ED47A3">
        <w:rPr>
          <w:rFonts w:ascii="Times New Roman" w:hAnsi="Times New Roman" w:cs="Times New Roman"/>
          <w:b/>
          <w:i/>
          <w:sz w:val="24"/>
          <w:szCs w:val="24"/>
        </w:rPr>
        <w:t>§ 2 písm. d)</w:t>
      </w:r>
      <w:r w:rsidRPr="00ED47A3">
        <w:rPr>
          <w:rFonts w:ascii="Times New Roman" w:hAnsi="Times New Roman" w:cs="Times New Roman"/>
          <w:b/>
          <w:i/>
          <w:sz w:val="24"/>
          <w:szCs w:val="24"/>
        </w:rPr>
        <w:t>)</w:t>
      </w:r>
    </w:p>
    <w:p w14:paraId="18B0A073" w14:textId="77777777" w:rsidR="00C510C4" w:rsidRPr="00ED47A3" w:rsidRDefault="00C510C4" w:rsidP="009638E0">
      <w:pPr>
        <w:spacing w:after="0" w:line="240" w:lineRule="auto"/>
        <w:jc w:val="both"/>
        <w:rPr>
          <w:rFonts w:ascii="Times New Roman" w:hAnsi="Times New Roman" w:cs="Times New Roman"/>
          <w:sz w:val="24"/>
          <w:szCs w:val="24"/>
        </w:rPr>
      </w:pPr>
    </w:p>
    <w:p w14:paraId="4B08115A" w14:textId="4C098AEC" w:rsidR="001270BA" w:rsidRDefault="00C510C4" w:rsidP="00D537BF">
      <w:pPr>
        <w:spacing w:after="0" w:line="240" w:lineRule="auto"/>
        <w:ind w:firstLine="708"/>
        <w:jc w:val="both"/>
        <w:rPr>
          <w:rFonts w:ascii="Times New Roman" w:hAnsi="Times New Roman" w:cs="Times New Roman"/>
          <w:sz w:val="24"/>
          <w:szCs w:val="24"/>
        </w:rPr>
      </w:pPr>
      <w:r w:rsidRPr="00ED47A3">
        <w:rPr>
          <w:rFonts w:ascii="Times New Roman" w:hAnsi="Times New Roman" w:cs="Times New Roman"/>
          <w:sz w:val="24"/>
          <w:szCs w:val="24"/>
        </w:rPr>
        <w:t>Dotknuté ustanovenie v rámci vymedzenia jednotlivých pojmov na účely zákona v § 2 písm. d) definuje závažnú protispoločenskú činnosť v zásade dvomi spôsobmi. V prvom prípade v</w:t>
      </w:r>
      <w:r w:rsidR="00F54342">
        <w:rPr>
          <w:rFonts w:ascii="Times New Roman" w:hAnsi="Times New Roman" w:cs="Times New Roman"/>
          <w:sz w:val="24"/>
          <w:szCs w:val="24"/>
        </w:rPr>
        <w:t> </w:t>
      </w:r>
      <w:r w:rsidRPr="00ED47A3">
        <w:rPr>
          <w:rFonts w:ascii="Times New Roman" w:hAnsi="Times New Roman" w:cs="Times New Roman"/>
          <w:sz w:val="24"/>
          <w:szCs w:val="24"/>
        </w:rPr>
        <w:t>bode</w:t>
      </w:r>
      <w:r w:rsidR="00F54342">
        <w:rPr>
          <w:rFonts w:ascii="Times New Roman" w:hAnsi="Times New Roman" w:cs="Times New Roman"/>
          <w:sz w:val="24"/>
          <w:szCs w:val="24"/>
        </w:rPr>
        <w:t xml:space="preserve"> </w:t>
      </w:r>
      <w:r w:rsidRPr="00ED47A3">
        <w:rPr>
          <w:rFonts w:ascii="Times New Roman" w:hAnsi="Times New Roman" w:cs="Times New Roman"/>
          <w:sz w:val="24"/>
          <w:szCs w:val="24"/>
        </w:rPr>
        <w:t xml:space="preserve">1 taxatívne menuje trestné činy a v bode 2. stanovuje </w:t>
      </w:r>
      <w:r w:rsidR="001270BA" w:rsidRPr="00ED47A3">
        <w:rPr>
          <w:rFonts w:ascii="Times New Roman" w:hAnsi="Times New Roman" w:cs="Times New Roman"/>
          <w:sz w:val="24"/>
          <w:szCs w:val="24"/>
        </w:rPr>
        <w:t xml:space="preserve">podmienku, </w:t>
      </w:r>
      <w:r w:rsidR="00890644" w:rsidRPr="00ED47A3">
        <w:rPr>
          <w:rFonts w:ascii="Times New Roman" w:hAnsi="Times New Roman" w:cs="Times New Roman"/>
          <w:sz w:val="24"/>
          <w:szCs w:val="24"/>
        </w:rPr>
        <w:t>ktorá ak</w:t>
      </w:r>
      <w:r w:rsidR="001270BA" w:rsidRPr="00ED47A3">
        <w:rPr>
          <w:rFonts w:ascii="Times New Roman" w:hAnsi="Times New Roman" w:cs="Times New Roman"/>
          <w:sz w:val="24"/>
          <w:szCs w:val="24"/>
        </w:rPr>
        <w:t xml:space="preserve"> bude </w:t>
      </w:r>
      <w:r w:rsidR="00890644" w:rsidRPr="00ED47A3">
        <w:rPr>
          <w:rFonts w:ascii="Times New Roman" w:hAnsi="Times New Roman" w:cs="Times New Roman"/>
          <w:sz w:val="24"/>
          <w:szCs w:val="24"/>
        </w:rPr>
        <w:t>n</w:t>
      </w:r>
      <w:r w:rsidR="00D53512" w:rsidRPr="00ED47A3">
        <w:rPr>
          <w:rFonts w:ascii="Times New Roman" w:hAnsi="Times New Roman" w:cs="Times New Roman"/>
          <w:sz w:val="24"/>
          <w:szCs w:val="24"/>
        </w:rPr>
        <w:t>a</w:t>
      </w:r>
      <w:r w:rsidR="00890644" w:rsidRPr="00ED47A3">
        <w:rPr>
          <w:rFonts w:ascii="Times New Roman" w:hAnsi="Times New Roman" w:cs="Times New Roman"/>
          <w:sz w:val="24"/>
          <w:szCs w:val="24"/>
        </w:rPr>
        <w:t xml:space="preserve">plnená, bude </w:t>
      </w:r>
      <w:r w:rsidR="001270BA" w:rsidRPr="00ED47A3">
        <w:rPr>
          <w:rFonts w:ascii="Times New Roman" w:hAnsi="Times New Roman" w:cs="Times New Roman"/>
          <w:sz w:val="24"/>
          <w:szCs w:val="24"/>
        </w:rPr>
        <w:t>daná trestná činnosť spĺňať kvalifikáciu závažnej</w:t>
      </w:r>
      <w:r w:rsidR="0081311C">
        <w:rPr>
          <w:rFonts w:ascii="Times New Roman" w:hAnsi="Times New Roman" w:cs="Times New Roman"/>
          <w:sz w:val="24"/>
          <w:szCs w:val="24"/>
        </w:rPr>
        <w:t xml:space="preserve"> </w:t>
      </w:r>
      <w:r w:rsidR="001270BA" w:rsidRPr="00ED47A3">
        <w:rPr>
          <w:rFonts w:ascii="Times New Roman" w:hAnsi="Times New Roman" w:cs="Times New Roman"/>
          <w:sz w:val="24"/>
          <w:szCs w:val="24"/>
        </w:rPr>
        <w:t>protispoločenskej činnosti. V súča</w:t>
      </w:r>
      <w:r w:rsidR="00890644" w:rsidRPr="00ED47A3">
        <w:rPr>
          <w:rFonts w:ascii="Times New Roman" w:hAnsi="Times New Roman" w:cs="Times New Roman"/>
          <w:sz w:val="24"/>
          <w:szCs w:val="24"/>
        </w:rPr>
        <w:t>s</w:t>
      </w:r>
      <w:r w:rsidR="00D35C2E" w:rsidRPr="00ED47A3">
        <w:rPr>
          <w:rFonts w:ascii="Times New Roman" w:hAnsi="Times New Roman" w:cs="Times New Roman"/>
          <w:sz w:val="24"/>
          <w:szCs w:val="24"/>
        </w:rPr>
        <w:t xml:space="preserve">nosti je táto podmienka </w:t>
      </w:r>
      <w:r w:rsidR="00581335" w:rsidRPr="00ED47A3">
        <w:rPr>
          <w:rFonts w:ascii="Times New Roman" w:hAnsi="Times New Roman" w:cs="Times New Roman"/>
          <w:sz w:val="24"/>
          <w:szCs w:val="24"/>
        </w:rPr>
        <w:t>určená</w:t>
      </w:r>
      <w:r w:rsidR="001270BA" w:rsidRPr="00ED47A3">
        <w:rPr>
          <w:rFonts w:ascii="Times New Roman" w:hAnsi="Times New Roman" w:cs="Times New Roman"/>
          <w:sz w:val="24"/>
          <w:szCs w:val="24"/>
        </w:rPr>
        <w:t xml:space="preserve"> hornou hranicou trestnej sadzby prevyšujúcou tri roky. </w:t>
      </w:r>
      <w:r w:rsidR="00D53512" w:rsidRPr="00ED47A3">
        <w:rPr>
          <w:rFonts w:ascii="Times New Roman" w:hAnsi="Times New Roman" w:cs="Times New Roman"/>
          <w:sz w:val="24"/>
          <w:szCs w:val="24"/>
        </w:rPr>
        <w:t>Z praxe vyplynulo, že t</w:t>
      </w:r>
      <w:r w:rsidR="001270BA" w:rsidRPr="00ED47A3">
        <w:rPr>
          <w:rFonts w:ascii="Times New Roman" w:hAnsi="Times New Roman" w:cs="Times New Roman"/>
          <w:sz w:val="24"/>
          <w:szCs w:val="24"/>
        </w:rPr>
        <w:t xml:space="preserve">áto definícia nedokázala obsiahnuť všetky trestné činy spadajúce </w:t>
      </w:r>
      <w:r w:rsidR="00D53512" w:rsidRPr="00ED47A3">
        <w:rPr>
          <w:rFonts w:ascii="Times New Roman" w:hAnsi="Times New Roman" w:cs="Times New Roman"/>
          <w:sz w:val="24"/>
          <w:szCs w:val="24"/>
        </w:rPr>
        <w:t>medzi závažné formy protispoločenskej činnosti,</w:t>
      </w:r>
      <w:r w:rsidR="0081311C">
        <w:rPr>
          <w:rFonts w:ascii="Times New Roman" w:hAnsi="Times New Roman" w:cs="Times New Roman"/>
          <w:sz w:val="24"/>
          <w:szCs w:val="24"/>
        </w:rPr>
        <w:t xml:space="preserve"> </w:t>
      </w:r>
      <w:r w:rsidR="001270BA" w:rsidRPr="00ED47A3">
        <w:rPr>
          <w:rFonts w:ascii="Times New Roman" w:hAnsi="Times New Roman" w:cs="Times New Roman"/>
          <w:sz w:val="24"/>
          <w:szCs w:val="24"/>
        </w:rPr>
        <w:t>viď napr.§ 168, 170, 170b, 300, 302, 352a zákona č. 300/2005 Z. z. Trestný zákon v znení neskorších predpisov. Z uvedeného dôvodu sa navrhuje rozšíriť zoznam trestných činov, ktorých oznamovanie bude spadať pod režim závažnej protispoločenskej činnosti a to tak, že príde k úprave podmienky v časti stanovu</w:t>
      </w:r>
      <w:r w:rsidR="00D35C2E" w:rsidRPr="00ED47A3">
        <w:rPr>
          <w:rFonts w:ascii="Times New Roman" w:hAnsi="Times New Roman" w:cs="Times New Roman"/>
          <w:sz w:val="24"/>
          <w:szCs w:val="24"/>
        </w:rPr>
        <w:t xml:space="preserve">júcej hornú </w:t>
      </w:r>
      <w:r w:rsidR="003F7126" w:rsidRPr="00ED47A3">
        <w:rPr>
          <w:rFonts w:ascii="Times New Roman" w:hAnsi="Times New Roman" w:cs="Times New Roman"/>
          <w:sz w:val="24"/>
          <w:szCs w:val="24"/>
        </w:rPr>
        <w:t xml:space="preserve">hranicu </w:t>
      </w:r>
      <w:r w:rsidR="00D35C2E" w:rsidRPr="00ED47A3">
        <w:rPr>
          <w:rFonts w:ascii="Times New Roman" w:hAnsi="Times New Roman" w:cs="Times New Roman"/>
          <w:sz w:val="24"/>
          <w:szCs w:val="24"/>
        </w:rPr>
        <w:t>trestn</w:t>
      </w:r>
      <w:r w:rsidR="003F7126" w:rsidRPr="00ED47A3">
        <w:rPr>
          <w:rFonts w:ascii="Times New Roman" w:hAnsi="Times New Roman" w:cs="Times New Roman"/>
          <w:sz w:val="24"/>
          <w:szCs w:val="24"/>
        </w:rPr>
        <w:t>ej</w:t>
      </w:r>
      <w:r w:rsidR="00D35C2E" w:rsidRPr="00ED47A3">
        <w:rPr>
          <w:rFonts w:ascii="Times New Roman" w:hAnsi="Times New Roman" w:cs="Times New Roman"/>
          <w:sz w:val="24"/>
          <w:szCs w:val="24"/>
        </w:rPr>
        <w:t xml:space="preserve"> sadz</w:t>
      </w:r>
      <w:r w:rsidR="001270BA" w:rsidRPr="00ED47A3">
        <w:rPr>
          <w:rFonts w:ascii="Times New Roman" w:hAnsi="Times New Roman" w:cs="Times New Roman"/>
          <w:sz w:val="24"/>
          <w:szCs w:val="24"/>
        </w:rPr>
        <w:t>b</w:t>
      </w:r>
      <w:r w:rsidR="003F7126" w:rsidRPr="00ED47A3">
        <w:rPr>
          <w:rFonts w:ascii="Times New Roman" w:hAnsi="Times New Roman" w:cs="Times New Roman"/>
          <w:sz w:val="24"/>
          <w:szCs w:val="24"/>
        </w:rPr>
        <w:t>y</w:t>
      </w:r>
      <w:r w:rsidR="001270BA" w:rsidRPr="00ED47A3">
        <w:rPr>
          <w:rFonts w:ascii="Times New Roman" w:hAnsi="Times New Roman" w:cs="Times New Roman"/>
          <w:sz w:val="24"/>
          <w:szCs w:val="24"/>
        </w:rPr>
        <w:t xml:space="preserve"> z pôvodných troch rokov na dva roky</w:t>
      </w:r>
      <w:r w:rsidR="0098633E">
        <w:rPr>
          <w:rFonts w:ascii="Times New Roman" w:hAnsi="Times New Roman" w:cs="Times New Roman"/>
          <w:sz w:val="24"/>
          <w:szCs w:val="24"/>
        </w:rPr>
        <w:t xml:space="preserve"> a zároveň sa rozšíri aj explicitný zoznam trestných činov, ktoré sa považujú za závažnú protispoločenskú činnosť</w:t>
      </w:r>
      <w:r w:rsidR="001270BA" w:rsidRPr="00ED47A3">
        <w:rPr>
          <w:rFonts w:ascii="Times New Roman" w:hAnsi="Times New Roman" w:cs="Times New Roman"/>
          <w:sz w:val="24"/>
          <w:szCs w:val="24"/>
        </w:rPr>
        <w:t>. Tým bude možné poskytnúť preventívnu ochranu oznamovateľom prostredníctvom prokuratúry aj pri oznamovaní trestných činov, ktoré majú miernejšiu trestnú sadzbu.</w:t>
      </w:r>
    </w:p>
    <w:p w14:paraId="7D285647" w14:textId="640DE536" w:rsidR="0045070F" w:rsidRDefault="0045070F" w:rsidP="00D537BF">
      <w:pPr>
        <w:spacing w:after="0" w:line="240" w:lineRule="auto"/>
        <w:ind w:firstLine="708"/>
        <w:jc w:val="both"/>
        <w:rPr>
          <w:rFonts w:ascii="Times New Roman" w:hAnsi="Times New Roman" w:cs="Times New Roman"/>
          <w:sz w:val="24"/>
          <w:szCs w:val="24"/>
        </w:rPr>
      </w:pPr>
    </w:p>
    <w:p w14:paraId="67D3B64A" w14:textId="3C3B3CF5" w:rsidR="0045070F" w:rsidRDefault="0045070F" w:rsidP="0045070F">
      <w:pPr>
        <w:spacing w:after="0" w:line="240" w:lineRule="auto"/>
        <w:jc w:val="both"/>
        <w:rPr>
          <w:rFonts w:ascii="Times New Roman" w:hAnsi="Times New Roman" w:cs="Times New Roman"/>
          <w:color w:val="000000"/>
          <w:sz w:val="24"/>
          <w:szCs w:val="24"/>
        </w:rPr>
      </w:pPr>
      <w:r w:rsidRPr="0045070F">
        <w:rPr>
          <w:rFonts w:ascii="Times New Roman" w:hAnsi="Times New Roman" w:cs="Times New Roman"/>
          <w:sz w:val="24"/>
          <w:szCs w:val="24"/>
        </w:rPr>
        <w:t xml:space="preserve">Medzi taxatívne stanovené trestné činy, ktoré sa pouvažujú za závažnú protispoločenskú činnosť, patria: trestný čin ohrozovania zdravia závadnými potravinami a inými predmetmi podľa § 168 Trestného zákona, trestný čin ohrozovania zdravia nepovolenými liekmi, liečivami a zdravotníckymi pomôckami podľa § 170 Trestného zákona, trestný čin falšovania liekov a zdravotníckej pomôcky podľa § 170b Trestného zákona, trestný čin neposkytnutia pomoci podľa § 177 Trestného zákona, trestný čin krádeže podľa § 212 Trestného zákona, trestný čin sprenevery podľa § 213 Trestného zákona, trestný čin neoprávneného používania cudzieho motorového vozidla podľa § 217 Trestného zákona, trestný čin podvodu podľa § 221 Trestného zákona, trestný čin neoprávneného obohatenia podľa § 226 Trestného zákona, trestný čin legalizácie výnosu z trestnej činnosti podľa § 233a Trestného zákona, trestný čin porušovania povinnosti pri správe cudzieho majetku podľa § 237 a § 238 Trestného zákona, trestný čin poškodzovania veriteľa podľa § 239 Trestného zákona, trestný čin zvýhodňovania veriteľa podľa § 240 Trestného zákona, trestný čin marenia konkurzného alebo vyrovnacieho konania podľa § 243 Trestného zákona, trestný čin marenia exekučného konania podľa § 243a Trestného zákona, trestný čin neoprávneného prístupu do počítačového systému podľa § 247 Trestného zákona, trestný čin výroby a držby prístupového zariadenia, hesla do počítačového systému alebo iných údajov podľa § 247d Trestného zákona, trestný čin neoprávneného zamestnávania podľa § 251a Trestného zákona, trestný čin neoprávneného obchodovania s devízovými hodnotami a poskytovanie devízových služieb podľa § 252 Trestného zákona, trestný čin nepovolenej výroby liehu, tabaku a tabakových výrobkov podľa § 253 Trestného zákona, trestný čin porušovania predpisov o obehu tovaru v styku s cudzinou podľa § 254 Trestného zákona, trestný čin poškodzovania finančných záujmov Európskej únie podľa § 261 až 263 </w:t>
      </w:r>
      <w:r w:rsidRPr="0045070F">
        <w:rPr>
          <w:rFonts w:ascii="Times New Roman" w:hAnsi="Times New Roman" w:cs="Times New Roman"/>
          <w:sz w:val="24"/>
          <w:szCs w:val="24"/>
        </w:rPr>
        <w:lastRenderedPageBreak/>
        <w:t>Trestného zákona, trestný čin machinácií pri verejnom obstarávaní a verejnej dražbe podľa § 266 až 268 Trestného zákona, trestný čin uvádzania falšovaných, pozmenených a neoprávnene vyrobených peňazí a cenných papierov podľa § 271 Trestného zákona, trestný čin uvádzania falšovaných, pozmenených a neoprávnené vyrobených peňazí a cenných papierov podľa § 271 Trestného zákona, trestný čin marenia výkonu správy daní podľa § 278a Trestného zákona, trestný čin porušovania autorského práva podľa § 283 Trestného zákona, trestný čin neoprávneného uskutočňovania stavby podľa § 299a Trestného zákona, trestný čin neoprávneného nakladania s odpadmi podľa § 302 Trestného zákona, trestný čin porušovania ochrany rastlín a živočíchov podľa § 305 Trestného zákona, trestné činy verejných činiteľov podľa § 326 až 327a Trestného zákona alebo trestné činy korupcie podľa § 328 až 336b Trestného zákona, trestný čin prijatia a poskytnutia nenáležitej výhody podľa § 336d Trestného zákona, trestný čin marenia výkonu úradného rozhodnutia podľa § 348 Trestného zákona, trestný čin falšovania a vyhotovenia nepravdivej zdravotnej dokumentácie podľa § 352a Trestného zákona, trestný čin neoprávneného nakladania s osobnými údajmi podľa § 374 Trestného zákona</w:t>
      </w:r>
      <w:r>
        <w:rPr>
          <w:rFonts w:ascii="Times New Roman" w:hAnsi="Times New Roman" w:cs="Times New Roman"/>
          <w:color w:val="000000"/>
          <w:sz w:val="24"/>
          <w:szCs w:val="24"/>
        </w:rPr>
        <w:t>.</w:t>
      </w:r>
    </w:p>
    <w:p w14:paraId="1AB176B8" w14:textId="59C31B9E" w:rsidR="00330460" w:rsidRDefault="00330460" w:rsidP="0045070F">
      <w:pPr>
        <w:spacing w:after="0" w:line="240" w:lineRule="auto"/>
        <w:jc w:val="both"/>
        <w:rPr>
          <w:rFonts w:ascii="Times New Roman" w:hAnsi="Times New Roman" w:cs="Times New Roman"/>
          <w:sz w:val="24"/>
          <w:szCs w:val="24"/>
        </w:rPr>
      </w:pPr>
    </w:p>
    <w:p w14:paraId="7699FD00" w14:textId="4591D02E" w:rsidR="00330460" w:rsidRDefault="00330460" w:rsidP="00330460">
      <w:pPr>
        <w:spacing w:after="0" w:line="240" w:lineRule="auto"/>
        <w:jc w:val="both"/>
        <w:rPr>
          <w:rFonts w:ascii="Times New Roman" w:hAnsi="Times New Roman" w:cs="Times New Roman"/>
          <w:b/>
          <w:sz w:val="24"/>
          <w:szCs w:val="24"/>
        </w:rPr>
      </w:pPr>
      <w:r w:rsidRPr="00531615">
        <w:rPr>
          <w:rFonts w:ascii="Times New Roman" w:hAnsi="Times New Roman" w:cs="Times New Roman"/>
          <w:b/>
          <w:sz w:val="24"/>
          <w:szCs w:val="24"/>
        </w:rPr>
        <w:t xml:space="preserve">K bodu </w:t>
      </w:r>
      <w:r w:rsidR="004A08BE" w:rsidRPr="00745211">
        <w:rPr>
          <w:rFonts w:ascii="Times New Roman" w:hAnsi="Times New Roman" w:cs="Times New Roman"/>
          <w:b/>
          <w:sz w:val="24"/>
          <w:szCs w:val="24"/>
        </w:rPr>
        <w:t>9</w:t>
      </w:r>
    </w:p>
    <w:p w14:paraId="20A71606" w14:textId="191C1E21" w:rsidR="00330460" w:rsidRPr="00531615" w:rsidRDefault="00330460" w:rsidP="00330460">
      <w:pPr>
        <w:spacing w:after="0" w:line="240" w:lineRule="auto"/>
        <w:jc w:val="both"/>
        <w:rPr>
          <w:rFonts w:ascii="Times New Roman" w:hAnsi="Times New Roman" w:cs="Times New Roman"/>
          <w:b/>
          <w:i/>
          <w:sz w:val="24"/>
          <w:szCs w:val="24"/>
        </w:rPr>
      </w:pPr>
      <w:r w:rsidRPr="00531615">
        <w:rPr>
          <w:rFonts w:ascii="Times New Roman" w:hAnsi="Times New Roman" w:cs="Times New Roman"/>
          <w:b/>
          <w:i/>
          <w:sz w:val="24"/>
          <w:szCs w:val="24"/>
        </w:rPr>
        <w:t>(</w:t>
      </w:r>
      <w:r>
        <w:rPr>
          <w:rFonts w:ascii="Times New Roman" w:hAnsi="Times New Roman" w:cs="Times New Roman"/>
          <w:b/>
          <w:i/>
          <w:sz w:val="24"/>
          <w:szCs w:val="24"/>
        </w:rPr>
        <w:t>§ 2 písm. e))</w:t>
      </w:r>
    </w:p>
    <w:p w14:paraId="0F8E7EAB" w14:textId="754E00CA" w:rsidR="00C510C4" w:rsidRDefault="00C510C4" w:rsidP="009638E0">
      <w:pPr>
        <w:spacing w:after="0" w:line="240" w:lineRule="auto"/>
        <w:jc w:val="both"/>
        <w:rPr>
          <w:rFonts w:ascii="Times New Roman" w:hAnsi="Times New Roman" w:cs="Times New Roman"/>
          <w:sz w:val="24"/>
          <w:szCs w:val="24"/>
        </w:rPr>
      </w:pPr>
    </w:p>
    <w:p w14:paraId="4C813985" w14:textId="14CE1813" w:rsidR="00330460" w:rsidRDefault="00330460" w:rsidP="00963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Uvedenou zmenou pojmu sa spresňuje výpočet vzťahov, ktoré sa na účely tohto zákona považujú za pracovnoprávny vzťah. Pojem dohody o prácach vykonávaných mimo pracovného pomeru plne reflektuje zákonnú úpravu podľa § 223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Zákonníka práce.</w:t>
      </w:r>
    </w:p>
    <w:p w14:paraId="50F36CF5" w14:textId="61FE2227" w:rsidR="003066D2" w:rsidRPr="00ED47A3" w:rsidRDefault="003066D2" w:rsidP="009638E0">
      <w:pPr>
        <w:spacing w:after="0" w:line="240" w:lineRule="auto"/>
        <w:jc w:val="both"/>
        <w:rPr>
          <w:rFonts w:ascii="Times New Roman" w:hAnsi="Times New Roman" w:cs="Times New Roman"/>
          <w:sz w:val="24"/>
          <w:szCs w:val="24"/>
        </w:rPr>
      </w:pPr>
    </w:p>
    <w:p w14:paraId="3D8B2654" w14:textId="1A460F09" w:rsidR="00C510C4" w:rsidRPr="00ED47A3" w:rsidRDefault="00C510C4" w:rsidP="009638E0">
      <w:pPr>
        <w:spacing w:after="0" w:line="240" w:lineRule="auto"/>
        <w:jc w:val="both"/>
        <w:rPr>
          <w:rFonts w:ascii="Times New Roman" w:hAnsi="Times New Roman" w:cs="Times New Roman"/>
          <w:b/>
          <w:sz w:val="24"/>
          <w:szCs w:val="24"/>
        </w:rPr>
      </w:pPr>
      <w:r w:rsidRPr="00ED47A3">
        <w:rPr>
          <w:rFonts w:ascii="Times New Roman" w:hAnsi="Times New Roman" w:cs="Times New Roman"/>
          <w:b/>
          <w:sz w:val="24"/>
          <w:szCs w:val="24"/>
        </w:rPr>
        <w:t xml:space="preserve">K bodu </w:t>
      </w:r>
      <w:r w:rsidR="003066D2">
        <w:rPr>
          <w:rFonts w:ascii="Times New Roman" w:hAnsi="Times New Roman" w:cs="Times New Roman"/>
          <w:b/>
          <w:sz w:val="24"/>
          <w:szCs w:val="24"/>
        </w:rPr>
        <w:t>1</w:t>
      </w:r>
      <w:r w:rsidR="00836F48">
        <w:rPr>
          <w:rFonts w:ascii="Times New Roman" w:hAnsi="Times New Roman" w:cs="Times New Roman"/>
          <w:b/>
          <w:sz w:val="24"/>
          <w:szCs w:val="24"/>
        </w:rPr>
        <w:t>1</w:t>
      </w:r>
      <w:r w:rsidRPr="00ED47A3">
        <w:rPr>
          <w:rFonts w:ascii="Times New Roman" w:hAnsi="Times New Roman" w:cs="Times New Roman"/>
          <w:b/>
          <w:sz w:val="24"/>
          <w:szCs w:val="24"/>
        </w:rPr>
        <w:t xml:space="preserve"> a</w:t>
      </w:r>
      <w:r w:rsidR="00836F48">
        <w:rPr>
          <w:rFonts w:ascii="Times New Roman" w:hAnsi="Times New Roman" w:cs="Times New Roman"/>
          <w:b/>
          <w:sz w:val="24"/>
          <w:szCs w:val="24"/>
        </w:rPr>
        <w:t> </w:t>
      </w:r>
      <w:r w:rsidRPr="00ED47A3">
        <w:rPr>
          <w:rFonts w:ascii="Times New Roman" w:hAnsi="Times New Roman" w:cs="Times New Roman"/>
          <w:b/>
          <w:sz w:val="24"/>
          <w:szCs w:val="24"/>
        </w:rPr>
        <w:t>1</w:t>
      </w:r>
      <w:r w:rsidR="00836F48">
        <w:rPr>
          <w:rFonts w:ascii="Times New Roman" w:hAnsi="Times New Roman" w:cs="Times New Roman"/>
          <w:b/>
          <w:sz w:val="24"/>
          <w:szCs w:val="24"/>
        </w:rPr>
        <w:t>2</w:t>
      </w:r>
    </w:p>
    <w:p w14:paraId="73EDE429" w14:textId="0E2D8728" w:rsidR="00E42310" w:rsidRDefault="00C510C4" w:rsidP="009638E0">
      <w:pPr>
        <w:spacing w:after="0" w:line="240" w:lineRule="auto"/>
        <w:jc w:val="both"/>
        <w:rPr>
          <w:rFonts w:ascii="Times New Roman" w:hAnsi="Times New Roman" w:cs="Times New Roman"/>
          <w:b/>
          <w:i/>
          <w:sz w:val="24"/>
          <w:szCs w:val="24"/>
        </w:rPr>
      </w:pPr>
      <w:r w:rsidRPr="00ED47A3">
        <w:rPr>
          <w:rFonts w:ascii="Times New Roman" w:hAnsi="Times New Roman" w:cs="Times New Roman"/>
          <w:b/>
          <w:i/>
          <w:sz w:val="24"/>
          <w:szCs w:val="24"/>
        </w:rPr>
        <w:t>(§ 4 ods. 3 a § 6 ods. 3)</w:t>
      </w:r>
    </w:p>
    <w:p w14:paraId="03A6CCF9" w14:textId="77777777" w:rsidR="00A9183D" w:rsidRPr="00ED47A3" w:rsidRDefault="00A9183D" w:rsidP="009638E0">
      <w:pPr>
        <w:spacing w:after="0" w:line="240" w:lineRule="auto"/>
        <w:jc w:val="both"/>
        <w:rPr>
          <w:rFonts w:ascii="Times New Roman" w:hAnsi="Times New Roman" w:cs="Times New Roman"/>
          <w:sz w:val="24"/>
          <w:szCs w:val="24"/>
        </w:rPr>
      </w:pPr>
    </w:p>
    <w:p w14:paraId="25E3AA69" w14:textId="36738871" w:rsidR="00725DC0" w:rsidRDefault="001270BA" w:rsidP="00725B8B">
      <w:pPr>
        <w:spacing w:after="0" w:line="240" w:lineRule="auto"/>
        <w:ind w:firstLine="708"/>
        <w:jc w:val="both"/>
        <w:rPr>
          <w:rFonts w:ascii="Times New Roman" w:hAnsi="Times New Roman" w:cs="Times New Roman"/>
          <w:sz w:val="24"/>
          <w:szCs w:val="24"/>
        </w:rPr>
      </w:pPr>
      <w:r w:rsidRPr="00ED47A3">
        <w:rPr>
          <w:rFonts w:ascii="Times New Roman" w:hAnsi="Times New Roman" w:cs="Times New Roman"/>
          <w:sz w:val="24"/>
          <w:szCs w:val="24"/>
        </w:rPr>
        <w:t xml:space="preserve">V dotknutých ustanovenia sa </w:t>
      </w:r>
      <w:r w:rsidR="00725DC0" w:rsidRPr="00ED47A3">
        <w:rPr>
          <w:rFonts w:ascii="Times New Roman" w:hAnsi="Times New Roman" w:cs="Times New Roman"/>
          <w:sz w:val="24"/>
          <w:szCs w:val="24"/>
        </w:rPr>
        <w:t>rozširuje</w:t>
      </w:r>
      <w:r w:rsidR="0081311C">
        <w:rPr>
          <w:rFonts w:ascii="Times New Roman" w:hAnsi="Times New Roman" w:cs="Times New Roman"/>
          <w:sz w:val="24"/>
          <w:szCs w:val="24"/>
        </w:rPr>
        <w:t xml:space="preserve"> </w:t>
      </w:r>
      <w:r w:rsidR="00725DC0" w:rsidRPr="00ED47A3">
        <w:rPr>
          <w:rFonts w:ascii="Times New Roman" w:hAnsi="Times New Roman" w:cs="Times New Roman"/>
          <w:sz w:val="24"/>
          <w:szCs w:val="24"/>
        </w:rPr>
        <w:t>výpočet adresátov, ktorým prokuratúra alebo správny orgán doručuje oznámenie o nekvalifikovanom oznámení. Po novom bude toto oznámenie doručované i </w:t>
      </w:r>
      <w:r w:rsidR="00D35C2E" w:rsidRPr="00ED47A3">
        <w:rPr>
          <w:rFonts w:ascii="Times New Roman" w:hAnsi="Times New Roman" w:cs="Times New Roman"/>
          <w:sz w:val="24"/>
          <w:szCs w:val="24"/>
        </w:rPr>
        <w:t>úradu</w:t>
      </w:r>
      <w:r w:rsidR="00725DC0" w:rsidRPr="00ED47A3">
        <w:rPr>
          <w:rFonts w:ascii="Times New Roman" w:hAnsi="Times New Roman" w:cs="Times New Roman"/>
          <w:sz w:val="24"/>
          <w:szCs w:val="24"/>
        </w:rPr>
        <w:t xml:space="preserve">, nakoľko práve </w:t>
      </w:r>
      <w:r w:rsidR="00D35C2E" w:rsidRPr="00ED47A3">
        <w:rPr>
          <w:rFonts w:ascii="Times New Roman" w:hAnsi="Times New Roman" w:cs="Times New Roman"/>
          <w:sz w:val="24"/>
          <w:szCs w:val="24"/>
        </w:rPr>
        <w:t>úradu</w:t>
      </w:r>
      <w:r w:rsidR="00725DC0" w:rsidRPr="00ED47A3">
        <w:rPr>
          <w:rFonts w:ascii="Times New Roman" w:hAnsi="Times New Roman" w:cs="Times New Roman"/>
          <w:sz w:val="24"/>
          <w:szCs w:val="24"/>
        </w:rPr>
        <w:t xml:space="preserve"> zákon zveruje v mnohým smeroch komp</w:t>
      </w:r>
      <w:r w:rsidR="00D35C2E" w:rsidRPr="00ED47A3">
        <w:rPr>
          <w:rFonts w:ascii="Times New Roman" w:hAnsi="Times New Roman" w:cs="Times New Roman"/>
          <w:sz w:val="24"/>
          <w:szCs w:val="24"/>
        </w:rPr>
        <w:t>ete</w:t>
      </w:r>
      <w:r w:rsidR="00725DC0" w:rsidRPr="00ED47A3">
        <w:rPr>
          <w:rFonts w:ascii="Times New Roman" w:hAnsi="Times New Roman" w:cs="Times New Roman"/>
          <w:sz w:val="24"/>
          <w:szCs w:val="24"/>
        </w:rPr>
        <w:t xml:space="preserve">ncie </w:t>
      </w:r>
      <w:r w:rsidR="00D35C2E" w:rsidRPr="00ED47A3">
        <w:rPr>
          <w:rFonts w:ascii="Times New Roman" w:hAnsi="Times New Roman" w:cs="Times New Roman"/>
          <w:sz w:val="24"/>
          <w:szCs w:val="24"/>
        </w:rPr>
        <w:t xml:space="preserve">rozhodovať a fakticky i vykonávať </w:t>
      </w:r>
      <w:r w:rsidR="00725DC0" w:rsidRPr="00ED47A3">
        <w:rPr>
          <w:rFonts w:ascii="Times New Roman" w:hAnsi="Times New Roman" w:cs="Times New Roman"/>
          <w:sz w:val="24"/>
          <w:szCs w:val="24"/>
        </w:rPr>
        <w:t>samotnú ochranu oznamovateľov v praxi</w:t>
      </w:r>
      <w:r w:rsidR="00AF3D00" w:rsidRPr="00ED47A3">
        <w:rPr>
          <w:rFonts w:ascii="Times New Roman" w:hAnsi="Times New Roman" w:cs="Times New Roman"/>
          <w:sz w:val="24"/>
          <w:szCs w:val="24"/>
        </w:rPr>
        <w:t xml:space="preserve">, ako aj napomáhať pri ochrane oznamovateľov ich kvalifikovaným zastupovaním v jednotlivých trestných </w:t>
      </w:r>
      <w:r w:rsidR="00016190" w:rsidRPr="00ED47A3">
        <w:rPr>
          <w:rFonts w:ascii="Times New Roman" w:hAnsi="Times New Roman" w:cs="Times New Roman"/>
          <w:sz w:val="24"/>
          <w:szCs w:val="24"/>
        </w:rPr>
        <w:t xml:space="preserve">konaniach </w:t>
      </w:r>
      <w:r w:rsidR="00AF3D00" w:rsidRPr="00ED47A3">
        <w:rPr>
          <w:rFonts w:ascii="Times New Roman" w:hAnsi="Times New Roman" w:cs="Times New Roman"/>
          <w:sz w:val="24"/>
          <w:szCs w:val="24"/>
        </w:rPr>
        <w:t>a</w:t>
      </w:r>
      <w:r w:rsidR="00016190" w:rsidRPr="00ED47A3">
        <w:rPr>
          <w:rFonts w:ascii="Times New Roman" w:hAnsi="Times New Roman" w:cs="Times New Roman"/>
          <w:sz w:val="24"/>
          <w:szCs w:val="24"/>
        </w:rPr>
        <w:t> </w:t>
      </w:r>
      <w:r w:rsidR="00AF3D00" w:rsidRPr="00ED47A3">
        <w:rPr>
          <w:rFonts w:ascii="Times New Roman" w:hAnsi="Times New Roman" w:cs="Times New Roman"/>
          <w:sz w:val="24"/>
          <w:szCs w:val="24"/>
        </w:rPr>
        <w:t>konaniach</w:t>
      </w:r>
      <w:r w:rsidR="00016190" w:rsidRPr="00ED47A3">
        <w:rPr>
          <w:rFonts w:ascii="Times New Roman" w:hAnsi="Times New Roman" w:cs="Times New Roman"/>
          <w:sz w:val="24"/>
          <w:szCs w:val="24"/>
        </w:rPr>
        <w:t xml:space="preserve"> o správnom delikte</w:t>
      </w:r>
      <w:r w:rsidR="00AF3D00" w:rsidRPr="00ED47A3">
        <w:rPr>
          <w:rFonts w:ascii="Times New Roman" w:hAnsi="Times New Roman" w:cs="Times New Roman"/>
          <w:sz w:val="24"/>
          <w:szCs w:val="24"/>
        </w:rPr>
        <w:t>.</w:t>
      </w:r>
      <w:r w:rsidR="0081311C">
        <w:rPr>
          <w:rFonts w:ascii="Times New Roman" w:hAnsi="Times New Roman" w:cs="Times New Roman"/>
          <w:sz w:val="24"/>
          <w:szCs w:val="24"/>
        </w:rPr>
        <w:t xml:space="preserve"> </w:t>
      </w:r>
      <w:r w:rsidR="00AF3D00" w:rsidRPr="00ED47A3">
        <w:rPr>
          <w:rFonts w:ascii="Times New Roman" w:hAnsi="Times New Roman" w:cs="Times New Roman"/>
          <w:sz w:val="24"/>
          <w:szCs w:val="24"/>
        </w:rPr>
        <w:t>Z uvedených dôvodov je dôležité aby aj úrad mal vedomosť o posúdení jednotlivých oznámení ako nekvalifikovaných.</w:t>
      </w:r>
    </w:p>
    <w:p w14:paraId="017BB254" w14:textId="77777777" w:rsidR="00385BA8" w:rsidRPr="00ED47A3" w:rsidRDefault="00385BA8" w:rsidP="009638E0">
      <w:pPr>
        <w:spacing w:after="0" w:line="240" w:lineRule="auto"/>
        <w:jc w:val="both"/>
        <w:rPr>
          <w:rFonts w:ascii="Times New Roman" w:hAnsi="Times New Roman" w:cs="Times New Roman"/>
          <w:sz w:val="24"/>
          <w:szCs w:val="24"/>
        </w:rPr>
      </w:pPr>
    </w:p>
    <w:p w14:paraId="0174FD96" w14:textId="550FCCB4" w:rsidR="00256995" w:rsidRPr="00ED47A3" w:rsidRDefault="00385BA8" w:rsidP="009638E0">
      <w:pPr>
        <w:spacing w:after="0" w:line="240" w:lineRule="auto"/>
        <w:jc w:val="both"/>
        <w:rPr>
          <w:rFonts w:ascii="Times New Roman" w:hAnsi="Times New Roman" w:cs="Times New Roman"/>
          <w:b/>
          <w:sz w:val="24"/>
          <w:szCs w:val="24"/>
        </w:rPr>
      </w:pPr>
      <w:r w:rsidRPr="00ED47A3">
        <w:rPr>
          <w:rFonts w:ascii="Times New Roman" w:hAnsi="Times New Roman" w:cs="Times New Roman"/>
          <w:b/>
          <w:sz w:val="24"/>
          <w:szCs w:val="24"/>
        </w:rPr>
        <w:t>K bodu 1</w:t>
      </w:r>
      <w:r w:rsidR="00836F48">
        <w:rPr>
          <w:rFonts w:ascii="Times New Roman" w:hAnsi="Times New Roman" w:cs="Times New Roman"/>
          <w:b/>
          <w:sz w:val="24"/>
          <w:szCs w:val="24"/>
        </w:rPr>
        <w:t>3</w:t>
      </w:r>
    </w:p>
    <w:p w14:paraId="00311866" w14:textId="77777777" w:rsidR="00256995" w:rsidRPr="00ED47A3" w:rsidRDefault="00256995" w:rsidP="009638E0">
      <w:pPr>
        <w:spacing w:after="0" w:line="240" w:lineRule="auto"/>
        <w:jc w:val="both"/>
        <w:rPr>
          <w:rFonts w:ascii="Times New Roman" w:hAnsi="Times New Roman" w:cs="Times New Roman"/>
          <w:b/>
          <w:i/>
          <w:sz w:val="24"/>
          <w:szCs w:val="24"/>
        </w:rPr>
      </w:pPr>
      <w:r w:rsidRPr="00ED47A3">
        <w:rPr>
          <w:rFonts w:ascii="Times New Roman" w:hAnsi="Times New Roman" w:cs="Times New Roman"/>
          <w:b/>
          <w:i/>
          <w:sz w:val="24"/>
          <w:szCs w:val="24"/>
        </w:rPr>
        <w:t>(§ 9 ods. 2)</w:t>
      </w:r>
    </w:p>
    <w:p w14:paraId="7681A2CE" w14:textId="77777777" w:rsidR="00256995" w:rsidRPr="00ED47A3" w:rsidRDefault="00256995" w:rsidP="009638E0">
      <w:pPr>
        <w:spacing w:after="0" w:line="240" w:lineRule="auto"/>
        <w:jc w:val="both"/>
        <w:rPr>
          <w:rFonts w:ascii="Times New Roman" w:hAnsi="Times New Roman" w:cs="Times New Roman"/>
          <w:sz w:val="24"/>
          <w:szCs w:val="24"/>
        </w:rPr>
      </w:pPr>
    </w:p>
    <w:p w14:paraId="664FAEAB" w14:textId="5F55D206" w:rsidR="00256995" w:rsidRDefault="00256995" w:rsidP="00825A19">
      <w:pPr>
        <w:spacing w:after="0" w:line="240" w:lineRule="auto"/>
        <w:ind w:firstLine="708"/>
        <w:jc w:val="both"/>
        <w:rPr>
          <w:rFonts w:ascii="Times New Roman" w:hAnsi="Times New Roman" w:cs="Times New Roman"/>
          <w:sz w:val="24"/>
          <w:szCs w:val="24"/>
        </w:rPr>
      </w:pPr>
      <w:r w:rsidRPr="00ED47A3">
        <w:rPr>
          <w:rFonts w:ascii="Times New Roman" w:hAnsi="Times New Roman" w:cs="Times New Roman"/>
          <w:sz w:val="24"/>
          <w:szCs w:val="24"/>
        </w:rPr>
        <w:t xml:space="preserve">Uvedená zmena je legislatívno-technického charakteru. </w:t>
      </w:r>
    </w:p>
    <w:p w14:paraId="3C725B0C" w14:textId="77777777" w:rsidR="00BB2CAA" w:rsidRPr="00ED47A3" w:rsidRDefault="00BB2CAA" w:rsidP="00531615">
      <w:pPr>
        <w:spacing w:after="0" w:line="240" w:lineRule="auto"/>
        <w:jc w:val="both"/>
        <w:rPr>
          <w:rFonts w:ascii="Times New Roman" w:hAnsi="Times New Roman" w:cs="Times New Roman"/>
          <w:sz w:val="24"/>
          <w:szCs w:val="24"/>
        </w:rPr>
      </w:pPr>
    </w:p>
    <w:p w14:paraId="29E7ADDE" w14:textId="28B007E7" w:rsidR="00385BA8" w:rsidRPr="00ED47A3" w:rsidRDefault="00256995" w:rsidP="009638E0">
      <w:pPr>
        <w:spacing w:after="0" w:line="240" w:lineRule="auto"/>
        <w:jc w:val="both"/>
        <w:rPr>
          <w:rFonts w:ascii="Times New Roman" w:hAnsi="Times New Roman" w:cs="Times New Roman"/>
          <w:b/>
          <w:sz w:val="24"/>
          <w:szCs w:val="24"/>
        </w:rPr>
      </w:pPr>
      <w:r w:rsidRPr="00ED47A3">
        <w:rPr>
          <w:rFonts w:ascii="Times New Roman" w:hAnsi="Times New Roman" w:cs="Times New Roman"/>
          <w:b/>
          <w:sz w:val="24"/>
          <w:szCs w:val="24"/>
        </w:rPr>
        <w:t>K bodu</w:t>
      </w:r>
      <w:r w:rsidR="00765B22" w:rsidRPr="00ED47A3">
        <w:rPr>
          <w:rFonts w:ascii="Times New Roman" w:hAnsi="Times New Roman" w:cs="Times New Roman"/>
          <w:b/>
          <w:sz w:val="24"/>
          <w:szCs w:val="24"/>
        </w:rPr>
        <w:t xml:space="preserve"> 1</w:t>
      </w:r>
      <w:r w:rsidR="00836F48">
        <w:rPr>
          <w:rFonts w:ascii="Times New Roman" w:hAnsi="Times New Roman" w:cs="Times New Roman"/>
          <w:b/>
          <w:sz w:val="24"/>
          <w:szCs w:val="24"/>
        </w:rPr>
        <w:t>4</w:t>
      </w:r>
    </w:p>
    <w:p w14:paraId="3805D9F7" w14:textId="77777777" w:rsidR="00385BA8" w:rsidRPr="00ED47A3" w:rsidRDefault="00256995" w:rsidP="009638E0">
      <w:pPr>
        <w:spacing w:after="0" w:line="240" w:lineRule="auto"/>
        <w:jc w:val="both"/>
        <w:rPr>
          <w:rFonts w:ascii="Times New Roman" w:hAnsi="Times New Roman" w:cs="Times New Roman"/>
          <w:b/>
          <w:i/>
          <w:sz w:val="24"/>
          <w:szCs w:val="24"/>
        </w:rPr>
      </w:pPr>
      <w:r w:rsidRPr="00ED47A3">
        <w:rPr>
          <w:rFonts w:ascii="Times New Roman" w:hAnsi="Times New Roman" w:cs="Times New Roman"/>
          <w:b/>
          <w:i/>
          <w:sz w:val="24"/>
          <w:szCs w:val="24"/>
        </w:rPr>
        <w:t xml:space="preserve">(§ 9 ods. </w:t>
      </w:r>
      <w:r w:rsidR="00765B22" w:rsidRPr="00ED47A3">
        <w:rPr>
          <w:rFonts w:ascii="Times New Roman" w:hAnsi="Times New Roman" w:cs="Times New Roman"/>
          <w:b/>
          <w:i/>
          <w:sz w:val="24"/>
          <w:szCs w:val="24"/>
        </w:rPr>
        <w:t>3</w:t>
      </w:r>
      <w:r w:rsidR="00385BA8" w:rsidRPr="00ED47A3">
        <w:rPr>
          <w:rFonts w:ascii="Times New Roman" w:hAnsi="Times New Roman" w:cs="Times New Roman"/>
          <w:b/>
          <w:i/>
          <w:sz w:val="24"/>
          <w:szCs w:val="24"/>
        </w:rPr>
        <w:t>)</w:t>
      </w:r>
    </w:p>
    <w:p w14:paraId="5387BB09" w14:textId="77777777" w:rsidR="00256995" w:rsidRPr="00ED47A3" w:rsidRDefault="00256995" w:rsidP="009638E0">
      <w:pPr>
        <w:spacing w:after="0" w:line="240" w:lineRule="auto"/>
        <w:jc w:val="both"/>
        <w:rPr>
          <w:rFonts w:ascii="Times New Roman" w:hAnsi="Times New Roman" w:cs="Times New Roman"/>
          <w:sz w:val="24"/>
          <w:szCs w:val="24"/>
        </w:rPr>
      </w:pPr>
    </w:p>
    <w:p w14:paraId="191F2E1A" w14:textId="69E7D1E9" w:rsidR="00725DC0" w:rsidRPr="00ED47A3" w:rsidRDefault="00255EE3" w:rsidP="009638E0">
      <w:pPr>
        <w:spacing w:after="0" w:line="240" w:lineRule="auto"/>
        <w:jc w:val="both"/>
        <w:rPr>
          <w:rFonts w:ascii="Times New Roman" w:hAnsi="Times New Roman" w:cs="Times New Roman"/>
          <w:sz w:val="24"/>
          <w:szCs w:val="24"/>
        </w:rPr>
      </w:pPr>
      <w:r w:rsidRPr="00ED47A3">
        <w:rPr>
          <w:rFonts w:ascii="Times New Roman" w:hAnsi="Times New Roman" w:cs="Times New Roman"/>
          <w:sz w:val="24"/>
          <w:szCs w:val="24"/>
        </w:rPr>
        <w:tab/>
        <w:t>Uvedená zmena umožňuje oznamovateľovi podať žiadosť o poskytnutie odmeny aj v </w:t>
      </w:r>
      <w:r w:rsidR="008E4358" w:rsidRPr="00ED47A3">
        <w:rPr>
          <w:rFonts w:ascii="Times New Roman" w:hAnsi="Times New Roman" w:cs="Times New Roman"/>
          <w:sz w:val="24"/>
          <w:szCs w:val="24"/>
        </w:rPr>
        <w:t>prípade</w:t>
      </w:r>
      <w:r w:rsidRPr="00ED47A3">
        <w:rPr>
          <w:rFonts w:ascii="Times New Roman" w:hAnsi="Times New Roman" w:cs="Times New Roman"/>
          <w:sz w:val="24"/>
          <w:szCs w:val="24"/>
        </w:rPr>
        <w:t xml:space="preserve">, ak oznamovateľ nemal štatút chráneného oznamovateľa, ani nemal od prokuratúry či správneho orgánu potvrdenie, že jeho oznámenie je kvalifikované a zároveň </w:t>
      </w:r>
      <w:r w:rsidR="008E4358" w:rsidRPr="00ED47A3">
        <w:rPr>
          <w:rFonts w:ascii="Times New Roman" w:hAnsi="Times New Roman" w:cs="Times New Roman"/>
          <w:sz w:val="24"/>
          <w:szCs w:val="24"/>
        </w:rPr>
        <w:t>oznamovateľovi</w:t>
      </w:r>
      <w:r w:rsidRPr="00ED47A3">
        <w:rPr>
          <w:rFonts w:ascii="Times New Roman" w:hAnsi="Times New Roman" w:cs="Times New Roman"/>
          <w:sz w:val="24"/>
          <w:szCs w:val="24"/>
        </w:rPr>
        <w:t xml:space="preserve"> neboli doručované </w:t>
      </w:r>
      <w:r w:rsidR="008E4358" w:rsidRPr="00ED47A3">
        <w:rPr>
          <w:rFonts w:ascii="Times New Roman" w:hAnsi="Times New Roman" w:cs="Times New Roman"/>
          <w:sz w:val="24"/>
          <w:szCs w:val="24"/>
        </w:rPr>
        <w:t>rozhodnutia podľa §</w:t>
      </w:r>
      <w:r w:rsidR="00DE7D8A">
        <w:rPr>
          <w:rFonts w:ascii="Times New Roman" w:hAnsi="Times New Roman" w:cs="Times New Roman"/>
          <w:sz w:val="24"/>
          <w:szCs w:val="24"/>
        </w:rPr>
        <w:t xml:space="preserve"> </w:t>
      </w:r>
      <w:r w:rsidR="008E4358" w:rsidRPr="00ED47A3">
        <w:rPr>
          <w:rFonts w:ascii="Times New Roman" w:hAnsi="Times New Roman" w:cs="Times New Roman"/>
          <w:sz w:val="24"/>
          <w:szCs w:val="24"/>
        </w:rPr>
        <w:t xml:space="preserve">9 ods. 2 </w:t>
      </w:r>
      <w:r w:rsidR="00BF2594">
        <w:rPr>
          <w:rFonts w:ascii="Times New Roman" w:hAnsi="Times New Roman" w:cs="Times New Roman"/>
          <w:sz w:val="24"/>
          <w:szCs w:val="24"/>
        </w:rPr>
        <w:t xml:space="preserve">zákona </w:t>
      </w:r>
      <w:r w:rsidR="008E4358" w:rsidRPr="00ED47A3">
        <w:rPr>
          <w:rFonts w:ascii="Times New Roman" w:hAnsi="Times New Roman" w:cs="Times New Roman"/>
          <w:sz w:val="24"/>
          <w:szCs w:val="24"/>
        </w:rPr>
        <w:t>(podanie obžaloby, schválenie dohody o uznaní viny a prijatí trestu, schválenie zmieru a zastavenie trestného stíhania, podmienečné zastavenie trestného stíhania alebo nadobudnutie právoplatnosti rozhodnutia podľa §</w:t>
      </w:r>
      <w:r w:rsidR="00A50242">
        <w:rPr>
          <w:rFonts w:ascii="Times New Roman" w:hAnsi="Times New Roman" w:cs="Times New Roman"/>
          <w:sz w:val="24"/>
          <w:szCs w:val="24"/>
        </w:rPr>
        <w:t xml:space="preserve"> </w:t>
      </w:r>
      <w:r w:rsidR="008E4358" w:rsidRPr="00ED47A3">
        <w:rPr>
          <w:rFonts w:ascii="Times New Roman" w:hAnsi="Times New Roman" w:cs="Times New Roman"/>
          <w:sz w:val="24"/>
          <w:szCs w:val="24"/>
        </w:rPr>
        <w:t>9 odseku 1 písm. b)</w:t>
      </w:r>
      <w:r w:rsidR="00BB2CAA">
        <w:rPr>
          <w:rFonts w:ascii="Times New Roman" w:hAnsi="Times New Roman" w:cs="Times New Roman"/>
          <w:sz w:val="24"/>
          <w:szCs w:val="24"/>
        </w:rPr>
        <w:t>). Zároveň však naďalej platí, že odmena môže byť poskytnutá iba oznamovateľom, ktorí urobili kvalifikované oznámenie podľa §</w:t>
      </w:r>
      <w:r w:rsidR="00A50242">
        <w:rPr>
          <w:rFonts w:ascii="Times New Roman" w:hAnsi="Times New Roman" w:cs="Times New Roman"/>
          <w:sz w:val="24"/>
          <w:szCs w:val="24"/>
        </w:rPr>
        <w:t xml:space="preserve"> </w:t>
      </w:r>
      <w:r w:rsidR="00BB2CAA">
        <w:rPr>
          <w:rFonts w:ascii="Times New Roman" w:hAnsi="Times New Roman" w:cs="Times New Roman"/>
          <w:sz w:val="24"/>
          <w:szCs w:val="24"/>
        </w:rPr>
        <w:t>2 písm. c).</w:t>
      </w:r>
    </w:p>
    <w:p w14:paraId="5C384926" w14:textId="77777777" w:rsidR="00D35C2E" w:rsidRPr="00ED47A3" w:rsidRDefault="00D35C2E" w:rsidP="009638E0">
      <w:pPr>
        <w:spacing w:after="0" w:line="240" w:lineRule="auto"/>
        <w:jc w:val="both"/>
        <w:rPr>
          <w:rFonts w:ascii="Times New Roman" w:hAnsi="Times New Roman" w:cs="Times New Roman"/>
          <w:sz w:val="24"/>
          <w:szCs w:val="24"/>
        </w:rPr>
      </w:pPr>
    </w:p>
    <w:p w14:paraId="765B2F5C" w14:textId="1DFCC74F" w:rsidR="00725DC0" w:rsidRPr="00ED47A3" w:rsidRDefault="00725DC0" w:rsidP="009638E0">
      <w:pPr>
        <w:spacing w:after="0" w:line="240" w:lineRule="auto"/>
        <w:jc w:val="both"/>
        <w:rPr>
          <w:rFonts w:ascii="Times New Roman" w:hAnsi="Times New Roman" w:cs="Times New Roman"/>
          <w:b/>
          <w:sz w:val="24"/>
          <w:szCs w:val="24"/>
        </w:rPr>
      </w:pPr>
      <w:r w:rsidRPr="00ED47A3">
        <w:rPr>
          <w:rFonts w:ascii="Times New Roman" w:hAnsi="Times New Roman" w:cs="Times New Roman"/>
          <w:b/>
          <w:sz w:val="24"/>
          <w:szCs w:val="24"/>
        </w:rPr>
        <w:t>K bodu 1</w:t>
      </w:r>
      <w:r w:rsidR="00836F48">
        <w:rPr>
          <w:rFonts w:ascii="Times New Roman" w:hAnsi="Times New Roman" w:cs="Times New Roman"/>
          <w:b/>
          <w:sz w:val="24"/>
          <w:szCs w:val="24"/>
        </w:rPr>
        <w:t>5</w:t>
      </w:r>
    </w:p>
    <w:p w14:paraId="2334E697" w14:textId="77777777" w:rsidR="00725DC0" w:rsidRPr="00ED47A3" w:rsidRDefault="00385BA8" w:rsidP="009638E0">
      <w:pPr>
        <w:spacing w:after="0" w:line="240" w:lineRule="auto"/>
        <w:jc w:val="both"/>
        <w:rPr>
          <w:rFonts w:ascii="Times New Roman" w:hAnsi="Times New Roman" w:cs="Times New Roman"/>
          <w:b/>
          <w:i/>
          <w:sz w:val="24"/>
          <w:szCs w:val="24"/>
        </w:rPr>
      </w:pPr>
      <w:r w:rsidRPr="00ED47A3">
        <w:rPr>
          <w:rFonts w:ascii="Times New Roman" w:hAnsi="Times New Roman" w:cs="Times New Roman"/>
          <w:b/>
          <w:i/>
          <w:sz w:val="24"/>
          <w:szCs w:val="24"/>
        </w:rPr>
        <w:t>(§ 9 ods. 5)</w:t>
      </w:r>
    </w:p>
    <w:p w14:paraId="3F7F0699" w14:textId="77777777" w:rsidR="00765B22" w:rsidRPr="00ED47A3" w:rsidRDefault="00765B22" w:rsidP="009638E0">
      <w:pPr>
        <w:spacing w:after="0" w:line="240" w:lineRule="auto"/>
        <w:jc w:val="both"/>
        <w:rPr>
          <w:rFonts w:ascii="Times New Roman" w:hAnsi="Times New Roman" w:cs="Times New Roman"/>
          <w:sz w:val="24"/>
          <w:szCs w:val="24"/>
        </w:rPr>
      </w:pPr>
    </w:p>
    <w:p w14:paraId="072CE9F6" w14:textId="3F766350" w:rsidR="00765B22" w:rsidRDefault="0015651B" w:rsidP="00825A19">
      <w:pPr>
        <w:spacing w:after="0" w:line="240" w:lineRule="auto"/>
        <w:ind w:firstLine="708"/>
        <w:jc w:val="both"/>
        <w:rPr>
          <w:rFonts w:ascii="Times New Roman" w:hAnsi="Times New Roman" w:cs="Times New Roman"/>
          <w:sz w:val="24"/>
          <w:szCs w:val="24"/>
        </w:rPr>
      </w:pPr>
      <w:r w:rsidRPr="00ED47A3">
        <w:rPr>
          <w:rFonts w:ascii="Times New Roman" w:hAnsi="Times New Roman" w:cs="Times New Roman"/>
          <w:sz w:val="24"/>
          <w:szCs w:val="24"/>
        </w:rPr>
        <w:t>D</w:t>
      </w:r>
      <w:r w:rsidR="00765B22" w:rsidRPr="00ED47A3">
        <w:rPr>
          <w:rFonts w:ascii="Times New Roman" w:hAnsi="Times New Roman" w:cs="Times New Roman"/>
          <w:sz w:val="24"/>
          <w:szCs w:val="24"/>
        </w:rPr>
        <w:t xml:space="preserve">oplnenie ustanovenia § 9 ods. 5 </w:t>
      </w:r>
      <w:r w:rsidR="00BF2594">
        <w:rPr>
          <w:rFonts w:ascii="Times New Roman" w:hAnsi="Times New Roman" w:cs="Times New Roman"/>
          <w:sz w:val="24"/>
          <w:szCs w:val="24"/>
        </w:rPr>
        <w:t xml:space="preserve">zákona </w:t>
      </w:r>
      <w:r w:rsidRPr="00ED47A3">
        <w:rPr>
          <w:rFonts w:ascii="Times New Roman" w:hAnsi="Times New Roman" w:cs="Times New Roman"/>
          <w:sz w:val="24"/>
          <w:szCs w:val="24"/>
        </w:rPr>
        <w:t>sa navrhuje za účelom poskytnúť</w:t>
      </w:r>
      <w:r w:rsidR="00765B22" w:rsidRPr="00ED47A3">
        <w:rPr>
          <w:rFonts w:ascii="Times New Roman" w:hAnsi="Times New Roman" w:cs="Times New Roman"/>
          <w:sz w:val="24"/>
          <w:szCs w:val="24"/>
        </w:rPr>
        <w:t xml:space="preserve"> úrad</w:t>
      </w:r>
      <w:r w:rsidRPr="00ED47A3">
        <w:rPr>
          <w:rFonts w:ascii="Times New Roman" w:hAnsi="Times New Roman" w:cs="Times New Roman"/>
          <w:sz w:val="24"/>
          <w:szCs w:val="24"/>
        </w:rPr>
        <w:t>u širšie možnosti pri</w:t>
      </w:r>
      <w:r w:rsidR="00765B22" w:rsidRPr="00ED47A3">
        <w:rPr>
          <w:rFonts w:ascii="Times New Roman" w:hAnsi="Times New Roman" w:cs="Times New Roman"/>
          <w:sz w:val="24"/>
          <w:szCs w:val="24"/>
        </w:rPr>
        <w:t xml:space="preserve"> správnej úvahy</w:t>
      </w:r>
      <w:r w:rsidR="0081311C">
        <w:rPr>
          <w:rFonts w:ascii="Times New Roman" w:hAnsi="Times New Roman" w:cs="Times New Roman"/>
          <w:sz w:val="24"/>
          <w:szCs w:val="24"/>
        </w:rPr>
        <w:t xml:space="preserve"> </w:t>
      </w:r>
      <w:r w:rsidRPr="00ED47A3">
        <w:rPr>
          <w:rFonts w:ascii="Times New Roman" w:hAnsi="Times New Roman" w:cs="Times New Roman"/>
          <w:sz w:val="24"/>
          <w:szCs w:val="24"/>
        </w:rPr>
        <w:t>o</w:t>
      </w:r>
      <w:r w:rsidR="00765B22" w:rsidRPr="00ED47A3">
        <w:rPr>
          <w:rFonts w:ascii="Times New Roman" w:hAnsi="Times New Roman" w:cs="Times New Roman"/>
          <w:sz w:val="24"/>
          <w:szCs w:val="24"/>
        </w:rPr>
        <w:t xml:space="preserve"> posudzovaní výšky poskytnutej odmeny</w:t>
      </w:r>
      <w:r w:rsidR="00C0264B" w:rsidRPr="00ED47A3">
        <w:rPr>
          <w:rFonts w:ascii="Times New Roman" w:hAnsi="Times New Roman" w:cs="Times New Roman"/>
          <w:sz w:val="24"/>
          <w:szCs w:val="24"/>
        </w:rPr>
        <w:t xml:space="preserve">, nakoľko </w:t>
      </w:r>
      <w:r w:rsidRPr="00ED47A3">
        <w:rPr>
          <w:rFonts w:ascii="Times New Roman" w:hAnsi="Times New Roman" w:cs="Times New Roman"/>
          <w:sz w:val="24"/>
          <w:szCs w:val="24"/>
        </w:rPr>
        <w:t>uvedenou zmenou sa zákonom stanovené skutočnosti</w:t>
      </w:r>
      <w:r w:rsidR="00C0264B" w:rsidRPr="00ED47A3">
        <w:rPr>
          <w:rFonts w:ascii="Times New Roman" w:hAnsi="Times New Roman" w:cs="Times New Roman"/>
          <w:sz w:val="24"/>
          <w:szCs w:val="24"/>
        </w:rPr>
        <w:t>, ktoré úrad musí zohľadniť</w:t>
      </w:r>
      <w:r w:rsidRPr="00ED47A3">
        <w:rPr>
          <w:rFonts w:ascii="Times New Roman" w:hAnsi="Times New Roman" w:cs="Times New Roman"/>
          <w:sz w:val="24"/>
          <w:szCs w:val="24"/>
        </w:rPr>
        <w:t>, stávajú fakult</w:t>
      </w:r>
      <w:r w:rsidR="00C0264B" w:rsidRPr="00ED47A3">
        <w:rPr>
          <w:rFonts w:ascii="Times New Roman" w:hAnsi="Times New Roman" w:cs="Times New Roman"/>
          <w:sz w:val="24"/>
          <w:szCs w:val="24"/>
        </w:rPr>
        <w:t>atívnymi</w:t>
      </w:r>
      <w:r w:rsidRPr="00ED47A3">
        <w:rPr>
          <w:rFonts w:ascii="Times New Roman" w:hAnsi="Times New Roman" w:cs="Times New Roman"/>
          <w:sz w:val="24"/>
          <w:szCs w:val="24"/>
        </w:rPr>
        <w:t>, čo</w:t>
      </w:r>
      <w:r w:rsidR="0081311C">
        <w:rPr>
          <w:rFonts w:ascii="Times New Roman" w:hAnsi="Times New Roman" w:cs="Times New Roman"/>
          <w:sz w:val="24"/>
          <w:szCs w:val="24"/>
        </w:rPr>
        <w:t xml:space="preserve"> </w:t>
      </w:r>
      <w:r w:rsidR="00C0264B" w:rsidRPr="00ED47A3">
        <w:rPr>
          <w:rFonts w:ascii="Times New Roman" w:hAnsi="Times New Roman" w:cs="Times New Roman"/>
          <w:sz w:val="24"/>
          <w:szCs w:val="24"/>
        </w:rPr>
        <w:t>úradu poskytuje</w:t>
      </w:r>
      <w:r w:rsidR="0081311C">
        <w:rPr>
          <w:rFonts w:ascii="Times New Roman" w:hAnsi="Times New Roman" w:cs="Times New Roman"/>
          <w:sz w:val="24"/>
          <w:szCs w:val="24"/>
        </w:rPr>
        <w:t xml:space="preserve"> </w:t>
      </w:r>
      <w:r w:rsidRPr="00ED47A3">
        <w:rPr>
          <w:rFonts w:ascii="Times New Roman" w:hAnsi="Times New Roman" w:cs="Times New Roman"/>
          <w:sz w:val="24"/>
          <w:szCs w:val="24"/>
        </w:rPr>
        <w:t>dostatočný priestor</w:t>
      </w:r>
      <w:r w:rsidR="0081311C">
        <w:rPr>
          <w:rFonts w:ascii="Times New Roman" w:hAnsi="Times New Roman" w:cs="Times New Roman"/>
          <w:sz w:val="24"/>
          <w:szCs w:val="24"/>
        </w:rPr>
        <w:t xml:space="preserve"> </w:t>
      </w:r>
      <w:r w:rsidRPr="00ED47A3">
        <w:rPr>
          <w:rFonts w:ascii="Times New Roman" w:hAnsi="Times New Roman" w:cs="Times New Roman"/>
          <w:sz w:val="24"/>
          <w:szCs w:val="24"/>
        </w:rPr>
        <w:t>zohľadniť</w:t>
      </w:r>
      <w:r w:rsidR="00C0264B" w:rsidRPr="00ED47A3">
        <w:rPr>
          <w:rFonts w:ascii="Times New Roman" w:hAnsi="Times New Roman" w:cs="Times New Roman"/>
          <w:sz w:val="24"/>
          <w:szCs w:val="24"/>
        </w:rPr>
        <w:t xml:space="preserve"> i ďalšie prípadné individuálne okolnosti v</w:t>
      </w:r>
      <w:r w:rsidR="0081311C">
        <w:rPr>
          <w:rFonts w:ascii="Times New Roman" w:hAnsi="Times New Roman" w:cs="Times New Roman"/>
          <w:sz w:val="24"/>
          <w:szCs w:val="24"/>
        </w:rPr>
        <w:t> </w:t>
      </w:r>
      <w:r w:rsidR="00C0264B" w:rsidRPr="00ED47A3">
        <w:rPr>
          <w:rFonts w:ascii="Times New Roman" w:hAnsi="Times New Roman" w:cs="Times New Roman"/>
          <w:sz w:val="24"/>
          <w:szCs w:val="24"/>
        </w:rPr>
        <w:t>konk</w:t>
      </w:r>
      <w:r w:rsidRPr="00ED47A3">
        <w:rPr>
          <w:rFonts w:ascii="Times New Roman" w:hAnsi="Times New Roman" w:cs="Times New Roman"/>
          <w:sz w:val="24"/>
          <w:szCs w:val="24"/>
        </w:rPr>
        <w:t>rétnych</w:t>
      </w:r>
      <w:r w:rsidR="0081311C">
        <w:rPr>
          <w:rFonts w:ascii="Times New Roman" w:hAnsi="Times New Roman" w:cs="Times New Roman"/>
          <w:sz w:val="24"/>
          <w:szCs w:val="24"/>
        </w:rPr>
        <w:t xml:space="preserve"> </w:t>
      </w:r>
      <w:r w:rsidRPr="00ED47A3">
        <w:rPr>
          <w:rFonts w:ascii="Times New Roman" w:hAnsi="Times New Roman" w:cs="Times New Roman"/>
          <w:sz w:val="24"/>
          <w:szCs w:val="24"/>
        </w:rPr>
        <w:t>prípadov</w:t>
      </w:r>
      <w:r w:rsidR="00C0264B" w:rsidRPr="00ED47A3">
        <w:rPr>
          <w:rFonts w:ascii="Times New Roman" w:hAnsi="Times New Roman" w:cs="Times New Roman"/>
          <w:sz w:val="24"/>
          <w:szCs w:val="24"/>
        </w:rPr>
        <w:t xml:space="preserve">. </w:t>
      </w:r>
    </w:p>
    <w:p w14:paraId="5E13CE72" w14:textId="55FB4F23" w:rsidR="00405740" w:rsidRDefault="00405740" w:rsidP="00825A19">
      <w:pPr>
        <w:spacing w:after="0" w:line="240" w:lineRule="auto"/>
        <w:ind w:firstLine="708"/>
        <w:jc w:val="both"/>
        <w:rPr>
          <w:rFonts w:ascii="Times New Roman" w:hAnsi="Times New Roman" w:cs="Times New Roman"/>
          <w:sz w:val="24"/>
          <w:szCs w:val="24"/>
        </w:rPr>
      </w:pPr>
    </w:p>
    <w:p w14:paraId="2517DA18" w14:textId="2E798CB3" w:rsidR="00405740" w:rsidRPr="00531615" w:rsidRDefault="00836F48" w:rsidP="004057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16</w:t>
      </w:r>
    </w:p>
    <w:p w14:paraId="631D34B8" w14:textId="6D1F8050" w:rsidR="00405740" w:rsidRPr="00531615" w:rsidRDefault="00405740" w:rsidP="00405740">
      <w:pPr>
        <w:spacing w:after="0" w:line="240" w:lineRule="auto"/>
        <w:jc w:val="both"/>
        <w:rPr>
          <w:rFonts w:ascii="Times New Roman" w:hAnsi="Times New Roman" w:cs="Times New Roman"/>
          <w:b/>
          <w:i/>
          <w:sz w:val="24"/>
          <w:szCs w:val="24"/>
        </w:rPr>
      </w:pPr>
      <w:r w:rsidRPr="00531615">
        <w:rPr>
          <w:rFonts w:ascii="Times New Roman" w:hAnsi="Times New Roman" w:cs="Times New Roman"/>
          <w:b/>
          <w:i/>
          <w:sz w:val="24"/>
          <w:szCs w:val="24"/>
        </w:rPr>
        <w:t xml:space="preserve">(§ 9 ods. </w:t>
      </w:r>
      <w:r>
        <w:rPr>
          <w:rFonts w:ascii="Times New Roman" w:hAnsi="Times New Roman" w:cs="Times New Roman"/>
          <w:b/>
          <w:i/>
          <w:sz w:val="24"/>
          <w:szCs w:val="24"/>
        </w:rPr>
        <w:t>8</w:t>
      </w:r>
      <w:r w:rsidRPr="00531615">
        <w:rPr>
          <w:rFonts w:ascii="Times New Roman" w:hAnsi="Times New Roman" w:cs="Times New Roman"/>
          <w:b/>
          <w:i/>
          <w:sz w:val="24"/>
          <w:szCs w:val="24"/>
        </w:rPr>
        <w:t>)</w:t>
      </w:r>
    </w:p>
    <w:p w14:paraId="611835B1" w14:textId="3D39B694" w:rsidR="00725DC0" w:rsidRDefault="00725DC0" w:rsidP="009638E0">
      <w:pPr>
        <w:spacing w:after="0" w:line="240" w:lineRule="auto"/>
        <w:jc w:val="both"/>
        <w:rPr>
          <w:rFonts w:ascii="Times New Roman" w:hAnsi="Times New Roman" w:cs="Times New Roman"/>
          <w:sz w:val="24"/>
          <w:szCs w:val="24"/>
        </w:rPr>
      </w:pPr>
    </w:p>
    <w:p w14:paraId="6A1E0EE6" w14:textId="0B3B988D" w:rsidR="00405740" w:rsidRDefault="0079560E" w:rsidP="00963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Novým odsek 9</w:t>
      </w:r>
      <w:r w:rsidR="00405740">
        <w:rPr>
          <w:rFonts w:ascii="Times New Roman" w:hAnsi="Times New Roman" w:cs="Times New Roman"/>
          <w:sz w:val="24"/>
          <w:szCs w:val="24"/>
        </w:rPr>
        <w:t xml:space="preserve"> reflektuje rozšírenie uplatňovania ustanovení o odmene aj na oznamovateľov, ktorí sú v inom obdobnom vzťahu a splnia podmienky uvedené v ustanoveniach § 9.</w:t>
      </w:r>
    </w:p>
    <w:p w14:paraId="620D9218" w14:textId="77777777" w:rsidR="00405740" w:rsidRPr="00ED47A3" w:rsidRDefault="00405740" w:rsidP="009638E0">
      <w:pPr>
        <w:spacing w:after="0" w:line="240" w:lineRule="auto"/>
        <w:jc w:val="both"/>
        <w:rPr>
          <w:rFonts w:ascii="Times New Roman" w:hAnsi="Times New Roman" w:cs="Times New Roman"/>
          <w:sz w:val="24"/>
          <w:szCs w:val="24"/>
        </w:rPr>
      </w:pPr>
    </w:p>
    <w:p w14:paraId="78D0B165" w14:textId="106EB6F4" w:rsidR="00725DC0" w:rsidRPr="00ED47A3" w:rsidRDefault="00385BA8" w:rsidP="009638E0">
      <w:pPr>
        <w:spacing w:after="0" w:line="240" w:lineRule="auto"/>
        <w:jc w:val="both"/>
        <w:rPr>
          <w:rFonts w:ascii="Times New Roman" w:hAnsi="Times New Roman" w:cs="Times New Roman"/>
          <w:b/>
          <w:sz w:val="24"/>
          <w:szCs w:val="24"/>
        </w:rPr>
      </w:pPr>
      <w:r w:rsidRPr="00ED47A3">
        <w:rPr>
          <w:rFonts w:ascii="Times New Roman" w:hAnsi="Times New Roman" w:cs="Times New Roman"/>
          <w:b/>
          <w:sz w:val="24"/>
          <w:szCs w:val="24"/>
        </w:rPr>
        <w:t>K bodu 1</w:t>
      </w:r>
      <w:r w:rsidR="00836F48">
        <w:rPr>
          <w:rFonts w:ascii="Times New Roman" w:hAnsi="Times New Roman" w:cs="Times New Roman"/>
          <w:b/>
          <w:sz w:val="24"/>
          <w:szCs w:val="24"/>
        </w:rPr>
        <w:t>7 a 18</w:t>
      </w:r>
    </w:p>
    <w:p w14:paraId="793277AF" w14:textId="7CE7D66A" w:rsidR="00C0264B" w:rsidRDefault="00385BA8" w:rsidP="009638E0">
      <w:pPr>
        <w:spacing w:after="0" w:line="240" w:lineRule="auto"/>
        <w:jc w:val="both"/>
        <w:rPr>
          <w:rFonts w:ascii="Times New Roman" w:hAnsi="Times New Roman" w:cs="Times New Roman"/>
          <w:b/>
          <w:i/>
          <w:sz w:val="24"/>
          <w:szCs w:val="24"/>
        </w:rPr>
      </w:pPr>
      <w:r w:rsidRPr="00ED47A3">
        <w:rPr>
          <w:rFonts w:ascii="Times New Roman" w:hAnsi="Times New Roman" w:cs="Times New Roman"/>
          <w:b/>
          <w:i/>
          <w:sz w:val="24"/>
          <w:szCs w:val="24"/>
        </w:rPr>
        <w:t>(§ 10 ods. 1</w:t>
      </w:r>
      <w:r w:rsidR="00836F48">
        <w:rPr>
          <w:rFonts w:ascii="Times New Roman" w:hAnsi="Times New Roman" w:cs="Times New Roman"/>
          <w:b/>
          <w:i/>
          <w:sz w:val="24"/>
          <w:szCs w:val="24"/>
        </w:rPr>
        <w:t xml:space="preserve"> a 2</w:t>
      </w:r>
      <w:r w:rsidRPr="00ED47A3">
        <w:rPr>
          <w:rFonts w:ascii="Times New Roman" w:hAnsi="Times New Roman" w:cs="Times New Roman"/>
          <w:b/>
          <w:i/>
          <w:sz w:val="24"/>
          <w:szCs w:val="24"/>
        </w:rPr>
        <w:t>)</w:t>
      </w:r>
    </w:p>
    <w:p w14:paraId="2026687E" w14:textId="354B4374" w:rsidR="007E53BE" w:rsidRDefault="007E53BE" w:rsidP="009638E0">
      <w:pPr>
        <w:spacing w:after="0" w:line="240" w:lineRule="auto"/>
        <w:jc w:val="both"/>
        <w:rPr>
          <w:rFonts w:ascii="Times New Roman" w:hAnsi="Times New Roman" w:cs="Times New Roman"/>
          <w:sz w:val="24"/>
          <w:szCs w:val="24"/>
        </w:rPr>
      </w:pPr>
    </w:p>
    <w:p w14:paraId="52ED13D5" w14:textId="4FDDC15F" w:rsidR="00B50D29" w:rsidRDefault="00D45169" w:rsidP="00963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Navrhovaná úprava transponuje čl. 8 ods. 5 a 6</w:t>
      </w:r>
      <w:r w:rsidRPr="00D45169">
        <w:t xml:space="preserve"> </w:t>
      </w:r>
      <w:r w:rsidRPr="00D45169">
        <w:rPr>
          <w:rFonts w:ascii="Times New Roman" w:hAnsi="Times New Roman" w:cs="Times New Roman"/>
          <w:sz w:val="24"/>
          <w:szCs w:val="24"/>
        </w:rPr>
        <w:t>smernice (EÚ) 2019/1937 v platnom znení</w:t>
      </w:r>
      <w:r>
        <w:rPr>
          <w:rFonts w:ascii="Times New Roman" w:hAnsi="Times New Roman" w:cs="Times New Roman"/>
          <w:sz w:val="24"/>
          <w:szCs w:val="24"/>
        </w:rPr>
        <w:t>. Uvedeným sa čiastočne zužuje pôsobnosť zodpovedných osôb, ktoré vykonávajú svoju činnosť na základe zmluvy a pôsobia mimo organizácie zamestnávateľa (externé zodpovedné osoby). Podľa uvedeného znenia je možné ďalej delegovať niektoré úlohy zamestnávateľa na takéto externé zodpovedné osoby, a to v rozsahu prijímania a potvrdzovania oznámení. Zamestnávatelia, ktorí zamestnávajú menej ako 250 zamestnancov</w:t>
      </w:r>
      <w:r w:rsidR="005B628B">
        <w:rPr>
          <w:rFonts w:ascii="Times New Roman" w:hAnsi="Times New Roman" w:cs="Times New Roman"/>
          <w:sz w:val="24"/>
          <w:szCs w:val="24"/>
        </w:rPr>
        <w:t xml:space="preserve"> a nie sú orgánmi verejnej moci</w:t>
      </w:r>
      <w:r>
        <w:rPr>
          <w:rFonts w:ascii="Times New Roman" w:hAnsi="Times New Roman" w:cs="Times New Roman"/>
          <w:sz w:val="24"/>
          <w:szCs w:val="24"/>
        </w:rPr>
        <w:t xml:space="preserve"> môžu poveriť externé zodpovedné osoby aj preverovaním oznámení, avšak naďalej zamestnávateľovi zostáva povinnosť vykonávať preverovanie oznámení aj zodpovednou osobu v rámci jeho organizácie (internou zodpovednou osobou).</w:t>
      </w:r>
    </w:p>
    <w:p w14:paraId="4C07E7B2" w14:textId="4B8F08B5" w:rsidR="00D87132" w:rsidRDefault="00D87132" w:rsidP="009638E0">
      <w:pPr>
        <w:spacing w:after="0" w:line="240" w:lineRule="auto"/>
        <w:jc w:val="both"/>
        <w:rPr>
          <w:rFonts w:ascii="Times New Roman" w:hAnsi="Times New Roman" w:cs="Times New Roman"/>
          <w:sz w:val="24"/>
          <w:szCs w:val="24"/>
          <w:u w:val="single"/>
        </w:rPr>
      </w:pPr>
    </w:p>
    <w:p w14:paraId="494DF496" w14:textId="02433CE2" w:rsidR="00836F48" w:rsidRPr="00836F48" w:rsidRDefault="00836F48" w:rsidP="009638E0">
      <w:pPr>
        <w:spacing w:after="0" w:line="240" w:lineRule="auto"/>
        <w:jc w:val="both"/>
        <w:rPr>
          <w:rFonts w:ascii="Times New Roman" w:hAnsi="Times New Roman" w:cs="Times New Roman"/>
          <w:b/>
          <w:sz w:val="24"/>
          <w:szCs w:val="24"/>
        </w:rPr>
      </w:pPr>
      <w:r w:rsidRPr="00836F48">
        <w:rPr>
          <w:rFonts w:ascii="Times New Roman" w:hAnsi="Times New Roman" w:cs="Times New Roman"/>
          <w:b/>
          <w:sz w:val="24"/>
          <w:szCs w:val="24"/>
        </w:rPr>
        <w:t>K bodu 19 a 20</w:t>
      </w:r>
    </w:p>
    <w:p w14:paraId="09D0E104" w14:textId="4524E916" w:rsidR="00836F48" w:rsidRPr="00836F48" w:rsidRDefault="00836F48" w:rsidP="009638E0">
      <w:pPr>
        <w:spacing w:after="0" w:line="240" w:lineRule="auto"/>
        <w:jc w:val="both"/>
        <w:rPr>
          <w:rFonts w:ascii="Times New Roman" w:hAnsi="Times New Roman" w:cs="Times New Roman"/>
          <w:b/>
          <w:i/>
          <w:sz w:val="24"/>
          <w:szCs w:val="24"/>
        </w:rPr>
      </w:pPr>
      <w:r w:rsidRPr="00836F48">
        <w:rPr>
          <w:rFonts w:ascii="Times New Roman" w:hAnsi="Times New Roman" w:cs="Times New Roman"/>
          <w:b/>
          <w:i/>
          <w:sz w:val="24"/>
          <w:szCs w:val="24"/>
        </w:rPr>
        <w:t>(§ 10 ods. 3 a 4)</w:t>
      </w:r>
    </w:p>
    <w:p w14:paraId="17A8CA0B" w14:textId="797DDE54" w:rsidR="00836F48" w:rsidRDefault="00836F48" w:rsidP="009638E0">
      <w:pPr>
        <w:spacing w:after="0" w:line="240" w:lineRule="auto"/>
        <w:jc w:val="both"/>
        <w:rPr>
          <w:rFonts w:ascii="Times New Roman" w:hAnsi="Times New Roman" w:cs="Times New Roman"/>
          <w:sz w:val="24"/>
          <w:szCs w:val="24"/>
          <w:u w:val="single"/>
        </w:rPr>
      </w:pPr>
    </w:p>
    <w:p w14:paraId="3B6869CC" w14:textId="67D5977D" w:rsidR="00836F48" w:rsidRDefault="00836F48" w:rsidP="00836F48">
      <w:pPr>
        <w:spacing w:after="0" w:line="240" w:lineRule="auto"/>
        <w:ind w:firstLine="708"/>
        <w:jc w:val="both"/>
        <w:rPr>
          <w:rFonts w:ascii="Times New Roman" w:hAnsi="Times New Roman" w:cs="Times New Roman"/>
          <w:sz w:val="24"/>
          <w:szCs w:val="24"/>
        </w:rPr>
      </w:pPr>
      <w:r w:rsidRPr="00ED47A3">
        <w:rPr>
          <w:rFonts w:ascii="Times New Roman" w:hAnsi="Times New Roman" w:cs="Times New Roman"/>
          <w:sz w:val="24"/>
          <w:szCs w:val="24"/>
        </w:rPr>
        <w:t>Uvedená zmena je legislatívno-technického charakteru</w:t>
      </w:r>
      <w:r>
        <w:rPr>
          <w:rFonts w:ascii="Times New Roman" w:hAnsi="Times New Roman" w:cs="Times New Roman"/>
          <w:sz w:val="24"/>
          <w:szCs w:val="24"/>
        </w:rPr>
        <w:t xml:space="preserve"> v nadväznosti na bod 17 a 18 návrhu zákona</w:t>
      </w:r>
      <w:r w:rsidRPr="00ED47A3">
        <w:rPr>
          <w:rFonts w:ascii="Times New Roman" w:hAnsi="Times New Roman" w:cs="Times New Roman"/>
          <w:sz w:val="24"/>
          <w:szCs w:val="24"/>
        </w:rPr>
        <w:t xml:space="preserve">. </w:t>
      </w:r>
    </w:p>
    <w:p w14:paraId="627D62D5" w14:textId="77777777" w:rsidR="00836F48" w:rsidRDefault="00836F48" w:rsidP="009638E0">
      <w:pPr>
        <w:spacing w:after="0" w:line="240" w:lineRule="auto"/>
        <w:jc w:val="both"/>
        <w:rPr>
          <w:rFonts w:ascii="Times New Roman" w:hAnsi="Times New Roman" w:cs="Times New Roman"/>
          <w:sz w:val="24"/>
          <w:szCs w:val="24"/>
          <w:u w:val="single"/>
        </w:rPr>
      </w:pPr>
    </w:p>
    <w:p w14:paraId="0FECD23D" w14:textId="76285E01" w:rsidR="00C0264B" w:rsidRPr="007E53BE" w:rsidRDefault="00C0264B" w:rsidP="009638E0">
      <w:pPr>
        <w:spacing w:after="0" w:line="240" w:lineRule="auto"/>
        <w:jc w:val="both"/>
        <w:rPr>
          <w:rFonts w:ascii="Times New Roman" w:hAnsi="Times New Roman" w:cs="Times New Roman"/>
          <w:b/>
          <w:sz w:val="24"/>
          <w:szCs w:val="24"/>
        </w:rPr>
      </w:pPr>
      <w:r w:rsidRPr="007E53BE">
        <w:rPr>
          <w:rFonts w:ascii="Times New Roman" w:hAnsi="Times New Roman" w:cs="Times New Roman"/>
          <w:b/>
          <w:sz w:val="24"/>
          <w:szCs w:val="24"/>
        </w:rPr>
        <w:t xml:space="preserve">K bodu </w:t>
      </w:r>
      <w:r w:rsidR="00836F48">
        <w:rPr>
          <w:rFonts w:ascii="Times New Roman" w:hAnsi="Times New Roman" w:cs="Times New Roman"/>
          <w:b/>
          <w:sz w:val="24"/>
          <w:szCs w:val="24"/>
        </w:rPr>
        <w:t>21</w:t>
      </w:r>
    </w:p>
    <w:p w14:paraId="0B4A1979" w14:textId="7A5DEABD" w:rsidR="00C0264B" w:rsidRPr="007E53BE" w:rsidRDefault="00C0264B" w:rsidP="009638E0">
      <w:pPr>
        <w:spacing w:after="0" w:line="240" w:lineRule="auto"/>
        <w:jc w:val="both"/>
        <w:rPr>
          <w:rFonts w:ascii="Times New Roman" w:hAnsi="Times New Roman" w:cs="Times New Roman"/>
          <w:b/>
          <w:i/>
          <w:sz w:val="24"/>
          <w:szCs w:val="24"/>
        </w:rPr>
      </w:pPr>
      <w:r w:rsidRPr="007E53BE">
        <w:rPr>
          <w:rFonts w:ascii="Times New Roman" w:hAnsi="Times New Roman" w:cs="Times New Roman"/>
          <w:b/>
          <w:i/>
          <w:sz w:val="24"/>
          <w:szCs w:val="24"/>
        </w:rPr>
        <w:t>(</w:t>
      </w:r>
      <w:r w:rsidR="00836F48">
        <w:rPr>
          <w:rFonts w:ascii="Times New Roman" w:hAnsi="Times New Roman" w:cs="Times New Roman"/>
          <w:b/>
          <w:i/>
          <w:sz w:val="24"/>
          <w:szCs w:val="24"/>
        </w:rPr>
        <w:t>§ 10 ods. 5</w:t>
      </w:r>
      <w:r w:rsidRPr="007E53BE">
        <w:rPr>
          <w:rFonts w:ascii="Times New Roman" w:hAnsi="Times New Roman" w:cs="Times New Roman"/>
          <w:b/>
          <w:i/>
          <w:sz w:val="24"/>
          <w:szCs w:val="24"/>
        </w:rPr>
        <w:t>)</w:t>
      </w:r>
    </w:p>
    <w:p w14:paraId="34BFE9FC" w14:textId="77777777" w:rsidR="00F7071B" w:rsidRDefault="00F7071B" w:rsidP="009638E0">
      <w:pPr>
        <w:spacing w:after="0" w:line="240" w:lineRule="auto"/>
        <w:jc w:val="both"/>
        <w:rPr>
          <w:rFonts w:ascii="Times New Roman" w:hAnsi="Times New Roman" w:cs="Times New Roman"/>
          <w:sz w:val="24"/>
          <w:szCs w:val="24"/>
          <w:u w:val="single"/>
        </w:rPr>
      </w:pPr>
    </w:p>
    <w:p w14:paraId="418036C6" w14:textId="77777777" w:rsidR="00F905DD" w:rsidRDefault="00F905DD" w:rsidP="00F905D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Predkladateľ prostredníctvom navrhovaného ustanovenia precizuje a zosúlaďuje znenie zákona s úniovým právom.</w:t>
      </w:r>
      <w:r w:rsidR="0081311C">
        <w:rPr>
          <w:rFonts w:ascii="Times New Roman" w:hAnsi="Times New Roman" w:cs="Times New Roman"/>
          <w:sz w:val="24"/>
          <w:szCs w:val="24"/>
        </w:rPr>
        <w:t xml:space="preserve"> </w:t>
      </w:r>
      <w:r w:rsidR="000642D7">
        <w:rPr>
          <w:rFonts w:ascii="Times New Roman" w:hAnsi="Times New Roman" w:cs="Times New Roman"/>
          <w:sz w:val="24"/>
          <w:szCs w:val="24"/>
        </w:rPr>
        <w:t>Oznamovateľom bolo v aplikačnej praxi častokrát umožnené urobiť oznámenie len písomnou formou, a to aj napriek tomu, že zákon explicitne nestanovuje povinnú formu oznámenia.</w:t>
      </w:r>
      <w:r w:rsidR="0081311C">
        <w:rPr>
          <w:rFonts w:ascii="Times New Roman" w:hAnsi="Times New Roman" w:cs="Times New Roman"/>
          <w:sz w:val="24"/>
          <w:szCs w:val="24"/>
        </w:rPr>
        <w:t xml:space="preserve"> </w:t>
      </w:r>
      <w:r>
        <w:rPr>
          <w:rFonts w:ascii="Times New Roman" w:hAnsi="Times New Roman" w:cs="Times New Roman"/>
          <w:sz w:val="24"/>
          <w:szCs w:val="24"/>
        </w:rPr>
        <w:t xml:space="preserve">Navrhovaná zmena oprávňuje oznamovateľa v prípadoch, ak zamestnávateľ umožňuje ústne podávanie oznámení, požiadať o osobné stretnutie a týmto spôsobom </w:t>
      </w:r>
      <w:r w:rsidR="000642D7">
        <w:rPr>
          <w:rFonts w:ascii="Times New Roman" w:hAnsi="Times New Roman" w:cs="Times New Roman"/>
          <w:sz w:val="24"/>
          <w:szCs w:val="24"/>
        </w:rPr>
        <w:t>urobiť</w:t>
      </w:r>
      <w:r>
        <w:rPr>
          <w:rFonts w:ascii="Times New Roman" w:hAnsi="Times New Roman" w:cs="Times New Roman"/>
          <w:sz w:val="24"/>
          <w:szCs w:val="24"/>
        </w:rPr>
        <w:t xml:space="preserve"> oznámenie. </w:t>
      </w:r>
    </w:p>
    <w:p w14:paraId="6EC215AE" w14:textId="77777777" w:rsidR="00F905DD" w:rsidRDefault="00F905DD" w:rsidP="00F905DD">
      <w:pPr>
        <w:spacing w:after="0" w:line="240" w:lineRule="auto"/>
        <w:ind w:firstLine="708"/>
        <w:jc w:val="both"/>
        <w:rPr>
          <w:rFonts w:ascii="Times New Roman" w:hAnsi="Times New Roman" w:cs="Times New Roman"/>
          <w:sz w:val="24"/>
          <w:szCs w:val="24"/>
        </w:rPr>
      </w:pPr>
    </w:p>
    <w:p w14:paraId="26C6A68E" w14:textId="3913BEB1" w:rsidR="0072430B" w:rsidRDefault="00F905DD" w:rsidP="00F905D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Ďa</w:t>
      </w:r>
      <w:r w:rsidR="00176A81">
        <w:rPr>
          <w:rFonts w:ascii="Times New Roman" w:hAnsi="Times New Roman" w:cs="Times New Roman"/>
          <w:sz w:val="24"/>
          <w:szCs w:val="24"/>
        </w:rPr>
        <w:t>lšia zmena</w:t>
      </w:r>
      <w:r>
        <w:rPr>
          <w:rFonts w:ascii="Times New Roman" w:hAnsi="Times New Roman" w:cs="Times New Roman"/>
          <w:sz w:val="24"/>
          <w:szCs w:val="24"/>
        </w:rPr>
        <w:t xml:space="preserve"> predstavuje rozšírenie obsahu informácií, ktoré je zamestnávateľ povinný svojím zamestnancom </w:t>
      </w:r>
      <w:r w:rsidR="0072430B">
        <w:rPr>
          <w:rFonts w:ascii="Times New Roman" w:hAnsi="Times New Roman" w:cs="Times New Roman"/>
          <w:sz w:val="24"/>
          <w:szCs w:val="24"/>
        </w:rPr>
        <w:t>zverejniť</w:t>
      </w:r>
      <w:r w:rsidR="0081311C">
        <w:rPr>
          <w:rFonts w:ascii="Times New Roman" w:hAnsi="Times New Roman" w:cs="Times New Roman"/>
          <w:sz w:val="24"/>
          <w:szCs w:val="24"/>
        </w:rPr>
        <w:t xml:space="preserve"> </w:t>
      </w:r>
      <w:r w:rsidRPr="00F905DD">
        <w:rPr>
          <w:rFonts w:ascii="Times New Roman" w:hAnsi="Times New Roman" w:cs="Times New Roman"/>
          <w:sz w:val="24"/>
          <w:szCs w:val="24"/>
        </w:rPr>
        <w:t>v stručnej, zrozumiteľnej, jasne formulovanej a ľahko dostupnej forme</w:t>
      </w:r>
      <w:r w:rsidR="0072430B">
        <w:rPr>
          <w:rFonts w:ascii="Times New Roman" w:hAnsi="Times New Roman" w:cs="Times New Roman"/>
          <w:sz w:val="24"/>
          <w:szCs w:val="24"/>
        </w:rPr>
        <w:t>,</w:t>
      </w:r>
      <w:r w:rsidR="00176A81">
        <w:rPr>
          <w:rFonts w:ascii="Times New Roman" w:hAnsi="Times New Roman" w:cs="Times New Roman"/>
          <w:sz w:val="24"/>
          <w:szCs w:val="24"/>
        </w:rPr>
        <w:t xml:space="preserve"> a to o možnostiach urobenia oznámenia </w:t>
      </w:r>
      <w:r w:rsidR="00405740">
        <w:rPr>
          <w:rFonts w:ascii="Times New Roman" w:hAnsi="Times New Roman" w:cs="Times New Roman"/>
          <w:sz w:val="24"/>
          <w:szCs w:val="24"/>
        </w:rPr>
        <w:t>orgánom príslušným na prijatie oznámenia</w:t>
      </w:r>
      <w:r w:rsidR="00176A81">
        <w:rPr>
          <w:rFonts w:ascii="Times New Roman" w:hAnsi="Times New Roman" w:cs="Times New Roman"/>
          <w:sz w:val="24"/>
          <w:szCs w:val="24"/>
        </w:rPr>
        <w:t>, ktorými sú prokuratúra, správne org</w:t>
      </w:r>
      <w:r w:rsidR="0072430B">
        <w:rPr>
          <w:rFonts w:ascii="Times New Roman" w:hAnsi="Times New Roman" w:cs="Times New Roman"/>
          <w:sz w:val="24"/>
          <w:szCs w:val="24"/>
        </w:rPr>
        <w:t>ány a</w:t>
      </w:r>
      <w:r w:rsidR="00176A81">
        <w:rPr>
          <w:rFonts w:ascii="Times New Roman" w:hAnsi="Times New Roman" w:cs="Times New Roman"/>
          <w:sz w:val="24"/>
          <w:szCs w:val="24"/>
        </w:rPr>
        <w:t xml:space="preserve"> úrad. </w:t>
      </w:r>
      <w:r w:rsidR="00405740">
        <w:rPr>
          <w:rFonts w:ascii="Times New Roman" w:hAnsi="Times New Roman" w:cs="Times New Roman"/>
          <w:sz w:val="24"/>
          <w:szCs w:val="24"/>
        </w:rPr>
        <w:t xml:space="preserve">Zároveň obdobné platí aj na </w:t>
      </w:r>
      <w:r w:rsidR="00405740">
        <w:rPr>
          <w:rFonts w:ascii="Times New Roman" w:hAnsi="Times New Roman" w:cs="Times New Roman"/>
          <w:sz w:val="24"/>
          <w:szCs w:val="24"/>
        </w:rPr>
        <w:lastRenderedPageBreak/>
        <w:t xml:space="preserve">povinnosť informovať o možnostiach preventívnej ochrany podľa § 3 a § 5 a následnej ochrany podľa § 12. </w:t>
      </w:r>
      <w:r w:rsidR="0072430B">
        <w:rPr>
          <w:rFonts w:ascii="Times New Roman" w:hAnsi="Times New Roman" w:cs="Times New Roman"/>
          <w:sz w:val="24"/>
          <w:szCs w:val="24"/>
        </w:rPr>
        <w:t>Tieto informácie by mali byť v takom rozsahu aby oznamovate</w:t>
      </w:r>
      <w:r w:rsidR="009C3FBA">
        <w:rPr>
          <w:rFonts w:ascii="Times New Roman" w:hAnsi="Times New Roman" w:cs="Times New Roman"/>
          <w:sz w:val="24"/>
          <w:szCs w:val="24"/>
        </w:rPr>
        <w:t>ľovi boli</w:t>
      </w:r>
      <w:r w:rsidR="0072430B">
        <w:rPr>
          <w:rFonts w:ascii="Times New Roman" w:hAnsi="Times New Roman" w:cs="Times New Roman"/>
          <w:sz w:val="24"/>
          <w:szCs w:val="24"/>
        </w:rPr>
        <w:t xml:space="preserve"> zrejmé záko</w:t>
      </w:r>
      <w:r w:rsidR="009C3FBA">
        <w:rPr>
          <w:rFonts w:ascii="Times New Roman" w:hAnsi="Times New Roman" w:cs="Times New Roman"/>
          <w:sz w:val="24"/>
          <w:szCs w:val="24"/>
        </w:rPr>
        <w:t xml:space="preserve">nné možnosti urobenia oznámenia </w:t>
      </w:r>
      <w:r w:rsidR="00405740">
        <w:rPr>
          <w:rFonts w:ascii="Times New Roman" w:hAnsi="Times New Roman" w:cs="Times New Roman"/>
          <w:sz w:val="24"/>
          <w:szCs w:val="24"/>
        </w:rPr>
        <w:t>orgánom príslušným na prijatie oznámenia</w:t>
      </w:r>
      <w:r w:rsidR="009C3FBA">
        <w:rPr>
          <w:rFonts w:ascii="Times New Roman" w:hAnsi="Times New Roman" w:cs="Times New Roman"/>
          <w:sz w:val="24"/>
          <w:szCs w:val="24"/>
        </w:rPr>
        <w:t>, príp. aj poskytnutie kontaktných údajov na tieto inštitúcie podľa ich dostupnosti</w:t>
      </w:r>
      <w:r w:rsidR="00405740">
        <w:rPr>
          <w:rFonts w:ascii="Times New Roman" w:hAnsi="Times New Roman" w:cs="Times New Roman"/>
          <w:sz w:val="24"/>
          <w:szCs w:val="24"/>
        </w:rPr>
        <w:t xml:space="preserve"> a uvedení možností kam sa má oznamovateľ obrátiť so žiadosťou o poskytnutie ochrany, či možnosti pozastavenia účinnosti pracovnoprávneho úkonu</w:t>
      </w:r>
      <w:r w:rsidR="009C3FBA">
        <w:rPr>
          <w:rFonts w:ascii="Times New Roman" w:hAnsi="Times New Roman" w:cs="Times New Roman"/>
          <w:sz w:val="24"/>
          <w:szCs w:val="24"/>
        </w:rPr>
        <w:t>.</w:t>
      </w:r>
    </w:p>
    <w:p w14:paraId="2DF05042" w14:textId="77777777" w:rsidR="00C0264B" w:rsidRDefault="00C0264B" w:rsidP="009638E0">
      <w:pPr>
        <w:spacing w:after="0" w:line="240" w:lineRule="auto"/>
        <w:jc w:val="both"/>
        <w:rPr>
          <w:rFonts w:ascii="Times New Roman" w:hAnsi="Times New Roman" w:cs="Times New Roman"/>
          <w:sz w:val="24"/>
          <w:szCs w:val="24"/>
          <w:u w:val="single"/>
        </w:rPr>
      </w:pPr>
    </w:p>
    <w:p w14:paraId="7743B011" w14:textId="2BDA4BFE" w:rsidR="00C0264B" w:rsidRPr="00ED47A3" w:rsidRDefault="00C0264B" w:rsidP="009638E0">
      <w:pPr>
        <w:spacing w:after="0" w:line="240" w:lineRule="auto"/>
        <w:jc w:val="both"/>
        <w:rPr>
          <w:rFonts w:ascii="Times New Roman" w:hAnsi="Times New Roman" w:cs="Times New Roman"/>
          <w:b/>
          <w:sz w:val="24"/>
          <w:szCs w:val="24"/>
        </w:rPr>
      </w:pPr>
      <w:r w:rsidRPr="00ED47A3">
        <w:rPr>
          <w:rFonts w:ascii="Times New Roman" w:hAnsi="Times New Roman" w:cs="Times New Roman"/>
          <w:b/>
          <w:sz w:val="24"/>
          <w:szCs w:val="24"/>
        </w:rPr>
        <w:t xml:space="preserve">K bodu </w:t>
      </w:r>
      <w:r w:rsidR="002E22F6">
        <w:rPr>
          <w:rFonts w:ascii="Times New Roman" w:hAnsi="Times New Roman" w:cs="Times New Roman"/>
          <w:b/>
          <w:sz w:val="24"/>
          <w:szCs w:val="24"/>
        </w:rPr>
        <w:t>2</w:t>
      </w:r>
      <w:r w:rsidR="00181708">
        <w:rPr>
          <w:rFonts w:ascii="Times New Roman" w:hAnsi="Times New Roman" w:cs="Times New Roman"/>
          <w:b/>
          <w:sz w:val="24"/>
          <w:szCs w:val="24"/>
        </w:rPr>
        <w:t>2</w:t>
      </w:r>
    </w:p>
    <w:p w14:paraId="7AC66FF0" w14:textId="0A6F0C6E" w:rsidR="00C0264B" w:rsidRPr="00ED47A3" w:rsidRDefault="00C0264B" w:rsidP="009638E0">
      <w:pPr>
        <w:spacing w:after="0" w:line="240" w:lineRule="auto"/>
        <w:jc w:val="both"/>
        <w:rPr>
          <w:rFonts w:ascii="Times New Roman" w:hAnsi="Times New Roman" w:cs="Times New Roman"/>
          <w:b/>
          <w:i/>
          <w:sz w:val="24"/>
          <w:szCs w:val="24"/>
        </w:rPr>
      </w:pPr>
      <w:r w:rsidRPr="00ED47A3">
        <w:rPr>
          <w:rFonts w:ascii="Times New Roman" w:hAnsi="Times New Roman" w:cs="Times New Roman"/>
          <w:b/>
          <w:i/>
          <w:sz w:val="24"/>
          <w:szCs w:val="24"/>
        </w:rPr>
        <w:t>(</w:t>
      </w:r>
      <w:r w:rsidR="00181708">
        <w:rPr>
          <w:rFonts w:ascii="Times New Roman" w:hAnsi="Times New Roman" w:cs="Times New Roman"/>
          <w:b/>
          <w:i/>
          <w:sz w:val="24"/>
          <w:szCs w:val="24"/>
        </w:rPr>
        <w:t>§ 10 ods. 6</w:t>
      </w:r>
      <w:r w:rsidRPr="00ED47A3">
        <w:rPr>
          <w:rFonts w:ascii="Times New Roman" w:hAnsi="Times New Roman" w:cs="Times New Roman"/>
          <w:b/>
          <w:i/>
          <w:sz w:val="24"/>
          <w:szCs w:val="24"/>
        </w:rPr>
        <w:t>)</w:t>
      </w:r>
    </w:p>
    <w:p w14:paraId="29C13C74" w14:textId="77777777" w:rsidR="00C0264B" w:rsidRPr="00ED47A3" w:rsidRDefault="00C0264B" w:rsidP="009638E0">
      <w:pPr>
        <w:spacing w:after="0" w:line="240" w:lineRule="auto"/>
        <w:jc w:val="both"/>
        <w:rPr>
          <w:rFonts w:ascii="Times New Roman" w:hAnsi="Times New Roman" w:cs="Times New Roman"/>
          <w:sz w:val="24"/>
          <w:szCs w:val="24"/>
        </w:rPr>
      </w:pPr>
    </w:p>
    <w:p w14:paraId="75390820" w14:textId="0BD4C6AE" w:rsidR="00133F32" w:rsidRDefault="00133F32" w:rsidP="00825A19">
      <w:pPr>
        <w:spacing w:after="0" w:line="240" w:lineRule="auto"/>
        <w:ind w:firstLine="708"/>
        <w:jc w:val="both"/>
        <w:rPr>
          <w:rFonts w:ascii="Times New Roman" w:hAnsi="Times New Roman" w:cs="Times New Roman"/>
          <w:sz w:val="24"/>
          <w:szCs w:val="24"/>
        </w:rPr>
      </w:pPr>
      <w:r w:rsidRPr="00ED47A3">
        <w:rPr>
          <w:rFonts w:ascii="Times New Roman" w:hAnsi="Times New Roman" w:cs="Times New Roman"/>
          <w:sz w:val="24"/>
          <w:szCs w:val="24"/>
        </w:rPr>
        <w:t xml:space="preserve">Doplnenie dikcie ustanovenia § 10 ods. </w:t>
      </w:r>
      <w:r w:rsidR="00181708">
        <w:rPr>
          <w:rFonts w:ascii="Times New Roman" w:hAnsi="Times New Roman" w:cs="Times New Roman"/>
          <w:sz w:val="24"/>
          <w:szCs w:val="24"/>
        </w:rPr>
        <w:t>6</w:t>
      </w:r>
      <w:r w:rsidRPr="00ED47A3">
        <w:rPr>
          <w:rFonts w:ascii="Times New Roman" w:hAnsi="Times New Roman" w:cs="Times New Roman"/>
          <w:sz w:val="24"/>
          <w:szCs w:val="24"/>
        </w:rPr>
        <w:t xml:space="preserve"> </w:t>
      </w:r>
      <w:r w:rsidR="00C14312">
        <w:rPr>
          <w:rFonts w:ascii="Times New Roman" w:hAnsi="Times New Roman" w:cs="Times New Roman"/>
          <w:sz w:val="24"/>
          <w:szCs w:val="24"/>
        </w:rPr>
        <w:t xml:space="preserve">zákona </w:t>
      </w:r>
      <w:r w:rsidR="007E6C16" w:rsidRPr="00ED47A3">
        <w:rPr>
          <w:rFonts w:ascii="Times New Roman" w:hAnsi="Times New Roman" w:cs="Times New Roman"/>
          <w:sz w:val="24"/>
          <w:szCs w:val="24"/>
        </w:rPr>
        <w:t>o</w:t>
      </w:r>
      <w:r w:rsidR="009F410A" w:rsidRPr="00ED47A3">
        <w:rPr>
          <w:rFonts w:ascii="Times New Roman" w:hAnsi="Times New Roman" w:cs="Times New Roman"/>
          <w:sz w:val="24"/>
          <w:szCs w:val="24"/>
        </w:rPr>
        <w:t> nový záväzok</w:t>
      </w:r>
      <w:r w:rsidR="007E6C16" w:rsidRPr="00ED47A3">
        <w:rPr>
          <w:rFonts w:ascii="Times New Roman" w:hAnsi="Times New Roman" w:cs="Times New Roman"/>
          <w:sz w:val="24"/>
          <w:szCs w:val="24"/>
        </w:rPr>
        <w:t xml:space="preserve"> zamestnávateľa</w:t>
      </w:r>
      <w:r w:rsidR="00A01635">
        <w:rPr>
          <w:rFonts w:ascii="Times New Roman" w:hAnsi="Times New Roman" w:cs="Times New Roman"/>
          <w:sz w:val="24"/>
          <w:szCs w:val="24"/>
        </w:rPr>
        <w:t xml:space="preserve"> (prostredníctvom zodpovednej osoby)</w:t>
      </w:r>
      <w:r w:rsidR="007E6C16" w:rsidRPr="00ED47A3">
        <w:rPr>
          <w:rFonts w:ascii="Times New Roman" w:hAnsi="Times New Roman" w:cs="Times New Roman"/>
          <w:sz w:val="24"/>
          <w:szCs w:val="24"/>
        </w:rPr>
        <w:t xml:space="preserve"> </w:t>
      </w:r>
      <w:r w:rsidR="00405740">
        <w:rPr>
          <w:rFonts w:ascii="Times New Roman" w:hAnsi="Times New Roman" w:cs="Times New Roman"/>
          <w:sz w:val="24"/>
          <w:szCs w:val="24"/>
        </w:rPr>
        <w:t>do 7 dní od prijatia oznámenia</w:t>
      </w:r>
      <w:r w:rsidR="007E6C16" w:rsidRPr="00ED47A3">
        <w:rPr>
          <w:rFonts w:ascii="Times New Roman" w:hAnsi="Times New Roman" w:cs="Times New Roman"/>
          <w:sz w:val="24"/>
          <w:szCs w:val="24"/>
        </w:rPr>
        <w:t xml:space="preserve"> vydať </w:t>
      </w:r>
      <w:r w:rsidR="00B350D9" w:rsidRPr="00ED47A3">
        <w:rPr>
          <w:rFonts w:ascii="Times New Roman" w:hAnsi="Times New Roman" w:cs="Times New Roman"/>
          <w:sz w:val="24"/>
          <w:szCs w:val="24"/>
        </w:rPr>
        <w:t xml:space="preserve">oznamovateľovi </w:t>
      </w:r>
      <w:r w:rsidR="007E6C16" w:rsidRPr="00ED47A3">
        <w:rPr>
          <w:rFonts w:ascii="Times New Roman" w:hAnsi="Times New Roman" w:cs="Times New Roman"/>
          <w:sz w:val="24"/>
          <w:szCs w:val="24"/>
        </w:rPr>
        <w:t>potvrdenie o</w:t>
      </w:r>
      <w:r w:rsidR="00181708">
        <w:rPr>
          <w:rFonts w:ascii="Times New Roman" w:hAnsi="Times New Roman" w:cs="Times New Roman"/>
          <w:sz w:val="24"/>
          <w:szCs w:val="24"/>
        </w:rPr>
        <w:t xml:space="preserve"> jeho prijatí. </w:t>
      </w:r>
      <w:r w:rsidR="00B350D9" w:rsidRPr="00ED47A3">
        <w:rPr>
          <w:rFonts w:ascii="Times New Roman" w:hAnsi="Times New Roman" w:cs="Times New Roman"/>
          <w:sz w:val="24"/>
          <w:szCs w:val="24"/>
        </w:rPr>
        <w:t>Striktná povinnosť zamestnávateľa vydávať potvrdenie o prijatom oznámení nielenže neposkytne zamestnávateľom priestor pre prípadnú svojvôľu komu a prijatie akého oznámenia potvrdia, resp. nepotvrdia ale i posilňujú pozíciu oznamovateľa.</w:t>
      </w:r>
      <w:r w:rsidR="0081311C">
        <w:rPr>
          <w:rFonts w:ascii="Times New Roman" w:hAnsi="Times New Roman" w:cs="Times New Roman"/>
          <w:sz w:val="24"/>
          <w:szCs w:val="24"/>
        </w:rPr>
        <w:t xml:space="preserve"> </w:t>
      </w:r>
      <w:r w:rsidR="007E6C16" w:rsidRPr="00ED47A3">
        <w:rPr>
          <w:rFonts w:ascii="Times New Roman" w:hAnsi="Times New Roman" w:cs="Times New Roman"/>
          <w:sz w:val="24"/>
          <w:szCs w:val="24"/>
        </w:rPr>
        <w:t xml:space="preserve">Účelom novej povinnosti je umožniť oznamovateľovi kedykoľvek </w:t>
      </w:r>
      <w:r w:rsidR="00B350D9" w:rsidRPr="00ED47A3">
        <w:rPr>
          <w:rFonts w:ascii="Times New Roman" w:hAnsi="Times New Roman" w:cs="Times New Roman"/>
          <w:sz w:val="24"/>
          <w:szCs w:val="24"/>
        </w:rPr>
        <w:t xml:space="preserve">sa </w:t>
      </w:r>
      <w:r w:rsidR="007E6C16" w:rsidRPr="00ED47A3">
        <w:rPr>
          <w:rFonts w:ascii="Times New Roman" w:hAnsi="Times New Roman" w:cs="Times New Roman"/>
          <w:sz w:val="24"/>
          <w:szCs w:val="24"/>
        </w:rPr>
        <w:t>preukázať</w:t>
      </w:r>
      <w:r w:rsidR="00B350D9" w:rsidRPr="00ED47A3">
        <w:rPr>
          <w:rFonts w:ascii="Times New Roman" w:hAnsi="Times New Roman" w:cs="Times New Roman"/>
          <w:sz w:val="24"/>
          <w:szCs w:val="24"/>
        </w:rPr>
        <w:t xml:space="preserve"> o urobenom oznámení</w:t>
      </w:r>
      <w:r w:rsidR="00442F29" w:rsidRPr="00ED47A3">
        <w:rPr>
          <w:rFonts w:ascii="Times New Roman" w:hAnsi="Times New Roman" w:cs="Times New Roman"/>
          <w:sz w:val="24"/>
          <w:szCs w:val="24"/>
        </w:rPr>
        <w:t>,</w:t>
      </w:r>
      <w:r w:rsidR="007E6C16" w:rsidRPr="00ED47A3">
        <w:rPr>
          <w:rFonts w:ascii="Times New Roman" w:hAnsi="Times New Roman" w:cs="Times New Roman"/>
          <w:sz w:val="24"/>
          <w:szCs w:val="24"/>
        </w:rPr>
        <w:t xml:space="preserve"> a to nielen vo vzťahu k § 12 zákona. </w:t>
      </w:r>
      <w:r w:rsidR="009F410A" w:rsidRPr="00ED47A3">
        <w:rPr>
          <w:rFonts w:ascii="Times New Roman" w:hAnsi="Times New Roman" w:cs="Times New Roman"/>
          <w:sz w:val="24"/>
          <w:szCs w:val="24"/>
        </w:rPr>
        <w:t xml:space="preserve">Vydávanie potvrdení o prijatí oznámenia má zamestnávateľov </w:t>
      </w:r>
      <w:r w:rsidR="00B350D9" w:rsidRPr="00ED47A3">
        <w:rPr>
          <w:rFonts w:ascii="Times New Roman" w:hAnsi="Times New Roman" w:cs="Times New Roman"/>
          <w:sz w:val="24"/>
          <w:szCs w:val="24"/>
        </w:rPr>
        <w:t xml:space="preserve">aj </w:t>
      </w:r>
      <w:r w:rsidR="009F410A" w:rsidRPr="00ED47A3">
        <w:rPr>
          <w:rFonts w:ascii="Times New Roman" w:hAnsi="Times New Roman" w:cs="Times New Roman"/>
          <w:sz w:val="24"/>
          <w:szCs w:val="24"/>
        </w:rPr>
        <w:t xml:space="preserve">motivovať k tomu, aby k oznámeniam pristupovali </w:t>
      </w:r>
      <w:r w:rsidR="00B350D9" w:rsidRPr="00ED47A3">
        <w:rPr>
          <w:rFonts w:ascii="Times New Roman" w:hAnsi="Times New Roman" w:cs="Times New Roman"/>
          <w:sz w:val="24"/>
          <w:szCs w:val="24"/>
        </w:rPr>
        <w:t>význačne a profesionálne.</w:t>
      </w:r>
    </w:p>
    <w:p w14:paraId="7C6E1E22" w14:textId="1CFF9117" w:rsidR="00CA5CC9" w:rsidRDefault="00CA5CC9" w:rsidP="00825A19">
      <w:pPr>
        <w:spacing w:after="0" w:line="240" w:lineRule="auto"/>
        <w:ind w:firstLine="708"/>
        <w:jc w:val="both"/>
        <w:rPr>
          <w:rFonts w:ascii="Times New Roman" w:hAnsi="Times New Roman" w:cs="Times New Roman"/>
          <w:sz w:val="24"/>
          <w:szCs w:val="24"/>
        </w:rPr>
      </w:pPr>
    </w:p>
    <w:p w14:paraId="136DE50B" w14:textId="1FB698CA" w:rsidR="00CA5CC9" w:rsidRDefault="00CA5CC9" w:rsidP="00825A19">
      <w:pPr>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Uvedené platí aj vo vzťahu ku anonymným oznámeniam, avšak len k takým, ktorých potvrdenie je možné, t. j. napríklad odpoveďou na email. Nie je účelné vzťahovať takúto povinnosť aj napr. na anonymné listy či iné druhy anonymných podnetov bez uvedenia adresy na odpoveď.</w:t>
      </w:r>
      <w:r w:rsidR="00E167CB">
        <w:rPr>
          <w:rFonts w:ascii="Times New Roman" w:hAnsi="Times New Roman" w:cs="Times New Roman"/>
          <w:sz w:val="24"/>
          <w:szCs w:val="24"/>
        </w:rPr>
        <w:t xml:space="preserve"> Ďalej platí, že zamestnávateľ je povinný preverovať aj anonymné oznámenia, u ktorých sú naplnené </w:t>
      </w:r>
      <w:r w:rsidR="00E95E3C">
        <w:rPr>
          <w:rFonts w:ascii="Times New Roman" w:hAnsi="Times New Roman" w:cs="Times New Roman"/>
          <w:sz w:val="24"/>
          <w:szCs w:val="24"/>
        </w:rPr>
        <w:t>znaky</w:t>
      </w:r>
      <w:r w:rsidR="00E167CB">
        <w:rPr>
          <w:rFonts w:ascii="Times New Roman" w:hAnsi="Times New Roman" w:cs="Times New Roman"/>
          <w:sz w:val="24"/>
          <w:szCs w:val="24"/>
        </w:rPr>
        <w:t xml:space="preserve"> oznámenia podľa § 2 písm. b)</w:t>
      </w:r>
      <w:r w:rsidR="00E95E3C">
        <w:rPr>
          <w:rFonts w:ascii="Times New Roman" w:hAnsi="Times New Roman" w:cs="Times New Roman"/>
          <w:sz w:val="24"/>
          <w:szCs w:val="24"/>
        </w:rPr>
        <w:t xml:space="preserve">, okrem </w:t>
      </w:r>
      <w:r w:rsidR="001505EB">
        <w:rPr>
          <w:rFonts w:ascii="Times New Roman" w:hAnsi="Times New Roman" w:cs="Times New Roman"/>
          <w:sz w:val="24"/>
          <w:szCs w:val="24"/>
        </w:rPr>
        <w:t xml:space="preserve">splnenia </w:t>
      </w:r>
      <w:r w:rsidR="00E95E3C">
        <w:rPr>
          <w:rFonts w:ascii="Times New Roman" w:hAnsi="Times New Roman" w:cs="Times New Roman"/>
          <w:sz w:val="24"/>
          <w:szCs w:val="24"/>
        </w:rPr>
        <w:t>znaku samotného oznamovateľa, nakoľko pri anonymnom oznamovateľovi nie je možné jeho pracovnoprávny či iný obdobný vzťah preukázať.</w:t>
      </w:r>
      <w:r w:rsidR="001505EB">
        <w:rPr>
          <w:rFonts w:ascii="Times New Roman" w:hAnsi="Times New Roman" w:cs="Times New Roman"/>
          <w:sz w:val="24"/>
          <w:szCs w:val="24"/>
        </w:rPr>
        <w:t xml:space="preserve"> </w:t>
      </w:r>
    </w:p>
    <w:p w14:paraId="27F9B999" w14:textId="77777777" w:rsidR="00385BA8" w:rsidRPr="008617AD" w:rsidRDefault="00385BA8" w:rsidP="009638E0">
      <w:pPr>
        <w:spacing w:after="0" w:line="240" w:lineRule="auto"/>
        <w:jc w:val="both"/>
        <w:rPr>
          <w:rFonts w:ascii="Times New Roman" w:hAnsi="Times New Roman" w:cs="Times New Roman"/>
          <w:sz w:val="24"/>
          <w:szCs w:val="24"/>
          <w:u w:val="single"/>
        </w:rPr>
      </w:pPr>
    </w:p>
    <w:p w14:paraId="3251F3BB" w14:textId="0E254FC3" w:rsidR="00C0264B" w:rsidRDefault="009638E0" w:rsidP="009638E0">
      <w:pPr>
        <w:spacing w:after="0" w:line="240" w:lineRule="auto"/>
        <w:jc w:val="both"/>
        <w:rPr>
          <w:rFonts w:ascii="Times New Roman" w:hAnsi="Times New Roman" w:cs="Times New Roman"/>
          <w:b/>
          <w:bCs/>
          <w:sz w:val="24"/>
          <w:szCs w:val="24"/>
        </w:rPr>
      </w:pPr>
      <w:r w:rsidRPr="008617AD">
        <w:rPr>
          <w:rFonts w:ascii="Times New Roman" w:hAnsi="Times New Roman" w:cs="Times New Roman"/>
          <w:b/>
          <w:bCs/>
          <w:sz w:val="24"/>
          <w:szCs w:val="24"/>
        </w:rPr>
        <w:t xml:space="preserve">K bodu </w:t>
      </w:r>
      <w:r w:rsidR="002E22F6">
        <w:rPr>
          <w:rFonts w:ascii="Times New Roman" w:hAnsi="Times New Roman" w:cs="Times New Roman"/>
          <w:b/>
          <w:bCs/>
          <w:sz w:val="24"/>
          <w:szCs w:val="24"/>
        </w:rPr>
        <w:t>2</w:t>
      </w:r>
      <w:r w:rsidR="00181708">
        <w:rPr>
          <w:rFonts w:ascii="Times New Roman" w:hAnsi="Times New Roman" w:cs="Times New Roman"/>
          <w:b/>
          <w:bCs/>
          <w:sz w:val="24"/>
          <w:szCs w:val="24"/>
        </w:rPr>
        <w:t>3</w:t>
      </w:r>
    </w:p>
    <w:p w14:paraId="0D001BE9" w14:textId="2CD0D411" w:rsidR="005505CF" w:rsidRPr="00825A19" w:rsidRDefault="00CB6FB3" w:rsidP="009638E0">
      <w:pPr>
        <w:spacing w:after="0" w:line="240" w:lineRule="auto"/>
        <w:jc w:val="both"/>
        <w:rPr>
          <w:rFonts w:ascii="Times New Roman" w:hAnsi="Times New Roman" w:cs="Times New Roman"/>
          <w:b/>
          <w:bCs/>
          <w:i/>
          <w:sz w:val="24"/>
          <w:szCs w:val="24"/>
        </w:rPr>
      </w:pPr>
      <w:r w:rsidRPr="00825A19">
        <w:rPr>
          <w:rFonts w:ascii="Times New Roman" w:hAnsi="Times New Roman" w:cs="Times New Roman"/>
          <w:b/>
          <w:bCs/>
          <w:i/>
          <w:sz w:val="24"/>
          <w:szCs w:val="24"/>
        </w:rPr>
        <w:t xml:space="preserve">(§ 10 ods. </w:t>
      </w:r>
      <w:r w:rsidR="00181708">
        <w:rPr>
          <w:rFonts w:ascii="Times New Roman" w:hAnsi="Times New Roman" w:cs="Times New Roman"/>
          <w:b/>
          <w:bCs/>
          <w:i/>
          <w:sz w:val="24"/>
          <w:szCs w:val="24"/>
        </w:rPr>
        <w:t>7</w:t>
      </w:r>
      <w:r w:rsidRPr="00825A19">
        <w:rPr>
          <w:rFonts w:ascii="Times New Roman" w:hAnsi="Times New Roman" w:cs="Times New Roman"/>
          <w:b/>
          <w:bCs/>
          <w:i/>
          <w:sz w:val="24"/>
          <w:szCs w:val="24"/>
        </w:rPr>
        <w:t xml:space="preserve"> až </w:t>
      </w:r>
      <w:r w:rsidR="00181708">
        <w:rPr>
          <w:rFonts w:ascii="Times New Roman" w:hAnsi="Times New Roman" w:cs="Times New Roman"/>
          <w:b/>
          <w:bCs/>
          <w:i/>
          <w:sz w:val="24"/>
          <w:szCs w:val="24"/>
        </w:rPr>
        <w:t>8</w:t>
      </w:r>
      <w:r w:rsidR="00C0264B" w:rsidRPr="00825A19">
        <w:rPr>
          <w:rFonts w:ascii="Times New Roman" w:hAnsi="Times New Roman" w:cs="Times New Roman"/>
          <w:b/>
          <w:bCs/>
          <w:i/>
          <w:sz w:val="24"/>
          <w:szCs w:val="24"/>
        </w:rPr>
        <w:t>)</w:t>
      </w:r>
    </w:p>
    <w:p w14:paraId="583B7E5A" w14:textId="77777777" w:rsidR="009638E0" w:rsidRPr="0090742D" w:rsidRDefault="009638E0" w:rsidP="009638E0">
      <w:pPr>
        <w:spacing w:after="0" w:line="240" w:lineRule="auto"/>
        <w:jc w:val="both"/>
        <w:rPr>
          <w:rFonts w:ascii="Times New Roman" w:hAnsi="Times New Roman" w:cs="Times New Roman"/>
          <w:sz w:val="24"/>
          <w:szCs w:val="24"/>
        </w:rPr>
      </w:pPr>
    </w:p>
    <w:p w14:paraId="7D6B322F" w14:textId="03CDD294" w:rsidR="008F5ECA" w:rsidRDefault="00525111" w:rsidP="00FC4EAF">
      <w:pPr>
        <w:spacing w:after="0" w:line="240" w:lineRule="auto"/>
        <w:ind w:firstLine="708"/>
        <w:jc w:val="both"/>
        <w:rPr>
          <w:rFonts w:ascii="Times New Roman" w:hAnsi="Times New Roman" w:cs="Times New Roman"/>
          <w:sz w:val="24"/>
          <w:szCs w:val="24"/>
        </w:rPr>
      </w:pPr>
      <w:r w:rsidRPr="008617AD">
        <w:rPr>
          <w:rFonts w:ascii="Times New Roman" w:hAnsi="Times New Roman" w:cs="Times New Roman"/>
          <w:sz w:val="24"/>
          <w:szCs w:val="24"/>
        </w:rPr>
        <w:t xml:space="preserve">Navrhuje sa zaviesť povinnosť zachovávať mlčanlivosť o </w:t>
      </w:r>
      <w:r w:rsidR="004B75CC">
        <w:rPr>
          <w:rFonts w:ascii="Times New Roman" w:hAnsi="Times New Roman" w:cs="Times New Roman"/>
          <w:sz w:val="24"/>
          <w:szCs w:val="24"/>
        </w:rPr>
        <w:t>totožnosti dotknutej osoby</w:t>
      </w:r>
      <w:r w:rsidRPr="008617AD">
        <w:rPr>
          <w:rFonts w:ascii="Times New Roman" w:hAnsi="Times New Roman" w:cs="Times New Roman"/>
          <w:sz w:val="24"/>
          <w:szCs w:val="24"/>
        </w:rPr>
        <w:t>. Cieľom je predísť neoprávneným zásahom do osobnostných práv osôb</w:t>
      </w:r>
      <w:r w:rsidR="00BD4EFE">
        <w:rPr>
          <w:rFonts w:ascii="Times New Roman" w:hAnsi="Times New Roman" w:cs="Times New Roman"/>
          <w:sz w:val="24"/>
          <w:szCs w:val="24"/>
        </w:rPr>
        <w:t>,</w:t>
      </w:r>
      <w:r w:rsidRPr="008617AD">
        <w:rPr>
          <w:rFonts w:ascii="Times New Roman" w:hAnsi="Times New Roman" w:cs="Times New Roman"/>
          <w:sz w:val="24"/>
          <w:szCs w:val="24"/>
        </w:rPr>
        <w:t xml:space="preserve"> proti ktorým oznámenie smeruje</w:t>
      </w:r>
      <w:r w:rsidR="00BD4EFE">
        <w:rPr>
          <w:rFonts w:ascii="Times New Roman" w:hAnsi="Times New Roman" w:cs="Times New Roman"/>
          <w:sz w:val="24"/>
          <w:szCs w:val="24"/>
        </w:rPr>
        <w:t>,</w:t>
      </w:r>
      <w:r w:rsidRPr="008617AD">
        <w:rPr>
          <w:rFonts w:ascii="Times New Roman" w:hAnsi="Times New Roman" w:cs="Times New Roman"/>
          <w:sz w:val="24"/>
          <w:szCs w:val="24"/>
        </w:rPr>
        <w:t xml:space="preserve"> počas vykonávania preverovania oznámenia, pričom tieto práva podliehajú ochrane aj podľa iných zákonov (napr. § 11-16 </w:t>
      </w:r>
      <w:r w:rsidR="0097259C" w:rsidRPr="008617AD">
        <w:rPr>
          <w:rFonts w:ascii="Times New Roman" w:hAnsi="Times New Roman" w:cs="Times New Roman"/>
          <w:sz w:val="24"/>
          <w:szCs w:val="24"/>
        </w:rPr>
        <w:t>Občiansk</w:t>
      </w:r>
      <w:r w:rsidR="0097259C">
        <w:rPr>
          <w:rFonts w:ascii="Times New Roman" w:hAnsi="Times New Roman" w:cs="Times New Roman"/>
          <w:sz w:val="24"/>
          <w:szCs w:val="24"/>
        </w:rPr>
        <w:t xml:space="preserve">eho </w:t>
      </w:r>
      <w:r w:rsidRPr="008617AD">
        <w:rPr>
          <w:rFonts w:ascii="Times New Roman" w:hAnsi="Times New Roman" w:cs="Times New Roman"/>
          <w:sz w:val="24"/>
          <w:szCs w:val="24"/>
        </w:rPr>
        <w:t>zákonník</w:t>
      </w:r>
      <w:r w:rsidR="0097259C">
        <w:rPr>
          <w:rFonts w:ascii="Times New Roman" w:hAnsi="Times New Roman" w:cs="Times New Roman"/>
          <w:sz w:val="24"/>
          <w:szCs w:val="24"/>
        </w:rPr>
        <w:t>a</w:t>
      </w:r>
      <w:r w:rsidRPr="008617AD">
        <w:rPr>
          <w:rFonts w:ascii="Times New Roman" w:hAnsi="Times New Roman" w:cs="Times New Roman"/>
          <w:sz w:val="24"/>
          <w:szCs w:val="24"/>
        </w:rPr>
        <w:t>).</w:t>
      </w:r>
    </w:p>
    <w:p w14:paraId="14714012" w14:textId="77777777" w:rsidR="00B6460D" w:rsidRDefault="00B6460D" w:rsidP="00FC4EAF">
      <w:pPr>
        <w:spacing w:after="0" w:line="240" w:lineRule="auto"/>
        <w:ind w:firstLine="708"/>
        <w:jc w:val="both"/>
        <w:rPr>
          <w:rFonts w:ascii="Times New Roman" w:hAnsi="Times New Roman" w:cs="Times New Roman"/>
          <w:sz w:val="24"/>
          <w:szCs w:val="24"/>
        </w:rPr>
      </w:pPr>
    </w:p>
    <w:p w14:paraId="57B3A3EA" w14:textId="76F7980A" w:rsidR="00B6460D" w:rsidRDefault="00B6460D" w:rsidP="00FC4E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Navrhovaná úprava ďalej stanovuje povinnosť vopred informovať oznamovateľa o postúpení oznámenia na vybavenie podľa Trestného poriadku alebo osobitných predpisov. Ak by takýmto postupom mohlo byť zmarené ďalšie vyšetrovanie, z</w:t>
      </w:r>
      <w:r w:rsidR="00594542">
        <w:rPr>
          <w:rFonts w:ascii="Times New Roman" w:hAnsi="Times New Roman" w:cs="Times New Roman"/>
          <w:sz w:val="24"/>
          <w:szCs w:val="24"/>
        </w:rPr>
        <w:t>amestnávateľ alebo z</w:t>
      </w:r>
      <w:r>
        <w:rPr>
          <w:rFonts w:ascii="Times New Roman" w:hAnsi="Times New Roman" w:cs="Times New Roman"/>
          <w:sz w:val="24"/>
          <w:szCs w:val="24"/>
        </w:rPr>
        <w:t>odpovedná osoba</w:t>
      </w:r>
      <w:r w:rsidR="00594542">
        <w:rPr>
          <w:rFonts w:ascii="Times New Roman" w:hAnsi="Times New Roman" w:cs="Times New Roman"/>
          <w:sz w:val="24"/>
          <w:szCs w:val="24"/>
        </w:rPr>
        <w:t>, ktorá plní úlohy zamestnávateľa v zákonom vymedzení,</w:t>
      </w:r>
      <w:r>
        <w:rPr>
          <w:rFonts w:ascii="Times New Roman" w:hAnsi="Times New Roman" w:cs="Times New Roman"/>
          <w:sz w:val="24"/>
          <w:szCs w:val="24"/>
        </w:rPr>
        <w:t xml:space="preserve"> nie je povinná vopred informovať oznamovateľa.</w:t>
      </w:r>
      <w:r w:rsidR="00A14F75">
        <w:rPr>
          <w:rFonts w:ascii="Times New Roman" w:hAnsi="Times New Roman" w:cs="Times New Roman"/>
          <w:sz w:val="24"/>
          <w:szCs w:val="24"/>
        </w:rPr>
        <w:t xml:space="preserve"> Vyhodnotenie</w:t>
      </w:r>
      <w:r w:rsidR="00250723">
        <w:rPr>
          <w:rFonts w:ascii="Times New Roman" w:hAnsi="Times New Roman" w:cs="Times New Roman"/>
          <w:sz w:val="24"/>
          <w:szCs w:val="24"/>
        </w:rPr>
        <w:t xml:space="preserve"> </w:t>
      </w:r>
      <w:r w:rsidR="00A14F75">
        <w:rPr>
          <w:rFonts w:ascii="Times New Roman" w:hAnsi="Times New Roman" w:cs="Times New Roman"/>
          <w:sz w:val="24"/>
          <w:szCs w:val="24"/>
        </w:rPr>
        <w:t>takejto situácie a jej odôvodnenie je v kompetenci</w:t>
      </w:r>
      <w:r w:rsidR="002E22F6">
        <w:rPr>
          <w:rFonts w:ascii="Times New Roman" w:hAnsi="Times New Roman" w:cs="Times New Roman"/>
          <w:sz w:val="24"/>
          <w:szCs w:val="24"/>
        </w:rPr>
        <w:t>i</w:t>
      </w:r>
      <w:r w:rsidR="00A14F75">
        <w:rPr>
          <w:rFonts w:ascii="Times New Roman" w:hAnsi="Times New Roman" w:cs="Times New Roman"/>
          <w:sz w:val="24"/>
          <w:szCs w:val="24"/>
        </w:rPr>
        <w:t xml:space="preserve"> z</w:t>
      </w:r>
      <w:r w:rsidR="00594542">
        <w:rPr>
          <w:rFonts w:ascii="Times New Roman" w:hAnsi="Times New Roman" w:cs="Times New Roman"/>
          <w:sz w:val="24"/>
          <w:szCs w:val="24"/>
        </w:rPr>
        <w:t>amestnávateľa alebo z</w:t>
      </w:r>
      <w:r w:rsidR="00A14F75">
        <w:rPr>
          <w:rFonts w:ascii="Times New Roman" w:hAnsi="Times New Roman" w:cs="Times New Roman"/>
          <w:sz w:val="24"/>
          <w:szCs w:val="24"/>
        </w:rPr>
        <w:t>odpovednej osoby.</w:t>
      </w:r>
    </w:p>
    <w:p w14:paraId="695833A2" w14:textId="1366819E" w:rsidR="00594542" w:rsidRDefault="00594542" w:rsidP="00FC4EAF">
      <w:pPr>
        <w:spacing w:after="0" w:line="240" w:lineRule="auto"/>
        <w:ind w:firstLine="708"/>
        <w:jc w:val="both"/>
        <w:rPr>
          <w:rFonts w:ascii="Times New Roman" w:hAnsi="Times New Roman" w:cs="Times New Roman"/>
          <w:sz w:val="24"/>
          <w:szCs w:val="24"/>
        </w:rPr>
      </w:pPr>
    </w:p>
    <w:p w14:paraId="5E8741B2" w14:textId="12CB7BA8" w:rsidR="00594542" w:rsidRDefault="00594542" w:rsidP="00FC4E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Zavedenie povinnosti zamestnávateľa vyžiadať si výsledok vybavenia postúpeného oznámenia v zákonnom rozsahu a oboznámiť s ňou oznamovateľa vychádza z bodu 57 recitálu a zároveň predstavuje transpozíciu čl. 11 ods. 2 písm. e) smernice (EÚ) 2019/1937 v platnom znení. </w:t>
      </w:r>
    </w:p>
    <w:p w14:paraId="37C7A09B" w14:textId="65B92C76" w:rsidR="008827A6" w:rsidRDefault="008827A6" w:rsidP="00A3392F">
      <w:pPr>
        <w:spacing w:after="0" w:line="240" w:lineRule="auto"/>
        <w:jc w:val="both"/>
        <w:rPr>
          <w:rFonts w:ascii="Times New Roman" w:hAnsi="Times New Roman" w:cs="Times New Roman"/>
          <w:sz w:val="24"/>
          <w:szCs w:val="24"/>
        </w:rPr>
      </w:pPr>
    </w:p>
    <w:p w14:paraId="0BEB93D8" w14:textId="77234E0A" w:rsidR="007C20CD" w:rsidRPr="00531615" w:rsidRDefault="00181708" w:rsidP="00A339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24</w:t>
      </w:r>
    </w:p>
    <w:p w14:paraId="668A3A84" w14:textId="59CFE1E8" w:rsidR="007C20CD" w:rsidRPr="00531615" w:rsidRDefault="00181708" w:rsidP="00A3392F">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10 ods. 9</w:t>
      </w:r>
      <w:r w:rsidR="007C20CD" w:rsidRPr="00531615">
        <w:rPr>
          <w:rFonts w:ascii="Times New Roman" w:hAnsi="Times New Roman" w:cs="Times New Roman"/>
          <w:b/>
          <w:i/>
          <w:sz w:val="24"/>
          <w:szCs w:val="24"/>
        </w:rPr>
        <w:t xml:space="preserve"> písm. c))</w:t>
      </w:r>
    </w:p>
    <w:p w14:paraId="43092180" w14:textId="0C3E2CAE" w:rsidR="007C20CD" w:rsidRDefault="007C20CD" w:rsidP="00A3392F">
      <w:pPr>
        <w:spacing w:after="0" w:line="240" w:lineRule="auto"/>
        <w:jc w:val="both"/>
        <w:rPr>
          <w:rFonts w:ascii="Times New Roman" w:hAnsi="Times New Roman" w:cs="Times New Roman"/>
          <w:sz w:val="24"/>
          <w:szCs w:val="24"/>
        </w:rPr>
      </w:pPr>
    </w:p>
    <w:p w14:paraId="4844C409" w14:textId="52A4E985" w:rsidR="007C20CD" w:rsidRDefault="007C20CD" w:rsidP="00A339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Uvedené doplnenie povinných informácií, ktoré má obsahovať vnútorný predpis zamestnávateľa reflektuje na zavedenie povinnosti zachovávať mlčanlivosť o totožnosti dotknutej osoby.</w:t>
      </w:r>
    </w:p>
    <w:p w14:paraId="6DE8C0D0" w14:textId="77777777" w:rsidR="007C20CD" w:rsidRDefault="007C20CD" w:rsidP="00A3392F">
      <w:pPr>
        <w:spacing w:after="0" w:line="240" w:lineRule="auto"/>
        <w:jc w:val="both"/>
        <w:rPr>
          <w:rFonts w:ascii="Times New Roman" w:hAnsi="Times New Roman" w:cs="Times New Roman"/>
          <w:sz w:val="24"/>
          <w:szCs w:val="24"/>
        </w:rPr>
      </w:pPr>
    </w:p>
    <w:p w14:paraId="6A7243AE" w14:textId="1BD46125" w:rsidR="00594542" w:rsidRPr="00594542" w:rsidRDefault="00594542" w:rsidP="00594542">
      <w:pPr>
        <w:spacing w:after="0" w:line="240" w:lineRule="auto"/>
        <w:jc w:val="both"/>
        <w:rPr>
          <w:rFonts w:ascii="Times New Roman" w:hAnsi="Times New Roman" w:cs="Times New Roman"/>
          <w:b/>
          <w:sz w:val="24"/>
          <w:szCs w:val="24"/>
        </w:rPr>
      </w:pPr>
      <w:r w:rsidRPr="00594542">
        <w:rPr>
          <w:rFonts w:ascii="Times New Roman" w:hAnsi="Times New Roman" w:cs="Times New Roman"/>
          <w:b/>
          <w:sz w:val="24"/>
          <w:szCs w:val="24"/>
        </w:rPr>
        <w:t>K bodu 2</w:t>
      </w:r>
      <w:r w:rsidR="00181708">
        <w:rPr>
          <w:rFonts w:ascii="Times New Roman" w:hAnsi="Times New Roman" w:cs="Times New Roman"/>
          <w:b/>
          <w:sz w:val="24"/>
          <w:szCs w:val="24"/>
        </w:rPr>
        <w:t>5</w:t>
      </w:r>
      <w:r w:rsidR="00715E3E">
        <w:rPr>
          <w:rFonts w:ascii="Times New Roman" w:hAnsi="Times New Roman" w:cs="Times New Roman"/>
          <w:b/>
          <w:sz w:val="24"/>
          <w:szCs w:val="24"/>
        </w:rPr>
        <w:t xml:space="preserve"> a 2</w:t>
      </w:r>
      <w:r w:rsidR="00181708">
        <w:rPr>
          <w:rFonts w:ascii="Times New Roman" w:hAnsi="Times New Roman" w:cs="Times New Roman"/>
          <w:b/>
          <w:sz w:val="24"/>
          <w:szCs w:val="24"/>
        </w:rPr>
        <w:t>6</w:t>
      </w:r>
    </w:p>
    <w:p w14:paraId="1113612E" w14:textId="5F26392D" w:rsidR="00594542" w:rsidRPr="00594542" w:rsidRDefault="00594542" w:rsidP="00594542">
      <w:pPr>
        <w:spacing w:after="0" w:line="240" w:lineRule="auto"/>
        <w:jc w:val="both"/>
        <w:rPr>
          <w:rFonts w:ascii="Times New Roman" w:hAnsi="Times New Roman" w:cs="Times New Roman"/>
          <w:b/>
          <w:i/>
          <w:sz w:val="24"/>
          <w:szCs w:val="24"/>
        </w:rPr>
      </w:pPr>
      <w:r w:rsidRPr="00594542">
        <w:rPr>
          <w:rFonts w:ascii="Times New Roman" w:hAnsi="Times New Roman" w:cs="Times New Roman"/>
          <w:b/>
          <w:i/>
          <w:sz w:val="24"/>
          <w:szCs w:val="24"/>
        </w:rPr>
        <w:t>(</w:t>
      </w:r>
      <w:r w:rsidR="00181708">
        <w:rPr>
          <w:rFonts w:ascii="Times New Roman" w:hAnsi="Times New Roman" w:cs="Times New Roman"/>
          <w:b/>
          <w:i/>
          <w:sz w:val="24"/>
          <w:szCs w:val="24"/>
        </w:rPr>
        <w:t>§ 10 ods. 9</w:t>
      </w:r>
      <w:r>
        <w:rPr>
          <w:rFonts w:ascii="Times New Roman" w:hAnsi="Times New Roman" w:cs="Times New Roman"/>
          <w:b/>
          <w:i/>
          <w:sz w:val="24"/>
          <w:szCs w:val="24"/>
        </w:rPr>
        <w:t xml:space="preserve"> písm. g) až h</w:t>
      </w:r>
      <w:r w:rsidR="00181708">
        <w:rPr>
          <w:rFonts w:ascii="Times New Roman" w:hAnsi="Times New Roman" w:cs="Times New Roman"/>
          <w:b/>
          <w:i/>
          <w:sz w:val="24"/>
          <w:szCs w:val="24"/>
        </w:rPr>
        <w:t>), § 10 ods. 10</w:t>
      </w:r>
      <w:r w:rsidRPr="00594542">
        <w:rPr>
          <w:rFonts w:ascii="Times New Roman" w:hAnsi="Times New Roman" w:cs="Times New Roman"/>
          <w:b/>
          <w:i/>
          <w:sz w:val="24"/>
          <w:szCs w:val="24"/>
        </w:rPr>
        <w:t>)</w:t>
      </w:r>
    </w:p>
    <w:p w14:paraId="53DD25B4" w14:textId="220DA9D0" w:rsidR="00594542" w:rsidRDefault="00594542" w:rsidP="008617AD">
      <w:pPr>
        <w:spacing w:after="0" w:line="240" w:lineRule="auto"/>
        <w:ind w:firstLine="708"/>
        <w:jc w:val="both"/>
        <w:rPr>
          <w:rFonts w:ascii="Times New Roman" w:hAnsi="Times New Roman" w:cs="Times New Roman"/>
          <w:sz w:val="24"/>
          <w:szCs w:val="24"/>
        </w:rPr>
      </w:pPr>
    </w:p>
    <w:p w14:paraId="01384CA9" w14:textId="26745D0F" w:rsidR="00594542" w:rsidRDefault="00896F60" w:rsidP="008617A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Navrhovaná právna úprava </w:t>
      </w:r>
      <w:r w:rsidR="00715E3E">
        <w:rPr>
          <w:rFonts w:ascii="Times New Roman" w:hAnsi="Times New Roman" w:cs="Times New Roman"/>
          <w:sz w:val="24"/>
          <w:szCs w:val="24"/>
        </w:rPr>
        <w:t xml:space="preserve">§ 10 ods. </w:t>
      </w:r>
      <w:r w:rsidR="00181708">
        <w:rPr>
          <w:rFonts w:ascii="Times New Roman" w:hAnsi="Times New Roman" w:cs="Times New Roman"/>
          <w:sz w:val="24"/>
          <w:szCs w:val="24"/>
        </w:rPr>
        <w:t xml:space="preserve">9 </w:t>
      </w:r>
      <w:r w:rsidR="00715E3E">
        <w:rPr>
          <w:rFonts w:ascii="Times New Roman" w:hAnsi="Times New Roman" w:cs="Times New Roman"/>
          <w:sz w:val="24"/>
          <w:szCs w:val="24"/>
        </w:rPr>
        <w:t xml:space="preserve">písm. g) a h) </w:t>
      </w:r>
      <w:r>
        <w:rPr>
          <w:rFonts w:ascii="Times New Roman" w:hAnsi="Times New Roman" w:cs="Times New Roman"/>
          <w:sz w:val="24"/>
          <w:szCs w:val="24"/>
        </w:rPr>
        <w:t>predstavuje transpozíciu čl. 9 smernice (EÚ) 2019/1937 v platnom znení</w:t>
      </w:r>
      <w:r w:rsidR="00715E3E">
        <w:rPr>
          <w:rFonts w:ascii="Times New Roman" w:hAnsi="Times New Roman" w:cs="Times New Roman"/>
          <w:sz w:val="24"/>
          <w:szCs w:val="24"/>
        </w:rPr>
        <w:t xml:space="preserve"> a nadväzuje na doplnenie ustanovenia § 10 ods. </w:t>
      </w:r>
      <w:r w:rsidR="00181708">
        <w:rPr>
          <w:rFonts w:ascii="Times New Roman" w:hAnsi="Times New Roman" w:cs="Times New Roman"/>
          <w:sz w:val="24"/>
          <w:szCs w:val="24"/>
        </w:rPr>
        <w:t>10</w:t>
      </w:r>
      <w:r w:rsidR="00D80DB7">
        <w:rPr>
          <w:rFonts w:ascii="Times New Roman" w:hAnsi="Times New Roman" w:cs="Times New Roman"/>
          <w:sz w:val="24"/>
          <w:szCs w:val="24"/>
        </w:rPr>
        <w:t>.</w:t>
      </w:r>
      <w:r w:rsidR="00E167CB">
        <w:rPr>
          <w:rFonts w:ascii="Times New Roman" w:hAnsi="Times New Roman" w:cs="Times New Roman"/>
          <w:sz w:val="24"/>
          <w:szCs w:val="24"/>
        </w:rPr>
        <w:t xml:space="preserve"> Formu, štruktúru, ako aj detailný obsah informácií určuje úrad, v ktorého kompetencii je vydávanie metodických usmernení a takýmto spôsobom napomáha ku správnemu aplikovaniu zákona.</w:t>
      </w:r>
    </w:p>
    <w:p w14:paraId="68FB278D" w14:textId="77777777" w:rsidR="00594542" w:rsidRDefault="00594542" w:rsidP="008617AD">
      <w:pPr>
        <w:spacing w:after="0" w:line="240" w:lineRule="auto"/>
        <w:ind w:firstLine="708"/>
        <w:jc w:val="both"/>
        <w:rPr>
          <w:rFonts w:ascii="Times New Roman" w:hAnsi="Times New Roman" w:cs="Times New Roman"/>
          <w:sz w:val="24"/>
          <w:szCs w:val="24"/>
        </w:rPr>
      </w:pPr>
    </w:p>
    <w:p w14:paraId="3C8264FF" w14:textId="74FC8AAC" w:rsidR="00D80DB7" w:rsidRDefault="004901D9" w:rsidP="009638E0">
      <w:pPr>
        <w:spacing w:after="0" w:line="240" w:lineRule="auto"/>
        <w:jc w:val="both"/>
        <w:rPr>
          <w:rFonts w:ascii="Times New Roman" w:hAnsi="Times New Roman" w:cs="Times New Roman"/>
          <w:b/>
          <w:bCs/>
          <w:sz w:val="24"/>
          <w:szCs w:val="24"/>
        </w:rPr>
      </w:pPr>
      <w:r w:rsidRPr="008617AD">
        <w:rPr>
          <w:rFonts w:ascii="Times New Roman" w:hAnsi="Times New Roman" w:cs="Times New Roman"/>
          <w:sz w:val="24"/>
          <w:szCs w:val="24"/>
        </w:rPr>
        <w:tab/>
      </w:r>
      <w:r w:rsidR="00440FE5" w:rsidRPr="008617AD">
        <w:rPr>
          <w:rFonts w:ascii="Times New Roman" w:hAnsi="Times New Roman" w:cs="Times New Roman"/>
          <w:sz w:val="24"/>
          <w:szCs w:val="24"/>
        </w:rPr>
        <w:t xml:space="preserve">Zamestnávateľovi sa </w:t>
      </w:r>
      <w:r w:rsidR="0097259C">
        <w:rPr>
          <w:rFonts w:ascii="Times New Roman" w:hAnsi="Times New Roman" w:cs="Times New Roman"/>
          <w:sz w:val="24"/>
          <w:szCs w:val="24"/>
        </w:rPr>
        <w:t>navrhuje</w:t>
      </w:r>
      <w:r w:rsidR="00440FE5" w:rsidRPr="008617AD">
        <w:rPr>
          <w:rFonts w:ascii="Times New Roman" w:hAnsi="Times New Roman" w:cs="Times New Roman"/>
          <w:sz w:val="24"/>
          <w:szCs w:val="24"/>
        </w:rPr>
        <w:t xml:space="preserve"> povinnosť zabezpečiť prijatie opatrenia voči zamestnancovi, ktorý bráni podaniu oznámenia v rámci vnútorného systému preverovania oznámení</w:t>
      </w:r>
      <w:r w:rsidR="00440FE5" w:rsidRPr="008617AD">
        <w:rPr>
          <w:rFonts w:ascii="Times New Roman" w:hAnsi="Times New Roman" w:cs="Times New Roman"/>
          <w:b/>
          <w:bCs/>
          <w:sz w:val="24"/>
          <w:szCs w:val="24"/>
        </w:rPr>
        <w:t xml:space="preserve">. </w:t>
      </w:r>
      <w:r w:rsidR="00BE1846" w:rsidRPr="004C446C">
        <w:rPr>
          <w:rFonts w:ascii="Times New Roman" w:hAnsi="Times New Roman" w:cs="Times New Roman"/>
          <w:bCs/>
          <w:sz w:val="24"/>
          <w:szCs w:val="24"/>
        </w:rPr>
        <w:t>U</w:t>
      </w:r>
      <w:r w:rsidR="00BE1846">
        <w:rPr>
          <w:rFonts w:ascii="Times New Roman" w:hAnsi="Times New Roman" w:cs="Times New Roman"/>
          <w:b/>
          <w:bCs/>
          <w:sz w:val="24"/>
          <w:szCs w:val="24"/>
        </w:rPr>
        <w:t>s</w:t>
      </w:r>
      <w:r w:rsidR="00BE1846" w:rsidRPr="008617AD">
        <w:rPr>
          <w:rFonts w:ascii="Times New Roman" w:hAnsi="Times New Roman" w:cs="Times New Roman"/>
          <w:sz w:val="24"/>
          <w:szCs w:val="24"/>
        </w:rPr>
        <w:t xml:space="preserve">tanovenie </w:t>
      </w:r>
      <w:r w:rsidR="00440FE5" w:rsidRPr="008617AD">
        <w:rPr>
          <w:rFonts w:ascii="Times New Roman" w:hAnsi="Times New Roman" w:cs="Times New Roman"/>
          <w:sz w:val="24"/>
          <w:szCs w:val="24"/>
        </w:rPr>
        <w:t xml:space="preserve">uloženej povinnosti má za cieľ napomôcť zabezpečeniu lepšieho využívania vnútorného systému preverovania oznámení a minimalizovania obáv oznamovateľa týkajúcich sa nevyvodenia dôsledkov voči osobe, ktorá bude brániť podaniu oznámenia, čím sa sleduje zámer frekventovanejšieho využívania zákona zo strany oznamovateľov. Bránením podaniu oznámenia sa rozumie napr. odmietnutie prijatia oznámenia alebo akékoľvek konanie, ktorého cieľom je zmariť, sťažiť alebo spomaliť podanie oznámenia.  </w:t>
      </w:r>
    </w:p>
    <w:p w14:paraId="26ADFFE8" w14:textId="77777777" w:rsidR="00D80DB7" w:rsidRDefault="00D80DB7" w:rsidP="009638E0">
      <w:pPr>
        <w:spacing w:after="0" w:line="240" w:lineRule="auto"/>
        <w:jc w:val="both"/>
        <w:rPr>
          <w:rFonts w:ascii="Times New Roman" w:hAnsi="Times New Roman" w:cs="Times New Roman"/>
          <w:b/>
          <w:bCs/>
          <w:sz w:val="24"/>
          <w:szCs w:val="24"/>
        </w:rPr>
      </w:pPr>
    </w:p>
    <w:p w14:paraId="09273296" w14:textId="7D56CA76" w:rsidR="00821D07" w:rsidRDefault="00821D07" w:rsidP="009638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2</w:t>
      </w:r>
      <w:r w:rsidR="00181708">
        <w:rPr>
          <w:rFonts w:ascii="Times New Roman" w:hAnsi="Times New Roman" w:cs="Times New Roman"/>
          <w:b/>
          <w:bCs/>
          <w:sz w:val="24"/>
          <w:szCs w:val="24"/>
        </w:rPr>
        <w:t>7</w:t>
      </w:r>
    </w:p>
    <w:p w14:paraId="3FCC5738" w14:textId="77777777" w:rsidR="00821D07" w:rsidRPr="00825A19" w:rsidRDefault="00821D07" w:rsidP="009638E0">
      <w:pPr>
        <w:spacing w:after="0" w:line="240" w:lineRule="auto"/>
        <w:jc w:val="both"/>
        <w:rPr>
          <w:rFonts w:ascii="Times New Roman" w:hAnsi="Times New Roman" w:cs="Times New Roman"/>
          <w:b/>
          <w:bCs/>
          <w:i/>
          <w:sz w:val="24"/>
          <w:szCs w:val="24"/>
        </w:rPr>
      </w:pPr>
      <w:r w:rsidRPr="00825A19">
        <w:rPr>
          <w:rFonts w:ascii="Times New Roman" w:hAnsi="Times New Roman" w:cs="Times New Roman"/>
          <w:b/>
          <w:bCs/>
          <w:i/>
          <w:sz w:val="24"/>
          <w:szCs w:val="24"/>
        </w:rPr>
        <w:t>(§ 11 ods. 1)</w:t>
      </w:r>
    </w:p>
    <w:p w14:paraId="1D3AD810" w14:textId="77777777" w:rsidR="00821D07" w:rsidRDefault="00821D07" w:rsidP="009638E0">
      <w:pPr>
        <w:spacing w:after="0" w:line="240" w:lineRule="auto"/>
        <w:jc w:val="both"/>
        <w:rPr>
          <w:rFonts w:ascii="Times New Roman" w:hAnsi="Times New Roman" w:cs="Times New Roman"/>
          <w:b/>
          <w:bCs/>
          <w:sz w:val="24"/>
          <w:szCs w:val="24"/>
        </w:rPr>
      </w:pPr>
    </w:p>
    <w:p w14:paraId="459B09A0" w14:textId="666FB42A" w:rsidR="00D80DB7" w:rsidRDefault="00821D07" w:rsidP="00825A19">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Navrhovaná </w:t>
      </w:r>
      <w:r w:rsidR="00091A43">
        <w:rPr>
          <w:rFonts w:ascii="Times New Roman" w:hAnsi="Times New Roman" w:cs="Times New Roman"/>
          <w:bCs/>
          <w:sz w:val="24"/>
          <w:szCs w:val="24"/>
        </w:rPr>
        <w:t xml:space="preserve">úprava </w:t>
      </w:r>
      <w:r w:rsidR="00D80DB7">
        <w:rPr>
          <w:rFonts w:ascii="Times New Roman" w:hAnsi="Times New Roman" w:cs="Times New Roman"/>
          <w:bCs/>
          <w:sz w:val="24"/>
          <w:szCs w:val="24"/>
        </w:rPr>
        <w:t>reflektuje na nedostatok súčasnej právnej úpravy, a to na neurčitosť maximálnej doby</w:t>
      </w:r>
      <w:r w:rsidR="002346FC">
        <w:rPr>
          <w:rFonts w:ascii="Times New Roman" w:hAnsi="Times New Roman" w:cs="Times New Roman"/>
          <w:bCs/>
          <w:sz w:val="24"/>
          <w:szCs w:val="24"/>
        </w:rPr>
        <w:t>,</w:t>
      </w:r>
      <w:r w:rsidR="00D80DB7">
        <w:rPr>
          <w:rFonts w:ascii="Times New Roman" w:hAnsi="Times New Roman" w:cs="Times New Roman"/>
          <w:bCs/>
          <w:sz w:val="24"/>
          <w:szCs w:val="24"/>
        </w:rPr>
        <w:t xml:space="preserve"> počas ktorej je zamestnávateľ povinný uchovávať evidenciu oznámení. V zmysle zásady minimalizácie uchovávania osobných údajov podľa zákona č. 18/2018 Z. z. o ochrane osobných údajov</w:t>
      </w:r>
      <w:r w:rsidR="001E2395">
        <w:rPr>
          <w:rFonts w:ascii="Times New Roman" w:hAnsi="Times New Roman" w:cs="Times New Roman"/>
          <w:bCs/>
          <w:sz w:val="24"/>
          <w:szCs w:val="24"/>
        </w:rPr>
        <w:t xml:space="preserve"> je nevyhnutné stanoviť </w:t>
      </w:r>
      <w:r w:rsidR="002346FC">
        <w:rPr>
          <w:rFonts w:ascii="Times New Roman" w:hAnsi="Times New Roman" w:cs="Times New Roman"/>
          <w:bCs/>
          <w:sz w:val="24"/>
          <w:szCs w:val="24"/>
        </w:rPr>
        <w:t xml:space="preserve">takúto </w:t>
      </w:r>
      <w:r w:rsidR="001E2395">
        <w:rPr>
          <w:rFonts w:ascii="Times New Roman" w:hAnsi="Times New Roman" w:cs="Times New Roman"/>
          <w:bCs/>
          <w:sz w:val="24"/>
          <w:szCs w:val="24"/>
        </w:rPr>
        <w:t>určit</w:t>
      </w:r>
      <w:r w:rsidR="002346FC">
        <w:rPr>
          <w:rFonts w:ascii="Times New Roman" w:hAnsi="Times New Roman" w:cs="Times New Roman"/>
          <w:bCs/>
          <w:sz w:val="24"/>
          <w:szCs w:val="24"/>
        </w:rPr>
        <w:t>ú dobu, a to viedla predkladateľa ku vypusteniu slova najmenej a tým stanovenia doby uchovávania na 3 roky.</w:t>
      </w:r>
    </w:p>
    <w:p w14:paraId="4406FA45" w14:textId="77777777" w:rsidR="00D80DB7" w:rsidRDefault="00D80DB7" w:rsidP="00531615">
      <w:pPr>
        <w:spacing w:after="0" w:line="240" w:lineRule="auto"/>
        <w:jc w:val="both"/>
        <w:rPr>
          <w:rFonts w:ascii="Times New Roman" w:hAnsi="Times New Roman" w:cs="Times New Roman"/>
          <w:bCs/>
          <w:sz w:val="24"/>
          <w:szCs w:val="24"/>
        </w:rPr>
      </w:pPr>
    </w:p>
    <w:p w14:paraId="66447EA0" w14:textId="1B98DB24" w:rsidR="00821D07" w:rsidRPr="00825A19" w:rsidRDefault="00821D07" w:rsidP="009638E0">
      <w:pPr>
        <w:spacing w:after="0" w:line="240" w:lineRule="auto"/>
        <w:jc w:val="both"/>
        <w:rPr>
          <w:rFonts w:ascii="Times New Roman" w:hAnsi="Times New Roman" w:cs="Times New Roman"/>
          <w:b/>
          <w:bCs/>
          <w:sz w:val="24"/>
          <w:szCs w:val="24"/>
        </w:rPr>
      </w:pPr>
      <w:r w:rsidRPr="00825A19">
        <w:rPr>
          <w:rFonts w:ascii="Times New Roman" w:hAnsi="Times New Roman" w:cs="Times New Roman"/>
          <w:b/>
          <w:bCs/>
          <w:sz w:val="24"/>
          <w:szCs w:val="24"/>
        </w:rPr>
        <w:t>K bodu 2</w:t>
      </w:r>
      <w:r w:rsidR="00E33A7A">
        <w:rPr>
          <w:rFonts w:ascii="Times New Roman" w:hAnsi="Times New Roman" w:cs="Times New Roman"/>
          <w:b/>
          <w:bCs/>
          <w:sz w:val="24"/>
          <w:szCs w:val="24"/>
        </w:rPr>
        <w:t>8</w:t>
      </w:r>
    </w:p>
    <w:p w14:paraId="6CBAA846" w14:textId="77777777" w:rsidR="00821D07" w:rsidRPr="00531615" w:rsidRDefault="00821D07" w:rsidP="009638E0">
      <w:pPr>
        <w:spacing w:after="0" w:line="240" w:lineRule="auto"/>
        <w:jc w:val="both"/>
        <w:rPr>
          <w:rFonts w:ascii="Times New Roman" w:hAnsi="Times New Roman" w:cs="Times New Roman"/>
          <w:b/>
          <w:bCs/>
          <w:i/>
          <w:sz w:val="24"/>
          <w:szCs w:val="24"/>
        </w:rPr>
      </w:pPr>
      <w:r w:rsidRPr="00531615">
        <w:rPr>
          <w:rFonts w:ascii="Times New Roman" w:hAnsi="Times New Roman" w:cs="Times New Roman"/>
          <w:b/>
          <w:bCs/>
          <w:i/>
          <w:sz w:val="24"/>
          <w:szCs w:val="24"/>
        </w:rPr>
        <w:t>(§ 11 ods. 1 písm. b))</w:t>
      </w:r>
    </w:p>
    <w:p w14:paraId="4FD671B3" w14:textId="77777777" w:rsidR="00821D07" w:rsidRDefault="00821D07" w:rsidP="009638E0">
      <w:pPr>
        <w:spacing w:after="0" w:line="240" w:lineRule="auto"/>
        <w:jc w:val="both"/>
        <w:rPr>
          <w:rFonts w:ascii="Times New Roman" w:hAnsi="Times New Roman" w:cs="Times New Roman"/>
          <w:bCs/>
          <w:sz w:val="24"/>
          <w:szCs w:val="24"/>
        </w:rPr>
      </w:pPr>
    </w:p>
    <w:p w14:paraId="70D4CBFF" w14:textId="77777777" w:rsidR="00821D07" w:rsidRDefault="00821D07" w:rsidP="00825A19">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V danom prípade sa jedná o logickú úpravu rozsahu povinnosti zamestnávate</w:t>
      </w:r>
      <w:r w:rsidR="00250723">
        <w:rPr>
          <w:rFonts w:ascii="Times New Roman" w:hAnsi="Times New Roman" w:cs="Times New Roman"/>
          <w:bCs/>
          <w:sz w:val="24"/>
          <w:szCs w:val="24"/>
        </w:rPr>
        <w:t>ľa</w:t>
      </w:r>
      <w:r>
        <w:rPr>
          <w:rFonts w:ascii="Times New Roman" w:hAnsi="Times New Roman" w:cs="Times New Roman"/>
          <w:bCs/>
          <w:sz w:val="24"/>
          <w:szCs w:val="24"/>
        </w:rPr>
        <w:t xml:space="preserve"> pri evidencii prijatých oznámení, nakoľko evidencia mena, priezviska a pobytu oznamovateľa pri konkrétnom oznámení je možná iba za predpokladu, že zamestnávate</w:t>
      </w:r>
      <w:r w:rsidR="00091A43">
        <w:rPr>
          <w:rFonts w:ascii="Times New Roman" w:hAnsi="Times New Roman" w:cs="Times New Roman"/>
          <w:bCs/>
          <w:sz w:val="24"/>
          <w:szCs w:val="24"/>
        </w:rPr>
        <w:t>ľ</w:t>
      </w:r>
      <w:r>
        <w:rPr>
          <w:rFonts w:ascii="Times New Roman" w:hAnsi="Times New Roman" w:cs="Times New Roman"/>
          <w:bCs/>
          <w:sz w:val="24"/>
          <w:szCs w:val="24"/>
        </w:rPr>
        <w:t xml:space="preserve"> tým</w:t>
      </w:r>
      <w:r w:rsidR="00AB09AD">
        <w:rPr>
          <w:rFonts w:ascii="Times New Roman" w:hAnsi="Times New Roman" w:cs="Times New Roman"/>
          <w:bCs/>
          <w:sz w:val="24"/>
          <w:szCs w:val="24"/>
        </w:rPr>
        <w:t>ito</w:t>
      </w:r>
      <w:r w:rsidR="00250723">
        <w:rPr>
          <w:rFonts w:ascii="Times New Roman" w:hAnsi="Times New Roman" w:cs="Times New Roman"/>
          <w:bCs/>
          <w:sz w:val="24"/>
          <w:szCs w:val="24"/>
        </w:rPr>
        <w:t xml:space="preserve"> </w:t>
      </w:r>
      <w:r>
        <w:rPr>
          <w:rFonts w:ascii="Times New Roman" w:hAnsi="Times New Roman" w:cs="Times New Roman"/>
          <w:bCs/>
          <w:sz w:val="24"/>
          <w:szCs w:val="24"/>
        </w:rPr>
        <w:t xml:space="preserve">vybranými informáciami disponuje, čo </w:t>
      </w:r>
      <w:r w:rsidR="00AB09AD">
        <w:rPr>
          <w:rFonts w:ascii="Times New Roman" w:hAnsi="Times New Roman" w:cs="Times New Roman"/>
          <w:bCs/>
          <w:sz w:val="24"/>
          <w:szCs w:val="24"/>
        </w:rPr>
        <w:t xml:space="preserve">priamo vylučuje charakter anonymného oznámenia. </w:t>
      </w:r>
    </w:p>
    <w:p w14:paraId="313EFF61" w14:textId="176F3BC9" w:rsidR="008827A6" w:rsidRDefault="008827A6" w:rsidP="009638E0">
      <w:pPr>
        <w:spacing w:after="0" w:line="240" w:lineRule="auto"/>
        <w:jc w:val="both"/>
        <w:rPr>
          <w:rFonts w:ascii="Times New Roman" w:hAnsi="Times New Roman" w:cs="Times New Roman"/>
          <w:bCs/>
          <w:sz w:val="24"/>
          <w:szCs w:val="24"/>
        </w:rPr>
      </w:pPr>
    </w:p>
    <w:p w14:paraId="6F9986FA" w14:textId="6A079285" w:rsidR="0079560E" w:rsidRDefault="00AB09AD" w:rsidP="009638E0">
      <w:pPr>
        <w:spacing w:after="0" w:line="240" w:lineRule="auto"/>
        <w:jc w:val="both"/>
        <w:rPr>
          <w:rFonts w:ascii="Times New Roman" w:hAnsi="Times New Roman" w:cs="Times New Roman"/>
          <w:b/>
          <w:bCs/>
          <w:sz w:val="24"/>
          <w:szCs w:val="24"/>
        </w:rPr>
      </w:pPr>
      <w:r w:rsidRPr="00825A19">
        <w:rPr>
          <w:rFonts w:ascii="Times New Roman" w:hAnsi="Times New Roman" w:cs="Times New Roman"/>
          <w:b/>
          <w:bCs/>
          <w:sz w:val="24"/>
          <w:szCs w:val="24"/>
        </w:rPr>
        <w:t xml:space="preserve">K bodu </w:t>
      </w:r>
      <w:r w:rsidR="00E33A7A">
        <w:rPr>
          <w:rFonts w:ascii="Times New Roman" w:hAnsi="Times New Roman" w:cs="Times New Roman"/>
          <w:b/>
          <w:bCs/>
          <w:sz w:val="24"/>
          <w:szCs w:val="24"/>
        </w:rPr>
        <w:t>29</w:t>
      </w:r>
      <w:r w:rsidR="003421E2">
        <w:rPr>
          <w:rFonts w:ascii="Times New Roman" w:hAnsi="Times New Roman" w:cs="Times New Roman"/>
          <w:b/>
          <w:bCs/>
          <w:sz w:val="24"/>
          <w:szCs w:val="24"/>
        </w:rPr>
        <w:t xml:space="preserve"> </w:t>
      </w:r>
    </w:p>
    <w:p w14:paraId="3F8CEDA8" w14:textId="397BC36B" w:rsidR="0079560E" w:rsidRDefault="0079560E" w:rsidP="009638E0">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12 ods. 7)</w:t>
      </w:r>
    </w:p>
    <w:p w14:paraId="3ADCC191" w14:textId="09FC5732" w:rsidR="0079560E" w:rsidRDefault="0079560E" w:rsidP="009638E0">
      <w:pPr>
        <w:spacing w:after="0" w:line="240" w:lineRule="auto"/>
        <w:jc w:val="both"/>
        <w:rPr>
          <w:rFonts w:ascii="Times New Roman" w:hAnsi="Times New Roman" w:cs="Times New Roman"/>
          <w:b/>
          <w:bCs/>
          <w:sz w:val="24"/>
          <w:szCs w:val="24"/>
        </w:rPr>
      </w:pPr>
    </w:p>
    <w:p w14:paraId="30A9D1D0" w14:textId="4A5F6869" w:rsidR="0079560E" w:rsidRPr="0079560E" w:rsidRDefault="0079560E" w:rsidP="009638E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Navrhovaná zmena ustanovenia § 12 ods. 7 reflektuje na novú úpravu v § 2 písm. a) bodu 4 návrhu zákona, ktorý stanovuje podmienky na zverejnenie informácií o protispoločenskej činnosti. V prípade naplnenia podmienok v § 2 písm. a) bodu 4 návrhu zákona  sa aj takejto osobe poskytuje ochrana a môže využiť inštitút pozastavenia účinnosti pracovnoprávneho úkonu. S ohľadom na právnu úpravu návrhu zákona sa odsek 7 stal nadbytočným. Jeho vypustenie preto predstavuje len legislatívno-technickú úpravu.</w:t>
      </w:r>
    </w:p>
    <w:p w14:paraId="1A8427A0" w14:textId="77777777" w:rsidR="0079560E" w:rsidRDefault="0079560E" w:rsidP="009638E0">
      <w:pPr>
        <w:spacing w:after="0" w:line="240" w:lineRule="auto"/>
        <w:jc w:val="both"/>
        <w:rPr>
          <w:rFonts w:ascii="Times New Roman" w:hAnsi="Times New Roman" w:cs="Times New Roman"/>
          <w:b/>
          <w:bCs/>
          <w:sz w:val="24"/>
          <w:szCs w:val="24"/>
        </w:rPr>
      </w:pPr>
    </w:p>
    <w:p w14:paraId="20D6CFE7" w14:textId="50A19D8F" w:rsidR="00AB09AD" w:rsidRPr="00825A19" w:rsidRDefault="0079560E" w:rsidP="009638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K bodu </w:t>
      </w:r>
      <w:r w:rsidR="003421E2">
        <w:rPr>
          <w:rFonts w:ascii="Times New Roman" w:hAnsi="Times New Roman" w:cs="Times New Roman"/>
          <w:b/>
          <w:bCs/>
          <w:sz w:val="24"/>
          <w:szCs w:val="24"/>
        </w:rPr>
        <w:t>3</w:t>
      </w:r>
      <w:r w:rsidR="00E33A7A">
        <w:rPr>
          <w:rFonts w:ascii="Times New Roman" w:hAnsi="Times New Roman" w:cs="Times New Roman"/>
          <w:b/>
          <w:bCs/>
          <w:sz w:val="24"/>
          <w:szCs w:val="24"/>
        </w:rPr>
        <w:t>0</w:t>
      </w:r>
    </w:p>
    <w:p w14:paraId="463D7297" w14:textId="4D37809C" w:rsidR="00EF2240" w:rsidRPr="0079560E" w:rsidRDefault="00AB09AD" w:rsidP="009638E0">
      <w:pPr>
        <w:spacing w:after="0" w:line="240" w:lineRule="auto"/>
        <w:jc w:val="both"/>
        <w:rPr>
          <w:rFonts w:ascii="Times New Roman" w:hAnsi="Times New Roman" w:cs="Times New Roman"/>
          <w:b/>
          <w:bCs/>
          <w:i/>
          <w:sz w:val="24"/>
          <w:szCs w:val="24"/>
        </w:rPr>
      </w:pPr>
      <w:r w:rsidRPr="00825A19">
        <w:rPr>
          <w:rFonts w:ascii="Times New Roman" w:hAnsi="Times New Roman" w:cs="Times New Roman"/>
          <w:b/>
          <w:bCs/>
          <w:i/>
          <w:sz w:val="24"/>
          <w:szCs w:val="24"/>
        </w:rPr>
        <w:t xml:space="preserve">(§ 12 ods. </w:t>
      </w:r>
      <w:r w:rsidR="0079560E">
        <w:rPr>
          <w:rFonts w:ascii="Times New Roman" w:hAnsi="Times New Roman" w:cs="Times New Roman"/>
          <w:b/>
          <w:bCs/>
          <w:i/>
          <w:sz w:val="24"/>
          <w:szCs w:val="24"/>
        </w:rPr>
        <w:t>7</w:t>
      </w:r>
      <w:r w:rsidRPr="00825A19">
        <w:rPr>
          <w:rFonts w:ascii="Times New Roman" w:hAnsi="Times New Roman" w:cs="Times New Roman"/>
          <w:b/>
          <w:bCs/>
          <w:i/>
          <w:sz w:val="24"/>
          <w:szCs w:val="24"/>
        </w:rPr>
        <w:t>)</w:t>
      </w:r>
    </w:p>
    <w:p w14:paraId="414E493E" w14:textId="77777777" w:rsidR="00CB5404" w:rsidRDefault="00CB5404" w:rsidP="009638E0">
      <w:pPr>
        <w:spacing w:after="0" w:line="240" w:lineRule="auto"/>
        <w:jc w:val="both"/>
        <w:rPr>
          <w:rFonts w:ascii="Times New Roman" w:hAnsi="Times New Roman" w:cs="Times New Roman"/>
          <w:bCs/>
          <w:sz w:val="24"/>
          <w:szCs w:val="24"/>
        </w:rPr>
      </w:pPr>
    </w:p>
    <w:p w14:paraId="581BC119" w14:textId="7BB6DA38" w:rsidR="00EF2240" w:rsidRDefault="00CB5404" w:rsidP="00825A19">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Navrhovaná zmena ustanovenia § 12 ods. </w:t>
      </w:r>
      <w:r w:rsidR="0079560E">
        <w:rPr>
          <w:rFonts w:ascii="Times New Roman" w:hAnsi="Times New Roman" w:cs="Times New Roman"/>
          <w:bCs/>
          <w:sz w:val="24"/>
          <w:szCs w:val="24"/>
        </w:rPr>
        <w:t>7</w:t>
      </w:r>
      <w:r>
        <w:rPr>
          <w:rFonts w:ascii="Times New Roman" w:hAnsi="Times New Roman" w:cs="Times New Roman"/>
          <w:bCs/>
          <w:sz w:val="24"/>
          <w:szCs w:val="24"/>
        </w:rPr>
        <w:t xml:space="preserve"> </w:t>
      </w:r>
      <w:r w:rsidR="00EF2240">
        <w:rPr>
          <w:rFonts w:ascii="Times New Roman" w:hAnsi="Times New Roman" w:cs="Times New Roman"/>
          <w:bCs/>
          <w:sz w:val="24"/>
          <w:szCs w:val="24"/>
        </w:rPr>
        <w:t>reflektuje na novú úpravu okruhu osôb, ktorým sa poskytuje ochrana podľa tohto zákona</w:t>
      </w:r>
      <w:r w:rsidR="003652CB">
        <w:rPr>
          <w:rFonts w:ascii="Times New Roman" w:hAnsi="Times New Roman" w:cs="Times New Roman"/>
          <w:bCs/>
          <w:sz w:val="24"/>
          <w:szCs w:val="24"/>
        </w:rPr>
        <w:t xml:space="preserve"> a ktoré sú uvedené v § 1 ods. 4</w:t>
      </w:r>
      <w:r w:rsidR="00EF2240">
        <w:rPr>
          <w:rFonts w:ascii="Times New Roman" w:hAnsi="Times New Roman" w:cs="Times New Roman"/>
          <w:bCs/>
          <w:sz w:val="24"/>
          <w:szCs w:val="24"/>
        </w:rPr>
        <w:t xml:space="preserve"> navrhovaného znenia zákona. Ak </w:t>
      </w:r>
      <w:r w:rsidR="00A8318A">
        <w:rPr>
          <w:rFonts w:ascii="Times New Roman" w:hAnsi="Times New Roman" w:cs="Times New Roman"/>
          <w:bCs/>
          <w:sz w:val="24"/>
          <w:szCs w:val="24"/>
        </w:rPr>
        <w:t>osoba spĺňa podmienky</w:t>
      </w:r>
      <w:r w:rsidR="00EF2240">
        <w:rPr>
          <w:rFonts w:ascii="Times New Roman" w:hAnsi="Times New Roman" w:cs="Times New Roman"/>
          <w:bCs/>
          <w:sz w:val="24"/>
          <w:szCs w:val="24"/>
        </w:rPr>
        <w:t xml:space="preserve"> podľa § 1 ods. </w:t>
      </w:r>
      <w:r w:rsidR="003652CB">
        <w:rPr>
          <w:rFonts w:ascii="Times New Roman" w:hAnsi="Times New Roman" w:cs="Times New Roman"/>
          <w:bCs/>
          <w:sz w:val="24"/>
          <w:szCs w:val="24"/>
        </w:rPr>
        <w:t xml:space="preserve">4 </w:t>
      </w:r>
      <w:r w:rsidR="00EF2240">
        <w:rPr>
          <w:rFonts w:ascii="Times New Roman" w:hAnsi="Times New Roman" w:cs="Times New Roman"/>
          <w:bCs/>
          <w:sz w:val="24"/>
          <w:szCs w:val="24"/>
        </w:rPr>
        <w:t>tak môže využiť inštitút pozastavenia účinnosti pracovnoprávneho úkonu.</w:t>
      </w:r>
    </w:p>
    <w:p w14:paraId="42A6BFCE" w14:textId="77777777" w:rsidR="00FA2C8B" w:rsidRDefault="00FA2C8B" w:rsidP="009638E0">
      <w:pPr>
        <w:spacing w:after="0" w:line="240" w:lineRule="auto"/>
        <w:jc w:val="both"/>
        <w:rPr>
          <w:rFonts w:ascii="Times New Roman" w:hAnsi="Times New Roman" w:cs="Times New Roman"/>
          <w:bCs/>
          <w:sz w:val="24"/>
          <w:szCs w:val="24"/>
        </w:rPr>
      </w:pPr>
    </w:p>
    <w:p w14:paraId="12191D7A" w14:textId="69B33B44" w:rsidR="00FA2C8B" w:rsidRPr="00825A19" w:rsidRDefault="00FA2C8B" w:rsidP="009638E0">
      <w:pPr>
        <w:spacing w:after="0" w:line="240" w:lineRule="auto"/>
        <w:jc w:val="both"/>
        <w:rPr>
          <w:rFonts w:ascii="Times New Roman" w:hAnsi="Times New Roman" w:cs="Times New Roman"/>
          <w:b/>
          <w:bCs/>
          <w:sz w:val="24"/>
          <w:szCs w:val="24"/>
        </w:rPr>
      </w:pPr>
      <w:r w:rsidRPr="00825A19">
        <w:rPr>
          <w:rFonts w:ascii="Times New Roman" w:hAnsi="Times New Roman" w:cs="Times New Roman"/>
          <w:b/>
          <w:bCs/>
          <w:sz w:val="24"/>
          <w:szCs w:val="24"/>
        </w:rPr>
        <w:t xml:space="preserve">K bodu </w:t>
      </w:r>
      <w:r w:rsidR="003421E2">
        <w:rPr>
          <w:rFonts w:ascii="Times New Roman" w:hAnsi="Times New Roman" w:cs="Times New Roman"/>
          <w:b/>
          <w:bCs/>
          <w:sz w:val="24"/>
          <w:szCs w:val="24"/>
        </w:rPr>
        <w:t>3</w:t>
      </w:r>
      <w:r w:rsidR="00F81785">
        <w:rPr>
          <w:rFonts w:ascii="Times New Roman" w:hAnsi="Times New Roman" w:cs="Times New Roman"/>
          <w:b/>
          <w:bCs/>
          <w:sz w:val="24"/>
          <w:szCs w:val="24"/>
        </w:rPr>
        <w:t>1</w:t>
      </w:r>
    </w:p>
    <w:p w14:paraId="688C8A6A" w14:textId="77777777" w:rsidR="00CB5404" w:rsidRPr="00825A19" w:rsidRDefault="00FA2C8B" w:rsidP="009638E0">
      <w:pPr>
        <w:spacing w:after="0" w:line="240" w:lineRule="auto"/>
        <w:jc w:val="both"/>
        <w:rPr>
          <w:rFonts w:ascii="Times New Roman" w:hAnsi="Times New Roman" w:cs="Times New Roman"/>
          <w:b/>
          <w:bCs/>
          <w:i/>
          <w:sz w:val="24"/>
          <w:szCs w:val="24"/>
        </w:rPr>
      </w:pPr>
      <w:r w:rsidRPr="00825A19">
        <w:rPr>
          <w:rFonts w:ascii="Times New Roman" w:hAnsi="Times New Roman" w:cs="Times New Roman"/>
          <w:b/>
          <w:bCs/>
          <w:i/>
          <w:sz w:val="24"/>
          <w:szCs w:val="24"/>
        </w:rPr>
        <w:t>(§ 13 ods. 6 písm. c))</w:t>
      </w:r>
    </w:p>
    <w:p w14:paraId="72A6EE14" w14:textId="77777777" w:rsidR="00FA2C8B" w:rsidRDefault="00FA2C8B" w:rsidP="009638E0">
      <w:pPr>
        <w:spacing w:after="0" w:line="240" w:lineRule="auto"/>
        <w:jc w:val="both"/>
        <w:rPr>
          <w:rFonts w:ascii="Times New Roman" w:hAnsi="Times New Roman" w:cs="Times New Roman"/>
          <w:bCs/>
          <w:sz w:val="24"/>
          <w:szCs w:val="24"/>
        </w:rPr>
      </w:pPr>
    </w:p>
    <w:p w14:paraId="090872D9" w14:textId="77777777" w:rsidR="00FA2C8B" w:rsidRDefault="00343124" w:rsidP="009638E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551FED">
        <w:rPr>
          <w:rFonts w:ascii="Times New Roman" w:hAnsi="Times New Roman" w:cs="Times New Roman"/>
          <w:bCs/>
          <w:sz w:val="24"/>
          <w:szCs w:val="24"/>
        </w:rPr>
        <w:t>Uvedená zmena reflektuje na rozšírenie osobnej pôsobnosti zákona, na základe ktorej môže byť oznamovateľom aj iná osoba ako osoba v pracovnoprávnom vzťahu</w:t>
      </w:r>
      <w:r w:rsidR="002F2C0A">
        <w:rPr>
          <w:rFonts w:ascii="Times New Roman" w:hAnsi="Times New Roman" w:cs="Times New Roman"/>
          <w:bCs/>
          <w:sz w:val="24"/>
          <w:szCs w:val="24"/>
        </w:rPr>
        <w:t>. Z toh</w:t>
      </w:r>
      <w:r w:rsidR="00551FED">
        <w:rPr>
          <w:rFonts w:ascii="Times New Roman" w:hAnsi="Times New Roman" w:cs="Times New Roman"/>
          <w:bCs/>
          <w:sz w:val="24"/>
          <w:szCs w:val="24"/>
        </w:rPr>
        <w:t>t</w:t>
      </w:r>
      <w:r w:rsidR="002F2C0A">
        <w:rPr>
          <w:rFonts w:ascii="Times New Roman" w:hAnsi="Times New Roman" w:cs="Times New Roman"/>
          <w:bCs/>
          <w:sz w:val="24"/>
          <w:szCs w:val="24"/>
        </w:rPr>
        <w:t xml:space="preserve">o dôvodu </w:t>
      </w:r>
      <w:r w:rsidR="00551FED">
        <w:rPr>
          <w:rFonts w:ascii="Times New Roman" w:hAnsi="Times New Roman" w:cs="Times New Roman"/>
          <w:bCs/>
          <w:sz w:val="24"/>
          <w:szCs w:val="24"/>
        </w:rPr>
        <w:t>takáto osoba nebude mať svojho zamestnávateľa ale napr. zmluvného partnera voči ktorému môže smerovať oznámenie a táto osoba by mohla postihnúť oznamovateľa v súvislosti s jeho oznámením.</w:t>
      </w:r>
    </w:p>
    <w:p w14:paraId="242AB2CB" w14:textId="77777777" w:rsidR="00FA2C8B" w:rsidRDefault="00FA2C8B" w:rsidP="009638E0">
      <w:pPr>
        <w:spacing w:after="0" w:line="240" w:lineRule="auto"/>
        <w:jc w:val="both"/>
        <w:rPr>
          <w:rFonts w:ascii="Times New Roman" w:hAnsi="Times New Roman" w:cs="Times New Roman"/>
          <w:bCs/>
          <w:sz w:val="24"/>
          <w:szCs w:val="24"/>
        </w:rPr>
      </w:pPr>
    </w:p>
    <w:p w14:paraId="1519E5EC" w14:textId="1724BBA4" w:rsidR="00FA2C8B" w:rsidRPr="00825A19" w:rsidRDefault="00FA2C8B" w:rsidP="009638E0">
      <w:pPr>
        <w:spacing w:after="0" w:line="240" w:lineRule="auto"/>
        <w:jc w:val="both"/>
        <w:rPr>
          <w:rFonts w:ascii="Times New Roman" w:hAnsi="Times New Roman" w:cs="Times New Roman"/>
          <w:b/>
          <w:bCs/>
          <w:sz w:val="24"/>
          <w:szCs w:val="24"/>
        </w:rPr>
      </w:pPr>
      <w:r w:rsidRPr="00825A19">
        <w:rPr>
          <w:rFonts w:ascii="Times New Roman" w:hAnsi="Times New Roman" w:cs="Times New Roman"/>
          <w:b/>
          <w:bCs/>
          <w:sz w:val="24"/>
          <w:szCs w:val="24"/>
        </w:rPr>
        <w:t xml:space="preserve">K bodu </w:t>
      </w:r>
      <w:r w:rsidR="00876068">
        <w:rPr>
          <w:rFonts w:ascii="Times New Roman" w:hAnsi="Times New Roman" w:cs="Times New Roman"/>
          <w:b/>
          <w:bCs/>
          <w:sz w:val="24"/>
          <w:szCs w:val="24"/>
        </w:rPr>
        <w:t>3</w:t>
      </w:r>
      <w:r w:rsidR="00F81785">
        <w:rPr>
          <w:rFonts w:ascii="Times New Roman" w:hAnsi="Times New Roman" w:cs="Times New Roman"/>
          <w:b/>
          <w:bCs/>
          <w:sz w:val="24"/>
          <w:szCs w:val="24"/>
        </w:rPr>
        <w:t>2</w:t>
      </w:r>
    </w:p>
    <w:p w14:paraId="1D964FD9" w14:textId="77777777" w:rsidR="00FA2C8B" w:rsidRPr="00825A19" w:rsidRDefault="00FA2C8B" w:rsidP="009638E0">
      <w:pPr>
        <w:spacing w:after="0" w:line="240" w:lineRule="auto"/>
        <w:jc w:val="both"/>
        <w:rPr>
          <w:rFonts w:ascii="Times New Roman" w:hAnsi="Times New Roman" w:cs="Times New Roman"/>
          <w:b/>
          <w:bCs/>
          <w:i/>
          <w:sz w:val="24"/>
          <w:szCs w:val="24"/>
        </w:rPr>
      </w:pPr>
      <w:r w:rsidRPr="00825A19">
        <w:rPr>
          <w:rFonts w:ascii="Times New Roman" w:hAnsi="Times New Roman" w:cs="Times New Roman"/>
          <w:b/>
          <w:bCs/>
          <w:i/>
          <w:sz w:val="24"/>
          <w:szCs w:val="24"/>
        </w:rPr>
        <w:t>(§ 13 ods. 6 písm. d))</w:t>
      </w:r>
    </w:p>
    <w:p w14:paraId="2A820BC1" w14:textId="77777777" w:rsidR="00FA2C8B" w:rsidRDefault="00FA2C8B" w:rsidP="009638E0">
      <w:pPr>
        <w:spacing w:after="0" w:line="240" w:lineRule="auto"/>
        <w:jc w:val="both"/>
        <w:rPr>
          <w:rFonts w:ascii="Times New Roman" w:hAnsi="Times New Roman" w:cs="Times New Roman"/>
          <w:bCs/>
          <w:sz w:val="24"/>
          <w:szCs w:val="24"/>
        </w:rPr>
      </w:pPr>
    </w:p>
    <w:p w14:paraId="5A09AF5F" w14:textId="77777777" w:rsidR="00FA2C8B" w:rsidRDefault="00FA2C8B" w:rsidP="00825A19">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Uvedenou </w:t>
      </w:r>
      <w:r w:rsidRPr="00FA2C8B">
        <w:rPr>
          <w:rFonts w:ascii="Times New Roman" w:hAnsi="Times New Roman" w:cs="Times New Roman"/>
          <w:bCs/>
          <w:sz w:val="24"/>
          <w:szCs w:val="24"/>
        </w:rPr>
        <w:t xml:space="preserve">zmenou je terminologické zosúladenie pojmov </w:t>
      </w:r>
      <w:r>
        <w:rPr>
          <w:rFonts w:ascii="Times New Roman" w:hAnsi="Times New Roman" w:cs="Times New Roman"/>
          <w:bCs/>
          <w:sz w:val="24"/>
          <w:szCs w:val="24"/>
        </w:rPr>
        <w:t>zákona, nakoľko daný</w:t>
      </w:r>
      <w:r w:rsidRPr="00FA2C8B">
        <w:rPr>
          <w:rFonts w:ascii="Times New Roman" w:hAnsi="Times New Roman" w:cs="Times New Roman"/>
          <w:bCs/>
          <w:sz w:val="24"/>
          <w:szCs w:val="24"/>
        </w:rPr>
        <w:t xml:space="preserve"> zákona používa označenie „</w:t>
      </w:r>
      <w:r>
        <w:rPr>
          <w:rFonts w:ascii="Times New Roman" w:hAnsi="Times New Roman" w:cs="Times New Roman"/>
          <w:bCs/>
          <w:sz w:val="24"/>
          <w:szCs w:val="24"/>
        </w:rPr>
        <w:t>oznamovateľ</w:t>
      </w:r>
      <w:r w:rsidRPr="00FA2C8B">
        <w:rPr>
          <w:rFonts w:ascii="Times New Roman" w:hAnsi="Times New Roman" w:cs="Times New Roman"/>
          <w:bCs/>
          <w:sz w:val="24"/>
          <w:szCs w:val="24"/>
        </w:rPr>
        <w:t>“</w:t>
      </w:r>
      <w:r>
        <w:rPr>
          <w:rFonts w:ascii="Times New Roman" w:hAnsi="Times New Roman" w:cs="Times New Roman"/>
          <w:bCs/>
          <w:sz w:val="24"/>
          <w:szCs w:val="24"/>
        </w:rPr>
        <w:t xml:space="preserve"> a nie pojem „zamestnanec“</w:t>
      </w:r>
      <w:r w:rsidRPr="00FA2C8B">
        <w:rPr>
          <w:rFonts w:ascii="Times New Roman" w:hAnsi="Times New Roman" w:cs="Times New Roman"/>
          <w:bCs/>
          <w:sz w:val="24"/>
          <w:szCs w:val="24"/>
        </w:rPr>
        <w:t>. Táto úprava má výlučný legislatívno-technický charakter.</w:t>
      </w:r>
    </w:p>
    <w:p w14:paraId="4099BB8F" w14:textId="09CD257A" w:rsidR="00FA2C8B" w:rsidRDefault="00FA2C8B" w:rsidP="009638E0">
      <w:pPr>
        <w:spacing w:after="0" w:line="240" w:lineRule="auto"/>
        <w:jc w:val="both"/>
        <w:rPr>
          <w:rFonts w:ascii="Times New Roman" w:hAnsi="Times New Roman" w:cs="Times New Roman"/>
          <w:b/>
          <w:bCs/>
          <w:sz w:val="24"/>
          <w:szCs w:val="24"/>
        </w:rPr>
      </w:pPr>
    </w:p>
    <w:p w14:paraId="1E236D19" w14:textId="0B2EB475" w:rsidR="008B0438" w:rsidRDefault="008B0438" w:rsidP="009638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33</w:t>
      </w:r>
    </w:p>
    <w:p w14:paraId="19CDB543" w14:textId="22B9CB60" w:rsidR="008B0438" w:rsidRDefault="008B0438" w:rsidP="009638E0">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13 ods. 6 písm. f))</w:t>
      </w:r>
    </w:p>
    <w:p w14:paraId="4CBBD50D" w14:textId="010DA5BD" w:rsidR="008B0438" w:rsidRDefault="008B0438" w:rsidP="009638E0">
      <w:pPr>
        <w:spacing w:after="0" w:line="240" w:lineRule="auto"/>
        <w:jc w:val="both"/>
        <w:rPr>
          <w:rFonts w:ascii="Times New Roman" w:hAnsi="Times New Roman" w:cs="Times New Roman"/>
          <w:b/>
          <w:bCs/>
          <w:i/>
          <w:sz w:val="24"/>
          <w:szCs w:val="24"/>
        </w:rPr>
      </w:pPr>
    </w:p>
    <w:p w14:paraId="45BE3162" w14:textId="77777777" w:rsidR="008B0438" w:rsidRDefault="008B0438" w:rsidP="008B0438">
      <w:pPr>
        <w:spacing w:after="0" w:line="240" w:lineRule="auto"/>
        <w:ind w:firstLine="708"/>
        <w:jc w:val="both"/>
        <w:rPr>
          <w:rFonts w:ascii="Times New Roman" w:hAnsi="Times New Roman" w:cs="Times New Roman"/>
          <w:sz w:val="24"/>
          <w:szCs w:val="24"/>
        </w:rPr>
      </w:pPr>
      <w:r w:rsidRPr="00ED47A3">
        <w:rPr>
          <w:rFonts w:ascii="Times New Roman" w:hAnsi="Times New Roman" w:cs="Times New Roman"/>
          <w:sz w:val="24"/>
          <w:szCs w:val="24"/>
        </w:rPr>
        <w:t xml:space="preserve">Uvedená zmena je legislatívno-technického charakteru. </w:t>
      </w:r>
    </w:p>
    <w:p w14:paraId="039BE66E" w14:textId="77777777" w:rsidR="008B0438" w:rsidRPr="008B0438" w:rsidRDefault="008B0438" w:rsidP="009638E0">
      <w:pPr>
        <w:spacing w:after="0" w:line="240" w:lineRule="auto"/>
        <w:jc w:val="both"/>
        <w:rPr>
          <w:rFonts w:ascii="Times New Roman" w:hAnsi="Times New Roman" w:cs="Times New Roman"/>
          <w:bCs/>
          <w:sz w:val="24"/>
          <w:szCs w:val="24"/>
        </w:rPr>
      </w:pPr>
    </w:p>
    <w:p w14:paraId="64BD33F0" w14:textId="7260E69B" w:rsidR="006B6F3B" w:rsidRDefault="006B6F3B" w:rsidP="009638E0">
      <w:pPr>
        <w:spacing w:after="0" w:line="240" w:lineRule="auto"/>
        <w:jc w:val="both"/>
        <w:rPr>
          <w:rFonts w:ascii="Times New Roman" w:hAnsi="Times New Roman" w:cs="Times New Roman"/>
          <w:b/>
          <w:bCs/>
          <w:sz w:val="24"/>
          <w:szCs w:val="24"/>
        </w:rPr>
      </w:pPr>
      <w:r w:rsidRPr="008617AD">
        <w:rPr>
          <w:rFonts w:ascii="Times New Roman" w:hAnsi="Times New Roman" w:cs="Times New Roman"/>
          <w:b/>
          <w:bCs/>
          <w:sz w:val="24"/>
          <w:szCs w:val="24"/>
        </w:rPr>
        <w:t xml:space="preserve">K bodu </w:t>
      </w:r>
      <w:r w:rsidR="00876068">
        <w:rPr>
          <w:rFonts w:ascii="Times New Roman" w:hAnsi="Times New Roman" w:cs="Times New Roman"/>
          <w:b/>
          <w:bCs/>
          <w:sz w:val="24"/>
          <w:szCs w:val="24"/>
        </w:rPr>
        <w:t>3</w:t>
      </w:r>
      <w:r w:rsidR="008B0438">
        <w:rPr>
          <w:rFonts w:ascii="Times New Roman" w:hAnsi="Times New Roman" w:cs="Times New Roman"/>
          <w:b/>
          <w:bCs/>
          <w:sz w:val="24"/>
          <w:szCs w:val="24"/>
        </w:rPr>
        <w:t>4</w:t>
      </w:r>
    </w:p>
    <w:p w14:paraId="497E79F8" w14:textId="77777777" w:rsidR="00385BA8" w:rsidRPr="00825A19" w:rsidRDefault="00385BA8" w:rsidP="009638E0">
      <w:pPr>
        <w:spacing w:after="0" w:line="240" w:lineRule="auto"/>
        <w:jc w:val="both"/>
        <w:rPr>
          <w:rFonts w:ascii="Times New Roman" w:hAnsi="Times New Roman" w:cs="Times New Roman"/>
          <w:b/>
          <w:bCs/>
          <w:i/>
          <w:sz w:val="24"/>
          <w:szCs w:val="24"/>
        </w:rPr>
      </w:pPr>
      <w:r w:rsidRPr="00825A19">
        <w:rPr>
          <w:rFonts w:ascii="Times New Roman" w:hAnsi="Times New Roman" w:cs="Times New Roman"/>
          <w:b/>
          <w:bCs/>
          <w:i/>
          <w:sz w:val="24"/>
          <w:szCs w:val="24"/>
        </w:rPr>
        <w:t>(§ 13 ods. 14)</w:t>
      </w:r>
    </w:p>
    <w:p w14:paraId="1419FBA2" w14:textId="77777777" w:rsidR="006B6F3B" w:rsidRPr="004C446C" w:rsidRDefault="006B6F3B" w:rsidP="009638E0">
      <w:pPr>
        <w:spacing w:after="0" w:line="240" w:lineRule="auto"/>
        <w:jc w:val="both"/>
        <w:rPr>
          <w:rFonts w:ascii="Times New Roman" w:hAnsi="Times New Roman" w:cs="Times New Roman"/>
          <w:sz w:val="24"/>
          <w:szCs w:val="24"/>
        </w:rPr>
      </w:pPr>
    </w:p>
    <w:p w14:paraId="43D735D7" w14:textId="199A3F89" w:rsidR="00440FE5" w:rsidRDefault="006B6F3B" w:rsidP="004A2890">
      <w:pPr>
        <w:spacing w:after="0" w:line="240" w:lineRule="auto"/>
        <w:jc w:val="both"/>
        <w:rPr>
          <w:rFonts w:ascii="Times New Roman" w:hAnsi="Times New Roman"/>
          <w:sz w:val="24"/>
          <w:szCs w:val="24"/>
        </w:rPr>
      </w:pPr>
      <w:r w:rsidRPr="008617AD">
        <w:rPr>
          <w:rFonts w:ascii="Times New Roman" w:hAnsi="Times New Roman" w:cs="Times New Roman"/>
          <w:b/>
          <w:bCs/>
          <w:sz w:val="24"/>
          <w:szCs w:val="24"/>
        </w:rPr>
        <w:tab/>
      </w:r>
      <w:r w:rsidR="00440FE5" w:rsidRPr="008617AD">
        <w:rPr>
          <w:rFonts w:ascii="Times New Roman" w:hAnsi="Times New Roman" w:cs="Times New Roman"/>
          <w:sz w:val="24"/>
          <w:szCs w:val="24"/>
        </w:rPr>
        <w:t xml:space="preserve">Ide o transpozíciu ustanovenia článku 27 ods. 2 </w:t>
      </w:r>
      <w:r w:rsidR="004A2890" w:rsidRPr="006D0DC3">
        <w:rPr>
          <w:rFonts w:ascii="Times New Roman" w:hAnsi="Times New Roman" w:cs="Times New Roman"/>
          <w:sz w:val="24"/>
          <w:szCs w:val="24"/>
        </w:rPr>
        <w:t>smernic</w:t>
      </w:r>
      <w:r w:rsidR="004A2890">
        <w:rPr>
          <w:rFonts w:ascii="Times New Roman" w:hAnsi="Times New Roman" w:cs="Times New Roman"/>
          <w:sz w:val="24"/>
          <w:szCs w:val="24"/>
        </w:rPr>
        <w:t>e</w:t>
      </w:r>
      <w:r w:rsidR="004A2890" w:rsidRPr="006D0DC3">
        <w:rPr>
          <w:rFonts w:ascii="Times New Roman" w:hAnsi="Times New Roman" w:cs="Times New Roman"/>
          <w:sz w:val="24"/>
          <w:szCs w:val="24"/>
        </w:rPr>
        <w:t xml:space="preserve"> (EÚ) 2019/1937</w:t>
      </w:r>
      <w:r w:rsidR="008827A6">
        <w:rPr>
          <w:rFonts w:ascii="Times New Roman" w:hAnsi="Times New Roman" w:cs="Times New Roman"/>
          <w:sz w:val="24"/>
          <w:szCs w:val="24"/>
        </w:rPr>
        <w:t xml:space="preserve"> v platnom znení</w:t>
      </w:r>
      <w:r w:rsidR="00440FE5" w:rsidRPr="008617AD">
        <w:rPr>
          <w:rFonts w:ascii="Times New Roman" w:hAnsi="Times New Roman" w:cs="Times New Roman"/>
          <w:sz w:val="24"/>
          <w:szCs w:val="24"/>
        </w:rPr>
        <w:t>, ktor</w:t>
      </w:r>
      <w:r w:rsidR="004A2890">
        <w:rPr>
          <w:rFonts w:ascii="Times New Roman" w:hAnsi="Times New Roman" w:cs="Times New Roman"/>
          <w:sz w:val="24"/>
          <w:szCs w:val="24"/>
        </w:rPr>
        <w:t xml:space="preserve">ý </w:t>
      </w:r>
      <w:r w:rsidR="00147671">
        <w:rPr>
          <w:rFonts w:ascii="Times New Roman" w:hAnsi="Times New Roman" w:cs="Times New Roman"/>
          <w:sz w:val="24"/>
          <w:szCs w:val="24"/>
        </w:rPr>
        <w:t>u</w:t>
      </w:r>
      <w:r w:rsidR="00440FE5" w:rsidRPr="008617AD">
        <w:rPr>
          <w:rFonts w:ascii="Times New Roman" w:hAnsi="Times New Roman" w:cs="Times New Roman"/>
          <w:sz w:val="24"/>
          <w:szCs w:val="24"/>
        </w:rPr>
        <w:t>stanovuje povinnosť členských štátov poskytovať Európskej komisii relevantné informácie.</w:t>
      </w:r>
      <w:r w:rsidR="004A2890">
        <w:rPr>
          <w:rFonts w:ascii="Times New Roman" w:hAnsi="Times New Roman" w:cs="Times New Roman"/>
          <w:sz w:val="24"/>
          <w:szCs w:val="24"/>
        </w:rPr>
        <w:t xml:space="preserve"> Tieto informácie poskytuje úrad za každý </w:t>
      </w:r>
      <w:r w:rsidR="0097259C">
        <w:rPr>
          <w:rFonts w:ascii="Times New Roman" w:hAnsi="Times New Roman" w:cs="Times New Roman"/>
          <w:sz w:val="24"/>
          <w:szCs w:val="24"/>
        </w:rPr>
        <w:t xml:space="preserve">predchádzajúci </w:t>
      </w:r>
      <w:r w:rsidR="004A2890">
        <w:rPr>
          <w:rFonts w:ascii="Times New Roman" w:hAnsi="Times New Roman" w:cs="Times New Roman"/>
          <w:sz w:val="24"/>
          <w:szCs w:val="24"/>
        </w:rPr>
        <w:t xml:space="preserve">rok. Za tieto informácie sa považuje </w:t>
      </w:r>
      <w:r w:rsidR="004A2890" w:rsidRPr="004A2890">
        <w:rPr>
          <w:rFonts w:ascii="Times New Roman" w:hAnsi="Times New Roman"/>
          <w:sz w:val="24"/>
          <w:szCs w:val="24"/>
        </w:rPr>
        <w:t>počet oznámení, ktoré prijal úrad, počet preverovaní, trestných konan</w:t>
      </w:r>
      <w:r w:rsidR="004A2890">
        <w:rPr>
          <w:rFonts w:ascii="Times New Roman" w:hAnsi="Times New Roman"/>
          <w:sz w:val="24"/>
          <w:szCs w:val="24"/>
        </w:rPr>
        <w:t>í</w:t>
      </w:r>
      <w:r w:rsidR="004A2890" w:rsidRPr="004A2890">
        <w:rPr>
          <w:rFonts w:ascii="Times New Roman" w:hAnsi="Times New Roman"/>
          <w:sz w:val="24"/>
          <w:szCs w:val="24"/>
        </w:rPr>
        <w:t xml:space="preserve"> alebo správnych konaní, kt</w:t>
      </w:r>
      <w:r w:rsidR="004A2890">
        <w:rPr>
          <w:rFonts w:ascii="Times New Roman" w:hAnsi="Times New Roman"/>
          <w:sz w:val="24"/>
          <w:szCs w:val="24"/>
        </w:rPr>
        <w:t xml:space="preserve">oré sa začali na základe </w:t>
      </w:r>
      <w:r w:rsidR="004A2890" w:rsidRPr="004A2890">
        <w:rPr>
          <w:rFonts w:ascii="Times New Roman" w:hAnsi="Times New Roman"/>
          <w:sz w:val="24"/>
          <w:szCs w:val="24"/>
        </w:rPr>
        <w:t>oznámení a ich dosiahnutý výsledok,</w:t>
      </w:r>
      <w:r w:rsidR="002F2C0A">
        <w:rPr>
          <w:rFonts w:ascii="Times New Roman" w:hAnsi="Times New Roman"/>
          <w:sz w:val="24"/>
          <w:szCs w:val="24"/>
        </w:rPr>
        <w:t xml:space="preserve"> </w:t>
      </w:r>
      <w:r w:rsidR="004A2890" w:rsidRPr="00CD220A">
        <w:rPr>
          <w:rFonts w:ascii="Times New Roman" w:hAnsi="Times New Roman"/>
          <w:sz w:val="24"/>
          <w:szCs w:val="24"/>
        </w:rPr>
        <w:t>ak sa zistila, aj odhadovanú škodu a sumy navrátené na základe preverovaní, trestných konaní alebo správnych konaní súvisiacich s urobenými oznámeniam</w:t>
      </w:r>
      <w:r w:rsidR="004A2890">
        <w:rPr>
          <w:rFonts w:ascii="Times New Roman" w:hAnsi="Times New Roman"/>
          <w:sz w:val="24"/>
          <w:szCs w:val="24"/>
        </w:rPr>
        <w:t>i.</w:t>
      </w:r>
      <w:r w:rsidR="00727AE8">
        <w:rPr>
          <w:rFonts w:ascii="Times New Roman" w:hAnsi="Times New Roman"/>
          <w:sz w:val="24"/>
          <w:szCs w:val="24"/>
        </w:rPr>
        <w:t xml:space="preserve"> Tieto informácie úrad poskytuje iba ak ich má k dispozícií, či už z verejne dostupných zdrojov alebo na základe dopytu od uvedených orgánov.</w:t>
      </w:r>
    </w:p>
    <w:p w14:paraId="1C2A6B5B" w14:textId="3767A026" w:rsidR="00876068" w:rsidRDefault="00876068" w:rsidP="004A2890">
      <w:pPr>
        <w:spacing w:after="0" w:line="240" w:lineRule="auto"/>
        <w:jc w:val="both"/>
        <w:rPr>
          <w:rFonts w:ascii="Times New Roman" w:hAnsi="Times New Roman"/>
          <w:sz w:val="24"/>
          <w:szCs w:val="24"/>
        </w:rPr>
      </w:pPr>
    </w:p>
    <w:p w14:paraId="1D779DA2" w14:textId="364E9A4D" w:rsidR="00876068" w:rsidRPr="00876068" w:rsidRDefault="00876068" w:rsidP="00A3392F">
      <w:pPr>
        <w:spacing w:after="0" w:line="240" w:lineRule="auto"/>
        <w:ind w:firstLine="708"/>
        <w:jc w:val="both"/>
        <w:rPr>
          <w:rFonts w:ascii="Times New Roman" w:hAnsi="Times New Roman"/>
          <w:sz w:val="24"/>
          <w:szCs w:val="24"/>
        </w:rPr>
      </w:pPr>
      <w:r>
        <w:rPr>
          <w:rFonts w:ascii="Times New Roman" w:hAnsi="Times New Roman"/>
          <w:sz w:val="24"/>
          <w:szCs w:val="24"/>
        </w:rPr>
        <w:t>Správa úradu pre Európsku komisiu je charakterom ako i obsahom odlišná od správy, ktorú má úrad povinnosť predložiť Národnej rade Slovenskej republiky podľa § 13 ods. 13 zákona. Správa adresovaná Európskej komisii má a priori štatistickú funkciu, pričom úrad má za úlohu len koncentrovať relevantné dáta, ktoré mu iné orgány poskytnú a ktoré bude mať k dispozícií za účelom vytvorenia prehľadných štatistík. Samotný úrad pritom nebude vytvárať obsah správy inak, ako doložení</w:t>
      </w:r>
      <w:r w:rsidR="007A74C1">
        <w:rPr>
          <w:rFonts w:ascii="Times New Roman" w:hAnsi="Times New Roman"/>
          <w:sz w:val="24"/>
          <w:szCs w:val="24"/>
        </w:rPr>
        <w:t>m</w:t>
      </w:r>
      <w:r>
        <w:rPr>
          <w:rFonts w:ascii="Times New Roman" w:hAnsi="Times New Roman"/>
          <w:sz w:val="24"/>
          <w:szCs w:val="24"/>
        </w:rPr>
        <w:t xml:space="preserve"> počtu oznámení, ktoré sám pridal a vytvorením uceleného sumáru správy. </w:t>
      </w:r>
    </w:p>
    <w:p w14:paraId="32395797" w14:textId="77777777" w:rsidR="00FA2C8B" w:rsidRDefault="00FA2C8B" w:rsidP="004A2890">
      <w:pPr>
        <w:spacing w:after="0" w:line="240" w:lineRule="auto"/>
        <w:jc w:val="both"/>
        <w:rPr>
          <w:rFonts w:ascii="Times New Roman" w:hAnsi="Times New Roman" w:cs="Times New Roman"/>
          <w:sz w:val="24"/>
          <w:szCs w:val="24"/>
        </w:rPr>
      </w:pPr>
    </w:p>
    <w:p w14:paraId="5CE21791" w14:textId="26DEA871" w:rsidR="00FA2C8B" w:rsidRPr="00825A19" w:rsidRDefault="00A24865" w:rsidP="004A2890">
      <w:pPr>
        <w:spacing w:after="0" w:line="240" w:lineRule="auto"/>
        <w:jc w:val="both"/>
        <w:rPr>
          <w:rFonts w:ascii="Times New Roman" w:hAnsi="Times New Roman" w:cs="Times New Roman"/>
          <w:b/>
          <w:sz w:val="24"/>
          <w:szCs w:val="24"/>
        </w:rPr>
      </w:pPr>
      <w:r w:rsidRPr="00825A19">
        <w:rPr>
          <w:rFonts w:ascii="Times New Roman" w:hAnsi="Times New Roman" w:cs="Times New Roman"/>
          <w:b/>
          <w:sz w:val="24"/>
          <w:szCs w:val="24"/>
        </w:rPr>
        <w:lastRenderedPageBreak/>
        <w:t xml:space="preserve">K bodu </w:t>
      </w:r>
      <w:r w:rsidR="007A74C1">
        <w:rPr>
          <w:rFonts w:ascii="Times New Roman" w:hAnsi="Times New Roman" w:cs="Times New Roman"/>
          <w:b/>
          <w:sz w:val="24"/>
          <w:szCs w:val="24"/>
        </w:rPr>
        <w:t>3</w:t>
      </w:r>
      <w:r w:rsidR="00F32030">
        <w:rPr>
          <w:rFonts w:ascii="Times New Roman" w:hAnsi="Times New Roman" w:cs="Times New Roman"/>
          <w:b/>
          <w:sz w:val="24"/>
          <w:szCs w:val="24"/>
        </w:rPr>
        <w:t>5</w:t>
      </w:r>
    </w:p>
    <w:p w14:paraId="68AEFC1A" w14:textId="3E0B6D3E" w:rsidR="00A24865" w:rsidRPr="00825A19" w:rsidRDefault="00DD11C2" w:rsidP="004A2890">
      <w:pPr>
        <w:spacing w:after="0" w:line="240" w:lineRule="auto"/>
        <w:jc w:val="both"/>
        <w:rPr>
          <w:rFonts w:ascii="Times New Roman" w:hAnsi="Times New Roman" w:cs="Times New Roman"/>
          <w:b/>
          <w:i/>
          <w:sz w:val="24"/>
          <w:szCs w:val="24"/>
        </w:rPr>
      </w:pPr>
      <w:r w:rsidRPr="00825A19">
        <w:rPr>
          <w:rFonts w:ascii="Times New Roman" w:hAnsi="Times New Roman" w:cs="Times New Roman"/>
          <w:b/>
          <w:i/>
          <w:sz w:val="24"/>
          <w:szCs w:val="24"/>
        </w:rPr>
        <w:t>(§ 13 ods. 1</w:t>
      </w:r>
      <w:r w:rsidR="00C436B0">
        <w:rPr>
          <w:rFonts w:ascii="Times New Roman" w:hAnsi="Times New Roman" w:cs="Times New Roman"/>
          <w:b/>
          <w:i/>
          <w:sz w:val="24"/>
          <w:szCs w:val="24"/>
        </w:rPr>
        <w:t>7</w:t>
      </w:r>
      <w:r w:rsidR="00A24865" w:rsidRPr="00825A19">
        <w:rPr>
          <w:rFonts w:ascii="Times New Roman" w:hAnsi="Times New Roman" w:cs="Times New Roman"/>
          <w:b/>
          <w:i/>
          <w:sz w:val="24"/>
          <w:szCs w:val="24"/>
        </w:rPr>
        <w:t>)</w:t>
      </w:r>
    </w:p>
    <w:p w14:paraId="1C0A56E7" w14:textId="77777777" w:rsidR="008617AD" w:rsidRPr="008617AD" w:rsidRDefault="008617AD" w:rsidP="00440FE5">
      <w:pPr>
        <w:spacing w:after="0" w:line="240" w:lineRule="auto"/>
        <w:jc w:val="both"/>
        <w:rPr>
          <w:rFonts w:ascii="Times New Roman" w:hAnsi="Times New Roman" w:cs="Times New Roman"/>
          <w:b/>
          <w:sz w:val="24"/>
          <w:szCs w:val="24"/>
        </w:rPr>
      </w:pPr>
    </w:p>
    <w:p w14:paraId="53B48D25" w14:textId="31651CB4" w:rsidR="008617AD" w:rsidRPr="008617AD" w:rsidRDefault="008617AD" w:rsidP="00440FE5">
      <w:pPr>
        <w:spacing w:after="0" w:line="240" w:lineRule="auto"/>
        <w:jc w:val="both"/>
        <w:rPr>
          <w:rFonts w:ascii="Times New Roman" w:hAnsi="Times New Roman" w:cs="Times New Roman"/>
          <w:sz w:val="24"/>
          <w:szCs w:val="24"/>
        </w:rPr>
      </w:pPr>
      <w:r w:rsidRPr="008617AD">
        <w:rPr>
          <w:rFonts w:ascii="Times New Roman" w:hAnsi="Times New Roman" w:cs="Times New Roman"/>
          <w:sz w:val="24"/>
          <w:szCs w:val="24"/>
        </w:rPr>
        <w:tab/>
        <w:t>Legislatívn</w:t>
      </w:r>
      <w:r w:rsidR="00343124">
        <w:rPr>
          <w:rFonts w:ascii="Times New Roman" w:hAnsi="Times New Roman" w:cs="Times New Roman"/>
          <w:sz w:val="24"/>
          <w:szCs w:val="24"/>
        </w:rPr>
        <w:t>o</w:t>
      </w:r>
      <w:r w:rsidR="00DD11C2">
        <w:rPr>
          <w:rFonts w:ascii="Times New Roman" w:hAnsi="Times New Roman" w:cs="Times New Roman"/>
          <w:sz w:val="24"/>
          <w:szCs w:val="24"/>
        </w:rPr>
        <w:t>-technická</w:t>
      </w:r>
      <w:r w:rsidR="00343124">
        <w:rPr>
          <w:rFonts w:ascii="Times New Roman" w:hAnsi="Times New Roman" w:cs="Times New Roman"/>
          <w:sz w:val="24"/>
          <w:szCs w:val="24"/>
        </w:rPr>
        <w:t xml:space="preserve"> </w:t>
      </w:r>
      <w:r w:rsidRPr="008617AD">
        <w:rPr>
          <w:rFonts w:ascii="Times New Roman" w:hAnsi="Times New Roman" w:cs="Times New Roman"/>
          <w:sz w:val="24"/>
          <w:szCs w:val="24"/>
        </w:rPr>
        <w:t>úprava.</w:t>
      </w:r>
    </w:p>
    <w:p w14:paraId="5097AB3E" w14:textId="77777777" w:rsidR="006B6F3B" w:rsidRPr="008617AD" w:rsidRDefault="006B6F3B" w:rsidP="009638E0">
      <w:pPr>
        <w:spacing w:after="0" w:line="240" w:lineRule="auto"/>
        <w:jc w:val="both"/>
        <w:rPr>
          <w:rFonts w:ascii="Times New Roman" w:hAnsi="Times New Roman" w:cs="Times New Roman"/>
          <w:b/>
          <w:bCs/>
          <w:sz w:val="24"/>
          <w:szCs w:val="24"/>
        </w:rPr>
      </w:pPr>
    </w:p>
    <w:p w14:paraId="65914B74" w14:textId="108D8BDD" w:rsidR="00294A72" w:rsidRDefault="008D06C7" w:rsidP="00356FA0">
      <w:pPr>
        <w:spacing w:after="0" w:line="240" w:lineRule="auto"/>
        <w:jc w:val="both"/>
        <w:rPr>
          <w:rFonts w:ascii="Times New Roman" w:hAnsi="Times New Roman" w:cs="Times New Roman"/>
          <w:b/>
          <w:bCs/>
          <w:sz w:val="24"/>
          <w:szCs w:val="24"/>
        </w:rPr>
      </w:pPr>
      <w:r w:rsidRPr="008617AD">
        <w:rPr>
          <w:rFonts w:ascii="Times New Roman" w:hAnsi="Times New Roman" w:cs="Times New Roman"/>
          <w:b/>
          <w:bCs/>
          <w:sz w:val="24"/>
          <w:szCs w:val="24"/>
        </w:rPr>
        <w:t>K</w:t>
      </w:r>
      <w:r w:rsidR="00257D46" w:rsidRPr="008617AD">
        <w:rPr>
          <w:rFonts w:ascii="Times New Roman" w:hAnsi="Times New Roman" w:cs="Times New Roman"/>
          <w:b/>
          <w:bCs/>
          <w:sz w:val="24"/>
          <w:szCs w:val="24"/>
        </w:rPr>
        <w:t> </w:t>
      </w:r>
      <w:r w:rsidRPr="008617AD">
        <w:rPr>
          <w:rFonts w:ascii="Times New Roman" w:hAnsi="Times New Roman" w:cs="Times New Roman"/>
          <w:b/>
          <w:bCs/>
          <w:sz w:val="24"/>
          <w:szCs w:val="24"/>
        </w:rPr>
        <w:t>bod</w:t>
      </w:r>
      <w:r w:rsidR="00257D46" w:rsidRPr="008617AD">
        <w:rPr>
          <w:rFonts w:ascii="Times New Roman" w:hAnsi="Times New Roman" w:cs="Times New Roman"/>
          <w:b/>
          <w:bCs/>
          <w:sz w:val="24"/>
          <w:szCs w:val="24"/>
        </w:rPr>
        <w:t xml:space="preserve">u </w:t>
      </w:r>
      <w:r w:rsidR="007A74C1">
        <w:rPr>
          <w:rFonts w:ascii="Times New Roman" w:hAnsi="Times New Roman" w:cs="Times New Roman"/>
          <w:b/>
          <w:bCs/>
          <w:sz w:val="24"/>
          <w:szCs w:val="24"/>
        </w:rPr>
        <w:t>3</w:t>
      </w:r>
      <w:r w:rsidR="00C47A87">
        <w:rPr>
          <w:rFonts w:ascii="Times New Roman" w:hAnsi="Times New Roman" w:cs="Times New Roman"/>
          <w:b/>
          <w:bCs/>
          <w:sz w:val="24"/>
          <w:szCs w:val="24"/>
        </w:rPr>
        <w:t>7</w:t>
      </w:r>
    </w:p>
    <w:p w14:paraId="12088A7E" w14:textId="77777777" w:rsidR="00DD11C2" w:rsidRPr="00825A19" w:rsidRDefault="00DD11C2" w:rsidP="00356FA0">
      <w:pPr>
        <w:spacing w:after="0" w:line="240" w:lineRule="auto"/>
        <w:jc w:val="both"/>
        <w:rPr>
          <w:rFonts w:ascii="Times New Roman" w:hAnsi="Times New Roman" w:cs="Times New Roman"/>
          <w:b/>
          <w:bCs/>
          <w:i/>
          <w:sz w:val="24"/>
          <w:szCs w:val="24"/>
        </w:rPr>
      </w:pPr>
      <w:r w:rsidRPr="00825A19">
        <w:rPr>
          <w:rFonts w:ascii="Times New Roman" w:hAnsi="Times New Roman" w:cs="Times New Roman"/>
          <w:b/>
          <w:bCs/>
          <w:i/>
          <w:sz w:val="24"/>
          <w:szCs w:val="24"/>
        </w:rPr>
        <w:t>(§ 13 ods. 18)</w:t>
      </w:r>
    </w:p>
    <w:p w14:paraId="6CB5C615" w14:textId="77777777" w:rsidR="008D06C7" w:rsidRPr="008617AD" w:rsidRDefault="008D06C7" w:rsidP="008D06C7">
      <w:pPr>
        <w:spacing w:after="0" w:line="240" w:lineRule="auto"/>
        <w:jc w:val="both"/>
        <w:rPr>
          <w:rFonts w:ascii="Times New Roman" w:hAnsi="Times New Roman" w:cs="Times New Roman"/>
          <w:sz w:val="24"/>
          <w:szCs w:val="24"/>
        </w:rPr>
      </w:pPr>
    </w:p>
    <w:p w14:paraId="147D0A51" w14:textId="2B27D7E9" w:rsidR="00582926" w:rsidRPr="008617AD" w:rsidRDefault="00505381" w:rsidP="009638E0">
      <w:pPr>
        <w:spacing w:after="0" w:line="240" w:lineRule="auto"/>
        <w:jc w:val="both"/>
        <w:rPr>
          <w:rFonts w:ascii="Times New Roman" w:hAnsi="Times New Roman" w:cs="Times New Roman"/>
          <w:sz w:val="24"/>
          <w:szCs w:val="24"/>
        </w:rPr>
      </w:pPr>
      <w:r w:rsidRPr="008617AD">
        <w:rPr>
          <w:rFonts w:ascii="Times New Roman" w:hAnsi="Times New Roman" w:cs="Times New Roman"/>
          <w:sz w:val="24"/>
          <w:szCs w:val="24"/>
        </w:rPr>
        <w:tab/>
      </w:r>
      <w:r w:rsidR="0014081B">
        <w:rPr>
          <w:rFonts w:ascii="Times New Roman" w:hAnsi="Times New Roman" w:cs="Times New Roman"/>
          <w:sz w:val="24"/>
          <w:szCs w:val="24"/>
        </w:rPr>
        <w:t>Uvedená zmena je transpozíciou smernice (EÚ) 2019/1937</w:t>
      </w:r>
      <w:r w:rsidR="007A74C1">
        <w:rPr>
          <w:rFonts w:ascii="Times New Roman" w:hAnsi="Times New Roman" w:cs="Times New Roman"/>
          <w:sz w:val="24"/>
          <w:szCs w:val="24"/>
        </w:rPr>
        <w:t xml:space="preserve"> v platnom znení</w:t>
      </w:r>
      <w:r w:rsidR="0014081B">
        <w:rPr>
          <w:rFonts w:ascii="Times New Roman" w:hAnsi="Times New Roman" w:cs="Times New Roman"/>
          <w:sz w:val="24"/>
          <w:szCs w:val="24"/>
        </w:rPr>
        <w:t>, konkrétne čl. 16 a čl. 22</w:t>
      </w:r>
      <w:r w:rsidR="00582926">
        <w:rPr>
          <w:rFonts w:ascii="Times New Roman" w:hAnsi="Times New Roman" w:cs="Times New Roman"/>
          <w:sz w:val="24"/>
          <w:szCs w:val="24"/>
        </w:rPr>
        <w:t>.</w:t>
      </w:r>
      <w:r w:rsidR="00C47A87">
        <w:rPr>
          <w:rFonts w:ascii="Times New Roman" w:hAnsi="Times New Roman" w:cs="Times New Roman"/>
          <w:sz w:val="24"/>
          <w:szCs w:val="24"/>
        </w:rPr>
        <w:t xml:space="preserve"> Poslednou vetou sa zároveň stanovuje oprávnenie úradu obdobným spôsobom akým informujú orgány činné v trestnom konaní</w:t>
      </w:r>
      <w:r w:rsidR="00405B16">
        <w:rPr>
          <w:rFonts w:ascii="Times New Roman" w:hAnsi="Times New Roman" w:cs="Times New Roman"/>
          <w:sz w:val="24"/>
          <w:szCs w:val="24"/>
        </w:rPr>
        <w:t xml:space="preserve"> podľa § 6 </w:t>
      </w:r>
      <w:r w:rsidR="00000381">
        <w:rPr>
          <w:rFonts w:ascii="Times New Roman" w:hAnsi="Times New Roman" w:cs="Times New Roman"/>
          <w:sz w:val="24"/>
          <w:szCs w:val="24"/>
        </w:rPr>
        <w:t>zákona č. 301/2005 Z. z. Trestného poriad</w:t>
      </w:r>
      <w:r w:rsidR="00405B16">
        <w:rPr>
          <w:rFonts w:ascii="Times New Roman" w:hAnsi="Times New Roman" w:cs="Times New Roman"/>
          <w:sz w:val="24"/>
          <w:szCs w:val="24"/>
        </w:rPr>
        <w:t>k</w:t>
      </w:r>
      <w:r w:rsidR="00000381">
        <w:rPr>
          <w:rFonts w:ascii="Times New Roman" w:hAnsi="Times New Roman" w:cs="Times New Roman"/>
          <w:sz w:val="24"/>
          <w:szCs w:val="24"/>
        </w:rPr>
        <w:t>u</w:t>
      </w:r>
      <w:r w:rsidR="00C47A87">
        <w:rPr>
          <w:rFonts w:ascii="Times New Roman" w:hAnsi="Times New Roman" w:cs="Times New Roman"/>
          <w:sz w:val="24"/>
          <w:szCs w:val="24"/>
        </w:rPr>
        <w:t xml:space="preserve"> o prebiehajúcich trestných stíhaniach informovať o vedených konaniach, ktoré sa týkajú oznamovateľov protispoločenskej činnosti. Uvedené oprávnenie reflektuje pozíciu úradu ako orgánu, ktorý rozširuje povedomie o oznamovaní protispoločenskej činnosti, a to aj prostredníctvom poukázania na konkrétne aktuálne prípady v spoločnosti.</w:t>
      </w:r>
    </w:p>
    <w:p w14:paraId="1C01947A" w14:textId="77777777" w:rsidR="008617AD" w:rsidRPr="008617AD" w:rsidRDefault="008617AD" w:rsidP="009638E0">
      <w:pPr>
        <w:spacing w:after="0" w:line="240" w:lineRule="auto"/>
        <w:jc w:val="both"/>
        <w:rPr>
          <w:rFonts w:ascii="Times New Roman" w:hAnsi="Times New Roman" w:cs="Times New Roman"/>
          <w:sz w:val="24"/>
          <w:szCs w:val="24"/>
        </w:rPr>
      </w:pPr>
    </w:p>
    <w:p w14:paraId="03A9D800" w14:textId="6BDB16BD" w:rsidR="008617AD" w:rsidRPr="008617AD" w:rsidRDefault="008617AD" w:rsidP="009638E0">
      <w:pPr>
        <w:spacing w:after="0" w:line="240" w:lineRule="auto"/>
        <w:jc w:val="both"/>
        <w:rPr>
          <w:rFonts w:ascii="Times New Roman" w:hAnsi="Times New Roman" w:cs="Times New Roman"/>
          <w:b/>
          <w:sz w:val="24"/>
          <w:szCs w:val="24"/>
        </w:rPr>
      </w:pPr>
      <w:r w:rsidRPr="008617AD">
        <w:rPr>
          <w:rFonts w:ascii="Times New Roman" w:hAnsi="Times New Roman" w:cs="Times New Roman"/>
          <w:b/>
          <w:sz w:val="24"/>
          <w:szCs w:val="24"/>
        </w:rPr>
        <w:t xml:space="preserve">K bodu </w:t>
      </w:r>
      <w:r w:rsidR="007A74C1">
        <w:rPr>
          <w:rFonts w:ascii="Times New Roman" w:hAnsi="Times New Roman" w:cs="Times New Roman"/>
          <w:b/>
          <w:sz w:val="24"/>
          <w:szCs w:val="24"/>
        </w:rPr>
        <w:t>3</w:t>
      </w:r>
      <w:r w:rsidR="003E2301">
        <w:rPr>
          <w:rFonts w:ascii="Times New Roman" w:hAnsi="Times New Roman" w:cs="Times New Roman"/>
          <w:b/>
          <w:sz w:val="24"/>
          <w:szCs w:val="24"/>
        </w:rPr>
        <w:t>7</w:t>
      </w:r>
    </w:p>
    <w:p w14:paraId="25D03D03" w14:textId="77777777" w:rsidR="00DD11C2" w:rsidRPr="001103D0" w:rsidRDefault="00DD11C2" w:rsidP="009638E0">
      <w:pPr>
        <w:spacing w:after="0" w:line="240" w:lineRule="auto"/>
        <w:jc w:val="both"/>
        <w:rPr>
          <w:rFonts w:ascii="Times New Roman" w:hAnsi="Times New Roman" w:cs="Times New Roman"/>
          <w:b/>
          <w:i/>
          <w:sz w:val="24"/>
          <w:szCs w:val="24"/>
        </w:rPr>
      </w:pPr>
      <w:r w:rsidRPr="001103D0">
        <w:rPr>
          <w:rFonts w:ascii="Times New Roman" w:hAnsi="Times New Roman" w:cs="Times New Roman"/>
          <w:b/>
          <w:i/>
          <w:sz w:val="24"/>
          <w:szCs w:val="24"/>
        </w:rPr>
        <w:t>(§ 14 ods. 9)</w:t>
      </w:r>
    </w:p>
    <w:p w14:paraId="40C15ABB" w14:textId="77777777" w:rsidR="00DD11C2" w:rsidRPr="008617AD" w:rsidRDefault="00DD11C2" w:rsidP="009638E0">
      <w:pPr>
        <w:spacing w:after="0" w:line="240" w:lineRule="auto"/>
        <w:jc w:val="both"/>
        <w:rPr>
          <w:rFonts w:ascii="Times New Roman" w:hAnsi="Times New Roman" w:cs="Times New Roman"/>
          <w:sz w:val="24"/>
          <w:szCs w:val="24"/>
        </w:rPr>
      </w:pPr>
    </w:p>
    <w:p w14:paraId="54C28C14" w14:textId="77777777" w:rsidR="00176767" w:rsidRPr="008617AD" w:rsidRDefault="008617AD" w:rsidP="004C446C">
      <w:pPr>
        <w:spacing w:after="0" w:line="240" w:lineRule="auto"/>
        <w:ind w:firstLine="708"/>
        <w:jc w:val="both"/>
        <w:rPr>
          <w:rFonts w:ascii="Times New Roman" w:hAnsi="Times New Roman" w:cs="Times New Roman"/>
          <w:sz w:val="24"/>
          <w:szCs w:val="24"/>
        </w:rPr>
      </w:pPr>
      <w:r w:rsidRPr="00176767">
        <w:rPr>
          <w:rFonts w:ascii="Times New Roman" w:hAnsi="Times New Roman" w:cs="Times New Roman"/>
          <w:sz w:val="24"/>
          <w:szCs w:val="24"/>
        </w:rPr>
        <w:t>Legislatívno-technická úprava</w:t>
      </w:r>
      <w:r w:rsidR="004C446C">
        <w:rPr>
          <w:rFonts w:ascii="Times New Roman" w:hAnsi="Times New Roman" w:cs="Times New Roman"/>
          <w:sz w:val="24"/>
          <w:szCs w:val="24"/>
        </w:rPr>
        <w:t>.</w:t>
      </w:r>
    </w:p>
    <w:p w14:paraId="4684B46E" w14:textId="77777777" w:rsidR="00505381" w:rsidRPr="008617AD" w:rsidRDefault="008617AD" w:rsidP="00176767">
      <w:pPr>
        <w:spacing w:after="0" w:line="240" w:lineRule="auto"/>
        <w:ind w:firstLine="708"/>
        <w:jc w:val="both"/>
        <w:rPr>
          <w:rFonts w:ascii="Times New Roman" w:hAnsi="Times New Roman" w:cs="Times New Roman"/>
          <w:sz w:val="24"/>
          <w:szCs w:val="24"/>
        </w:rPr>
      </w:pPr>
      <w:r w:rsidRPr="00176767">
        <w:rPr>
          <w:rFonts w:ascii="Times New Roman" w:hAnsi="Times New Roman" w:cs="Times New Roman"/>
          <w:sz w:val="24"/>
          <w:szCs w:val="24"/>
        </w:rPr>
        <w:t>.</w:t>
      </w:r>
    </w:p>
    <w:p w14:paraId="6C0ABFA4" w14:textId="23965141" w:rsidR="00747F96" w:rsidRDefault="00DD11C2" w:rsidP="009638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3</w:t>
      </w:r>
      <w:r w:rsidR="003E2301">
        <w:rPr>
          <w:rFonts w:ascii="Times New Roman" w:hAnsi="Times New Roman" w:cs="Times New Roman"/>
          <w:b/>
          <w:bCs/>
          <w:sz w:val="24"/>
          <w:szCs w:val="24"/>
        </w:rPr>
        <w:t>8</w:t>
      </w:r>
    </w:p>
    <w:p w14:paraId="7366F50E" w14:textId="3716909B" w:rsidR="00DD11C2" w:rsidRPr="001103D0" w:rsidRDefault="00DD11C2" w:rsidP="009638E0">
      <w:pPr>
        <w:spacing w:after="0" w:line="240" w:lineRule="auto"/>
        <w:jc w:val="both"/>
        <w:rPr>
          <w:rFonts w:ascii="Times New Roman" w:hAnsi="Times New Roman" w:cs="Times New Roman"/>
          <w:b/>
          <w:bCs/>
          <w:i/>
          <w:sz w:val="24"/>
          <w:szCs w:val="24"/>
        </w:rPr>
      </w:pPr>
      <w:r w:rsidRPr="001103D0">
        <w:rPr>
          <w:rFonts w:ascii="Times New Roman" w:hAnsi="Times New Roman" w:cs="Times New Roman"/>
          <w:b/>
          <w:bCs/>
          <w:i/>
          <w:sz w:val="24"/>
          <w:szCs w:val="24"/>
        </w:rPr>
        <w:t>(§ 18 ods. 1</w:t>
      </w:r>
      <w:r w:rsidR="00A9183D">
        <w:rPr>
          <w:rFonts w:ascii="Times New Roman" w:hAnsi="Times New Roman" w:cs="Times New Roman"/>
          <w:b/>
          <w:bCs/>
          <w:i/>
          <w:sz w:val="24"/>
          <w:szCs w:val="24"/>
        </w:rPr>
        <w:t>)</w:t>
      </w:r>
    </w:p>
    <w:p w14:paraId="4FD40B4D" w14:textId="77777777" w:rsidR="00F4230A" w:rsidRPr="00000381" w:rsidRDefault="00F4230A" w:rsidP="009638E0">
      <w:pPr>
        <w:spacing w:after="0" w:line="240" w:lineRule="auto"/>
        <w:jc w:val="both"/>
        <w:rPr>
          <w:rFonts w:ascii="Times New Roman" w:hAnsi="Times New Roman" w:cs="Times New Roman"/>
          <w:sz w:val="24"/>
          <w:szCs w:val="24"/>
        </w:rPr>
      </w:pPr>
    </w:p>
    <w:p w14:paraId="14C2747F" w14:textId="77777777" w:rsidR="00DD3317" w:rsidRDefault="00DD3317" w:rsidP="00DD3317">
      <w:pPr>
        <w:spacing w:after="0" w:line="240" w:lineRule="auto"/>
        <w:ind w:firstLine="708"/>
        <w:jc w:val="both"/>
        <w:rPr>
          <w:rFonts w:ascii="Times New Roman" w:hAnsi="Times New Roman" w:cs="Times New Roman"/>
          <w:sz w:val="24"/>
          <w:szCs w:val="24"/>
        </w:rPr>
      </w:pPr>
      <w:r w:rsidRPr="008617AD">
        <w:rPr>
          <w:rFonts w:ascii="Times New Roman" w:hAnsi="Times New Roman" w:cs="Times New Roman"/>
          <w:sz w:val="24"/>
          <w:szCs w:val="24"/>
        </w:rPr>
        <w:t xml:space="preserve">Cieľom navrhovanej právnej úpravy je posilniť ochranu oznamovateľov pred akýmkoľvek postihom, ktorý súvisí s pracovnoprávnym vzťahom a oznamovateľovi alebo </w:t>
      </w:r>
      <w:r w:rsidR="0084566C" w:rsidRPr="008617AD">
        <w:rPr>
          <w:rFonts w:ascii="Times New Roman" w:hAnsi="Times New Roman" w:cs="Times New Roman"/>
          <w:sz w:val="24"/>
          <w:szCs w:val="24"/>
        </w:rPr>
        <w:t>inej osobe o ktorej možno predpokladať, že je postihnutá v súvislosti s oznámením</w:t>
      </w:r>
      <w:r w:rsidRPr="008617AD">
        <w:rPr>
          <w:rFonts w:ascii="Times New Roman" w:hAnsi="Times New Roman" w:cs="Times New Roman"/>
          <w:sz w:val="24"/>
          <w:szCs w:val="24"/>
        </w:rPr>
        <w:t xml:space="preserve"> spôsobia alebo môžu spôsobiť neopodstatnenú ujmu. </w:t>
      </w:r>
    </w:p>
    <w:p w14:paraId="02FBF8B8" w14:textId="77777777" w:rsidR="00825A19" w:rsidRPr="008617AD" w:rsidRDefault="00825A19" w:rsidP="00DD3317">
      <w:pPr>
        <w:spacing w:after="0" w:line="240" w:lineRule="auto"/>
        <w:ind w:firstLine="708"/>
        <w:jc w:val="both"/>
        <w:rPr>
          <w:rFonts w:ascii="Times New Roman" w:hAnsi="Times New Roman" w:cs="Times New Roman"/>
          <w:sz w:val="24"/>
          <w:szCs w:val="24"/>
        </w:rPr>
      </w:pPr>
    </w:p>
    <w:p w14:paraId="17815063" w14:textId="77777777" w:rsidR="0084566C" w:rsidRPr="008617AD" w:rsidRDefault="0084566C" w:rsidP="0084566C">
      <w:pPr>
        <w:spacing w:after="0" w:line="240" w:lineRule="auto"/>
        <w:ind w:firstLine="708"/>
        <w:jc w:val="both"/>
        <w:rPr>
          <w:rFonts w:ascii="Times New Roman" w:hAnsi="Times New Roman" w:cs="Times New Roman"/>
          <w:sz w:val="24"/>
          <w:szCs w:val="24"/>
        </w:rPr>
      </w:pPr>
      <w:r w:rsidRPr="008617AD">
        <w:rPr>
          <w:rFonts w:ascii="Times New Roman" w:hAnsi="Times New Roman" w:cs="Times New Roman"/>
          <w:sz w:val="24"/>
          <w:szCs w:val="24"/>
        </w:rPr>
        <w:t>Medzi postihy</w:t>
      </w:r>
      <w:r w:rsidR="00DF44D2" w:rsidRPr="008617AD">
        <w:rPr>
          <w:rFonts w:ascii="Times New Roman" w:hAnsi="Times New Roman" w:cs="Times New Roman"/>
          <w:sz w:val="24"/>
          <w:szCs w:val="24"/>
        </w:rPr>
        <w:t xml:space="preserve"> a pracovnoprávne úkony</w:t>
      </w:r>
      <w:r w:rsidR="00DD3317" w:rsidRPr="008617AD">
        <w:rPr>
          <w:rFonts w:ascii="Times New Roman" w:hAnsi="Times New Roman" w:cs="Times New Roman"/>
          <w:sz w:val="24"/>
          <w:szCs w:val="24"/>
        </w:rPr>
        <w:t>,</w:t>
      </w:r>
      <w:r w:rsidRPr="008617AD">
        <w:rPr>
          <w:rFonts w:ascii="Times New Roman" w:hAnsi="Times New Roman" w:cs="Times New Roman"/>
          <w:sz w:val="24"/>
          <w:szCs w:val="24"/>
        </w:rPr>
        <w:t xml:space="preserve"> ktoré môžu</w:t>
      </w:r>
      <w:r w:rsidR="00DD3317" w:rsidRPr="008617AD">
        <w:rPr>
          <w:rFonts w:ascii="Times New Roman" w:hAnsi="Times New Roman" w:cs="Times New Roman"/>
          <w:sz w:val="24"/>
          <w:szCs w:val="24"/>
        </w:rPr>
        <w:t xml:space="preserve"> spôsobiť ozna</w:t>
      </w:r>
      <w:r w:rsidRPr="008617AD">
        <w:rPr>
          <w:rFonts w:ascii="Times New Roman" w:hAnsi="Times New Roman" w:cs="Times New Roman"/>
          <w:sz w:val="24"/>
          <w:szCs w:val="24"/>
        </w:rPr>
        <w:t>movateľovi alebo inej osobe</w:t>
      </w:r>
      <w:r w:rsidR="001333EF">
        <w:rPr>
          <w:rFonts w:ascii="Times New Roman" w:hAnsi="Times New Roman" w:cs="Times New Roman"/>
          <w:sz w:val="24"/>
          <w:szCs w:val="24"/>
        </w:rPr>
        <w:t>,</w:t>
      </w:r>
      <w:r w:rsidRPr="008617AD">
        <w:rPr>
          <w:rFonts w:ascii="Times New Roman" w:hAnsi="Times New Roman" w:cs="Times New Roman"/>
          <w:sz w:val="24"/>
          <w:szCs w:val="24"/>
        </w:rPr>
        <w:t xml:space="preserve"> o ktorej možno predpokladať, že je postihnutá v súvislosti s</w:t>
      </w:r>
      <w:r w:rsidR="001333EF">
        <w:rPr>
          <w:rFonts w:ascii="Times New Roman" w:hAnsi="Times New Roman" w:cs="Times New Roman"/>
          <w:sz w:val="24"/>
          <w:szCs w:val="24"/>
        </w:rPr>
        <w:t> </w:t>
      </w:r>
      <w:r w:rsidRPr="008617AD">
        <w:rPr>
          <w:rFonts w:ascii="Times New Roman" w:hAnsi="Times New Roman" w:cs="Times New Roman"/>
          <w:sz w:val="24"/>
          <w:szCs w:val="24"/>
        </w:rPr>
        <w:t>oznámením</w:t>
      </w:r>
      <w:r w:rsidR="001333EF">
        <w:rPr>
          <w:rFonts w:ascii="Times New Roman" w:hAnsi="Times New Roman" w:cs="Times New Roman"/>
          <w:sz w:val="24"/>
          <w:szCs w:val="24"/>
        </w:rPr>
        <w:t>,</w:t>
      </w:r>
      <w:r w:rsidRPr="008617AD">
        <w:rPr>
          <w:rFonts w:ascii="Times New Roman" w:hAnsi="Times New Roman" w:cs="Times New Roman"/>
          <w:sz w:val="24"/>
          <w:szCs w:val="24"/>
        </w:rPr>
        <w:t xml:space="preserve"> neopodstatnenú ujmu</w:t>
      </w:r>
      <w:r w:rsidR="00D02146">
        <w:rPr>
          <w:rFonts w:ascii="Times New Roman" w:hAnsi="Times New Roman" w:cs="Times New Roman"/>
          <w:sz w:val="24"/>
          <w:szCs w:val="24"/>
        </w:rPr>
        <w:t xml:space="preserve"> (odvetné opatrenie)</w:t>
      </w:r>
      <w:r w:rsidR="00DF44D2" w:rsidRPr="008617AD">
        <w:rPr>
          <w:rFonts w:ascii="Times New Roman" w:hAnsi="Times New Roman" w:cs="Times New Roman"/>
          <w:sz w:val="24"/>
          <w:szCs w:val="24"/>
        </w:rPr>
        <w:t>,</w:t>
      </w:r>
      <w:r w:rsidRPr="008617AD">
        <w:rPr>
          <w:rFonts w:ascii="Times New Roman" w:hAnsi="Times New Roman" w:cs="Times New Roman"/>
          <w:sz w:val="24"/>
          <w:szCs w:val="24"/>
        </w:rPr>
        <w:t xml:space="preserve"> patria najmä</w:t>
      </w:r>
    </w:p>
    <w:p w14:paraId="56F59984" w14:textId="77777777" w:rsidR="0084566C" w:rsidRPr="008617AD" w:rsidRDefault="0084566C" w:rsidP="0084566C">
      <w:pPr>
        <w:pStyle w:val="Odsekzoznamu"/>
        <w:numPr>
          <w:ilvl w:val="1"/>
          <w:numId w:val="5"/>
        </w:numPr>
        <w:spacing w:after="0" w:line="240" w:lineRule="auto"/>
        <w:ind w:left="426" w:hanging="426"/>
        <w:jc w:val="both"/>
        <w:rPr>
          <w:rFonts w:ascii="Times New Roman" w:hAnsi="Times New Roman" w:cs="Times New Roman"/>
          <w:sz w:val="24"/>
          <w:szCs w:val="24"/>
        </w:rPr>
      </w:pPr>
      <w:r w:rsidRPr="00FC7D7A">
        <w:rPr>
          <w:rFonts w:ascii="Times New Roman" w:hAnsi="Times New Roman" w:cs="Times New Roman"/>
          <w:sz w:val="24"/>
          <w:szCs w:val="24"/>
        </w:rPr>
        <w:t>pozastavenie výkonu činnosti</w:t>
      </w:r>
      <w:r w:rsidRPr="008617AD">
        <w:rPr>
          <w:rFonts w:ascii="Times New Roman" w:hAnsi="Times New Roman" w:cs="Times New Roman"/>
          <w:sz w:val="24"/>
          <w:szCs w:val="24"/>
        </w:rPr>
        <w:t>, výpoveď, odvolanie</w:t>
      </w:r>
      <w:r w:rsidR="00DF44D2" w:rsidRPr="008617AD">
        <w:rPr>
          <w:rFonts w:ascii="Times New Roman" w:hAnsi="Times New Roman" w:cs="Times New Roman"/>
          <w:sz w:val="24"/>
          <w:szCs w:val="24"/>
        </w:rPr>
        <w:t xml:space="preserve"> alebo rovnocenný</w:t>
      </w:r>
      <w:r w:rsidR="00C37CE4">
        <w:rPr>
          <w:rFonts w:ascii="Times New Roman" w:hAnsi="Times New Roman" w:cs="Times New Roman"/>
          <w:sz w:val="24"/>
          <w:szCs w:val="24"/>
        </w:rPr>
        <w:t xml:space="preserve"> </w:t>
      </w:r>
      <w:r w:rsidR="00DF44D2" w:rsidRPr="008617AD">
        <w:rPr>
          <w:rFonts w:ascii="Times New Roman" w:hAnsi="Times New Roman" w:cs="Times New Roman"/>
          <w:sz w:val="24"/>
          <w:szCs w:val="24"/>
        </w:rPr>
        <w:t>právny úkon</w:t>
      </w:r>
      <w:r w:rsidRPr="008617AD">
        <w:rPr>
          <w:rFonts w:ascii="Times New Roman" w:hAnsi="Times New Roman" w:cs="Times New Roman"/>
          <w:sz w:val="24"/>
          <w:szCs w:val="24"/>
        </w:rPr>
        <w:t xml:space="preserve">, </w:t>
      </w:r>
    </w:p>
    <w:p w14:paraId="270F4C99" w14:textId="77777777" w:rsidR="0084566C" w:rsidRPr="008617AD" w:rsidRDefault="0084566C"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8617AD">
        <w:rPr>
          <w:rFonts w:ascii="Times New Roman" w:hAnsi="Times New Roman" w:cs="Times New Roman"/>
          <w:sz w:val="24"/>
          <w:szCs w:val="24"/>
        </w:rPr>
        <w:t xml:space="preserve">preradenie na nižšiu pozíciu alebo odmietnutie povýšenia, </w:t>
      </w:r>
    </w:p>
    <w:p w14:paraId="10FA55CA" w14:textId="77777777" w:rsidR="0084566C" w:rsidRPr="008617AD" w:rsidRDefault="0084566C"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8617AD">
        <w:rPr>
          <w:rFonts w:ascii="Times New Roman" w:hAnsi="Times New Roman" w:cs="Times New Roman"/>
          <w:sz w:val="24"/>
          <w:szCs w:val="24"/>
        </w:rPr>
        <w:t xml:space="preserve">presun povinností, zmena miesta výkonu práce, zníženie mzdy, zmena pracovného času, </w:t>
      </w:r>
    </w:p>
    <w:p w14:paraId="6EB9CF71" w14:textId="5DD9F726" w:rsidR="0084566C" w:rsidRDefault="0084566C"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8617AD">
        <w:rPr>
          <w:rFonts w:ascii="Times New Roman" w:hAnsi="Times New Roman" w:cs="Times New Roman"/>
          <w:sz w:val="24"/>
          <w:szCs w:val="24"/>
        </w:rPr>
        <w:t xml:space="preserve">neposkytnutie </w:t>
      </w:r>
      <w:r w:rsidR="00011160" w:rsidRPr="008617AD">
        <w:rPr>
          <w:rFonts w:ascii="Times New Roman" w:hAnsi="Times New Roman" w:cs="Times New Roman"/>
          <w:sz w:val="24"/>
          <w:szCs w:val="24"/>
        </w:rPr>
        <w:t>zaškolenia, zaučenia, rekvalifikácie alebo prehlbovania kvalifikácie zamestnanca</w:t>
      </w:r>
      <w:r w:rsidRPr="008617AD">
        <w:rPr>
          <w:rFonts w:ascii="Times New Roman" w:hAnsi="Times New Roman" w:cs="Times New Roman"/>
          <w:sz w:val="24"/>
          <w:szCs w:val="24"/>
        </w:rPr>
        <w:t xml:space="preserve">, </w:t>
      </w:r>
    </w:p>
    <w:p w14:paraId="0DEB6751" w14:textId="6FAFDD87" w:rsidR="00624F31" w:rsidRPr="008617AD" w:rsidRDefault="00624F31"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neposkytnutie odmeny, na ktorú má oznamovateľ nárok</w:t>
      </w:r>
    </w:p>
    <w:p w14:paraId="69581091" w14:textId="77777777" w:rsidR="0084566C" w:rsidRPr="008617AD" w:rsidRDefault="00011160"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8617AD">
        <w:rPr>
          <w:rFonts w:ascii="Times New Roman" w:hAnsi="Times New Roman" w:cs="Times New Roman"/>
          <w:sz w:val="24"/>
          <w:szCs w:val="24"/>
        </w:rPr>
        <w:t>negatívny pracovný alebo služobný posudok</w:t>
      </w:r>
      <w:r w:rsidR="0084566C" w:rsidRPr="008617AD">
        <w:rPr>
          <w:rFonts w:ascii="Times New Roman" w:hAnsi="Times New Roman" w:cs="Times New Roman"/>
          <w:sz w:val="24"/>
          <w:szCs w:val="24"/>
        </w:rPr>
        <w:t xml:space="preserve">, </w:t>
      </w:r>
    </w:p>
    <w:p w14:paraId="728087E1" w14:textId="77777777" w:rsidR="0084566C" w:rsidRPr="008617AD" w:rsidRDefault="0084566C"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8617AD">
        <w:rPr>
          <w:rFonts w:ascii="Times New Roman" w:hAnsi="Times New Roman" w:cs="Times New Roman"/>
          <w:sz w:val="24"/>
          <w:szCs w:val="24"/>
        </w:rPr>
        <w:t>uloženie alebo vykonanie akéhokoľvek disciplinárneho opatrenia</w:t>
      </w:r>
      <w:r w:rsidR="00011160" w:rsidRPr="008617AD">
        <w:rPr>
          <w:rFonts w:ascii="Times New Roman" w:hAnsi="Times New Roman" w:cs="Times New Roman"/>
          <w:sz w:val="24"/>
          <w:szCs w:val="24"/>
        </w:rPr>
        <w:t>, upozornenia na porušenie pracovnej disciplíny alebo inej sankcie,</w:t>
      </w:r>
    </w:p>
    <w:p w14:paraId="47E9B095" w14:textId="77777777" w:rsidR="0084566C" w:rsidRPr="008617AD" w:rsidRDefault="0084566C"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8617AD">
        <w:rPr>
          <w:rFonts w:ascii="Times New Roman" w:hAnsi="Times New Roman" w:cs="Times New Roman"/>
          <w:sz w:val="24"/>
          <w:szCs w:val="24"/>
        </w:rPr>
        <w:t>nát</w:t>
      </w:r>
      <w:r w:rsidR="00DF44D2" w:rsidRPr="008617AD">
        <w:rPr>
          <w:rFonts w:ascii="Times New Roman" w:hAnsi="Times New Roman" w:cs="Times New Roman"/>
          <w:sz w:val="24"/>
          <w:szCs w:val="24"/>
        </w:rPr>
        <w:t>lak, zastrašovanie alebo obťažovanie,</w:t>
      </w:r>
    </w:p>
    <w:p w14:paraId="6B28290E" w14:textId="77777777" w:rsidR="0084566C" w:rsidRDefault="00011160"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8617AD">
        <w:rPr>
          <w:rFonts w:ascii="Times New Roman" w:hAnsi="Times New Roman" w:cs="Times New Roman"/>
          <w:sz w:val="24"/>
          <w:szCs w:val="24"/>
        </w:rPr>
        <w:t>porušenie zásady rovnakého zaobchádzania,</w:t>
      </w:r>
    </w:p>
    <w:p w14:paraId="7EBBF19F" w14:textId="77777777" w:rsidR="00D22F51" w:rsidRPr="004C446C" w:rsidRDefault="00D22F51"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4C446C">
        <w:rPr>
          <w:rFonts w:ascii="Times New Roman" w:hAnsi="Times New Roman" w:cs="Times New Roman"/>
          <w:sz w:val="24"/>
          <w:szCs w:val="24"/>
        </w:rPr>
        <w:t>predčasné ukončenie pracovnej zmluvy na dobu určitú,</w:t>
      </w:r>
    </w:p>
    <w:p w14:paraId="0B316490" w14:textId="77777777" w:rsidR="0084566C" w:rsidRDefault="0084566C"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8617AD">
        <w:rPr>
          <w:rFonts w:ascii="Times New Roman" w:hAnsi="Times New Roman" w:cs="Times New Roman"/>
          <w:sz w:val="24"/>
          <w:szCs w:val="24"/>
        </w:rPr>
        <w:t xml:space="preserve">spôsobenie ujmy vrátane poškodenia </w:t>
      </w:r>
      <w:r w:rsidR="00A20071" w:rsidRPr="008617AD">
        <w:rPr>
          <w:rFonts w:ascii="Times New Roman" w:hAnsi="Times New Roman" w:cs="Times New Roman"/>
          <w:sz w:val="24"/>
          <w:szCs w:val="24"/>
        </w:rPr>
        <w:t>dobrého mena</w:t>
      </w:r>
      <w:r w:rsidRPr="008617AD">
        <w:rPr>
          <w:rFonts w:ascii="Times New Roman" w:hAnsi="Times New Roman" w:cs="Times New Roman"/>
          <w:sz w:val="24"/>
          <w:szCs w:val="24"/>
        </w:rPr>
        <w:t xml:space="preserve"> osoby, najmä v sociálnych médiách, alebo </w:t>
      </w:r>
      <w:r w:rsidR="00A20071" w:rsidRPr="008617AD">
        <w:rPr>
          <w:rFonts w:ascii="Times New Roman" w:hAnsi="Times New Roman" w:cs="Times New Roman"/>
          <w:sz w:val="24"/>
          <w:szCs w:val="24"/>
        </w:rPr>
        <w:t>ušlého zisku,</w:t>
      </w:r>
    </w:p>
    <w:p w14:paraId="00EBAF46" w14:textId="77777777" w:rsidR="00D22F51" w:rsidRPr="004C446C" w:rsidRDefault="00D22F51" w:rsidP="00D22F51">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4C446C">
        <w:rPr>
          <w:rFonts w:ascii="Times New Roman" w:hAnsi="Times New Roman" w:cs="Times New Roman"/>
          <w:sz w:val="24"/>
          <w:szCs w:val="24"/>
        </w:rPr>
        <w:t>zaradenie na čiernu listinu na základe neformálnej alebo formálnej dohody v rámci odvetvia či priemyslu, čo môže znamenať, že táto osoba si už budúcnosti v tomto odvetví alebo priemysle nenájde zamestnanie</w:t>
      </w:r>
      <w:r w:rsidR="00090CC6" w:rsidRPr="004C446C">
        <w:rPr>
          <w:rFonts w:ascii="Times New Roman" w:hAnsi="Times New Roman" w:cs="Times New Roman"/>
          <w:sz w:val="24"/>
          <w:szCs w:val="24"/>
        </w:rPr>
        <w:t>,</w:t>
      </w:r>
    </w:p>
    <w:p w14:paraId="6CAFC46D" w14:textId="77777777" w:rsidR="0084566C" w:rsidRPr="008617AD" w:rsidRDefault="0084566C"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8617AD">
        <w:rPr>
          <w:rFonts w:ascii="Times New Roman" w:hAnsi="Times New Roman" w:cs="Times New Roman"/>
          <w:sz w:val="24"/>
          <w:szCs w:val="24"/>
        </w:rPr>
        <w:lastRenderedPageBreak/>
        <w:t>pr</w:t>
      </w:r>
      <w:r w:rsidR="00A20071" w:rsidRPr="008617AD">
        <w:rPr>
          <w:rFonts w:ascii="Times New Roman" w:hAnsi="Times New Roman" w:cs="Times New Roman"/>
          <w:sz w:val="24"/>
          <w:szCs w:val="24"/>
        </w:rPr>
        <w:t>edčasné ukončenie alebo zrušenie</w:t>
      </w:r>
      <w:r w:rsidRPr="008617AD">
        <w:rPr>
          <w:rFonts w:ascii="Times New Roman" w:hAnsi="Times New Roman" w:cs="Times New Roman"/>
          <w:sz w:val="24"/>
          <w:szCs w:val="24"/>
        </w:rPr>
        <w:t xml:space="preserve"> zmluvy o dodávke tovarov alebo poskytovaní služieb, </w:t>
      </w:r>
    </w:p>
    <w:p w14:paraId="2E0F8C0D" w14:textId="77777777" w:rsidR="0084566C" w:rsidRPr="008617AD" w:rsidRDefault="0084566C"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8617AD">
        <w:rPr>
          <w:rFonts w:ascii="Times New Roman" w:hAnsi="Times New Roman" w:cs="Times New Roman"/>
          <w:sz w:val="24"/>
          <w:szCs w:val="24"/>
        </w:rPr>
        <w:t>zrušenie</w:t>
      </w:r>
      <w:r w:rsidR="00985F7A" w:rsidRPr="008617AD">
        <w:rPr>
          <w:rFonts w:ascii="Times New Roman" w:hAnsi="Times New Roman" w:cs="Times New Roman"/>
          <w:sz w:val="24"/>
          <w:szCs w:val="24"/>
        </w:rPr>
        <w:t xml:space="preserve"> licencie alebo</w:t>
      </w:r>
      <w:r w:rsidRPr="008617AD">
        <w:rPr>
          <w:rFonts w:ascii="Times New Roman" w:hAnsi="Times New Roman" w:cs="Times New Roman"/>
          <w:sz w:val="24"/>
          <w:szCs w:val="24"/>
        </w:rPr>
        <w:t xml:space="preserve"> povolenia, </w:t>
      </w:r>
    </w:p>
    <w:p w14:paraId="257C96E1" w14:textId="77777777" w:rsidR="0084566C" w:rsidRPr="008617AD" w:rsidRDefault="0084566C" w:rsidP="0084566C">
      <w:pPr>
        <w:pStyle w:val="Odsekzoznamu"/>
        <w:numPr>
          <w:ilvl w:val="1"/>
          <w:numId w:val="5"/>
        </w:numPr>
        <w:adjustRightInd w:val="0"/>
        <w:spacing w:after="0" w:line="240" w:lineRule="auto"/>
        <w:ind w:left="426" w:hanging="426"/>
        <w:contextualSpacing w:val="0"/>
        <w:jc w:val="both"/>
        <w:rPr>
          <w:rFonts w:ascii="Times New Roman" w:hAnsi="Times New Roman" w:cs="Times New Roman"/>
          <w:sz w:val="24"/>
          <w:szCs w:val="24"/>
        </w:rPr>
      </w:pPr>
      <w:r w:rsidRPr="008617AD">
        <w:rPr>
          <w:rFonts w:ascii="Times New Roman" w:hAnsi="Times New Roman" w:cs="Times New Roman"/>
          <w:sz w:val="24"/>
          <w:szCs w:val="24"/>
        </w:rPr>
        <w:t xml:space="preserve">vyžadovanie lekárskeho vyšetrenia, </w:t>
      </w:r>
      <w:r w:rsidR="007574B2">
        <w:rPr>
          <w:rFonts w:ascii="Times New Roman" w:hAnsi="Times New Roman" w:cs="Times New Roman"/>
          <w:sz w:val="24"/>
          <w:szCs w:val="24"/>
        </w:rPr>
        <w:t xml:space="preserve">napr. psychiatrického vyšetrenia, </w:t>
      </w:r>
    </w:p>
    <w:p w14:paraId="37B50C82" w14:textId="77777777" w:rsidR="0084566C" w:rsidRPr="008617AD" w:rsidRDefault="0084566C" w:rsidP="00DF44D2">
      <w:pPr>
        <w:pStyle w:val="Odsekzoznamu"/>
        <w:numPr>
          <w:ilvl w:val="1"/>
          <w:numId w:val="5"/>
        </w:numPr>
        <w:spacing w:after="0" w:line="240" w:lineRule="auto"/>
        <w:ind w:left="426" w:hanging="426"/>
        <w:jc w:val="both"/>
        <w:rPr>
          <w:rFonts w:ascii="Times New Roman" w:hAnsi="Times New Roman" w:cs="Times New Roman"/>
          <w:sz w:val="24"/>
          <w:szCs w:val="24"/>
        </w:rPr>
      </w:pPr>
      <w:r w:rsidRPr="008617AD">
        <w:rPr>
          <w:rFonts w:ascii="Times New Roman" w:hAnsi="Times New Roman" w:cs="Times New Roman"/>
          <w:sz w:val="24"/>
          <w:szCs w:val="24"/>
        </w:rPr>
        <w:t>podanie žaloby alebo sťažnosti, ktoré je zneužitím práva na podanie takejto žaloby alebo sťažnosti</w:t>
      </w:r>
      <w:r w:rsidR="00147671">
        <w:rPr>
          <w:rFonts w:ascii="Times New Roman" w:hAnsi="Times New Roman" w:cs="Times New Roman"/>
          <w:sz w:val="24"/>
          <w:szCs w:val="24"/>
        </w:rPr>
        <w:t>.</w:t>
      </w:r>
    </w:p>
    <w:p w14:paraId="37AD97BE" w14:textId="77777777" w:rsidR="0084566C" w:rsidRPr="008617AD" w:rsidRDefault="0084566C" w:rsidP="00DD3317">
      <w:pPr>
        <w:spacing w:after="0" w:line="240" w:lineRule="auto"/>
        <w:ind w:firstLine="708"/>
        <w:jc w:val="both"/>
        <w:rPr>
          <w:rFonts w:ascii="Times New Roman" w:hAnsi="Times New Roman" w:cs="Times New Roman"/>
          <w:sz w:val="24"/>
          <w:szCs w:val="24"/>
        </w:rPr>
      </w:pPr>
    </w:p>
    <w:p w14:paraId="19A31690" w14:textId="2752DD50" w:rsidR="00DD3317" w:rsidRDefault="00DD3317" w:rsidP="00DD3317">
      <w:pPr>
        <w:spacing w:after="0" w:line="240" w:lineRule="auto"/>
        <w:ind w:firstLine="708"/>
        <w:jc w:val="both"/>
        <w:rPr>
          <w:rFonts w:ascii="Times New Roman" w:hAnsi="Times New Roman" w:cs="Times New Roman"/>
          <w:sz w:val="24"/>
          <w:szCs w:val="24"/>
        </w:rPr>
      </w:pPr>
      <w:r w:rsidRPr="008617AD">
        <w:rPr>
          <w:rFonts w:ascii="Times New Roman" w:hAnsi="Times New Roman" w:cs="Times New Roman"/>
          <w:sz w:val="24"/>
          <w:szCs w:val="24"/>
        </w:rPr>
        <w:t xml:space="preserve">Je však potrebné zdôrazniť, že cieľom navrhovanej právnej úpravy nie je brániť zamestnávateľom, aby prijímali rozhodnutia súvisiace so zamestnaním, ktoré nesúvisia s oznamovaním podľa tohto zákona. </w:t>
      </w:r>
    </w:p>
    <w:p w14:paraId="310102CB" w14:textId="269555DE" w:rsidR="00B02CC8" w:rsidRDefault="00B02CC8" w:rsidP="00DD3317">
      <w:pPr>
        <w:spacing w:after="0" w:line="240" w:lineRule="auto"/>
        <w:ind w:firstLine="708"/>
        <w:jc w:val="both"/>
        <w:rPr>
          <w:rFonts w:ascii="Times New Roman" w:hAnsi="Times New Roman" w:cs="Times New Roman"/>
          <w:sz w:val="24"/>
          <w:szCs w:val="24"/>
        </w:rPr>
      </w:pPr>
    </w:p>
    <w:p w14:paraId="4A0BDF58" w14:textId="5CCBDCDF" w:rsidR="00B02CC8" w:rsidRDefault="00B02CC8" w:rsidP="00DD3317">
      <w:pPr>
        <w:spacing w:after="0" w:line="240" w:lineRule="auto"/>
        <w:ind w:firstLine="708"/>
        <w:jc w:val="both"/>
        <w:rPr>
          <w:rFonts w:ascii="Times New Roman" w:hAnsi="Times New Roman" w:cs="Times New Roman"/>
          <w:sz w:val="24"/>
          <w:szCs w:val="24"/>
        </w:rPr>
      </w:pPr>
      <w:r w:rsidRPr="005748DA">
        <w:rPr>
          <w:rFonts w:ascii="Times New Roman" w:hAnsi="Times New Roman" w:cs="Times New Roman"/>
          <w:sz w:val="24"/>
          <w:szCs w:val="24"/>
        </w:rPr>
        <w:t>Zároveň sa uvedenou úpravou zavádza pojem pokus o postih. Takáto skutková podstata</w:t>
      </w:r>
      <w:r w:rsidR="00EB0C0D" w:rsidRPr="005748DA">
        <w:rPr>
          <w:rFonts w:ascii="Times New Roman" w:hAnsi="Times New Roman" w:cs="Times New Roman"/>
          <w:sz w:val="24"/>
          <w:szCs w:val="24"/>
        </w:rPr>
        <w:t xml:space="preserve"> slúži na to aby zahrnula aj prípady kedy síce nepríde k naplneniu samotného postihu, napr. zrušením licencie, ktorej právoplatnosť nepotvrdí nadriadený orgán či uložením disciplinárneho opatrenia, ktoré bude následne nadriadeným orgánom zrušené. Takéto, či iné postihy, ktoré sú vykonané avšak nenadobudnú právoplatnosť a sú následne zrušené možno považovať ako pokusy o postih.</w:t>
      </w:r>
    </w:p>
    <w:p w14:paraId="0ABB075F" w14:textId="26814A42" w:rsidR="00031C9B" w:rsidRPr="008617AD" w:rsidRDefault="00031C9B" w:rsidP="00747F96">
      <w:pPr>
        <w:spacing w:after="0" w:line="240" w:lineRule="auto"/>
        <w:jc w:val="both"/>
        <w:rPr>
          <w:rFonts w:ascii="Times New Roman" w:hAnsi="Times New Roman" w:cs="Times New Roman"/>
          <w:sz w:val="24"/>
          <w:szCs w:val="24"/>
        </w:rPr>
      </w:pPr>
    </w:p>
    <w:p w14:paraId="494AC39D" w14:textId="73CF8F80" w:rsidR="00C37CE4" w:rsidRPr="008617AD" w:rsidRDefault="00F4230A" w:rsidP="00747F96">
      <w:pPr>
        <w:spacing w:after="0" w:line="240" w:lineRule="auto"/>
        <w:jc w:val="both"/>
        <w:rPr>
          <w:rFonts w:ascii="Times New Roman" w:hAnsi="Times New Roman" w:cs="Times New Roman"/>
          <w:sz w:val="24"/>
          <w:szCs w:val="24"/>
        </w:rPr>
      </w:pPr>
      <w:r w:rsidRPr="008617AD">
        <w:rPr>
          <w:rFonts w:ascii="Times New Roman" w:hAnsi="Times New Roman" w:cs="Times New Roman"/>
          <w:sz w:val="24"/>
          <w:szCs w:val="24"/>
        </w:rPr>
        <w:tab/>
      </w:r>
      <w:r w:rsidR="00985F7A" w:rsidRPr="008617AD">
        <w:rPr>
          <w:rFonts w:ascii="Times New Roman" w:hAnsi="Times New Roman" w:cs="Times New Roman"/>
          <w:sz w:val="24"/>
          <w:szCs w:val="24"/>
        </w:rPr>
        <w:t xml:space="preserve">Navrhuje sa </w:t>
      </w:r>
      <w:r w:rsidR="00111019">
        <w:rPr>
          <w:rFonts w:ascii="Times New Roman" w:hAnsi="Times New Roman" w:cs="Times New Roman"/>
          <w:sz w:val="24"/>
          <w:szCs w:val="24"/>
        </w:rPr>
        <w:t>u</w:t>
      </w:r>
      <w:r w:rsidR="00985F7A" w:rsidRPr="008617AD">
        <w:rPr>
          <w:rFonts w:ascii="Times New Roman" w:hAnsi="Times New Roman" w:cs="Times New Roman"/>
          <w:sz w:val="24"/>
          <w:szCs w:val="24"/>
        </w:rPr>
        <w:t xml:space="preserve">stanoviť </w:t>
      </w:r>
      <w:r w:rsidR="00C37CE4">
        <w:rPr>
          <w:rFonts w:ascii="Times New Roman" w:hAnsi="Times New Roman" w:cs="Times New Roman"/>
          <w:sz w:val="24"/>
          <w:szCs w:val="24"/>
        </w:rPr>
        <w:t>sankcia</w:t>
      </w:r>
      <w:r w:rsidR="004C446C">
        <w:rPr>
          <w:rFonts w:ascii="Times New Roman" w:hAnsi="Times New Roman" w:cs="Times New Roman"/>
          <w:sz w:val="24"/>
          <w:szCs w:val="24"/>
        </w:rPr>
        <w:t xml:space="preserve"> za</w:t>
      </w:r>
      <w:r w:rsidR="00985F7A" w:rsidRPr="008617AD">
        <w:rPr>
          <w:rFonts w:ascii="Times New Roman" w:hAnsi="Times New Roman" w:cs="Times New Roman"/>
          <w:sz w:val="24"/>
          <w:szCs w:val="24"/>
        </w:rPr>
        <w:t xml:space="preserve"> porušenie povinnosti zachovávať mlčanlivosť o totožnosti </w:t>
      </w:r>
      <w:r w:rsidR="009C2309">
        <w:rPr>
          <w:rFonts w:ascii="Times New Roman" w:hAnsi="Times New Roman" w:cs="Times New Roman"/>
          <w:sz w:val="24"/>
          <w:szCs w:val="24"/>
        </w:rPr>
        <w:t>dotknutej osoby</w:t>
      </w:r>
      <w:r w:rsidR="00985F7A" w:rsidRPr="008617AD">
        <w:rPr>
          <w:rFonts w:ascii="Times New Roman" w:hAnsi="Times New Roman" w:cs="Times New Roman"/>
          <w:sz w:val="24"/>
          <w:szCs w:val="24"/>
        </w:rPr>
        <w:t xml:space="preserve">. Právna úprava nadväzuje na § 10 ods. </w:t>
      </w:r>
      <w:r w:rsidR="003E2301">
        <w:rPr>
          <w:rFonts w:ascii="Times New Roman" w:hAnsi="Times New Roman" w:cs="Times New Roman"/>
          <w:sz w:val="24"/>
          <w:szCs w:val="24"/>
        </w:rPr>
        <w:t>7 a ods. 9</w:t>
      </w:r>
      <w:r w:rsidR="00985F7A" w:rsidRPr="008617AD">
        <w:rPr>
          <w:rFonts w:ascii="Times New Roman" w:hAnsi="Times New Roman" w:cs="Times New Roman"/>
          <w:sz w:val="24"/>
          <w:szCs w:val="24"/>
        </w:rPr>
        <w:t xml:space="preserve"> </w:t>
      </w:r>
      <w:r w:rsidR="00D10CB4" w:rsidRPr="008617AD">
        <w:rPr>
          <w:rFonts w:ascii="Times New Roman" w:hAnsi="Times New Roman" w:cs="Times New Roman"/>
          <w:sz w:val="24"/>
          <w:szCs w:val="24"/>
        </w:rPr>
        <w:t>písm. c</w:t>
      </w:r>
      <w:r w:rsidR="00985F7A" w:rsidRPr="008617AD">
        <w:rPr>
          <w:rFonts w:ascii="Times New Roman" w:hAnsi="Times New Roman" w:cs="Times New Roman"/>
          <w:sz w:val="24"/>
          <w:szCs w:val="24"/>
        </w:rPr>
        <w:t>)</w:t>
      </w:r>
      <w:r w:rsidR="005C7D9B">
        <w:rPr>
          <w:rFonts w:ascii="Times New Roman" w:hAnsi="Times New Roman" w:cs="Times New Roman"/>
          <w:sz w:val="24"/>
          <w:szCs w:val="24"/>
        </w:rPr>
        <w:t xml:space="preserve"> návrhu zákona</w:t>
      </w:r>
      <w:r w:rsidR="00217152">
        <w:rPr>
          <w:rFonts w:ascii="Times New Roman" w:hAnsi="Times New Roman" w:cs="Times New Roman"/>
          <w:sz w:val="24"/>
          <w:szCs w:val="24"/>
        </w:rPr>
        <w:t>, ktoré tvoria</w:t>
      </w:r>
      <w:r w:rsidR="00985F7A" w:rsidRPr="008617AD">
        <w:rPr>
          <w:rFonts w:ascii="Times New Roman" w:hAnsi="Times New Roman" w:cs="Times New Roman"/>
          <w:sz w:val="24"/>
          <w:szCs w:val="24"/>
        </w:rPr>
        <w:t xml:space="preserve"> právny základ upravuj</w:t>
      </w:r>
      <w:r w:rsidR="00217152">
        <w:rPr>
          <w:rFonts w:ascii="Times New Roman" w:hAnsi="Times New Roman" w:cs="Times New Roman"/>
          <w:sz w:val="24"/>
          <w:szCs w:val="24"/>
        </w:rPr>
        <w:t>úci</w:t>
      </w:r>
      <w:r w:rsidR="00985F7A" w:rsidRPr="008617AD">
        <w:rPr>
          <w:rFonts w:ascii="Times New Roman" w:hAnsi="Times New Roman" w:cs="Times New Roman"/>
          <w:sz w:val="24"/>
          <w:szCs w:val="24"/>
        </w:rPr>
        <w:t xml:space="preserve"> povinnosť zachovávať mlčanlivosť o totožnosti </w:t>
      </w:r>
      <w:r w:rsidR="009C2309">
        <w:rPr>
          <w:rFonts w:ascii="Times New Roman" w:hAnsi="Times New Roman" w:cs="Times New Roman"/>
          <w:sz w:val="24"/>
          <w:szCs w:val="24"/>
        </w:rPr>
        <w:t>dotknutej osoby.</w:t>
      </w:r>
      <w:r w:rsidR="00985F7A" w:rsidRPr="008617AD">
        <w:rPr>
          <w:rFonts w:ascii="Times New Roman" w:hAnsi="Times New Roman" w:cs="Times New Roman"/>
          <w:sz w:val="24"/>
          <w:szCs w:val="24"/>
        </w:rPr>
        <w:t xml:space="preserve"> Podľa § 18 ods. 1 písm. b) </w:t>
      </w:r>
      <w:r w:rsidR="005C7D9B">
        <w:rPr>
          <w:rFonts w:ascii="Times New Roman" w:hAnsi="Times New Roman" w:cs="Times New Roman"/>
          <w:sz w:val="24"/>
          <w:szCs w:val="24"/>
        </w:rPr>
        <w:t xml:space="preserve">návrhu zákona </w:t>
      </w:r>
      <w:r w:rsidR="00985F7A" w:rsidRPr="008617AD">
        <w:rPr>
          <w:rFonts w:ascii="Times New Roman" w:hAnsi="Times New Roman" w:cs="Times New Roman"/>
          <w:sz w:val="24"/>
          <w:szCs w:val="24"/>
        </w:rPr>
        <w:t>bude teda možné postihnúť osobu, ktorá poruší po</w:t>
      </w:r>
      <w:r w:rsidR="00D10CB4" w:rsidRPr="008617AD">
        <w:rPr>
          <w:rFonts w:ascii="Times New Roman" w:hAnsi="Times New Roman" w:cs="Times New Roman"/>
          <w:sz w:val="24"/>
          <w:szCs w:val="24"/>
        </w:rPr>
        <w:t>vinnosť zachovávať mlčanlivosť o totožnosti</w:t>
      </w:r>
      <w:r w:rsidR="00985F7A" w:rsidRPr="008617AD">
        <w:rPr>
          <w:rFonts w:ascii="Times New Roman" w:hAnsi="Times New Roman" w:cs="Times New Roman"/>
          <w:sz w:val="24"/>
          <w:szCs w:val="24"/>
        </w:rPr>
        <w:t> </w:t>
      </w:r>
      <w:r w:rsidR="009C2309">
        <w:rPr>
          <w:rFonts w:ascii="Times New Roman" w:hAnsi="Times New Roman" w:cs="Times New Roman"/>
          <w:sz w:val="24"/>
          <w:szCs w:val="24"/>
        </w:rPr>
        <w:t>dotknutej osoby</w:t>
      </w:r>
      <w:r w:rsidR="00985F7A" w:rsidRPr="008617AD">
        <w:rPr>
          <w:rFonts w:ascii="Times New Roman" w:hAnsi="Times New Roman" w:cs="Times New Roman"/>
          <w:sz w:val="24"/>
          <w:szCs w:val="24"/>
        </w:rPr>
        <w:t xml:space="preserve">.  </w:t>
      </w:r>
      <w:r w:rsidR="00C37CE4">
        <w:rPr>
          <w:rFonts w:ascii="Times New Roman" w:hAnsi="Times New Roman" w:cs="Times New Roman"/>
          <w:sz w:val="24"/>
          <w:szCs w:val="24"/>
        </w:rPr>
        <w:t xml:space="preserve"> </w:t>
      </w:r>
    </w:p>
    <w:p w14:paraId="48941968" w14:textId="2E0E5A33" w:rsidR="00426CE6" w:rsidRPr="00000381" w:rsidRDefault="00426CE6" w:rsidP="00747F96">
      <w:pPr>
        <w:spacing w:after="0" w:line="240" w:lineRule="auto"/>
        <w:jc w:val="both"/>
        <w:rPr>
          <w:rFonts w:ascii="Times New Roman" w:hAnsi="Times New Roman" w:cs="Times New Roman"/>
          <w:sz w:val="24"/>
          <w:szCs w:val="24"/>
        </w:rPr>
      </w:pPr>
    </w:p>
    <w:p w14:paraId="749F95ED" w14:textId="77777777" w:rsidR="00747F96" w:rsidRPr="008617AD" w:rsidRDefault="00426CE6" w:rsidP="00747F96">
      <w:pPr>
        <w:spacing w:after="0" w:line="240" w:lineRule="auto"/>
        <w:jc w:val="both"/>
        <w:rPr>
          <w:rFonts w:ascii="Times New Roman" w:hAnsi="Times New Roman" w:cs="Times New Roman"/>
          <w:sz w:val="24"/>
          <w:szCs w:val="24"/>
        </w:rPr>
      </w:pPr>
      <w:r w:rsidRPr="00000381">
        <w:rPr>
          <w:rFonts w:ascii="Times New Roman" w:hAnsi="Times New Roman" w:cs="Times New Roman"/>
          <w:sz w:val="24"/>
          <w:szCs w:val="24"/>
        </w:rPr>
        <w:tab/>
      </w:r>
      <w:r w:rsidR="00AD1A47" w:rsidRPr="008617AD">
        <w:rPr>
          <w:rFonts w:ascii="Times New Roman" w:hAnsi="Times New Roman" w:cs="Times New Roman"/>
          <w:sz w:val="24"/>
          <w:szCs w:val="24"/>
        </w:rPr>
        <w:t>Ustanovenie sa dopĺňa v nadväznosti na rozšírenie povinností zamestnávateľa prijatie opatrení voči osobe, ktorá bráni oznámeniu v rámci vnútorného systému preverovania oznámení. Za porušenie tejto povinnosti je možné osobe vykonávajúcej u zamestnávateľa pracovnú činnosť uložiť sankciu.</w:t>
      </w:r>
    </w:p>
    <w:p w14:paraId="29479B90" w14:textId="77777777" w:rsidR="00D81369" w:rsidRPr="008617AD" w:rsidRDefault="00D81369" w:rsidP="00747F96">
      <w:pPr>
        <w:spacing w:after="0" w:line="240" w:lineRule="auto"/>
        <w:jc w:val="both"/>
        <w:rPr>
          <w:rFonts w:ascii="Times New Roman" w:hAnsi="Times New Roman" w:cs="Times New Roman"/>
          <w:b/>
          <w:bCs/>
          <w:sz w:val="24"/>
          <w:szCs w:val="24"/>
        </w:rPr>
      </w:pPr>
    </w:p>
    <w:p w14:paraId="3B279D88" w14:textId="383750D2" w:rsidR="00747F96" w:rsidRDefault="00747F96" w:rsidP="00747F96">
      <w:pPr>
        <w:spacing w:after="0" w:line="240" w:lineRule="auto"/>
        <w:jc w:val="both"/>
        <w:rPr>
          <w:rFonts w:ascii="Times New Roman" w:hAnsi="Times New Roman" w:cs="Times New Roman"/>
          <w:b/>
          <w:bCs/>
          <w:sz w:val="24"/>
          <w:szCs w:val="24"/>
        </w:rPr>
      </w:pPr>
      <w:r w:rsidRPr="008617AD">
        <w:rPr>
          <w:rFonts w:ascii="Times New Roman" w:hAnsi="Times New Roman" w:cs="Times New Roman"/>
          <w:b/>
          <w:bCs/>
          <w:sz w:val="24"/>
          <w:szCs w:val="24"/>
        </w:rPr>
        <w:t xml:space="preserve">K bodu </w:t>
      </w:r>
      <w:r w:rsidR="003E2301">
        <w:rPr>
          <w:rFonts w:ascii="Times New Roman" w:hAnsi="Times New Roman" w:cs="Times New Roman"/>
          <w:b/>
          <w:bCs/>
          <w:sz w:val="24"/>
          <w:szCs w:val="24"/>
        </w:rPr>
        <w:t>39</w:t>
      </w:r>
    </w:p>
    <w:p w14:paraId="79D3496A" w14:textId="117056BE" w:rsidR="004C4523" w:rsidRPr="001103D0" w:rsidRDefault="004C4523" w:rsidP="00747F96">
      <w:pPr>
        <w:spacing w:after="0" w:line="240" w:lineRule="auto"/>
        <w:jc w:val="both"/>
        <w:rPr>
          <w:rFonts w:ascii="Times New Roman" w:hAnsi="Times New Roman" w:cs="Times New Roman"/>
          <w:b/>
          <w:bCs/>
          <w:i/>
          <w:sz w:val="24"/>
          <w:szCs w:val="24"/>
        </w:rPr>
      </w:pPr>
      <w:r w:rsidRPr="001103D0">
        <w:rPr>
          <w:rFonts w:ascii="Times New Roman" w:hAnsi="Times New Roman" w:cs="Times New Roman"/>
          <w:b/>
          <w:bCs/>
          <w:i/>
          <w:sz w:val="24"/>
          <w:szCs w:val="24"/>
        </w:rPr>
        <w:t>(</w:t>
      </w:r>
      <w:r w:rsidRPr="004C4523">
        <w:rPr>
          <w:rFonts w:ascii="Times New Roman" w:hAnsi="Times New Roman" w:cs="Times New Roman"/>
          <w:b/>
          <w:bCs/>
          <w:i/>
          <w:sz w:val="24"/>
          <w:szCs w:val="24"/>
        </w:rPr>
        <w:t xml:space="preserve">§ </w:t>
      </w:r>
      <w:r w:rsidRPr="001103D0">
        <w:rPr>
          <w:rFonts w:ascii="Times New Roman" w:hAnsi="Times New Roman" w:cs="Times New Roman"/>
          <w:b/>
          <w:bCs/>
          <w:i/>
          <w:sz w:val="24"/>
          <w:szCs w:val="24"/>
        </w:rPr>
        <w:t xml:space="preserve">18 </w:t>
      </w:r>
      <w:r w:rsidR="004B4BDA">
        <w:rPr>
          <w:rFonts w:ascii="Times New Roman" w:hAnsi="Times New Roman" w:cs="Times New Roman"/>
          <w:b/>
          <w:bCs/>
          <w:i/>
          <w:sz w:val="24"/>
          <w:szCs w:val="24"/>
        </w:rPr>
        <w:t>ods. 2</w:t>
      </w:r>
      <w:r w:rsidRPr="001103D0">
        <w:rPr>
          <w:rFonts w:ascii="Times New Roman" w:hAnsi="Times New Roman" w:cs="Times New Roman"/>
          <w:b/>
          <w:bCs/>
          <w:i/>
          <w:sz w:val="24"/>
          <w:szCs w:val="24"/>
        </w:rPr>
        <w:t>)</w:t>
      </w:r>
    </w:p>
    <w:p w14:paraId="39B44DA3" w14:textId="77777777" w:rsidR="00747F96" w:rsidRPr="0090742D" w:rsidRDefault="00747F96" w:rsidP="00747F96">
      <w:pPr>
        <w:spacing w:after="0" w:line="240" w:lineRule="auto"/>
        <w:jc w:val="both"/>
        <w:rPr>
          <w:rFonts w:ascii="Times New Roman" w:hAnsi="Times New Roman" w:cs="Times New Roman"/>
          <w:sz w:val="24"/>
          <w:szCs w:val="24"/>
        </w:rPr>
      </w:pPr>
    </w:p>
    <w:p w14:paraId="55132FDE" w14:textId="34095D65" w:rsidR="00F161D5" w:rsidRDefault="009E4835" w:rsidP="00747F96">
      <w:pPr>
        <w:spacing w:after="0" w:line="240" w:lineRule="auto"/>
        <w:jc w:val="both"/>
        <w:rPr>
          <w:rFonts w:ascii="Times New Roman" w:hAnsi="Times New Roman" w:cs="Times New Roman"/>
          <w:sz w:val="24"/>
          <w:szCs w:val="24"/>
        </w:rPr>
      </w:pPr>
      <w:r w:rsidRPr="008617AD">
        <w:rPr>
          <w:rFonts w:ascii="Times New Roman" w:hAnsi="Times New Roman" w:cs="Times New Roman"/>
          <w:sz w:val="24"/>
          <w:szCs w:val="24"/>
        </w:rPr>
        <w:tab/>
      </w:r>
      <w:r w:rsidR="004C4523">
        <w:rPr>
          <w:rFonts w:ascii="Times New Roman" w:hAnsi="Times New Roman" w:cs="Times New Roman"/>
          <w:sz w:val="24"/>
          <w:szCs w:val="24"/>
        </w:rPr>
        <w:t>Navrhované sprísnenie sankcií je potrebné vnímať v kontexte požiadavky čl. 23 ods. 1 smernice (EÚ) 2019/1937</w:t>
      </w:r>
      <w:r w:rsidR="005C7D9B">
        <w:rPr>
          <w:rFonts w:ascii="Times New Roman" w:hAnsi="Times New Roman" w:cs="Times New Roman"/>
          <w:sz w:val="24"/>
          <w:szCs w:val="24"/>
        </w:rPr>
        <w:t xml:space="preserve"> v platnom znení</w:t>
      </w:r>
      <w:r w:rsidR="001103D0">
        <w:rPr>
          <w:rFonts w:ascii="Times New Roman" w:hAnsi="Times New Roman" w:cs="Times New Roman"/>
          <w:sz w:val="24"/>
          <w:szCs w:val="24"/>
        </w:rPr>
        <w:t>, ktorý</w:t>
      </w:r>
      <w:r w:rsidR="004C4523">
        <w:rPr>
          <w:rFonts w:ascii="Times New Roman" w:hAnsi="Times New Roman" w:cs="Times New Roman"/>
          <w:sz w:val="24"/>
          <w:szCs w:val="24"/>
        </w:rPr>
        <w:t xml:space="preserve"> stanuje povinnosť pre členské</w:t>
      </w:r>
      <w:r w:rsidR="004C4523" w:rsidRPr="004C4523">
        <w:rPr>
          <w:rFonts w:ascii="Times New Roman" w:hAnsi="Times New Roman" w:cs="Times New Roman"/>
          <w:sz w:val="24"/>
          <w:szCs w:val="24"/>
        </w:rPr>
        <w:t xml:space="preserve"> štáty </w:t>
      </w:r>
      <w:r w:rsidR="001103D0">
        <w:rPr>
          <w:rFonts w:ascii="Times New Roman" w:hAnsi="Times New Roman" w:cs="Times New Roman"/>
          <w:sz w:val="24"/>
          <w:szCs w:val="24"/>
        </w:rPr>
        <w:t xml:space="preserve">prijímať </w:t>
      </w:r>
      <w:r w:rsidR="004C4523" w:rsidRPr="004C4523">
        <w:rPr>
          <w:rFonts w:ascii="Times New Roman" w:hAnsi="Times New Roman" w:cs="Times New Roman"/>
          <w:sz w:val="24"/>
          <w:szCs w:val="24"/>
        </w:rPr>
        <w:t>účinné, primerané a odrádzajúce sankcie uplatniteľné na fyzické alebo právnické osoby</w:t>
      </w:r>
      <w:r w:rsidR="001103D0">
        <w:rPr>
          <w:rFonts w:ascii="Times New Roman" w:hAnsi="Times New Roman" w:cs="Times New Roman"/>
          <w:sz w:val="24"/>
          <w:szCs w:val="24"/>
        </w:rPr>
        <w:t>. Pla</w:t>
      </w:r>
      <w:r w:rsidR="00E07F52">
        <w:rPr>
          <w:rFonts w:ascii="Times New Roman" w:hAnsi="Times New Roman" w:cs="Times New Roman"/>
          <w:sz w:val="24"/>
          <w:szCs w:val="24"/>
        </w:rPr>
        <w:t>t</w:t>
      </w:r>
      <w:r w:rsidR="001103D0">
        <w:rPr>
          <w:rFonts w:ascii="Times New Roman" w:hAnsi="Times New Roman" w:cs="Times New Roman"/>
          <w:sz w:val="24"/>
          <w:szCs w:val="24"/>
        </w:rPr>
        <w:t xml:space="preserve">nú právnu úpravu výšky sankcií v tomto smere nebolo možné považovať za dostatočne odradzujúcu a z tohto dôvodu sa navrhujú vyššie sankcie za porušenie zákona. </w:t>
      </w:r>
      <w:r w:rsidR="00BE7566">
        <w:rPr>
          <w:rFonts w:ascii="Times New Roman" w:hAnsi="Times New Roman" w:cs="Times New Roman"/>
          <w:sz w:val="24"/>
          <w:szCs w:val="24"/>
        </w:rPr>
        <w:t>Zároveň sa stanovuje možnosť sprísnenia sankcií až na dvojnásobok v prípade opakovaného spáchania priestupku.</w:t>
      </w:r>
    </w:p>
    <w:p w14:paraId="5C2046B1" w14:textId="77777777" w:rsidR="00343124" w:rsidRDefault="00343124" w:rsidP="00747F96">
      <w:pPr>
        <w:spacing w:after="0" w:line="240" w:lineRule="auto"/>
        <w:jc w:val="both"/>
        <w:rPr>
          <w:rFonts w:ascii="Times New Roman" w:hAnsi="Times New Roman" w:cs="Times New Roman"/>
          <w:sz w:val="24"/>
          <w:szCs w:val="24"/>
        </w:rPr>
      </w:pPr>
    </w:p>
    <w:p w14:paraId="5D44D57B" w14:textId="519A9921" w:rsidR="004C4523" w:rsidRPr="001103D0" w:rsidRDefault="004C4523" w:rsidP="00747F96">
      <w:pPr>
        <w:spacing w:after="0" w:line="240" w:lineRule="auto"/>
        <w:jc w:val="both"/>
        <w:rPr>
          <w:rFonts w:ascii="Times New Roman" w:hAnsi="Times New Roman" w:cs="Times New Roman"/>
          <w:b/>
          <w:sz w:val="24"/>
          <w:szCs w:val="24"/>
        </w:rPr>
      </w:pPr>
      <w:r w:rsidRPr="001103D0">
        <w:rPr>
          <w:rFonts w:ascii="Times New Roman" w:hAnsi="Times New Roman" w:cs="Times New Roman"/>
          <w:b/>
          <w:sz w:val="24"/>
          <w:szCs w:val="24"/>
        </w:rPr>
        <w:t xml:space="preserve">K bodu </w:t>
      </w:r>
      <w:r w:rsidR="005C7D9B">
        <w:rPr>
          <w:rFonts w:ascii="Times New Roman" w:hAnsi="Times New Roman" w:cs="Times New Roman"/>
          <w:b/>
          <w:sz w:val="24"/>
          <w:szCs w:val="24"/>
        </w:rPr>
        <w:t>4</w:t>
      </w:r>
      <w:r w:rsidR="003E2301">
        <w:rPr>
          <w:rFonts w:ascii="Times New Roman" w:hAnsi="Times New Roman" w:cs="Times New Roman"/>
          <w:b/>
          <w:sz w:val="24"/>
          <w:szCs w:val="24"/>
        </w:rPr>
        <w:t>0 a 41</w:t>
      </w:r>
    </w:p>
    <w:p w14:paraId="34BEC014" w14:textId="035FB843" w:rsidR="004C4523" w:rsidRPr="001103D0" w:rsidRDefault="004C4523" w:rsidP="00747F96">
      <w:pPr>
        <w:spacing w:after="0" w:line="240" w:lineRule="auto"/>
        <w:jc w:val="both"/>
        <w:rPr>
          <w:rFonts w:ascii="Times New Roman" w:hAnsi="Times New Roman" w:cs="Times New Roman"/>
          <w:b/>
          <w:i/>
          <w:sz w:val="24"/>
          <w:szCs w:val="24"/>
        </w:rPr>
      </w:pPr>
      <w:r w:rsidRPr="001103D0">
        <w:rPr>
          <w:rFonts w:ascii="Times New Roman" w:hAnsi="Times New Roman" w:cs="Times New Roman"/>
          <w:b/>
          <w:i/>
          <w:sz w:val="24"/>
          <w:szCs w:val="24"/>
        </w:rPr>
        <w:t xml:space="preserve">(§ </w:t>
      </w:r>
      <w:r w:rsidR="001103D0" w:rsidRPr="001103D0">
        <w:rPr>
          <w:rFonts w:ascii="Times New Roman" w:hAnsi="Times New Roman" w:cs="Times New Roman"/>
          <w:b/>
          <w:i/>
          <w:sz w:val="24"/>
          <w:szCs w:val="24"/>
        </w:rPr>
        <w:t xml:space="preserve">19 ods. </w:t>
      </w:r>
      <w:r w:rsidR="00BE7566">
        <w:rPr>
          <w:rFonts w:ascii="Times New Roman" w:hAnsi="Times New Roman" w:cs="Times New Roman"/>
          <w:b/>
          <w:i/>
          <w:sz w:val="24"/>
          <w:szCs w:val="24"/>
        </w:rPr>
        <w:t>1 až 5</w:t>
      </w:r>
      <w:r w:rsidRPr="001103D0">
        <w:rPr>
          <w:rFonts w:ascii="Times New Roman" w:hAnsi="Times New Roman" w:cs="Times New Roman"/>
          <w:b/>
          <w:i/>
          <w:sz w:val="24"/>
          <w:szCs w:val="24"/>
        </w:rPr>
        <w:t>)</w:t>
      </w:r>
    </w:p>
    <w:p w14:paraId="14DB846D" w14:textId="77777777" w:rsidR="004C4523" w:rsidRDefault="004C4523" w:rsidP="00747F96">
      <w:pPr>
        <w:spacing w:after="0" w:line="240" w:lineRule="auto"/>
        <w:jc w:val="both"/>
        <w:rPr>
          <w:rFonts w:ascii="Times New Roman" w:hAnsi="Times New Roman" w:cs="Times New Roman"/>
          <w:sz w:val="24"/>
          <w:szCs w:val="24"/>
        </w:rPr>
      </w:pPr>
    </w:p>
    <w:p w14:paraId="468C056C" w14:textId="3D4BF5CA" w:rsidR="00BE7566" w:rsidRDefault="00E07F52" w:rsidP="00747F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E7566">
        <w:rPr>
          <w:rFonts w:ascii="Times New Roman" w:hAnsi="Times New Roman" w:cs="Times New Roman"/>
          <w:sz w:val="24"/>
          <w:szCs w:val="24"/>
        </w:rPr>
        <w:t>Navrhované sprísnenie sankcií je potrebné vnímať v kontexte požiadavky čl. 23 ods. 1 smernice (EÚ) 2019/1937 v platnom znení, ktorý stanuje povinnosť pre členské</w:t>
      </w:r>
      <w:r w:rsidR="00BE7566" w:rsidRPr="004C4523">
        <w:rPr>
          <w:rFonts w:ascii="Times New Roman" w:hAnsi="Times New Roman" w:cs="Times New Roman"/>
          <w:sz w:val="24"/>
          <w:szCs w:val="24"/>
        </w:rPr>
        <w:t xml:space="preserve"> štáty </w:t>
      </w:r>
      <w:r w:rsidR="00BE7566">
        <w:rPr>
          <w:rFonts w:ascii="Times New Roman" w:hAnsi="Times New Roman" w:cs="Times New Roman"/>
          <w:sz w:val="24"/>
          <w:szCs w:val="24"/>
        </w:rPr>
        <w:t xml:space="preserve">prijímať </w:t>
      </w:r>
      <w:r w:rsidR="00BE7566" w:rsidRPr="004C4523">
        <w:rPr>
          <w:rFonts w:ascii="Times New Roman" w:hAnsi="Times New Roman" w:cs="Times New Roman"/>
          <w:sz w:val="24"/>
          <w:szCs w:val="24"/>
        </w:rPr>
        <w:t>účinné, primerané a odrádzajúce sankcie uplatniteľné na fyzické alebo právnické osoby</w:t>
      </w:r>
      <w:r w:rsidR="00BE7566">
        <w:rPr>
          <w:rFonts w:ascii="Times New Roman" w:hAnsi="Times New Roman" w:cs="Times New Roman"/>
          <w:sz w:val="24"/>
          <w:szCs w:val="24"/>
        </w:rPr>
        <w:t xml:space="preserve">. Platnú právnu úpravu výšky sankcií v tomto smere nebolo možné považovať za dostatočne odradzujúcu a z tohto dôvodu sa navrhujú vyššie sankcie za porušenie zákona. Zároveň sa stanovuje možnosť sprísnenia sankcií až na dvojnásobok v prípade opakovaného porušenia povinností. </w:t>
      </w:r>
    </w:p>
    <w:p w14:paraId="26211F40" w14:textId="77777777" w:rsidR="005719BB" w:rsidRDefault="005719BB" w:rsidP="00747F96">
      <w:pPr>
        <w:spacing w:after="0" w:line="240" w:lineRule="auto"/>
        <w:jc w:val="both"/>
        <w:rPr>
          <w:rFonts w:ascii="Times New Roman" w:hAnsi="Times New Roman" w:cs="Times New Roman"/>
          <w:sz w:val="24"/>
          <w:szCs w:val="24"/>
        </w:rPr>
      </w:pPr>
    </w:p>
    <w:p w14:paraId="25E866E8" w14:textId="77777777" w:rsidR="005719BB" w:rsidRDefault="00BE7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Zároveň sa v § 19 stanovuje rozdielna horná hranica pokuty za porušenie povinnosti</w:t>
      </w:r>
      <w:r w:rsidR="005719BB">
        <w:rPr>
          <w:rFonts w:ascii="Times New Roman" w:hAnsi="Times New Roman" w:cs="Times New Roman"/>
          <w:sz w:val="24"/>
          <w:szCs w:val="24"/>
        </w:rPr>
        <w:t xml:space="preserve"> stanovených v § 10,</w:t>
      </w:r>
      <w:r>
        <w:rPr>
          <w:rFonts w:ascii="Times New Roman" w:hAnsi="Times New Roman" w:cs="Times New Roman"/>
          <w:sz w:val="24"/>
          <w:szCs w:val="24"/>
        </w:rPr>
        <w:t xml:space="preserve"> a to pod</w:t>
      </w:r>
      <w:r w:rsidR="005719BB">
        <w:rPr>
          <w:rFonts w:ascii="Times New Roman" w:hAnsi="Times New Roman" w:cs="Times New Roman"/>
          <w:sz w:val="24"/>
          <w:szCs w:val="24"/>
        </w:rPr>
        <w:t>ľa počtu zamestnancov, ktorí pracujú u zamestnávateľa. Uvedené reflektuje to aby vo väčšej miere mohli sankcie postihnúť zamestnávateľov, ktorí z dôvodu zamestnávania väčšieho počtu zamestnancov majú aj tomu primeranú spoločenskú zodpovednosť.</w:t>
      </w:r>
    </w:p>
    <w:p w14:paraId="2F5B48E3" w14:textId="77777777" w:rsidR="005719BB" w:rsidRDefault="005719BB">
      <w:pPr>
        <w:spacing w:after="0" w:line="240" w:lineRule="auto"/>
        <w:jc w:val="both"/>
        <w:rPr>
          <w:rFonts w:ascii="Times New Roman" w:hAnsi="Times New Roman" w:cs="Times New Roman"/>
          <w:sz w:val="24"/>
          <w:szCs w:val="24"/>
        </w:rPr>
      </w:pPr>
    </w:p>
    <w:p w14:paraId="34838840" w14:textId="7E892766" w:rsidR="00E07F52" w:rsidRDefault="00571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Všetky uvedené sumy sankcií predstavujú ich hornú hranicu. Pri ich udeľovaní musí úrad prihliadať na ich primeranosť v kontexte skutočností uvedených v § 19 ods. 5.</w:t>
      </w:r>
    </w:p>
    <w:p w14:paraId="350ED92A" w14:textId="77777777" w:rsidR="004C4523" w:rsidRPr="007574B2" w:rsidRDefault="004C4523" w:rsidP="00747F96">
      <w:pPr>
        <w:spacing w:after="0" w:line="240" w:lineRule="auto"/>
        <w:jc w:val="both"/>
        <w:rPr>
          <w:rFonts w:ascii="Times New Roman" w:hAnsi="Times New Roman" w:cs="Times New Roman"/>
          <w:sz w:val="24"/>
          <w:szCs w:val="24"/>
        </w:rPr>
      </w:pPr>
    </w:p>
    <w:p w14:paraId="15ADF8E7" w14:textId="66C944AE" w:rsidR="004C4523" w:rsidRPr="001103D0" w:rsidRDefault="004C4523" w:rsidP="00747F96">
      <w:pPr>
        <w:spacing w:after="0" w:line="240" w:lineRule="auto"/>
        <w:jc w:val="both"/>
        <w:rPr>
          <w:rFonts w:ascii="Times New Roman" w:hAnsi="Times New Roman" w:cs="Times New Roman"/>
          <w:b/>
          <w:sz w:val="24"/>
          <w:szCs w:val="24"/>
        </w:rPr>
      </w:pPr>
      <w:r w:rsidRPr="001103D0">
        <w:rPr>
          <w:rFonts w:ascii="Times New Roman" w:hAnsi="Times New Roman" w:cs="Times New Roman"/>
          <w:b/>
          <w:sz w:val="24"/>
          <w:szCs w:val="24"/>
        </w:rPr>
        <w:t xml:space="preserve">K bodu </w:t>
      </w:r>
      <w:r w:rsidR="005C7D9B">
        <w:rPr>
          <w:rFonts w:ascii="Times New Roman" w:hAnsi="Times New Roman" w:cs="Times New Roman"/>
          <w:b/>
          <w:sz w:val="24"/>
          <w:szCs w:val="24"/>
        </w:rPr>
        <w:t>4</w:t>
      </w:r>
      <w:r w:rsidR="003E2301">
        <w:rPr>
          <w:rFonts w:ascii="Times New Roman" w:hAnsi="Times New Roman" w:cs="Times New Roman"/>
          <w:b/>
          <w:sz w:val="24"/>
          <w:szCs w:val="24"/>
        </w:rPr>
        <w:t>2</w:t>
      </w:r>
    </w:p>
    <w:p w14:paraId="4E3264D3" w14:textId="77777777" w:rsidR="004C4523" w:rsidRPr="001103D0" w:rsidRDefault="004C4523" w:rsidP="00747F96">
      <w:pPr>
        <w:spacing w:after="0" w:line="240" w:lineRule="auto"/>
        <w:jc w:val="both"/>
        <w:rPr>
          <w:rFonts w:ascii="Times New Roman" w:hAnsi="Times New Roman" w:cs="Times New Roman"/>
          <w:b/>
          <w:i/>
          <w:sz w:val="24"/>
          <w:szCs w:val="24"/>
        </w:rPr>
      </w:pPr>
      <w:r w:rsidRPr="001103D0">
        <w:rPr>
          <w:rFonts w:ascii="Times New Roman" w:hAnsi="Times New Roman" w:cs="Times New Roman"/>
          <w:b/>
          <w:i/>
          <w:sz w:val="24"/>
          <w:szCs w:val="24"/>
        </w:rPr>
        <w:t>(§ 20 ods. 2)</w:t>
      </w:r>
    </w:p>
    <w:p w14:paraId="7E52C140" w14:textId="77777777" w:rsidR="004C4523" w:rsidRDefault="004C4523" w:rsidP="00747F96">
      <w:pPr>
        <w:spacing w:after="0" w:line="240" w:lineRule="auto"/>
        <w:jc w:val="both"/>
        <w:rPr>
          <w:rFonts w:ascii="Times New Roman" w:hAnsi="Times New Roman" w:cs="Times New Roman"/>
          <w:sz w:val="24"/>
          <w:szCs w:val="24"/>
        </w:rPr>
      </w:pPr>
    </w:p>
    <w:p w14:paraId="47CCA2D8" w14:textId="77777777" w:rsidR="004C4523" w:rsidRDefault="004C4523" w:rsidP="001103D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Uvedená zmena je legislatívno-technického charakteru. </w:t>
      </w:r>
    </w:p>
    <w:p w14:paraId="10901635" w14:textId="77777777" w:rsidR="004C4523" w:rsidRDefault="004C4523" w:rsidP="00747F96">
      <w:pPr>
        <w:spacing w:after="0" w:line="240" w:lineRule="auto"/>
        <w:jc w:val="both"/>
        <w:rPr>
          <w:rFonts w:ascii="Times New Roman" w:hAnsi="Times New Roman" w:cs="Times New Roman"/>
          <w:sz w:val="24"/>
          <w:szCs w:val="24"/>
        </w:rPr>
      </w:pPr>
    </w:p>
    <w:p w14:paraId="02B0ABA6" w14:textId="1156128E" w:rsidR="00747F96" w:rsidRDefault="00747F96" w:rsidP="00747F96">
      <w:pPr>
        <w:spacing w:after="0" w:line="240" w:lineRule="auto"/>
        <w:jc w:val="both"/>
        <w:rPr>
          <w:rFonts w:ascii="Times New Roman" w:hAnsi="Times New Roman" w:cs="Times New Roman"/>
          <w:b/>
          <w:bCs/>
          <w:sz w:val="24"/>
          <w:szCs w:val="24"/>
        </w:rPr>
      </w:pPr>
      <w:r w:rsidRPr="008617AD">
        <w:rPr>
          <w:rFonts w:ascii="Times New Roman" w:hAnsi="Times New Roman" w:cs="Times New Roman"/>
          <w:b/>
          <w:bCs/>
          <w:sz w:val="24"/>
          <w:szCs w:val="24"/>
        </w:rPr>
        <w:t>K</w:t>
      </w:r>
      <w:r w:rsidR="00CB5281">
        <w:rPr>
          <w:rFonts w:ascii="Times New Roman" w:hAnsi="Times New Roman" w:cs="Times New Roman"/>
          <w:b/>
          <w:bCs/>
          <w:sz w:val="24"/>
          <w:szCs w:val="24"/>
        </w:rPr>
        <w:t> </w:t>
      </w:r>
      <w:r w:rsidRPr="008617AD">
        <w:rPr>
          <w:rFonts w:ascii="Times New Roman" w:hAnsi="Times New Roman" w:cs="Times New Roman"/>
          <w:b/>
          <w:bCs/>
          <w:sz w:val="24"/>
          <w:szCs w:val="24"/>
        </w:rPr>
        <w:t>bodu</w:t>
      </w:r>
      <w:r w:rsidR="00CB5281">
        <w:rPr>
          <w:rFonts w:ascii="Times New Roman" w:hAnsi="Times New Roman" w:cs="Times New Roman"/>
          <w:b/>
          <w:bCs/>
          <w:sz w:val="24"/>
          <w:szCs w:val="24"/>
        </w:rPr>
        <w:t xml:space="preserve"> </w:t>
      </w:r>
      <w:r w:rsidR="009659C9">
        <w:rPr>
          <w:rFonts w:ascii="Times New Roman" w:hAnsi="Times New Roman" w:cs="Times New Roman"/>
          <w:b/>
          <w:bCs/>
          <w:sz w:val="24"/>
          <w:szCs w:val="24"/>
        </w:rPr>
        <w:t>4</w:t>
      </w:r>
      <w:r w:rsidR="003E2301">
        <w:rPr>
          <w:rFonts w:ascii="Times New Roman" w:hAnsi="Times New Roman" w:cs="Times New Roman"/>
          <w:b/>
          <w:bCs/>
          <w:sz w:val="24"/>
          <w:szCs w:val="24"/>
        </w:rPr>
        <w:t>3</w:t>
      </w:r>
      <w:r w:rsidR="009659C9">
        <w:rPr>
          <w:rFonts w:ascii="Times New Roman" w:hAnsi="Times New Roman" w:cs="Times New Roman"/>
          <w:b/>
          <w:bCs/>
          <w:sz w:val="24"/>
          <w:szCs w:val="24"/>
        </w:rPr>
        <w:t xml:space="preserve"> a 4</w:t>
      </w:r>
      <w:r w:rsidR="003E2301">
        <w:rPr>
          <w:rFonts w:ascii="Times New Roman" w:hAnsi="Times New Roman" w:cs="Times New Roman"/>
          <w:b/>
          <w:bCs/>
          <w:sz w:val="24"/>
          <w:szCs w:val="24"/>
        </w:rPr>
        <w:t>4</w:t>
      </w:r>
    </w:p>
    <w:p w14:paraId="4EB5C237" w14:textId="77777777" w:rsidR="004C4523" w:rsidRPr="001103D0" w:rsidRDefault="004C4523" w:rsidP="00747F96">
      <w:pPr>
        <w:spacing w:after="0" w:line="240" w:lineRule="auto"/>
        <w:jc w:val="both"/>
        <w:rPr>
          <w:rFonts w:ascii="Times New Roman" w:hAnsi="Times New Roman" w:cs="Times New Roman"/>
          <w:b/>
          <w:bCs/>
          <w:i/>
          <w:sz w:val="24"/>
          <w:szCs w:val="24"/>
        </w:rPr>
      </w:pPr>
      <w:r w:rsidRPr="001103D0">
        <w:rPr>
          <w:rFonts w:ascii="Times New Roman" w:hAnsi="Times New Roman" w:cs="Times New Roman"/>
          <w:b/>
          <w:bCs/>
          <w:i/>
          <w:sz w:val="24"/>
          <w:szCs w:val="24"/>
        </w:rPr>
        <w:t>(§ 22 ods. 4 a 5)</w:t>
      </w:r>
    </w:p>
    <w:p w14:paraId="2DE899B1" w14:textId="77777777" w:rsidR="00A5607C" w:rsidRDefault="00A5607C" w:rsidP="00A5607C">
      <w:pPr>
        <w:spacing w:after="0" w:line="240" w:lineRule="auto"/>
        <w:jc w:val="both"/>
        <w:rPr>
          <w:rFonts w:ascii="Times New Roman" w:hAnsi="Times New Roman" w:cs="Times New Roman"/>
          <w:sz w:val="24"/>
          <w:szCs w:val="24"/>
        </w:rPr>
      </w:pPr>
    </w:p>
    <w:p w14:paraId="4F5CE062" w14:textId="63EB52CD" w:rsidR="00A5607C" w:rsidRDefault="00111019" w:rsidP="001103D0">
      <w:pPr>
        <w:spacing w:after="0" w:line="240" w:lineRule="auto"/>
        <w:ind w:firstLine="708"/>
        <w:jc w:val="both"/>
        <w:rPr>
          <w:rFonts w:ascii="Times New Roman" w:hAnsi="Times New Roman" w:cs="Times New Roman"/>
          <w:sz w:val="24"/>
          <w:szCs w:val="24"/>
        </w:rPr>
      </w:pPr>
      <w:r w:rsidRPr="00111019">
        <w:rPr>
          <w:rFonts w:ascii="Times New Roman" w:hAnsi="Times New Roman" w:cs="Times New Roman"/>
          <w:sz w:val="24"/>
          <w:szCs w:val="24"/>
        </w:rPr>
        <w:t xml:space="preserve">V § 22 ods. 4 </w:t>
      </w:r>
      <w:r w:rsidR="0018496F">
        <w:rPr>
          <w:rFonts w:ascii="Times New Roman" w:hAnsi="Times New Roman" w:cs="Times New Roman"/>
          <w:sz w:val="24"/>
          <w:szCs w:val="24"/>
        </w:rPr>
        <w:t>návrhu zákona v</w:t>
      </w:r>
      <w:r w:rsidR="0018496F" w:rsidRPr="008617AD">
        <w:rPr>
          <w:rFonts w:ascii="Times New Roman" w:hAnsi="Times New Roman" w:cs="Times New Roman"/>
          <w:sz w:val="24"/>
          <w:szCs w:val="24"/>
        </w:rPr>
        <w:t xml:space="preserve"> dôsledku upresnenia postupu pri oznamovaní protispoločenskej činnosti sa </w:t>
      </w:r>
      <w:r w:rsidR="0018496F">
        <w:rPr>
          <w:rFonts w:ascii="Times New Roman" w:hAnsi="Times New Roman" w:cs="Times New Roman"/>
          <w:sz w:val="24"/>
          <w:szCs w:val="24"/>
        </w:rPr>
        <w:t xml:space="preserve">navrhuje zaviesť </w:t>
      </w:r>
      <w:r w:rsidR="0018496F" w:rsidRPr="008617AD">
        <w:rPr>
          <w:rFonts w:ascii="Times New Roman" w:hAnsi="Times New Roman" w:cs="Times New Roman"/>
          <w:sz w:val="24"/>
          <w:szCs w:val="24"/>
        </w:rPr>
        <w:t>povinnosť prokuratúry, správneho orgánu alebo úradu potvrdiť podanie oznamovateľa bezodkladne po prijatí oznámenia.</w:t>
      </w:r>
    </w:p>
    <w:p w14:paraId="3918FB93" w14:textId="77777777" w:rsidR="001103D0" w:rsidRDefault="001103D0" w:rsidP="001103D0">
      <w:pPr>
        <w:spacing w:after="0" w:line="240" w:lineRule="auto"/>
        <w:ind w:firstLine="708"/>
        <w:jc w:val="both"/>
        <w:rPr>
          <w:rFonts w:ascii="Times New Roman" w:hAnsi="Times New Roman" w:cs="Times New Roman"/>
          <w:sz w:val="24"/>
          <w:szCs w:val="24"/>
        </w:rPr>
      </w:pPr>
    </w:p>
    <w:p w14:paraId="1C7CF59A" w14:textId="6ECB2F57" w:rsidR="0018496F" w:rsidRDefault="00111019" w:rsidP="0018496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 22 ods. 5 </w:t>
      </w:r>
      <w:r w:rsidR="0018496F">
        <w:rPr>
          <w:rFonts w:ascii="Times New Roman" w:hAnsi="Times New Roman" w:cs="Times New Roman"/>
          <w:sz w:val="24"/>
          <w:szCs w:val="24"/>
        </w:rPr>
        <w:t>návrhu zákona z</w:t>
      </w:r>
      <w:r w:rsidR="0018496F" w:rsidRPr="008617AD">
        <w:rPr>
          <w:rFonts w:ascii="Times New Roman" w:hAnsi="Times New Roman" w:cs="Times New Roman"/>
          <w:sz w:val="24"/>
          <w:szCs w:val="24"/>
        </w:rPr>
        <w:t> dôvodu väčšej informovanosti osôb o možnostiach urobenia oznámenia, prijímaných opatrení, prostriedkov nápravy a ochrany podľa tohto zákona zabezpečí prokuratúra, správne orgány a úrad uverejnenie uvedených informácií na svojich webových sídlach.</w:t>
      </w:r>
    </w:p>
    <w:p w14:paraId="0E78066E" w14:textId="4146C703" w:rsidR="00135B9D" w:rsidRDefault="00135B9D" w:rsidP="001103D0">
      <w:pPr>
        <w:spacing w:after="0" w:line="240" w:lineRule="auto"/>
        <w:ind w:firstLine="708"/>
        <w:jc w:val="both"/>
        <w:rPr>
          <w:rFonts w:ascii="Times New Roman" w:hAnsi="Times New Roman" w:cs="Times New Roman"/>
          <w:sz w:val="24"/>
          <w:szCs w:val="24"/>
        </w:rPr>
      </w:pPr>
    </w:p>
    <w:p w14:paraId="643770C6" w14:textId="77777777" w:rsidR="00CB5281" w:rsidRDefault="00CB5281" w:rsidP="00CB5281">
      <w:pPr>
        <w:spacing w:after="0" w:line="240" w:lineRule="auto"/>
        <w:jc w:val="both"/>
        <w:rPr>
          <w:rFonts w:ascii="Times New Roman" w:hAnsi="Times New Roman" w:cs="Times New Roman"/>
          <w:b/>
          <w:bCs/>
          <w:sz w:val="24"/>
          <w:szCs w:val="24"/>
        </w:rPr>
      </w:pPr>
    </w:p>
    <w:p w14:paraId="1F6FCAD1" w14:textId="187409DC" w:rsidR="00CB5281" w:rsidRDefault="00CB5281" w:rsidP="00CB5281">
      <w:pPr>
        <w:spacing w:after="0" w:line="240" w:lineRule="auto"/>
        <w:jc w:val="both"/>
        <w:rPr>
          <w:rFonts w:ascii="Times New Roman" w:hAnsi="Times New Roman" w:cs="Times New Roman"/>
          <w:b/>
          <w:bCs/>
          <w:sz w:val="24"/>
          <w:szCs w:val="24"/>
        </w:rPr>
      </w:pPr>
      <w:r w:rsidRPr="008617AD">
        <w:rPr>
          <w:rFonts w:ascii="Times New Roman" w:hAnsi="Times New Roman" w:cs="Times New Roman"/>
          <w:b/>
          <w:bCs/>
          <w:sz w:val="24"/>
          <w:szCs w:val="24"/>
        </w:rPr>
        <w:t xml:space="preserve">K bodu </w:t>
      </w:r>
      <w:r w:rsidR="003E2301">
        <w:rPr>
          <w:rFonts w:ascii="Times New Roman" w:hAnsi="Times New Roman" w:cs="Times New Roman"/>
          <w:b/>
          <w:bCs/>
          <w:sz w:val="24"/>
          <w:szCs w:val="24"/>
        </w:rPr>
        <w:t>45 a 46</w:t>
      </w:r>
    </w:p>
    <w:p w14:paraId="58A2BB57" w14:textId="315CA062" w:rsidR="00CB5281" w:rsidRDefault="00CB5281" w:rsidP="00CB5281">
      <w:pPr>
        <w:spacing w:after="0" w:line="240" w:lineRule="auto"/>
        <w:jc w:val="both"/>
        <w:rPr>
          <w:rFonts w:ascii="Times New Roman" w:hAnsi="Times New Roman" w:cs="Times New Roman"/>
          <w:b/>
          <w:bCs/>
          <w:i/>
          <w:sz w:val="24"/>
          <w:szCs w:val="24"/>
        </w:rPr>
      </w:pPr>
      <w:r w:rsidRPr="00906D2B">
        <w:rPr>
          <w:rFonts w:ascii="Times New Roman" w:hAnsi="Times New Roman" w:cs="Times New Roman"/>
          <w:b/>
          <w:bCs/>
          <w:i/>
          <w:sz w:val="24"/>
          <w:szCs w:val="24"/>
        </w:rPr>
        <w:t xml:space="preserve">(§ </w:t>
      </w:r>
      <w:r w:rsidR="003E2301">
        <w:rPr>
          <w:rFonts w:ascii="Times New Roman" w:hAnsi="Times New Roman" w:cs="Times New Roman"/>
          <w:b/>
          <w:bCs/>
          <w:i/>
          <w:sz w:val="24"/>
          <w:szCs w:val="24"/>
        </w:rPr>
        <w:t xml:space="preserve">23 ods. 1 a § </w:t>
      </w:r>
      <w:r w:rsidRPr="00906D2B">
        <w:rPr>
          <w:rFonts w:ascii="Times New Roman" w:hAnsi="Times New Roman" w:cs="Times New Roman"/>
          <w:b/>
          <w:bCs/>
          <w:i/>
          <w:sz w:val="24"/>
          <w:szCs w:val="24"/>
        </w:rPr>
        <w:t>24 ods.</w:t>
      </w:r>
      <w:r w:rsidR="009659C9">
        <w:rPr>
          <w:rFonts w:ascii="Times New Roman" w:hAnsi="Times New Roman" w:cs="Times New Roman"/>
          <w:b/>
          <w:bCs/>
          <w:i/>
          <w:sz w:val="24"/>
          <w:szCs w:val="24"/>
        </w:rPr>
        <w:t xml:space="preserve"> </w:t>
      </w:r>
      <w:r w:rsidRPr="00906D2B">
        <w:rPr>
          <w:rFonts w:ascii="Times New Roman" w:hAnsi="Times New Roman" w:cs="Times New Roman"/>
          <w:b/>
          <w:bCs/>
          <w:i/>
          <w:sz w:val="24"/>
          <w:szCs w:val="24"/>
        </w:rPr>
        <w:t>2)</w:t>
      </w:r>
    </w:p>
    <w:p w14:paraId="3D135A75" w14:textId="77777777" w:rsidR="00CB5281" w:rsidRPr="00906D2B" w:rsidRDefault="00CB5281" w:rsidP="00CB5281">
      <w:pPr>
        <w:spacing w:after="0" w:line="240" w:lineRule="auto"/>
        <w:jc w:val="both"/>
        <w:rPr>
          <w:rFonts w:ascii="Times New Roman" w:hAnsi="Times New Roman" w:cs="Times New Roman"/>
          <w:b/>
          <w:bCs/>
          <w:i/>
          <w:sz w:val="24"/>
          <w:szCs w:val="24"/>
        </w:rPr>
      </w:pPr>
    </w:p>
    <w:p w14:paraId="0A000736" w14:textId="56023E14" w:rsidR="00CB5281" w:rsidRPr="008617AD" w:rsidRDefault="00CB5281" w:rsidP="001103D0">
      <w:pPr>
        <w:spacing w:after="0" w:line="240" w:lineRule="auto"/>
        <w:ind w:firstLine="708"/>
        <w:jc w:val="both"/>
        <w:rPr>
          <w:rFonts w:ascii="Times New Roman" w:hAnsi="Times New Roman" w:cs="Times New Roman"/>
          <w:sz w:val="24"/>
          <w:szCs w:val="24"/>
        </w:rPr>
      </w:pPr>
      <w:r w:rsidRPr="00CB5281">
        <w:rPr>
          <w:rFonts w:ascii="Times New Roman" w:hAnsi="Times New Roman" w:cs="Times New Roman"/>
          <w:sz w:val="24"/>
          <w:szCs w:val="24"/>
        </w:rPr>
        <w:t>Uvedená zmena je legislatívno-technického charakteru.</w:t>
      </w:r>
    </w:p>
    <w:p w14:paraId="2D9B5D23" w14:textId="77777777" w:rsidR="009E4835" w:rsidRPr="008617AD" w:rsidRDefault="009E4835" w:rsidP="00747F96">
      <w:pPr>
        <w:spacing w:after="0" w:line="240" w:lineRule="auto"/>
        <w:jc w:val="both"/>
        <w:rPr>
          <w:rFonts w:ascii="Times New Roman" w:hAnsi="Times New Roman" w:cs="Times New Roman"/>
          <w:b/>
          <w:bCs/>
          <w:sz w:val="24"/>
          <w:szCs w:val="24"/>
        </w:rPr>
      </w:pPr>
    </w:p>
    <w:p w14:paraId="3C50E3E1" w14:textId="5729FC8F" w:rsidR="00747F96" w:rsidRDefault="00747F96" w:rsidP="00747F96">
      <w:pPr>
        <w:spacing w:after="0" w:line="240" w:lineRule="auto"/>
        <w:jc w:val="both"/>
        <w:rPr>
          <w:rFonts w:ascii="Times New Roman" w:hAnsi="Times New Roman" w:cs="Times New Roman"/>
          <w:b/>
          <w:bCs/>
          <w:sz w:val="24"/>
          <w:szCs w:val="24"/>
        </w:rPr>
      </w:pPr>
      <w:r w:rsidRPr="008617AD">
        <w:rPr>
          <w:rFonts w:ascii="Times New Roman" w:hAnsi="Times New Roman" w:cs="Times New Roman"/>
          <w:b/>
          <w:bCs/>
          <w:sz w:val="24"/>
          <w:szCs w:val="24"/>
        </w:rPr>
        <w:t xml:space="preserve">K bodu </w:t>
      </w:r>
      <w:r w:rsidR="00CB5281">
        <w:rPr>
          <w:rFonts w:ascii="Times New Roman" w:hAnsi="Times New Roman" w:cs="Times New Roman"/>
          <w:b/>
          <w:bCs/>
          <w:sz w:val="24"/>
          <w:szCs w:val="24"/>
        </w:rPr>
        <w:t>4</w:t>
      </w:r>
      <w:r w:rsidR="00A9183D">
        <w:rPr>
          <w:rFonts w:ascii="Times New Roman" w:hAnsi="Times New Roman" w:cs="Times New Roman"/>
          <w:b/>
          <w:bCs/>
          <w:sz w:val="24"/>
          <w:szCs w:val="24"/>
        </w:rPr>
        <w:t>7</w:t>
      </w:r>
      <w:r w:rsidR="003E2301">
        <w:rPr>
          <w:rFonts w:ascii="Times New Roman" w:hAnsi="Times New Roman" w:cs="Times New Roman"/>
          <w:b/>
          <w:bCs/>
          <w:sz w:val="24"/>
          <w:szCs w:val="24"/>
        </w:rPr>
        <w:t xml:space="preserve"> a 48</w:t>
      </w:r>
    </w:p>
    <w:p w14:paraId="0642F241" w14:textId="77777777" w:rsidR="004C4523" w:rsidRPr="000E792F" w:rsidRDefault="004C4523" w:rsidP="00747F96">
      <w:pPr>
        <w:spacing w:after="0" w:line="240" w:lineRule="auto"/>
        <w:jc w:val="both"/>
        <w:rPr>
          <w:rFonts w:ascii="Times New Roman" w:hAnsi="Times New Roman" w:cs="Times New Roman"/>
          <w:b/>
          <w:bCs/>
          <w:i/>
          <w:sz w:val="24"/>
          <w:szCs w:val="24"/>
        </w:rPr>
      </w:pPr>
      <w:r w:rsidRPr="000E792F">
        <w:rPr>
          <w:rFonts w:ascii="Times New Roman" w:hAnsi="Times New Roman" w:cs="Times New Roman"/>
          <w:b/>
          <w:bCs/>
          <w:i/>
          <w:sz w:val="24"/>
          <w:szCs w:val="24"/>
        </w:rPr>
        <w:t>(§ 25a a 25b)</w:t>
      </w:r>
    </w:p>
    <w:p w14:paraId="51544DFA" w14:textId="77777777" w:rsidR="0042425B" w:rsidRPr="008617AD" w:rsidRDefault="0042425B" w:rsidP="00747F96">
      <w:pPr>
        <w:spacing w:after="0" w:line="240" w:lineRule="auto"/>
        <w:jc w:val="both"/>
        <w:rPr>
          <w:rFonts w:ascii="Times New Roman" w:hAnsi="Times New Roman" w:cs="Times New Roman"/>
          <w:sz w:val="24"/>
          <w:szCs w:val="24"/>
        </w:rPr>
      </w:pPr>
    </w:p>
    <w:p w14:paraId="2A4049A9" w14:textId="55AA9A1F" w:rsidR="0042425B" w:rsidRPr="008617AD" w:rsidRDefault="0042425B" w:rsidP="00747F96">
      <w:pPr>
        <w:spacing w:after="0" w:line="240" w:lineRule="auto"/>
        <w:jc w:val="both"/>
        <w:rPr>
          <w:rFonts w:ascii="Times New Roman" w:hAnsi="Times New Roman" w:cs="Times New Roman"/>
          <w:sz w:val="24"/>
          <w:szCs w:val="24"/>
        </w:rPr>
      </w:pPr>
      <w:r w:rsidRPr="008617AD">
        <w:rPr>
          <w:rFonts w:ascii="Times New Roman" w:hAnsi="Times New Roman" w:cs="Times New Roman"/>
          <w:sz w:val="24"/>
          <w:szCs w:val="24"/>
        </w:rPr>
        <w:tab/>
      </w:r>
      <w:r w:rsidR="004C4523">
        <w:rPr>
          <w:rFonts w:ascii="Times New Roman" w:hAnsi="Times New Roman" w:cs="Times New Roman"/>
          <w:sz w:val="24"/>
          <w:szCs w:val="24"/>
        </w:rPr>
        <w:t xml:space="preserve">Doplnené ustanovenia sú ustanoveniami prechodnými a transpozičnými. </w:t>
      </w:r>
      <w:r w:rsidR="00ED647A">
        <w:rPr>
          <w:rFonts w:ascii="Times New Roman" w:hAnsi="Times New Roman" w:cs="Times New Roman"/>
          <w:sz w:val="24"/>
          <w:szCs w:val="24"/>
        </w:rPr>
        <w:t>V prípade doplneného § 25a</w:t>
      </w:r>
      <w:r w:rsidR="009659C9">
        <w:rPr>
          <w:rFonts w:ascii="Times New Roman" w:hAnsi="Times New Roman" w:cs="Times New Roman"/>
          <w:sz w:val="24"/>
          <w:szCs w:val="24"/>
        </w:rPr>
        <w:t xml:space="preserve"> </w:t>
      </w:r>
      <w:r w:rsidR="00AC6808">
        <w:rPr>
          <w:rFonts w:ascii="Times New Roman" w:hAnsi="Times New Roman" w:cs="Times New Roman"/>
          <w:sz w:val="24"/>
          <w:szCs w:val="24"/>
        </w:rPr>
        <w:t xml:space="preserve">návrhu zákona </w:t>
      </w:r>
      <w:r w:rsidR="009659C9">
        <w:rPr>
          <w:rFonts w:ascii="Times New Roman" w:hAnsi="Times New Roman" w:cs="Times New Roman"/>
          <w:sz w:val="24"/>
          <w:szCs w:val="24"/>
        </w:rPr>
        <w:t xml:space="preserve">sa stanovuje lehota, do ktorej má úrad predložiť prvú správu podľa § 13 ods. 14 </w:t>
      </w:r>
      <w:r w:rsidR="003E2301">
        <w:rPr>
          <w:rFonts w:ascii="Times New Roman" w:hAnsi="Times New Roman" w:cs="Times New Roman"/>
          <w:sz w:val="24"/>
          <w:szCs w:val="24"/>
        </w:rPr>
        <w:t>návrhu zákona Európskej komisii.</w:t>
      </w:r>
      <w:r w:rsidR="00AC6808">
        <w:rPr>
          <w:rFonts w:ascii="Times New Roman" w:hAnsi="Times New Roman" w:cs="Times New Roman"/>
          <w:sz w:val="24"/>
          <w:szCs w:val="24"/>
        </w:rPr>
        <w:t xml:space="preserve">. S ohľadom na navrhovanú účinnosť návrhu zákona a po predchádzajúcej konzultácii s úradom, predkladateľ dospel k názoru, že </w:t>
      </w:r>
      <w:r w:rsidR="000A5433">
        <w:rPr>
          <w:rFonts w:ascii="Times New Roman" w:hAnsi="Times New Roman" w:cs="Times New Roman"/>
          <w:sz w:val="24"/>
          <w:szCs w:val="24"/>
        </w:rPr>
        <w:t xml:space="preserve">termín do 30. júna 2023 </w:t>
      </w:r>
      <w:r w:rsidR="00AC6808">
        <w:rPr>
          <w:rFonts w:ascii="Times New Roman" w:hAnsi="Times New Roman" w:cs="Times New Roman"/>
          <w:sz w:val="24"/>
          <w:szCs w:val="24"/>
        </w:rPr>
        <w:t>bude pre úrad na vypr</w:t>
      </w:r>
      <w:r w:rsidR="000A5433">
        <w:rPr>
          <w:rFonts w:ascii="Times New Roman" w:hAnsi="Times New Roman" w:cs="Times New Roman"/>
          <w:sz w:val="24"/>
          <w:szCs w:val="24"/>
        </w:rPr>
        <w:t>acovanie prvej správy dostatočný</w:t>
      </w:r>
      <w:r w:rsidR="00AC6808">
        <w:rPr>
          <w:rFonts w:ascii="Times New Roman" w:hAnsi="Times New Roman" w:cs="Times New Roman"/>
          <w:sz w:val="24"/>
          <w:szCs w:val="24"/>
        </w:rPr>
        <w:t>.</w:t>
      </w:r>
    </w:p>
    <w:p w14:paraId="0545B3FB" w14:textId="33328D80" w:rsidR="001953E5" w:rsidRPr="004C446C" w:rsidRDefault="001953E5" w:rsidP="00747F96">
      <w:pPr>
        <w:spacing w:after="0" w:line="240" w:lineRule="auto"/>
        <w:jc w:val="both"/>
        <w:rPr>
          <w:rFonts w:ascii="Times New Roman" w:hAnsi="Times New Roman" w:cs="Times New Roman"/>
          <w:bCs/>
          <w:sz w:val="24"/>
          <w:szCs w:val="24"/>
        </w:rPr>
      </w:pPr>
    </w:p>
    <w:p w14:paraId="5E16508A" w14:textId="77777777" w:rsidR="00BB4EBF" w:rsidRPr="008617AD" w:rsidRDefault="00BB4EBF" w:rsidP="00747F96">
      <w:pPr>
        <w:spacing w:after="0" w:line="240" w:lineRule="auto"/>
        <w:jc w:val="both"/>
        <w:rPr>
          <w:rFonts w:ascii="Times New Roman" w:hAnsi="Times New Roman" w:cs="Times New Roman"/>
          <w:sz w:val="24"/>
          <w:szCs w:val="24"/>
        </w:rPr>
      </w:pPr>
      <w:r w:rsidRPr="008617AD">
        <w:rPr>
          <w:rFonts w:ascii="Times New Roman" w:hAnsi="Times New Roman" w:cs="Times New Roman"/>
          <w:b/>
          <w:bCs/>
          <w:sz w:val="24"/>
          <w:szCs w:val="24"/>
        </w:rPr>
        <w:tab/>
      </w:r>
      <w:r w:rsidR="001953E5" w:rsidRPr="008617AD">
        <w:rPr>
          <w:rFonts w:ascii="Times New Roman" w:hAnsi="Times New Roman" w:cs="Times New Roman"/>
          <w:bCs/>
          <w:sz w:val="24"/>
          <w:szCs w:val="24"/>
        </w:rPr>
        <w:t>Príloha sa dopĺňa o odkaz na právne záväzné akty Európskej únie, ktoré sa návrhom zákona transponujú do označeného zákona.</w:t>
      </w:r>
    </w:p>
    <w:p w14:paraId="0059443A" w14:textId="77777777" w:rsidR="001953E5" w:rsidRDefault="001953E5" w:rsidP="00747F96">
      <w:pPr>
        <w:spacing w:after="0" w:line="240" w:lineRule="auto"/>
        <w:jc w:val="both"/>
        <w:rPr>
          <w:rFonts w:ascii="Times New Roman" w:hAnsi="Times New Roman" w:cs="Times New Roman"/>
          <w:sz w:val="24"/>
          <w:szCs w:val="24"/>
        </w:rPr>
      </w:pPr>
    </w:p>
    <w:p w14:paraId="363D7021" w14:textId="65602579" w:rsidR="00BE0CD1" w:rsidRPr="00A9183D" w:rsidRDefault="00A9183D" w:rsidP="00747F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čl. II</w:t>
      </w:r>
    </w:p>
    <w:p w14:paraId="2FF55F5E" w14:textId="3A7E360A" w:rsidR="00BE0CD1" w:rsidRPr="009659C9" w:rsidRDefault="00A9183D" w:rsidP="00747F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1 a 2</w:t>
      </w:r>
      <w:r w:rsidR="00BE0CD1" w:rsidRPr="009659C9">
        <w:rPr>
          <w:rFonts w:ascii="Times New Roman" w:hAnsi="Times New Roman" w:cs="Times New Roman"/>
          <w:b/>
          <w:sz w:val="24"/>
          <w:szCs w:val="24"/>
        </w:rPr>
        <w:t xml:space="preserve"> </w:t>
      </w:r>
    </w:p>
    <w:p w14:paraId="4B73D531" w14:textId="1F498E44" w:rsidR="00BE0CD1" w:rsidRPr="009659C9" w:rsidRDefault="00BE0CD1" w:rsidP="00747F96">
      <w:pPr>
        <w:spacing w:after="0" w:line="240" w:lineRule="auto"/>
        <w:jc w:val="both"/>
        <w:rPr>
          <w:rFonts w:ascii="Times New Roman" w:hAnsi="Times New Roman" w:cs="Times New Roman"/>
          <w:b/>
          <w:i/>
          <w:sz w:val="24"/>
          <w:szCs w:val="24"/>
        </w:rPr>
      </w:pPr>
      <w:r w:rsidRPr="009659C9">
        <w:rPr>
          <w:rFonts w:ascii="Times New Roman" w:hAnsi="Times New Roman" w:cs="Times New Roman"/>
          <w:b/>
          <w:i/>
          <w:sz w:val="24"/>
          <w:szCs w:val="24"/>
        </w:rPr>
        <w:t>(§ 24g ods. 3 a 4)</w:t>
      </w:r>
    </w:p>
    <w:p w14:paraId="04CDA9C8" w14:textId="12C4848D" w:rsidR="007E53BE" w:rsidRDefault="007E53BE" w:rsidP="00747F96">
      <w:pPr>
        <w:spacing w:after="0" w:line="240" w:lineRule="auto"/>
        <w:jc w:val="both"/>
        <w:rPr>
          <w:rFonts w:ascii="Times New Roman" w:hAnsi="Times New Roman" w:cs="Times New Roman"/>
          <w:sz w:val="24"/>
          <w:szCs w:val="24"/>
        </w:rPr>
      </w:pPr>
    </w:p>
    <w:p w14:paraId="080157C6" w14:textId="08E651E8" w:rsidR="00BE0CD1" w:rsidRPr="00A9183D" w:rsidRDefault="009659C9" w:rsidP="00963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Predmetné ustanovenia predstavujú transpozíciu čl. 20 </w:t>
      </w:r>
      <w:r w:rsidR="00AC6808">
        <w:rPr>
          <w:rFonts w:ascii="Times New Roman" w:hAnsi="Times New Roman" w:cs="Times New Roman"/>
          <w:sz w:val="24"/>
          <w:szCs w:val="24"/>
        </w:rPr>
        <w:t>s</w:t>
      </w:r>
      <w:r>
        <w:rPr>
          <w:rFonts w:ascii="Times New Roman" w:hAnsi="Times New Roman" w:cs="Times New Roman"/>
          <w:sz w:val="24"/>
          <w:szCs w:val="24"/>
        </w:rPr>
        <w:t xml:space="preserve">mernice (EÚ) 2019/1937 v platnom </w:t>
      </w:r>
      <w:r w:rsidR="00AC6808">
        <w:rPr>
          <w:rFonts w:ascii="Times New Roman" w:hAnsi="Times New Roman" w:cs="Times New Roman"/>
          <w:sz w:val="24"/>
          <w:szCs w:val="24"/>
        </w:rPr>
        <w:t>znení, nakoľko sa i v zmysle návrhu zákona rozširuje ochrana o osoby, ktoré poskytovateľovi poskytli pomoc</w:t>
      </w:r>
      <w:r w:rsidR="00704514">
        <w:rPr>
          <w:rFonts w:ascii="Times New Roman" w:hAnsi="Times New Roman" w:cs="Times New Roman"/>
          <w:sz w:val="24"/>
          <w:szCs w:val="24"/>
        </w:rPr>
        <w:t xml:space="preserve"> a iné osoby, ktoré boli postihnuté v súvislosti s oznámením.</w:t>
      </w:r>
    </w:p>
    <w:p w14:paraId="1DD95FC3" w14:textId="77777777" w:rsidR="00BE0CD1" w:rsidRDefault="00BE0CD1" w:rsidP="009638E0">
      <w:pPr>
        <w:spacing w:after="0" w:line="240" w:lineRule="auto"/>
        <w:jc w:val="both"/>
        <w:rPr>
          <w:rFonts w:ascii="Times New Roman" w:hAnsi="Times New Roman" w:cs="Times New Roman"/>
          <w:b/>
          <w:sz w:val="24"/>
          <w:szCs w:val="24"/>
        </w:rPr>
      </w:pPr>
    </w:p>
    <w:p w14:paraId="60F71CAB" w14:textId="10FA8DA5" w:rsidR="009638E0" w:rsidRPr="008617AD" w:rsidRDefault="00197176" w:rsidP="009638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čl. </w:t>
      </w:r>
      <w:r w:rsidR="00850137">
        <w:rPr>
          <w:rFonts w:ascii="Times New Roman" w:hAnsi="Times New Roman" w:cs="Times New Roman"/>
          <w:b/>
          <w:sz w:val="24"/>
          <w:szCs w:val="24"/>
        </w:rPr>
        <w:t>III</w:t>
      </w:r>
    </w:p>
    <w:p w14:paraId="0313C31C" w14:textId="77777777" w:rsidR="0054577F" w:rsidRPr="00197176" w:rsidRDefault="0054577F" w:rsidP="009638E0">
      <w:pPr>
        <w:spacing w:after="0" w:line="240" w:lineRule="auto"/>
        <w:jc w:val="both"/>
        <w:rPr>
          <w:rFonts w:ascii="Times New Roman" w:hAnsi="Times New Roman" w:cs="Times New Roman"/>
          <w:sz w:val="24"/>
          <w:szCs w:val="24"/>
        </w:rPr>
      </w:pPr>
    </w:p>
    <w:p w14:paraId="2830CDBC" w14:textId="7C32D3D6" w:rsidR="00CD1593" w:rsidRPr="00A3392F" w:rsidRDefault="00850137" w:rsidP="00CD1593">
      <w:pPr>
        <w:spacing w:after="0" w:line="240" w:lineRule="auto"/>
        <w:ind w:firstLine="708"/>
        <w:jc w:val="both"/>
        <w:rPr>
          <w:rFonts w:ascii="Times New Roman" w:hAnsi="Times New Roman" w:cs="Times New Roman"/>
          <w:sz w:val="28"/>
          <w:szCs w:val="24"/>
        </w:rPr>
      </w:pPr>
      <w:r w:rsidRPr="00197176">
        <w:rPr>
          <w:rFonts w:ascii="Times New Roman" w:eastAsia="Times New Roman" w:hAnsi="Times New Roman" w:cs="Times New Roman"/>
          <w:sz w:val="24"/>
          <w:szCs w:val="24"/>
          <w:lang w:eastAsia="sk-SK"/>
        </w:rPr>
        <w:t xml:space="preserve">Dátum účinnosti návrhu zákona sa navrhuje od 1. </w:t>
      </w:r>
      <w:r w:rsidR="00A9183D">
        <w:rPr>
          <w:rFonts w:ascii="Times New Roman" w:eastAsia="Times New Roman" w:hAnsi="Times New Roman" w:cs="Times New Roman"/>
          <w:sz w:val="24"/>
          <w:szCs w:val="24"/>
          <w:lang w:eastAsia="sk-SK"/>
        </w:rPr>
        <w:t>apríla</w:t>
      </w:r>
      <w:r w:rsidR="00704514">
        <w:rPr>
          <w:rFonts w:ascii="Times New Roman" w:eastAsia="Times New Roman" w:hAnsi="Times New Roman" w:cs="Times New Roman"/>
          <w:sz w:val="24"/>
          <w:szCs w:val="24"/>
          <w:lang w:eastAsia="sk-SK"/>
        </w:rPr>
        <w:t xml:space="preserve"> 2023</w:t>
      </w:r>
      <w:r w:rsidRPr="00197176">
        <w:rPr>
          <w:rFonts w:ascii="Times New Roman" w:eastAsia="Times New Roman" w:hAnsi="Times New Roman" w:cs="Times New Roman"/>
          <w:sz w:val="24"/>
          <w:szCs w:val="24"/>
          <w:lang w:eastAsia="sk-SK"/>
        </w:rPr>
        <w:t xml:space="preserve"> vzhľadom na predpokladanú dĺžku legislatívneho procesu, </w:t>
      </w:r>
      <w:r w:rsidR="00704514" w:rsidRPr="00184D2B">
        <w:rPr>
          <w:rFonts w:ascii="Times New Roman" w:hAnsi="Times New Roman"/>
          <w:sz w:val="24"/>
          <w:szCs w:val="24"/>
        </w:rPr>
        <w:t xml:space="preserve">okrem čl. I bodov </w:t>
      </w:r>
      <w:r w:rsidR="003E2301">
        <w:rPr>
          <w:rFonts w:ascii="Times New Roman" w:hAnsi="Times New Roman"/>
          <w:sz w:val="24"/>
          <w:szCs w:val="24"/>
        </w:rPr>
        <w:t xml:space="preserve">17, 18, 25, 26, 40, 41 a 44 </w:t>
      </w:r>
      <w:r w:rsidRPr="00197176">
        <w:rPr>
          <w:rFonts w:ascii="Times New Roman" w:eastAsia="Times New Roman" w:hAnsi="Times New Roman" w:cs="Times New Roman"/>
          <w:sz w:val="24"/>
          <w:szCs w:val="24"/>
          <w:lang w:eastAsia="sk-SK"/>
        </w:rPr>
        <w:t>návrhu zákona, v prípade k</w:t>
      </w:r>
      <w:r w:rsidR="00A9183D">
        <w:rPr>
          <w:rFonts w:ascii="Times New Roman" w:eastAsia="Times New Roman" w:hAnsi="Times New Roman" w:cs="Times New Roman"/>
          <w:sz w:val="24"/>
          <w:szCs w:val="24"/>
          <w:lang w:eastAsia="sk-SK"/>
        </w:rPr>
        <w:t>torých sa navrhuje účinnosť od 1</w:t>
      </w:r>
      <w:r w:rsidRPr="00197176">
        <w:rPr>
          <w:rFonts w:ascii="Times New Roman" w:eastAsia="Times New Roman" w:hAnsi="Times New Roman" w:cs="Times New Roman"/>
          <w:sz w:val="24"/>
          <w:szCs w:val="24"/>
          <w:lang w:eastAsia="sk-SK"/>
        </w:rPr>
        <w:t xml:space="preserve">. </w:t>
      </w:r>
      <w:r w:rsidR="00A9183D">
        <w:rPr>
          <w:rFonts w:ascii="Times New Roman" w:eastAsia="Times New Roman" w:hAnsi="Times New Roman" w:cs="Times New Roman"/>
          <w:sz w:val="24"/>
          <w:szCs w:val="24"/>
          <w:lang w:eastAsia="sk-SK"/>
        </w:rPr>
        <w:t>septembra</w:t>
      </w:r>
      <w:r w:rsidR="00704514" w:rsidRPr="00197176">
        <w:rPr>
          <w:rFonts w:ascii="Times New Roman" w:eastAsia="Times New Roman" w:hAnsi="Times New Roman" w:cs="Times New Roman"/>
          <w:sz w:val="24"/>
          <w:szCs w:val="24"/>
          <w:lang w:eastAsia="sk-SK"/>
        </w:rPr>
        <w:t xml:space="preserve"> </w:t>
      </w:r>
      <w:r w:rsidRPr="00197176">
        <w:rPr>
          <w:rFonts w:ascii="Times New Roman" w:eastAsia="Times New Roman" w:hAnsi="Times New Roman" w:cs="Times New Roman"/>
          <w:sz w:val="24"/>
          <w:szCs w:val="24"/>
          <w:lang w:eastAsia="sk-SK"/>
        </w:rPr>
        <w:t xml:space="preserve">2023 a to z dôvodu </w:t>
      </w:r>
      <w:proofErr w:type="spellStart"/>
      <w:r w:rsidRPr="00197176">
        <w:rPr>
          <w:rFonts w:ascii="Times New Roman" w:eastAsia="Times New Roman" w:hAnsi="Times New Roman" w:cs="Times New Roman"/>
          <w:sz w:val="24"/>
          <w:szCs w:val="24"/>
          <w:lang w:eastAsia="sk-SK"/>
        </w:rPr>
        <w:t>legisvakancie</w:t>
      </w:r>
      <w:proofErr w:type="spellEnd"/>
      <w:r w:rsidRPr="00197176">
        <w:rPr>
          <w:rFonts w:ascii="Times New Roman" w:eastAsia="Times New Roman" w:hAnsi="Times New Roman" w:cs="Times New Roman"/>
          <w:sz w:val="24"/>
          <w:szCs w:val="24"/>
          <w:lang w:eastAsia="sk-SK"/>
        </w:rPr>
        <w:t xml:space="preserve">, nakoľko predkladateľ považuje za vhodné poskytnúť dostatočne dlhé obdobie pre oboznámenie sa adresátov práva s novou úpravou. </w:t>
      </w:r>
    </w:p>
    <w:p w14:paraId="7351607D" w14:textId="77777777" w:rsidR="009638E0" w:rsidRPr="008617AD" w:rsidRDefault="009638E0" w:rsidP="009638E0">
      <w:pPr>
        <w:spacing w:after="0" w:line="240" w:lineRule="auto"/>
        <w:rPr>
          <w:rFonts w:ascii="Times New Roman" w:hAnsi="Times New Roman" w:cs="Times New Roman"/>
          <w:sz w:val="24"/>
          <w:szCs w:val="24"/>
        </w:rPr>
      </w:pPr>
    </w:p>
    <w:p w14:paraId="6BB7D70A" w14:textId="00CD2EE6" w:rsidR="0074282F" w:rsidRDefault="0074282F" w:rsidP="0074282F">
      <w:pPr>
        <w:jc w:val="both"/>
        <w:rPr>
          <w:rFonts w:ascii="Times New Roman" w:hAnsi="Times New Roman" w:cs="Times New Roman"/>
          <w:sz w:val="24"/>
          <w:szCs w:val="24"/>
        </w:rPr>
      </w:pPr>
      <w:r>
        <w:rPr>
          <w:rFonts w:ascii="Times New Roman" w:hAnsi="Times New Roman" w:cs="Times New Roman"/>
          <w:sz w:val="24"/>
          <w:szCs w:val="24"/>
        </w:rPr>
        <w:t xml:space="preserve">V Bratislave, dňa </w:t>
      </w:r>
      <w:r>
        <w:rPr>
          <w:rFonts w:ascii="Times New Roman" w:hAnsi="Times New Roman" w:cs="Times New Roman"/>
          <w:sz w:val="24"/>
          <w:szCs w:val="24"/>
        </w:rPr>
        <w:t>9. novembra</w:t>
      </w:r>
      <w:r>
        <w:rPr>
          <w:rFonts w:ascii="Times New Roman" w:hAnsi="Times New Roman" w:cs="Times New Roman"/>
          <w:sz w:val="24"/>
          <w:szCs w:val="24"/>
        </w:rPr>
        <w:t xml:space="preserve"> 2022</w:t>
      </w:r>
    </w:p>
    <w:p w14:paraId="06C18D94" w14:textId="77777777" w:rsidR="0074282F" w:rsidRDefault="0074282F" w:rsidP="0074282F">
      <w:pPr>
        <w:ind w:firstLine="708"/>
        <w:jc w:val="both"/>
        <w:rPr>
          <w:rFonts w:ascii="Times New Roman" w:hAnsi="Times New Roman" w:cs="Times New Roman"/>
          <w:sz w:val="24"/>
          <w:szCs w:val="24"/>
        </w:rPr>
      </w:pPr>
    </w:p>
    <w:p w14:paraId="4A610C74" w14:textId="77777777" w:rsidR="0074282F" w:rsidRPr="004E337E" w:rsidRDefault="0074282F" w:rsidP="0074282F">
      <w:pPr>
        <w:ind w:firstLine="708"/>
        <w:jc w:val="center"/>
        <w:rPr>
          <w:rFonts w:ascii="Times New Roman" w:hAnsi="Times New Roman" w:cs="Times New Roman"/>
          <w:b/>
          <w:sz w:val="24"/>
          <w:szCs w:val="24"/>
        </w:rPr>
      </w:pPr>
      <w:r w:rsidRPr="004E337E">
        <w:rPr>
          <w:rFonts w:ascii="Times New Roman" w:hAnsi="Times New Roman" w:cs="Times New Roman"/>
          <w:b/>
          <w:sz w:val="24"/>
          <w:szCs w:val="24"/>
        </w:rPr>
        <w:t xml:space="preserve">Eduard </w:t>
      </w:r>
      <w:proofErr w:type="spellStart"/>
      <w:r w:rsidRPr="004E337E">
        <w:rPr>
          <w:rFonts w:ascii="Times New Roman" w:hAnsi="Times New Roman" w:cs="Times New Roman"/>
          <w:b/>
          <w:sz w:val="24"/>
          <w:szCs w:val="24"/>
        </w:rPr>
        <w:t>He</w:t>
      </w:r>
      <w:bookmarkStart w:id="0" w:name="_GoBack"/>
      <w:bookmarkEnd w:id="0"/>
      <w:r w:rsidRPr="004E337E">
        <w:rPr>
          <w:rFonts w:ascii="Times New Roman" w:hAnsi="Times New Roman" w:cs="Times New Roman"/>
          <w:b/>
          <w:sz w:val="24"/>
          <w:szCs w:val="24"/>
        </w:rPr>
        <w:t>ger</w:t>
      </w:r>
      <w:proofErr w:type="spellEnd"/>
    </w:p>
    <w:p w14:paraId="0827A5FF" w14:textId="77777777" w:rsidR="0074282F" w:rsidRDefault="0074282F" w:rsidP="0074282F">
      <w:pPr>
        <w:ind w:firstLine="708"/>
        <w:jc w:val="center"/>
        <w:rPr>
          <w:rFonts w:ascii="Times New Roman" w:hAnsi="Times New Roman" w:cs="Times New Roman"/>
          <w:sz w:val="24"/>
          <w:szCs w:val="24"/>
        </w:rPr>
      </w:pPr>
      <w:r>
        <w:rPr>
          <w:rFonts w:ascii="Times New Roman" w:hAnsi="Times New Roman" w:cs="Times New Roman"/>
          <w:sz w:val="24"/>
          <w:szCs w:val="24"/>
        </w:rPr>
        <w:t>predseda vlády Slovenskej republiky</w:t>
      </w:r>
    </w:p>
    <w:p w14:paraId="7417D1AB" w14:textId="77777777" w:rsidR="0074282F" w:rsidRDefault="0074282F" w:rsidP="0074282F">
      <w:pPr>
        <w:ind w:firstLine="708"/>
        <w:jc w:val="center"/>
        <w:rPr>
          <w:rFonts w:ascii="Times New Roman" w:hAnsi="Times New Roman" w:cs="Times New Roman"/>
          <w:sz w:val="24"/>
          <w:szCs w:val="24"/>
        </w:rPr>
      </w:pPr>
    </w:p>
    <w:p w14:paraId="50D38980" w14:textId="77777777" w:rsidR="0074282F" w:rsidRDefault="0074282F" w:rsidP="0074282F">
      <w:pPr>
        <w:ind w:firstLine="708"/>
        <w:jc w:val="center"/>
        <w:rPr>
          <w:rFonts w:ascii="Times New Roman" w:hAnsi="Times New Roman" w:cs="Times New Roman"/>
          <w:sz w:val="24"/>
          <w:szCs w:val="24"/>
        </w:rPr>
      </w:pPr>
    </w:p>
    <w:p w14:paraId="5E4EE16B" w14:textId="77777777" w:rsidR="0074282F" w:rsidRDefault="0074282F" w:rsidP="0074282F">
      <w:pPr>
        <w:ind w:firstLine="708"/>
        <w:jc w:val="center"/>
        <w:rPr>
          <w:rFonts w:ascii="Times New Roman" w:hAnsi="Times New Roman" w:cs="Times New Roman"/>
          <w:sz w:val="24"/>
          <w:szCs w:val="24"/>
        </w:rPr>
      </w:pPr>
    </w:p>
    <w:p w14:paraId="132AB19F" w14:textId="77777777" w:rsidR="0074282F" w:rsidRPr="00B4193A" w:rsidRDefault="0074282F" w:rsidP="0074282F">
      <w:pPr>
        <w:ind w:firstLine="708"/>
        <w:jc w:val="center"/>
        <w:rPr>
          <w:rFonts w:ascii="Times New Roman" w:hAnsi="Times New Roman" w:cs="Times New Roman"/>
          <w:b/>
          <w:sz w:val="24"/>
          <w:szCs w:val="24"/>
        </w:rPr>
      </w:pPr>
      <w:r w:rsidRPr="00B4193A">
        <w:rPr>
          <w:rFonts w:ascii="Times New Roman" w:hAnsi="Times New Roman" w:cs="Times New Roman"/>
          <w:b/>
          <w:sz w:val="24"/>
          <w:szCs w:val="24"/>
        </w:rPr>
        <w:t>Július Jakab</w:t>
      </w:r>
    </w:p>
    <w:p w14:paraId="67ECDBE1" w14:textId="77777777" w:rsidR="0074282F" w:rsidRPr="001930BF" w:rsidRDefault="0074282F" w:rsidP="0074282F">
      <w:pPr>
        <w:ind w:firstLine="708"/>
        <w:jc w:val="center"/>
        <w:rPr>
          <w:rFonts w:ascii="Times New Roman" w:hAnsi="Times New Roman" w:cs="Times New Roman"/>
          <w:sz w:val="24"/>
          <w:szCs w:val="24"/>
        </w:rPr>
      </w:pPr>
      <w:r>
        <w:rPr>
          <w:rFonts w:ascii="Times New Roman" w:hAnsi="Times New Roman" w:cs="Times New Roman"/>
          <w:sz w:val="24"/>
          <w:szCs w:val="24"/>
        </w:rPr>
        <w:t>vedúci Úradu vlády Slovenskej republiky</w:t>
      </w:r>
    </w:p>
    <w:p w14:paraId="13EF9F49" w14:textId="77777777" w:rsidR="00AE3151" w:rsidRPr="008617AD" w:rsidRDefault="00AE3151" w:rsidP="00EF3BFA">
      <w:pPr>
        <w:spacing w:after="0" w:line="240" w:lineRule="auto"/>
        <w:rPr>
          <w:rFonts w:ascii="Times New Roman" w:hAnsi="Times New Roman" w:cs="Times New Roman"/>
          <w:b/>
          <w:sz w:val="24"/>
          <w:szCs w:val="24"/>
        </w:rPr>
      </w:pPr>
    </w:p>
    <w:p w14:paraId="6ABE815E" w14:textId="77777777" w:rsidR="00AE3151" w:rsidRPr="008617AD" w:rsidRDefault="00AE3151" w:rsidP="00EF3BFA">
      <w:pPr>
        <w:spacing w:after="0" w:line="240" w:lineRule="auto"/>
        <w:rPr>
          <w:rFonts w:ascii="Times New Roman" w:hAnsi="Times New Roman" w:cs="Times New Roman"/>
          <w:b/>
          <w:sz w:val="24"/>
          <w:szCs w:val="24"/>
        </w:rPr>
      </w:pPr>
    </w:p>
    <w:p w14:paraId="2975E8CA" w14:textId="77777777" w:rsidR="00AA060E" w:rsidRPr="008617AD" w:rsidRDefault="00AA060E" w:rsidP="00D11F44">
      <w:pPr>
        <w:spacing w:after="0" w:line="240" w:lineRule="auto"/>
        <w:rPr>
          <w:rFonts w:ascii="Times New Roman" w:hAnsi="Times New Roman" w:cs="Times New Roman"/>
          <w:b/>
          <w:sz w:val="24"/>
          <w:szCs w:val="24"/>
        </w:rPr>
      </w:pPr>
    </w:p>
    <w:p w14:paraId="2B70479B" w14:textId="77777777" w:rsidR="00AA060E" w:rsidRPr="008617AD" w:rsidRDefault="00AA060E" w:rsidP="00D11F44">
      <w:pPr>
        <w:spacing w:after="0" w:line="240" w:lineRule="auto"/>
        <w:rPr>
          <w:rFonts w:ascii="Times New Roman" w:hAnsi="Times New Roman" w:cs="Times New Roman"/>
          <w:b/>
          <w:sz w:val="24"/>
          <w:szCs w:val="24"/>
        </w:rPr>
      </w:pPr>
    </w:p>
    <w:sectPr w:rsidR="00AA060E" w:rsidRPr="008617AD" w:rsidSect="002351F1">
      <w:footerReference w:type="defaul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C40FB" w14:textId="77777777" w:rsidR="0023154B" w:rsidRDefault="0023154B" w:rsidP="002D2F92">
      <w:pPr>
        <w:spacing w:after="0" w:line="240" w:lineRule="auto"/>
      </w:pPr>
      <w:r>
        <w:separator/>
      </w:r>
    </w:p>
  </w:endnote>
  <w:endnote w:type="continuationSeparator" w:id="0">
    <w:p w14:paraId="3F413F36" w14:textId="77777777" w:rsidR="0023154B" w:rsidRDefault="0023154B" w:rsidP="002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07896064"/>
      <w:docPartObj>
        <w:docPartGallery w:val="Page Numbers (Bottom of Page)"/>
        <w:docPartUnique/>
      </w:docPartObj>
    </w:sdtPr>
    <w:sdtEndPr/>
    <w:sdtContent>
      <w:p w14:paraId="0479572A" w14:textId="0D2755F1" w:rsidR="00B50D29" w:rsidRPr="002351F1" w:rsidRDefault="00B50D29">
        <w:pPr>
          <w:pStyle w:val="Pta"/>
          <w:jc w:val="center"/>
          <w:rPr>
            <w:rFonts w:ascii="Times New Roman" w:hAnsi="Times New Roman" w:cs="Times New Roman"/>
            <w:sz w:val="24"/>
            <w:szCs w:val="24"/>
          </w:rPr>
        </w:pPr>
        <w:r w:rsidRPr="002351F1">
          <w:rPr>
            <w:rFonts w:ascii="Times New Roman" w:hAnsi="Times New Roman" w:cs="Times New Roman"/>
            <w:sz w:val="24"/>
            <w:szCs w:val="24"/>
          </w:rPr>
          <w:fldChar w:fldCharType="begin"/>
        </w:r>
        <w:r w:rsidRPr="002351F1">
          <w:rPr>
            <w:rFonts w:ascii="Times New Roman" w:hAnsi="Times New Roman" w:cs="Times New Roman"/>
            <w:sz w:val="24"/>
            <w:szCs w:val="24"/>
          </w:rPr>
          <w:instrText>PAGE   \* MERGEFORMAT</w:instrText>
        </w:r>
        <w:r w:rsidRPr="002351F1">
          <w:rPr>
            <w:rFonts w:ascii="Times New Roman" w:hAnsi="Times New Roman" w:cs="Times New Roman"/>
            <w:sz w:val="24"/>
            <w:szCs w:val="24"/>
          </w:rPr>
          <w:fldChar w:fldCharType="separate"/>
        </w:r>
        <w:r w:rsidR="0074282F">
          <w:rPr>
            <w:rFonts w:ascii="Times New Roman" w:hAnsi="Times New Roman" w:cs="Times New Roman"/>
            <w:noProof/>
            <w:sz w:val="24"/>
            <w:szCs w:val="24"/>
          </w:rPr>
          <w:t>16</w:t>
        </w:r>
        <w:r w:rsidRPr="002351F1">
          <w:rPr>
            <w:rFonts w:ascii="Times New Roman" w:hAnsi="Times New Roman" w:cs="Times New Roman"/>
            <w:sz w:val="24"/>
            <w:szCs w:val="24"/>
          </w:rPr>
          <w:fldChar w:fldCharType="end"/>
        </w:r>
      </w:p>
    </w:sdtContent>
  </w:sdt>
  <w:p w14:paraId="3E118B46" w14:textId="77777777" w:rsidR="00B50D29" w:rsidRDefault="00B50D2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232104"/>
      <w:docPartObj>
        <w:docPartGallery w:val="Page Numbers (Bottom of Page)"/>
        <w:docPartUnique/>
      </w:docPartObj>
    </w:sdtPr>
    <w:sdtEndPr/>
    <w:sdtContent>
      <w:p w14:paraId="4C543896" w14:textId="2E22245C" w:rsidR="00B50D29" w:rsidRDefault="00B50D29">
        <w:pPr>
          <w:pStyle w:val="Pta"/>
          <w:jc w:val="center"/>
        </w:pPr>
        <w:r>
          <w:fldChar w:fldCharType="begin"/>
        </w:r>
        <w:r>
          <w:instrText>PAGE   \* MERGEFORMAT</w:instrText>
        </w:r>
        <w:r>
          <w:fldChar w:fldCharType="separate"/>
        </w:r>
        <w:r w:rsidR="0074282F">
          <w:rPr>
            <w:noProof/>
          </w:rPr>
          <w:t>1</w:t>
        </w:r>
        <w:r>
          <w:rPr>
            <w:noProof/>
          </w:rPr>
          <w:fldChar w:fldCharType="end"/>
        </w:r>
      </w:p>
    </w:sdtContent>
  </w:sdt>
  <w:p w14:paraId="560BA523" w14:textId="77777777" w:rsidR="00B50D29" w:rsidRDefault="00B50D2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621BB" w14:textId="77777777" w:rsidR="0023154B" w:rsidRDefault="0023154B" w:rsidP="002D2F92">
      <w:pPr>
        <w:spacing w:after="0" w:line="240" w:lineRule="auto"/>
      </w:pPr>
      <w:r>
        <w:separator/>
      </w:r>
    </w:p>
  </w:footnote>
  <w:footnote w:type="continuationSeparator" w:id="0">
    <w:p w14:paraId="1A2F21EF" w14:textId="77777777" w:rsidR="0023154B" w:rsidRDefault="0023154B" w:rsidP="002D2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3FB"/>
    <w:multiLevelType w:val="hybridMultilevel"/>
    <w:tmpl w:val="E41A7662"/>
    <w:lvl w:ilvl="0" w:tplc="D9644DC2">
      <w:start w:val="1"/>
      <w:numFmt w:val="upperRoman"/>
      <w:lvlText w:val="Čl. %1"/>
      <w:lvlJc w:val="center"/>
      <w:pPr>
        <w:ind w:left="5322" w:hanging="360"/>
      </w:pPr>
      <w:rPr>
        <w:rFonts w:cs="Times New Roman" w:hint="default"/>
      </w:rPr>
    </w:lvl>
    <w:lvl w:ilvl="1" w:tplc="CFC65AD4">
      <w:start w:val="1"/>
      <w:numFmt w:val="bullet"/>
      <w:lvlText w:val=""/>
      <w:lvlJc w:val="left"/>
      <w:pPr>
        <w:ind w:left="3283" w:hanging="360"/>
      </w:pPr>
      <w:rPr>
        <w:rFonts w:ascii="Symbol" w:hAnsi="Symbol" w:hint="default"/>
      </w:rPr>
    </w:lvl>
    <w:lvl w:ilvl="2" w:tplc="F834AAC0">
      <w:start w:val="1"/>
      <w:numFmt w:val="decimal"/>
      <w:lvlText w:val="(%3)"/>
      <w:lvlJc w:val="left"/>
      <w:pPr>
        <w:ind w:left="3638" w:hanging="660"/>
      </w:pPr>
      <w:rPr>
        <w:rFonts w:cs="Times New Roman" w:hint="default"/>
      </w:rPr>
    </w:lvl>
    <w:lvl w:ilvl="3" w:tplc="041B000F" w:tentative="1">
      <w:start w:val="1"/>
      <w:numFmt w:val="decimal"/>
      <w:lvlText w:val="%4."/>
      <w:lvlJc w:val="left"/>
      <w:pPr>
        <w:ind w:left="4723" w:hanging="360"/>
      </w:pPr>
      <w:rPr>
        <w:rFonts w:cs="Times New Roman"/>
      </w:rPr>
    </w:lvl>
    <w:lvl w:ilvl="4" w:tplc="041B0019" w:tentative="1">
      <w:start w:val="1"/>
      <w:numFmt w:val="lowerLetter"/>
      <w:lvlText w:val="%5."/>
      <w:lvlJc w:val="left"/>
      <w:pPr>
        <w:ind w:left="5443" w:hanging="360"/>
      </w:pPr>
      <w:rPr>
        <w:rFonts w:cs="Times New Roman"/>
      </w:rPr>
    </w:lvl>
    <w:lvl w:ilvl="5" w:tplc="041B001B" w:tentative="1">
      <w:start w:val="1"/>
      <w:numFmt w:val="lowerRoman"/>
      <w:lvlText w:val="%6."/>
      <w:lvlJc w:val="right"/>
      <w:pPr>
        <w:ind w:left="6163" w:hanging="180"/>
      </w:pPr>
      <w:rPr>
        <w:rFonts w:cs="Times New Roman"/>
      </w:rPr>
    </w:lvl>
    <w:lvl w:ilvl="6" w:tplc="041B000F" w:tentative="1">
      <w:start w:val="1"/>
      <w:numFmt w:val="decimal"/>
      <w:lvlText w:val="%7."/>
      <w:lvlJc w:val="left"/>
      <w:pPr>
        <w:ind w:left="6883" w:hanging="360"/>
      </w:pPr>
      <w:rPr>
        <w:rFonts w:cs="Times New Roman"/>
      </w:rPr>
    </w:lvl>
    <w:lvl w:ilvl="7" w:tplc="041B0019" w:tentative="1">
      <w:start w:val="1"/>
      <w:numFmt w:val="lowerLetter"/>
      <w:lvlText w:val="%8."/>
      <w:lvlJc w:val="left"/>
      <w:pPr>
        <w:ind w:left="7603" w:hanging="360"/>
      </w:pPr>
      <w:rPr>
        <w:rFonts w:cs="Times New Roman"/>
      </w:rPr>
    </w:lvl>
    <w:lvl w:ilvl="8" w:tplc="041B001B" w:tentative="1">
      <w:start w:val="1"/>
      <w:numFmt w:val="lowerRoman"/>
      <w:lvlText w:val="%9."/>
      <w:lvlJc w:val="right"/>
      <w:pPr>
        <w:ind w:left="8323" w:hanging="180"/>
      </w:pPr>
      <w:rPr>
        <w:rFonts w:cs="Times New Roman"/>
      </w:rPr>
    </w:lvl>
  </w:abstractNum>
  <w:abstractNum w:abstractNumId="1" w15:restartNumberingAfterBreak="0">
    <w:nsid w:val="3B3D51F4"/>
    <w:multiLevelType w:val="hybridMultilevel"/>
    <w:tmpl w:val="12EA0D22"/>
    <w:lvl w:ilvl="0" w:tplc="3AC4E89C">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50347DB"/>
    <w:multiLevelType w:val="hybridMultilevel"/>
    <w:tmpl w:val="E41481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18309F"/>
    <w:multiLevelType w:val="hybridMultilevel"/>
    <w:tmpl w:val="1CE62E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57649B7"/>
    <w:multiLevelType w:val="hybridMultilevel"/>
    <w:tmpl w:val="D8805AFC"/>
    <w:lvl w:ilvl="0" w:tplc="F836DFAE">
      <w:start w:val="1"/>
      <w:numFmt w:val="decimal"/>
      <w:lvlText w:val="(%1)"/>
      <w:lvlJc w:val="left"/>
      <w:pPr>
        <w:ind w:left="1095" w:hanging="375"/>
      </w:pPr>
      <w:rPr>
        <w:rFonts w:cs="Times New Roman" w:hint="default"/>
        <w:color w:val="auto"/>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63E75089"/>
    <w:multiLevelType w:val="hybridMultilevel"/>
    <w:tmpl w:val="AF549F76"/>
    <w:lvl w:ilvl="0" w:tplc="041B000F">
      <w:start w:val="1"/>
      <w:numFmt w:val="decimal"/>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67EC0AF2"/>
    <w:multiLevelType w:val="hybridMultilevel"/>
    <w:tmpl w:val="BDFC0C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E8"/>
    <w:rsid w:val="000002EE"/>
    <w:rsid w:val="00000381"/>
    <w:rsid w:val="00000A23"/>
    <w:rsid w:val="00010411"/>
    <w:rsid w:val="00011160"/>
    <w:rsid w:val="00016190"/>
    <w:rsid w:val="0001797E"/>
    <w:rsid w:val="0002187A"/>
    <w:rsid w:val="00031A4A"/>
    <w:rsid w:val="00031C9B"/>
    <w:rsid w:val="00034D78"/>
    <w:rsid w:val="00037372"/>
    <w:rsid w:val="000475BE"/>
    <w:rsid w:val="000642D7"/>
    <w:rsid w:val="0007565D"/>
    <w:rsid w:val="00075906"/>
    <w:rsid w:val="00082791"/>
    <w:rsid w:val="0008315D"/>
    <w:rsid w:val="00085DCB"/>
    <w:rsid w:val="00090CC6"/>
    <w:rsid w:val="00091A43"/>
    <w:rsid w:val="00093BB6"/>
    <w:rsid w:val="00095D38"/>
    <w:rsid w:val="000A1CE0"/>
    <w:rsid w:val="000A4901"/>
    <w:rsid w:val="000A5433"/>
    <w:rsid w:val="000A74D9"/>
    <w:rsid w:val="000A7FD7"/>
    <w:rsid w:val="000B42BA"/>
    <w:rsid w:val="000B510F"/>
    <w:rsid w:val="000B5200"/>
    <w:rsid w:val="000C0195"/>
    <w:rsid w:val="000C1052"/>
    <w:rsid w:val="000C306F"/>
    <w:rsid w:val="000C4452"/>
    <w:rsid w:val="000D0D6E"/>
    <w:rsid w:val="000D7D83"/>
    <w:rsid w:val="000E792F"/>
    <w:rsid w:val="000E7DFC"/>
    <w:rsid w:val="000F264F"/>
    <w:rsid w:val="000F5A9A"/>
    <w:rsid w:val="001103D0"/>
    <w:rsid w:val="001106D0"/>
    <w:rsid w:val="00111019"/>
    <w:rsid w:val="00112140"/>
    <w:rsid w:val="00113995"/>
    <w:rsid w:val="00116278"/>
    <w:rsid w:val="00123D6B"/>
    <w:rsid w:val="00123F0B"/>
    <w:rsid w:val="00124147"/>
    <w:rsid w:val="00124FB5"/>
    <w:rsid w:val="001270BA"/>
    <w:rsid w:val="00127E78"/>
    <w:rsid w:val="0013018E"/>
    <w:rsid w:val="00130B49"/>
    <w:rsid w:val="00132711"/>
    <w:rsid w:val="001333EF"/>
    <w:rsid w:val="00133F32"/>
    <w:rsid w:val="00135B9D"/>
    <w:rsid w:val="0013689F"/>
    <w:rsid w:val="00137232"/>
    <w:rsid w:val="0014081B"/>
    <w:rsid w:val="00140EBA"/>
    <w:rsid w:val="001453FF"/>
    <w:rsid w:val="001456C0"/>
    <w:rsid w:val="0014603C"/>
    <w:rsid w:val="00147671"/>
    <w:rsid w:val="001505EB"/>
    <w:rsid w:val="0015651B"/>
    <w:rsid w:val="001610D7"/>
    <w:rsid w:val="001616CD"/>
    <w:rsid w:val="00161C28"/>
    <w:rsid w:val="00161D98"/>
    <w:rsid w:val="00167296"/>
    <w:rsid w:val="001675F8"/>
    <w:rsid w:val="00171AB3"/>
    <w:rsid w:val="00174653"/>
    <w:rsid w:val="00176767"/>
    <w:rsid w:val="00176A81"/>
    <w:rsid w:val="0018025F"/>
    <w:rsid w:val="00180527"/>
    <w:rsid w:val="00181708"/>
    <w:rsid w:val="0018463D"/>
    <w:rsid w:val="0018496F"/>
    <w:rsid w:val="00185174"/>
    <w:rsid w:val="00185379"/>
    <w:rsid w:val="0019287C"/>
    <w:rsid w:val="001944DB"/>
    <w:rsid w:val="001953E5"/>
    <w:rsid w:val="00197176"/>
    <w:rsid w:val="0019798C"/>
    <w:rsid w:val="001A2436"/>
    <w:rsid w:val="001A59D4"/>
    <w:rsid w:val="001A5DB3"/>
    <w:rsid w:val="001B0A60"/>
    <w:rsid w:val="001B0EC8"/>
    <w:rsid w:val="001B1C05"/>
    <w:rsid w:val="001B31AE"/>
    <w:rsid w:val="001C477F"/>
    <w:rsid w:val="001D2B64"/>
    <w:rsid w:val="001D2E1D"/>
    <w:rsid w:val="001D7D6A"/>
    <w:rsid w:val="001E2395"/>
    <w:rsid w:val="001E3925"/>
    <w:rsid w:val="001E57D6"/>
    <w:rsid w:val="001F0AE7"/>
    <w:rsid w:val="002052B3"/>
    <w:rsid w:val="00206097"/>
    <w:rsid w:val="0021274E"/>
    <w:rsid w:val="00214A3A"/>
    <w:rsid w:val="00217152"/>
    <w:rsid w:val="00220908"/>
    <w:rsid w:val="0022183B"/>
    <w:rsid w:val="0023154B"/>
    <w:rsid w:val="002346FC"/>
    <w:rsid w:val="002351F1"/>
    <w:rsid w:val="00235A32"/>
    <w:rsid w:val="00237765"/>
    <w:rsid w:val="00241BCD"/>
    <w:rsid w:val="00242737"/>
    <w:rsid w:val="00242BC5"/>
    <w:rsid w:val="002430A4"/>
    <w:rsid w:val="00245CB0"/>
    <w:rsid w:val="00250723"/>
    <w:rsid w:val="00255616"/>
    <w:rsid w:val="00255EE3"/>
    <w:rsid w:val="00256995"/>
    <w:rsid w:val="00257537"/>
    <w:rsid w:val="00257D46"/>
    <w:rsid w:val="00267C7A"/>
    <w:rsid w:val="002718FF"/>
    <w:rsid w:val="002761D7"/>
    <w:rsid w:val="002827F5"/>
    <w:rsid w:val="00287943"/>
    <w:rsid w:val="00291C37"/>
    <w:rsid w:val="00294186"/>
    <w:rsid w:val="00294A72"/>
    <w:rsid w:val="00294C84"/>
    <w:rsid w:val="00295CE4"/>
    <w:rsid w:val="002A0D00"/>
    <w:rsid w:val="002B0D0B"/>
    <w:rsid w:val="002C3644"/>
    <w:rsid w:val="002C616F"/>
    <w:rsid w:val="002C7017"/>
    <w:rsid w:val="002D041C"/>
    <w:rsid w:val="002D12C1"/>
    <w:rsid w:val="002D2F92"/>
    <w:rsid w:val="002E0804"/>
    <w:rsid w:val="002E22F6"/>
    <w:rsid w:val="002E281E"/>
    <w:rsid w:val="002E76E4"/>
    <w:rsid w:val="002F15F4"/>
    <w:rsid w:val="002F2502"/>
    <w:rsid w:val="002F2C0A"/>
    <w:rsid w:val="002F389A"/>
    <w:rsid w:val="002F5F8C"/>
    <w:rsid w:val="002F7C9E"/>
    <w:rsid w:val="00301741"/>
    <w:rsid w:val="00305354"/>
    <w:rsid w:val="003059E8"/>
    <w:rsid w:val="003066D2"/>
    <w:rsid w:val="00307E3D"/>
    <w:rsid w:val="00310654"/>
    <w:rsid w:val="00316250"/>
    <w:rsid w:val="00324C8D"/>
    <w:rsid w:val="00326C04"/>
    <w:rsid w:val="00330460"/>
    <w:rsid w:val="003326B2"/>
    <w:rsid w:val="00334770"/>
    <w:rsid w:val="00334876"/>
    <w:rsid w:val="00340231"/>
    <w:rsid w:val="003414F3"/>
    <w:rsid w:val="003421E2"/>
    <w:rsid w:val="00343124"/>
    <w:rsid w:val="00353B94"/>
    <w:rsid w:val="00356FA0"/>
    <w:rsid w:val="003607AE"/>
    <w:rsid w:val="00362F9A"/>
    <w:rsid w:val="003652CB"/>
    <w:rsid w:val="003660F7"/>
    <w:rsid w:val="00366566"/>
    <w:rsid w:val="00366ABC"/>
    <w:rsid w:val="00370152"/>
    <w:rsid w:val="00371AEC"/>
    <w:rsid w:val="003736CE"/>
    <w:rsid w:val="00374587"/>
    <w:rsid w:val="00381604"/>
    <w:rsid w:val="003839CC"/>
    <w:rsid w:val="00385BA8"/>
    <w:rsid w:val="00387C77"/>
    <w:rsid w:val="00390A62"/>
    <w:rsid w:val="00396473"/>
    <w:rsid w:val="003A002B"/>
    <w:rsid w:val="003A20E2"/>
    <w:rsid w:val="003A3D9C"/>
    <w:rsid w:val="003B16F9"/>
    <w:rsid w:val="003B1826"/>
    <w:rsid w:val="003B1B17"/>
    <w:rsid w:val="003B3EDE"/>
    <w:rsid w:val="003B3FC1"/>
    <w:rsid w:val="003D0BE2"/>
    <w:rsid w:val="003D1A34"/>
    <w:rsid w:val="003D3126"/>
    <w:rsid w:val="003E2301"/>
    <w:rsid w:val="003E2C25"/>
    <w:rsid w:val="003F03E8"/>
    <w:rsid w:val="003F0404"/>
    <w:rsid w:val="003F043A"/>
    <w:rsid w:val="003F53F8"/>
    <w:rsid w:val="003F7126"/>
    <w:rsid w:val="00400C60"/>
    <w:rsid w:val="00405740"/>
    <w:rsid w:val="00405B16"/>
    <w:rsid w:val="004066C3"/>
    <w:rsid w:val="00421E6E"/>
    <w:rsid w:val="00423EC9"/>
    <w:rsid w:val="0042425B"/>
    <w:rsid w:val="00426CE6"/>
    <w:rsid w:val="00432722"/>
    <w:rsid w:val="00434E4C"/>
    <w:rsid w:val="00436011"/>
    <w:rsid w:val="004407CB"/>
    <w:rsid w:val="00440FE5"/>
    <w:rsid w:val="004420E8"/>
    <w:rsid w:val="00442F29"/>
    <w:rsid w:val="004435B6"/>
    <w:rsid w:val="0044578C"/>
    <w:rsid w:val="0045070F"/>
    <w:rsid w:val="004521D3"/>
    <w:rsid w:val="00455B40"/>
    <w:rsid w:val="004616ED"/>
    <w:rsid w:val="00463E08"/>
    <w:rsid w:val="00464602"/>
    <w:rsid w:val="004646A2"/>
    <w:rsid w:val="0046783F"/>
    <w:rsid w:val="00473999"/>
    <w:rsid w:val="00480329"/>
    <w:rsid w:val="004815C4"/>
    <w:rsid w:val="00483CFF"/>
    <w:rsid w:val="00486D17"/>
    <w:rsid w:val="004901D9"/>
    <w:rsid w:val="00490EAA"/>
    <w:rsid w:val="00490FBE"/>
    <w:rsid w:val="00496A44"/>
    <w:rsid w:val="004A003A"/>
    <w:rsid w:val="004A08BE"/>
    <w:rsid w:val="004A2890"/>
    <w:rsid w:val="004A4A73"/>
    <w:rsid w:val="004A5FE1"/>
    <w:rsid w:val="004A66F5"/>
    <w:rsid w:val="004A6CE6"/>
    <w:rsid w:val="004B4BDA"/>
    <w:rsid w:val="004B52F5"/>
    <w:rsid w:val="004B59C7"/>
    <w:rsid w:val="004B75CC"/>
    <w:rsid w:val="004C318E"/>
    <w:rsid w:val="004C3499"/>
    <w:rsid w:val="004C446C"/>
    <w:rsid w:val="004C4523"/>
    <w:rsid w:val="004D6F28"/>
    <w:rsid w:val="004E014D"/>
    <w:rsid w:val="004E65F9"/>
    <w:rsid w:val="004E6E24"/>
    <w:rsid w:val="004F0021"/>
    <w:rsid w:val="004F070F"/>
    <w:rsid w:val="004F61CD"/>
    <w:rsid w:val="00503BF3"/>
    <w:rsid w:val="00504E05"/>
    <w:rsid w:val="00505381"/>
    <w:rsid w:val="00506D22"/>
    <w:rsid w:val="00520BC7"/>
    <w:rsid w:val="00525111"/>
    <w:rsid w:val="005256F3"/>
    <w:rsid w:val="00525DD5"/>
    <w:rsid w:val="00531615"/>
    <w:rsid w:val="005335AA"/>
    <w:rsid w:val="00534115"/>
    <w:rsid w:val="005356DE"/>
    <w:rsid w:val="0053671D"/>
    <w:rsid w:val="0054566A"/>
    <w:rsid w:val="0054577F"/>
    <w:rsid w:val="005505CF"/>
    <w:rsid w:val="0055199C"/>
    <w:rsid w:val="005519E4"/>
    <w:rsid w:val="00551FED"/>
    <w:rsid w:val="00555419"/>
    <w:rsid w:val="00555941"/>
    <w:rsid w:val="00560ECF"/>
    <w:rsid w:val="005635C3"/>
    <w:rsid w:val="005639A7"/>
    <w:rsid w:val="00566006"/>
    <w:rsid w:val="005669E5"/>
    <w:rsid w:val="00567BC5"/>
    <w:rsid w:val="00571947"/>
    <w:rsid w:val="005719BB"/>
    <w:rsid w:val="00573C43"/>
    <w:rsid w:val="00574712"/>
    <w:rsid w:val="005748DA"/>
    <w:rsid w:val="00575559"/>
    <w:rsid w:val="00581327"/>
    <w:rsid w:val="00581335"/>
    <w:rsid w:val="00582926"/>
    <w:rsid w:val="0058309A"/>
    <w:rsid w:val="00585E2F"/>
    <w:rsid w:val="005877DB"/>
    <w:rsid w:val="00594542"/>
    <w:rsid w:val="005A153A"/>
    <w:rsid w:val="005A2388"/>
    <w:rsid w:val="005A4A56"/>
    <w:rsid w:val="005A64FB"/>
    <w:rsid w:val="005A7946"/>
    <w:rsid w:val="005B49F3"/>
    <w:rsid w:val="005B4AA7"/>
    <w:rsid w:val="005B628B"/>
    <w:rsid w:val="005C060D"/>
    <w:rsid w:val="005C0E8A"/>
    <w:rsid w:val="005C100E"/>
    <w:rsid w:val="005C2497"/>
    <w:rsid w:val="005C506A"/>
    <w:rsid w:val="005C736B"/>
    <w:rsid w:val="005C7D9B"/>
    <w:rsid w:val="005D1108"/>
    <w:rsid w:val="005F072D"/>
    <w:rsid w:val="005F32C8"/>
    <w:rsid w:val="005F3E7B"/>
    <w:rsid w:val="005F4F17"/>
    <w:rsid w:val="005F6D8D"/>
    <w:rsid w:val="00600D1F"/>
    <w:rsid w:val="00602E2F"/>
    <w:rsid w:val="00603507"/>
    <w:rsid w:val="00603838"/>
    <w:rsid w:val="00606038"/>
    <w:rsid w:val="006076DF"/>
    <w:rsid w:val="0061053F"/>
    <w:rsid w:val="00611205"/>
    <w:rsid w:val="00622EF1"/>
    <w:rsid w:val="00624F31"/>
    <w:rsid w:val="00624F51"/>
    <w:rsid w:val="006267CE"/>
    <w:rsid w:val="0062711F"/>
    <w:rsid w:val="00633196"/>
    <w:rsid w:val="0063485E"/>
    <w:rsid w:val="006408B7"/>
    <w:rsid w:val="00643C9B"/>
    <w:rsid w:val="00643EDE"/>
    <w:rsid w:val="00646FF1"/>
    <w:rsid w:val="006500BD"/>
    <w:rsid w:val="006569C5"/>
    <w:rsid w:val="0066083B"/>
    <w:rsid w:val="006647B3"/>
    <w:rsid w:val="00667652"/>
    <w:rsid w:val="00673703"/>
    <w:rsid w:val="00673BB3"/>
    <w:rsid w:val="00676736"/>
    <w:rsid w:val="00677CCA"/>
    <w:rsid w:val="00677E09"/>
    <w:rsid w:val="0068541E"/>
    <w:rsid w:val="006872E6"/>
    <w:rsid w:val="00692443"/>
    <w:rsid w:val="00696D22"/>
    <w:rsid w:val="006A0A74"/>
    <w:rsid w:val="006A1457"/>
    <w:rsid w:val="006A3000"/>
    <w:rsid w:val="006A59AD"/>
    <w:rsid w:val="006A6056"/>
    <w:rsid w:val="006B1A45"/>
    <w:rsid w:val="006B3E28"/>
    <w:rsid w:val="006B6F3B"/>
    <w:rsid w:val="006B74B9"/>
    <w:rsid w:val="006C0EC0"/>
    <w:rsid w:val="006C2B40"/>
    <w:rsid w:val="006C4A64"/>
    <w:rsid w:val="006C4FB1"/>
    <w:rsid w:val="006D0DC3"/>
    <w:rsid w:val="006D70B8"/>
    <w:rsid w:val="006E555F"/>
    <w:rsid w:val="006E7FD9"/>
    <w:rsid w:val="006F3456"/>
    <w:rsid w:val="006F52A6"/>
    <w:rsid w:val="006F57BD"/>
    <w:rsid w:val="00704514"/>
    <w:rsid w:val="007049A2"/>
    <w:rsid w:val="00707184"/>
    <w:rsid w:val="0071372F"/>
    <w:rsid w:val="0071388D"/>
    <w:rsid w:val="00714D82"/>
    <w:rsid w:val="00715E3E"/>
    <w:rsid w:val="00722123"/>
    <w:rsid w:val="0072430B"/>
    <w:rsid w:val="007243CF"/>
    <w:rsid w:val="00725B8B"/>
    <w:rsid w:val="00725DC0"/>
    <w:rsid w:val="00727AE8"/>
    <w:rsid w:val="00730D61"/>
    <w:rsid w:val="00733E2A"/>
    <w:rsid w:val="00736602"/>
    <w:rsid w:val="007373F3"/>
    <w:rsid w:val="007409B7"/>
    <w:rsid w:val="0074282F"/>
    <w:rsid w:val="00745211"/>
    <w:rsid w:val="00747F96"/>
    <w:rsid w:val="0075161A"/>
    <w:rsid w:val="007574B2"/>
    <w:rsid w:val="007600D9"/>
    <w:rsid w:val="007640D8"/>
    <w:rsid w:val="00765B22"/>
    <w:rsid w:val="00767288"/>
    <w:rsid w:val="007710B8"/>
    <w:rsid w:val="00771FB7"/>
    <w:rsid w:val="007729B0"/>
    <w:rsid w:val="00781882"/>
    <w:rsid w:val="0078497D"/>
    <w:rsid w:val="00785ED1"/>
    <w:rsid w:val="0079560E"/>
    <w:rsid w:val="007976C7"/>
    <w:rsid w:val="007A53F7"/>
    <w:rsid w:val="007A7155"/>
    <w:rsid w:val="007A74C1"/>
    <w:rsid w:val="007A7920"/>
    <w:rsid w:val="007B0317"/>
    <w:rsid w:val="007C0AD5"/>
    <w:rsid w:val="007C20CD"/>
    <w:rsid w:val="007C5FF9"/>
    <w:rsid w:val="007D0D69"/>
    <w:rsid w:val="007D205E"/>
    <w:rsid w:val="007D2E06"/>
    <w:rsid w:val="007D5E82"/>
    <w:rsid w:val="007D6265"/>
    <w:rsid w:val="007D64CA"/>
    <w:rsid w:val="007D7D55"/>
    <w:rsid w:val="007E4100"/>
    <w:rsid w:val="007E4159"/>
    <w:rsid w:val="007E53BE"/>
    <w:rsid w:val="007E5DBE"/>
    <w:rsid w:val="007E6632"/>
    <w:rsid w:val="007E6C16"/>
    <w:rsid w:val="007E6EE7"/>
    <w:rsid w:val="007F12DA"/>
    <w:rsid w:val="007F265E"/>
    <w:rsid w:val="007F5849"/>
    <w:rsid w:val="008002BF"/>
    <w:rsid w:val="0080595C"/>
    <w:rsid w:val="008063B8"/>
    <w:rsid w:val="00806F47"/>
    <w:rsid w:val="008073CD"/>
    <w:rsid w:val="00811037"/>
    <w:rsid w:val="0081128E"/>
    <w:rsid w:val="0081311C"/>
    <w:rsid w:val="00821D07"/>
    <w:rsid w:val="00822ED9"/>
    <w:rsid w:val="008239F4"/>
    <w:rsid w:val="00824134"/>
    <w:rsid w:val="00825A19"/>
    <w:rsid w:val="008336BE"/>
    <w:rsid w:val="00836F48"/>
    <w:rsid w:val="00844072"/>
    <w:rsid w:val="0084566C"/>
    <w:rsid w:val="008476C2"/>
    <w:rsid w:val="00847F50"/>
    <w:rsid w:val="00847F51"/>
    <w:rsid w:val="00850137"/>
    <w:rsid w:val="00854E8D"/>
    <w:rsid w:val="008617AD"/>
    <w:rsid w:val="00861C64"/>
    <w:rsid w:val="00861DB7"/>
    <w:rsid w:val="00862F42"/>
    <w:rsid w:val="0087308E"/>
    <w:rsid w:val="0087356F"/>
    <w:rsid w:val="00876068"/>
    <w:rsid w:val="00876D6E"/>
    <w:rsid w:val="00880EAA"/>
    <w:rsid w:val="0088157A"/>
    <w:rsid w:val="00881741"/>
    <w:rsid w:val="008827A6"/>
    <w:rsid w:val="00882F5C"/>
    <w:rsid w:val="00883BC2"/>
    <w:rsid w:val="008879DA"/>
    <w:rsid w:val="00890644"/>
    <w:rsid w:val="00893C76"/>
    <w:rsid w:val="00896F60"/>
    <w:rsid w:val="008A112C"/>
    <w:rsid w:val="008B0438"/>
    <w:rsid w:val="008B1F00"/>
    <w:rsid w:val="008B2A0C"/>
    <w:rsid w:val="008B2BE3"/>
    <w:rsid w:val="008B3964"/>
    <w:rsid w:val="008B5B6E"/>
    <w:rsid w:val="008C065C"/>
    <w:rsid w:val="008C30CB"/>
    <w:rsid w:val="008C6A95"/>
    <w:rsid w:val="008D06C7"/>
    <w:rsid w:val="008D23E6"/>
    <w:rsid w:val="008D4EDC"/>
    <w:rsid w:val="008D563E"/>
    <w:rsid w:val="008D63AC"/>
    <w:rsid w:val="008D708A"/>
    <w:rsid w:val="008E1E8B"/>
    <w:rsid w:val="008E29AB"/>
    <w:rsid w:val="008E29CF"/>
    <w:rsid w:val="008E4358"/>
    <w:rsid w:val="008F5ECA"/>
    <w:rsid w:val="0090067E"/>
    <w:rsid w:val="00902579"/>
    <w:rsid w:val="00903E39"/>
    <w:rsid w:val="00906D2B"/>
    <w:rsid w:val="0090742D"/>
    <w:rsid w:val="0091208D"/>
    <w:rsid w:val="0091757E"/>
    <w:rsid w:val="00917F2A"/>
    <w:rsid w:val="00925965"/>
    <w:rsid w:val="00931CE2"/>
    <w:rsid w:val="00937550"/>
    <w:rsid w:val="009414C1"/>
    <w:rsid w:val="009416CD"/>
    <w:rsid w:val="00950830"/>
    <w:rsid w:val="00950835"/>
    <w:rsid w:val="009527AF"/>
    <w:rsid w:val="00953850"/>
    <w:rsid w:val="009638E0"/>
    <w:rsid w:val="009659C9"/>
    <w:rsid w:val="0097259C"/>
    <w:rsid w:val="00985F7A"/>
    <w:rsid w:val="0098633E"/>
    <w:rsid w:val="00991D47"/>
    <w:rsid w:val="009A078F"/>
    <w:rsid w:val="009A1A9D"/>
    <w:rsid w:val="009B42AD"/>
    <w:rsid w:val="009B4336"/>
    <w:rsid w:val="009B741D"/>
    <w:rsid w:val="009C0FB5"/>
    <w:rsid w:val="009C2309"/>
    <w:rsid w:val="009C276B"/>
    <w:rsid w:val="009C37E1"/>
    <w:rsid w:val="009C3FBA"/>
    <w:rsid w:val="009C5F33"/>
    <w:rsid w:val="009D2EF9"/>
    <w:rsid w:val="009D6A94"/>
    <w:rsid w:val="009E21F7"/>
    <w:rsid w:val="009E30CD"/>
    <w:rsid w:val="009E4835"/>
    <w:rsid w:val="009E6248"/>
    <w:rsid w:val="009E62ED"/>
    <w:rsid w:val="009F1E3E"/>
    <w:rsid w:val="009F410A"/>
    <w:rsid w:val="009F4A0E"/>
    <w:rsid w:val="009F4C07"/>
    <w:rsid w:val="00A01635"/>
    <w:rsid w:val="00A0748F"/>
    <w:rsid w:val="00A11F8A"/>
    <w:rsid w:val="00A14F75"/>
    <w:rsid w:val="00A15623"/>
    <w:rsid w:val="00A17FA1"/>
    <w:rsid w:val="00A20071"/>
    <w:rsid w:val="00A22878"/>
    <w:rsid w:val="00A23A8C"/>
    <w:rsid w:val="00A24865"/>
    <w:rsid w:val="00A24B04"/>
    <w:rsid w:val="00A30E0B"/>
    <w:rsid w:val="00A32E6C"/>
    <w:rsid w:val="00A3392F"/>
    <w:rsid w:val="00A35DB5"/>
    <w:rsid w:val="00A47BF4"/>
    <w:rsid w:val="00A50242"/>
    <w:rsid w:val="00A51537"/>
    <w:rsid w:val="00A5607C"/>
    <w:rsid w:val="00A61BC3"/>
    <w:rsid w:val="00A6685C"/>
    <w:rsid w:val="00A67CF3"/>
    <w:rsid w:val="00A726D1"/>
    <w:rsid w:val="00A8025E"/>
    <w:rsid w:val="00A811CA"/>
    <w:rsid w:val="00A81AE3"/>
    <w:rsid w:val="00A82411"/>
    <w:rsid w:val="00A8318A"/>
    <w:rsid w:val="00A911B4"/>
    <w:rsid w:val="00A9183D"/>
    <w:rsid w:val="00A91957"/>
    <w:rsid w:val="00A92C70"/>
    <w:rsid w:val="00A96134"/>
    <w:rsid w:val="00A961BE"/>
    <w:rsid w:val="00A97416"/>
    <w:rsid w:val="00A97EBC"/>
    <w:rsid w:val="00AA060E"/>
    <w:rsid w:val="00AB09AD"/>
    <w:rsid w:val="00AB296A"/>
    <w:rsid w:val="00AB699E"/>
    <w:rsid w:val="00AC02F4"/>
    <w:rsid w:val="00AC02FD"/>
    <w:rsid w:val="00AC6808"/>
    <w:rsid w:val="00AC7C20"/>
    <w:rsid w:val="00AD1A47"/>
    <w:rsid w:val="00AD3716"/>
    <w:rsid w:val="00AD5E61"/>
    <w:rsid w:val="00AD652D"/>
    <w:rsid w:val="00AE3151"/>
    <w:rsid w:val="00AE4BDA"/>
    <w:rsid w:val="00AF0FCA"/>
    <w:rsid w:val="00AF3D00"/>
    <w:rsid w:val="00AF4984"/>
    <w:rsid w:val="00AF534F"/>
    <w:rsid w:val="00B02CC8"/>
    <w:rsid w:val="00B0411C"/>
    <w:rsid w:val="00B106A6"/>
    <w:rsid w:val="00B14681"/>
    <w:rsid w:val="00B147B4"/>
    <w:rsid w:val="00B17F71"/>
    <w:rsid w:val="00B20C8C"/>
    <w:rsid w:val="00B20DC9"/>
    <w:rsid w:val="00B25446"/>
    <w:rsid w:val="00B30FBC"/>
    <w:rsid w:val="00B350D9"/>
    <w:rsid w:val="00B40778"/>
    <w:rsid w:val="00B41CF6"/>
    <w:rsid w:val="00B429EB"/>
    <w:rsid w:val="00B42FDF"/>
    <w:rsid w:val="00B437F5"/>
    <w:rsid w:val="00B4414B"/>
    <w:rsid w:val="00B470C0"/>
    <w:rsid w:val="00B509E7"/>
    <w:rsid w:val="00B50D29"/>
    <w:rsid w:val="00B5272E"/>
    <w:rsid w:val="00B6416E"/>
    <w:rsid w:val="00B6460D"/>
    <w:rsid w:val="00B652BB"/>
    <w:rsid w:val="00B659D2"/>
    <w:rsid w:val="00B7197C"/>
    <w:rsid w:val="00B74150"/>
    <w:rsid w:val="00B74E72"/>
    <w:rsid w:val="00B76246"/>
    <w:rsid w:val="00B84803"/>
    <w:rsid w:val="00B849AE"/>
    <w:rsid w:val="00B8596E"/>
    <w:rsid w:val="00B85AD8"/>
    <w:rsid w:val="00B87BD2"/>
    <w:rsid w:val="00B87DE0"/>
    <w:rsid w:val="00B906AF"/>
    <w:rsid w:val="00B92C60"/>
    <w:rsid w:val="00B950DD"/>
    <w:rsid w:val="00B958B1"/>
    <w:rsid w:val="00BA373C"/>
    <w:rsid w:val="00BA3CA4"/>
    <w:rsid w:val="00BA62A7"/>
    <w:rsid w:val="00BB0FA5"/>
    <w:rsid w:val="00BB1DA0"/>
    <w:rsid w:val="00BB2CAA"/>
    <w:rsid w:val="00BB4EBF"/>
    <w:rsid w:val="00BC70B3"/>
    <w:rsid w:val="00BD4EFE"/>
    <w:rsid w:val="00BD621E"/>
    <w:rsid w:val="00BD655F"/>
    <w:rsid w:val="00BD70E8"/>
    <w:rsid w:val="00BE0CD1"/>
    <w:rsid w:val="00BE0D57"/>
    <w:rsid w:val="00BE1846"/>
    <w:rsid w:val="00BE1A2F"/>
    <w:rsid w:val="00BE58DF"/>
    <w:rsid w:val="00BE7566"/>
    <w:rsid w:val="00BF2594"/>
    <w:rsid w:val="00BF5CF2"/>
    <w:rsid w:val="00BF6571"/>
    <w:rsid w:val="00BF6C1F"/>
    <w:rsid w:val="00C0264B"/>
    <w:rsid w:val="00C02EF6"/>
    <w:rsid w:val="00C03174"/>
    <w:rsid w:val="00C04DF2"/>
    <w:rsid w:val="00C05BB3"/>
    <w:rsid w:val="00C069CB"/>
    <w:rsid w:val="00C14312"/>
    <w:rsid w:val="00C156FA"/>
    <w:rsid w:val="00C1680C"/>
    <w:rsid w:val="00C21630"/>
    <w:rsid w:val="00C240D2"/>
    <w:rsid w:val="00C24252"/>
    <w:rsid w:val="00C27226"/>
    <w:rsid w:val="00C308D2"/>
    <w:rsid w:val="00C31706"/>
    <w:rsid w:val="00C37CE4"/>
    <w:rsid w:val="00C436B0"/>
    <w:rsid w:val="00C47A87"/>
    <w:rsid w:val="00C510C4"/>
    <w:rsid w:val="00C5325C"/>
    <w:rsid w:val="00C632F8"/>
    <w:rsid w:val="00C6751D"/>
    <w:rsid w:val="00C726DF"/>
    <w:rsid w:val="00C745CA"/>
    <w:rsid w:val="00C91D11"/>
    <w:rsid w:val="00C91DDC"/>
    <w:rsid w:val="00C94185"/>
    <w:rsid w:val="00C97B7C"/>
    <w:rsid w:val="00C97C56"/>
    <w:rsid w:val="00CA1A77"/>
    <w:rsid w:val="00CA40B5"/>
    <w:rsid w:val="00CA47EA"/>
    <w:rsid w:val="00CA4EC9"/>
    <w:rsid w:val="00CA4F4C"/>
    <w:rsid w:val="00CA53FA"/>
    <w:rsid w:val="00CA5CC9"/>
    <w:rsid w:val="00CA7FAB"/>
    <w:rsid w:val="00CB5281"/>
    <w:rsid w:val="00CB5404"/>
    <w:rsid w:val="00CB6041"/>
    <w:rsid w:val="00CB6FB3"/>
    <w:rsid w:val="00CC114B"/>
    <w:rsid w:val="00CC2157"/>
    <w:rsid w:val="00CC2840"/>
    <w:rsid w:val="00CD1593"/>
    <w:rsid w:val="00CD2172"/>
    <w:rsid w:val="00CE21C5"/>
    <w:rsid w:val="00CE52CF"/>
    <w:rsid w:val="00CE5EC0"/>
    <w:rsid w:val="00CF2E41"/>
    <w:rsid w:val="00CF764C"/>
    <w:rsid w:val="00D00829"/>
    <w:rsid w:val="00D01B0C"/>
    <w:rsid w:val="00D02146"/>
    <w:rsid w:val="00D04CC6"/>
    <w:rsid w:val="00D10CB4"/>
    <w:rsid w:val="00D11F44"/>
    <w:rsid w:val="00D15714"/>
    <w:rsid w:val="00D166C2"/>
    <w:rsid w:val="00D167DA"/>
    <w:rsid w:val="00D20C4F"/>
    <w:rsid w:val="00D20D2C"/>
    <w:rsid w:val="00D22F51"/>
    <w:rsid w:val="00D3362A"/>
    <w:rsid w:val="00D35C2E"/>
    <w:rsid w:val="00D362B1"/>
    <w:rsid w:val="00D41BFA"/>
    <w:rsid w:val="00D45169"/>
    <w:rsid w:val="00D53512"/>
    <w:rsid w:val="00D537BF"/>
    <w:rsid w:val="00D56202"/>
    <w:rsid w:val="00D6301D"/>
    <w:rsid w:val="00D63281"/>
    <w:rsid w:val="00D6352B"/>
    <w:rsid w:val="00D67793"/>
    <w:rsid w:val="00D72754"/>
    <w:rsid w:val="00D80DB7"/>
    <w:rsid w:val="00D81369"/>
    <w:rsid w:val="00D81CBB"/>
    <w:rsid w:val="00D83B2E"/>
    <w:rsid w:val="00D87132"/>
    <w:rsid w:val="00D90D8D"/>
    <w:rsid w:val="00DA0D9F"/>
    <w:rsid w:val="00DA1745"/>
    <w:rsid w:val="00DB78C0"/>
    <w:rsid w:val="00DC0511"/>
    <w:rsid w:val="00DC1A1F"/>
    <w:rsid w:val="00DC2CAB"/>
    <w:rsid w:val="00DC5C22"/>
    <w:rsid w:val="00DC775D"/>
    <w:rsid w:val="00DD11BC"/>
    <w:rsid w:val="00DD11C2"/>
    <w:rsid w:val="00DD3317"/>
    <w:rsid w:val="00DD4C7E"/>
    <w:rsid w:val="00DD5382"/>
    <w:rsid w:val="00DE4DAF"/>
    <w:rsid w:val="00DE6142"/>
    <w:rsid w:val="00DE7B36"/>
    <w:rsid w:val="00DE7D8A"/>
    <w:rsid w:val="00DE7EE8"/>
    <w:rsid w:val="00DF0D5A"/>
    <w:rsid w:val="00DF16ED"/>
    <w:rsid w:val="00DF1CD9"/>
    <w:rsid w:val="00DF3F17"/>
    <w:rsid w:val="00DF44D2"/>
    <w:rsid w:val="00DF7D6E"/>
    <w:rsid w:val="00E0437D"/>
    <w:rsid w:val="00E07F52"/>
    <w:rsid w:val="00E167CB"/>
    <w:rsid w:val="00E238BB"/>
    <w:rsid w:val="00E32CEE"/>
    <w:rsid w:val="00E33A7A"/>
    <w:rsid w:val="00E34187"/>
    <w:rsid w:val="00E42310"/>
    <w:rsid w:val="00E460D1"/>
    <w:rsid w:val="00E64AE7"/>
    <w:rsid w:val="00E66B24"/>
    <w:rsid w:val="00E73A07"/>
    <w:rsid w:val="00E750F5"/>
    <w:rsid w:val="00E85C54"/>
    <w:rsid w:val="00E874CE"/>
    <w:rsid w:val="00E95E3C"/>
    <w:rsid w:val="00E969D3"/>
    <w:rsid w:val="00EA0C7A"/>
    <w:rsid w:val="00EA4B08"/>
    <w:rsid w:val="00EA523A"/>
    <w:rsid w:val="00EB0C0D"/>
    <w:rsid w:val="00EB16D6"/>
    <w:rsid w:val="00EB7054"/>
    <w:rsid w:val="00EC0D4F"/>
    <w:rsid w:val="00EC6343"/>
    <w:rsid w:val="00EC6499"/>
    <w:rsid w:val="00EC755C"/>
    <w:rsid w:val="00ED0F5C"/>
    <w:rsid w:val="00ED236C"/>
    <w:rsid w:val="00ED2E60"/>
    <w:rsid w:val="00ED44F9"/>
    <w:rsid w:val="00ED47A3"/>
    <w:rsid w:val="00ED5260"/>
    <w:rsid w:val="00ED5B75"/>
    <w:rsid w:val="00ED647A"/>
    <w:rsid w:val="00EE0974"/>
    <w:rsid w:val="00EF0C64"/>
    <w:rsid w:val="00EF2240"/>
    <w:rsid w:val="00EF3B55"/>
    <w:rsid w:val="00EF3BFA"/>
    <w:rsid w:val="00EF5AD2"/>
    <w:rsid w:val="00EF7809"/>
    <w:rsid w:val="00F07429"/>
    <w:rsid w:val="00F106F3"/>
    <w:rsid w:val="00F10F88"/>
    <w:rsid w:val="00F11D62"/>
    <w:rsid w:val="00F161D5"/>
    <w:rsid w:val="00F22CF5"/>
    <w:rsid w:val="00F23BAA"/>
    <w:rsid w:val="00F32030"/>
    <w:rsid w:val="00F3295C"/>
    <w:rsid w:val="00F37977"/>
    <w:rsid w:val="00F4230A"/>
    <w:rsid w:val="00F42571"/>
    <w:rsid w:val="00F44EAF"/>
    <w:rsid w:val="00F5091D"/>
    <w:rsid w:val="00F51133"/>
    <w:rsid w:val="00F54342"/>
    <w:rsid w:val="00F5521F"/>
    <w:rsid w:val="00F62A89"/>
    <w:rsid w:val="00F62FF9"/>
    <w:rsid w:val="00F63B4E"/>
    <w:rsid w:val="00F7071B"/>
    <w:rsid w:val="00F7090C"/>
    <w:rsid w:val="00F70AE9"/>
    <w:rsid w:val="00F7181D"/>
    <w:rsid w:val="00F721F8"/>
    <w:rsid w:val="00F723B7"/>
    <w:rsid w:val="00F73821"/>
    <w:rsid w:val="00F76C4C"/>
    <w:rsid w:val="00F80F86"/>
    <w:rsid w:val="00F81785"/>
    <w:rsid w:val="00F8349C"/>
    <w:rsid w:val="00F8372A"/>
    <w:rsid w:val="00F85C54"/>
    <w:rsid w:val="00F8678C"/>
    <w:rsid w:val="00F87C3B"/>
    <w:rsid w:val="00F905DD"/>
    <w:rsid w:val="00F916E3"/>
    <w:rsid w:val="00F92344"/>
    <w:rsid w:val="00F9304D"/>
    <w:rsid w:val="00FA2C8B"/>
    <w:rsid w:val="00FB4405"/>
    <w:rsid w:val="00FB4C03"/>
    <w:rsid w:val="00FC4EAF"/>
    <w:rsid w:val="00FC531E"/>
    <w:rsid w:val="00FC6B5D"/>
    <w:rsid w:val="00FC7D7A"/>
    <w:rsid w:val="00FD4EA9"/>
    <w:rsid w:val="00FE1B1F"/>
    <w:rsid w:val="00FE64F3"/>
    <w:rsid w:val="00FF04F2"/>
    <w:rsid w:val="00FF0D36"/>
    <w:rsid w:val="00FF68B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17D"/>
  <w15:docId w15:val="{1167E4B0-A0AE-4A75-97BB-847F51B1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69C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BD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9638E0"/>
    <w:pPr>
      <w:spacing w:after="160" w:line="259" w:lineRule="auto"/>
      <w:ind w:left="720"/>
      <w:contextualSpacing/>
    </w:pPr>
    <w:rPr>
      <w:rFonts w:asciiTheme="minorHAnsi" w:hAnsiTheme="minorHAnsi"/>
      <w:szCs w:val="22"/>
    </w:rPr>
  </w:style>
  <w:style w:type="paragraph" w:styleId="Textkomentra">
    <w:name w:val="annotation text"/>
    <w:basedOn w:val="Normlny"/>
    <w:link w:val="TextkomentraChar"/>
    <w:uiPriority w:val="99"/>
    <w:unhideWhenUsed/>
    <w:rsid w:val="009638E0"/>
    <w:pPr>
      <w:spacing w:after="160" w:line="240" w:lineRule="auto"/>
    </w:pPr>
    <w:rPr>
      <w:rFonts w:asciiTheme="minorHAnsi" w:hAnsiTheme="minorHAnsi"/>
      <w:sz w:val="20"/>
      <w:szCs w:val="20"/>
    </w:rPr>
  </w:style>
  <w:style w:type="character" w:customStyle="1" w:styleId="TextkomentraChar">
    <w:name w:val="Text komentára Char"/>
    <w:basedOn w:val="Predvolenpsmoodseku"/>
    <w:link w:val="Textkomentra"/>
    <w:uiPriority w:val="99"/>
    <w:rsid w:val="009638E0"/>
    <w:rPr>
      <w:rFonts w:asciiTheme="minorHAnsi" w:hAnsiTheme="minorHAnsi"/>
      <w:sz w:val="20"/>
      <w:szCs w:val="20"/>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9638E0"/>
    <w:rPr>
      <w:rFonts w:asciiTheme="minorHAnsi" w:hAnsiTheme="minorHAnsi"/>
      <w:szCs w:val="22"/>
    </w:rPr>
  </w:style>
  <w:style w:type="paragraph" w:styleId="Hlavika">
    <w:name w:val="header"/>
    <w:basedOn w:val="Normlny"/>
    <w:link w:val="HlavikaChar"/>
    <w:uiPriority w:val="99"/>
    <w:unhideWhenUsed/>
    <w:rsid w:val="009638E0"/>
    <w:pPr>
      <w:tabs>
        <w:tab w:val="center" w:pos="4536"/>
        <w:tab w:val="right" w:pos="9072"/>
      </w:tabs>
      <w:spacing w:after="0" w:line="240" w:lineRule="auto"/>
    </w:pPr>
    <w:rPr>
      <w:rFonts w:asciiTheme="minorHAnsi" w:hAnsiTheme="minorHAnsi"/>
      <w:szCs w:val="22"/>
    </w:rPr>
  </w:style>
  <w:style w:type="character" w:customStyle="1" w:styleId="HlavikaChar">
    <w:name w:val="Hlavička Char"/>
    <w:basedOn w:val="Predvolenpsmoodseku"/>
    <w:link w:val="Hlavika"/>
    <w:uiPriority w:val="99"/>
    <w:rsid w:val="009638E0"/>
    <w:rPr>
      <w:rFonts w:asciiTheme="minorHAnsi" w:hAnsiTheme="minorHAnsi"/>
      <w:szCs w:val="22"/>
    </w:rPr>
  </w:style>
  <w:style w:type="paragraph" w:styleId="Pta">
    <w:name w:val="footer"/>
    <w:basedOn w:val="Normlny"/>
    <w:link w:val="PtaChar"/>
    <w:uiPriority w:val="99"/>
    <w:unhideWhenUsed/>
    <w:rsid w:val="009638E0"/>
    <w:pPr>
      <w:tabs>
        <w:tab w:val="center" w:pos="4536"/>
        <w:tab w:val="right" w:pos="9072"/>
      </w:tabs>
      <w:spacing w:after="0" w:line="240" w:lineRule="auto"/>
    </w:pPr>
    <w:rPr>
      <w:rFonts w:asciiTheme="minorHAnsi" w:hAnsiTheme="minorHAnsi"/>
      <w:szCs w:val="22"/>
    </w:rPr>
  </w:style>
  <w:style w:type="character" w:customStyle="1" w:styleId="PtaChar">
    <w:name w:val="Päta Char"/>
    <w:basedOn w:val="Predvolenpsmoodseku"/>
    <w:link w:val="Pta"/>
    <w:uiPriority w:val="99"/>
    <w:rsid w:val="009638E0"/>
    <w:rPr>
      <w:rFonts w:asciiTheme="minorHAnsi" w:hAnsiTheme="minorHAnsi"/>
      <w:szCs w:val="22"/>
    </w:rPr>
  </w:style>
  <w:style w:type="paragraph" w:styleId="Textbubliny">
    <w:name w:val="Balloon Text"/>
    <w:basedOn w:val="Normlny"/>
    <w:link w:val="TextbublinyChar"/>
    <w:uiPriority w:val="99"/>
    <w:semiHidden/>
    <w:unhideWhenUsed/>
    <w:rsid w:val="009638E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38E0"/>
    <w:rPr>
      <w:rFonts w:ascii="Segoe UI" w:hAnsi="Segoe UI" w:cs="Segoe UI"/>
      <w:sz w:val="18"/>
      <w:szCs w:val="18"/>
    </w:rPr>
  </w:style>
  <w:style w:type="character" w:styleId="Odkaznakomentr">
    <w:name w:val="annotation reference"/>
    <w:basedOn w:val="Predvolenpsmoodseku"/>
    <w:uiPriority w:val="99"/>
    <w:semiHidden/>
    <w:unhideWhenUsed/>
    <w:rsid w:val="009638E0"/>
    <w:rPr>
      <w:sz w:val="16"/>
      <w:szCs w:val="16"/>
    </w:rPr>
  </w:style>
  <w:style w:type="paragraph" w:styleId="Predmetkomentra">
    <w:name w:val="annotation subject"/>
    <w:basedOn w:val="Textkomentra"/>
    <w:next w:val="Textkomentra"/>
    <w:link w:val="PredmetkomentraChar"/>
    <w:uiPriority w:val="99"/>
    <w:semiHidden/>
    <w:unhideWhenUsed/>
    <w:rsid w:val="009638E0"/>
    <w:rPr>
      <w:b/>
      <w:bCs/>
    </w:rPr>
  </w:style>
  <w:style w:type="character" w:customStyle="1" w:styleId="PredmetkomentraChar">
    <w:name w:val="Predmet komentára Char"/>
    <w:basedOn w:val="TextkomentraChar"/>
    <w:link w:val="Predmetkomentra"/>
    <w:uiPriority w:val="99"/>
    <w:semiHidden/>
    <w:rsid w:val="009638E0"/>
    <w:rPr>
      <w:rFonts w:asciiTheme="minorHAnsi" w:hAnsiTheme="minorHAnsi"/>
      <w:b/>
      <w:bCs/>
      <w:sz w:val="20"/>
      <w:szCs w:val="20"/>
    </w:rPr>
  </w:style>
  <w:style w:type="character" w:styleId="Hypertextovprepojenie">
    <w:name w:val="Hyperlink"/>
    <w:basedOn w:val="Predvolenpsmoodseku"/>
    <w:uiPriority w:val="99"/>
    <w:semiHidden/>
    <w:unhideWhenUsed/>
    <w:rsid w:val="009638E0"/>
    <w:rPr>
      <w:color w:val="0000FF"/>
      <w:u w:val="single"/>
    </w:rPr>
  </w:style>
  <w:style w:type="character" w:styleId="PouitHypertextovPrepojenie">
    <w:name w:val="FollowedHyperlink"/>
    <w:basedOn w:val="Predvolenpsmoodseku"/>
    <w:uiPriority w:val="99"/>
    <w:semiHidden/>
    <w:unhideWhenUsed/>
    <w:rsid w:val="009638E0"/>
    <w:rPr>
      <w:color w:val="800080" w:themeColor="followedHyperlink"/>
      <w:u w:val="single"/>
    </w:rPr>
  </w:style>
  <w:style w:type="character" w:customStyle="1" w:styleId="awspan1">
    <w:name w:val="awspan1"/>
    <w:basedOn w:val="Predvolenpsmoodseku"/>
    <w:rsid w:val="00E66B24"/>
    <w:rPr>
      <w:color w:val="000000"/>
      <w:sz w:val="24"/>
      <w:szCs w:val="24"/>
    </w:rPr>
  </w:style>
  <w:style w:type="paragraph" w:styleId="Bezriadkovania">
    <w:name w:val="No Spacing"/>
    <w:uiPriority w:val="1"/>
    <w:qFormat/>
    <w:rsid w:val="00A91957"/>
    <w:pPr>
      <w:spacing w:after="0" w:line="240" w:lineRule="auto"/>
    </w:pPr>
    <w:rPr>
      <w:rFonts w:ascii="Calibri" w:eastAsia="Times New Roman" w:hAnsi="Calibri" w:cs="Times New Roman"/>
      <w:szCs w:val="22"/>
    </w:rPr>
  </w:style>
  <w:style w:type="character" w:customStyle="1" w:styleId="awspan">
    <w:name w:val="awspan"/>
    <w:basedOn w:val="Predvolenpsmoodseku"/>
    <w:rsid w:val="00D167DA"/>
  </w:style>
  <w:style w:type="paragraph" w:styleId="Normlnywebov">
    <w:name w:val="Normal (Web)"/>
    <w:basedOn w:val="Normlny"/>
    <w:uiPriority w:val="99"/>
    <w:unhideWhenUsed/>
    <w:rsid w:val="00902579"/>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595">
      <w:bodyDiv w:val="1"/>
      <w:marLeft w:val="0"/>
      <w:marRight w:val="0"/>
      <w:marTop w:val="0"/>
      <w:marBottom w:val="0"/>
      <w:divBdr>
        <w:top w:val="none" w:sz="0" w:space="0" w:color="auto"/>
        <w:left w:val="none" w:sz="0" w:space="0" w:color="auto"/>
        <w:bottom w:val="none" w:sz="0" w:space="0" w:color="auto"/>
        <w:right w:val="none" w:sz="0" w:space="0" w:color="auto"/>
      </w:divBdr>
      <w:divsChild>
        <w:div w:id="325911045">
          <w:marLeft w:val="0"/>
          <w:marRight w:val="0"/>
          <w:marTop w:val="0"/>
          <w:marBottom w:val="0"/>
          <w:divBdr>
            <w:top w:val="none" w:sz="0" w:space="0" w:color="auto"/>
            <w:left w:val="none" w:sz="0" w:space="0" w:color="auto"/>
            <w:bottom w:val="none" w:sz="0" w:space="0" w:color="auto"/>
            <w:right w:val="none" w:sz="0" w:space="0" w:color="auto"/>
          </w:divBdr>
          <w:divsChild>
            <w:div w:id="176430827">
              <w:marLeft w:val="0"/>
              <w:marRight w:val="0"/>
              <w:marTop w:val="0"/>
              <w:marBottom w:val="0"/>
              <w:divBdr>
                <w:top w:val="none" w:sz="0" w:space="0" w:color="auto"/>
                <w:left w:val="none" w:sz="0" w:space="0" w:color="auto"/>
                <w:bottom w:val="none" w:sz="0" w:space="0" w:color="auto"/>
                <w:right w:val="none" w:sz="0" w:space="0" w:color="auto"/>
              </w:divBdr>
            </w:div>
            <w:div w:id="398021368">
              <w:marLeft w:val="0"/>
              <w:marRight w:val="0"/>
              <w:marTop w:val="0"/>
              <w:marBottom w:val="0"/>
              <w:divBdr>
                <w:top w:val="none" w:sz="0" w:space="0" w:color="auto"/>
                <w:left w:val="none" w:sz="0" w:space="0" w:color="auto"/>
                <w:bottom w:val="none" w:sz="0" w:space="0" w:color="auto"/>
                <w:right w:val="none" w:sz="0" w:space="0" w:color="auto"/>
              </w:divBdr>
            </w:div>
            <w:div w:id="484054953">
              <w:marLeft w:val="0"/>
              <w:marRight w:val="0"/>
              <w:marTop w:val="0"/>
              <w:marBottom w:val="0"/>
              <w:divBdr>
                <w:top w:val="none" w:sz="0" w:space="0" w:color="auto"/>
                <w:left w:val="none" w:sz="0" w:space="0" w:color="auto"/>
                <w:bottom w:val="none" w:sz="0" w:space="0" w:color="auto"/>
                <w:right w:val="none" w:sz="0" w:space="0" w:color="auto"/>
              </w:divBdr>
            </w:div>
            <w:div w:id="550073040">
              <w:marLeft w:val="0"/>
              <w:marRight w:val="0"/>
              <w:marTop w:val="0"/>
              <w:marBottom w:val="0"/>
              <w:divBdr>
                <w:top w:val="none" w:sz="0" w:space="0" w:color="auto"/>
                <w:left w:val="none" w:sz="0" w:space="0" w:color="auto"/>
                <w:bottom w:val="none" w:sz="0" w:space="0" w:color="auto"/>
                <w:right w:val="none" w:sz="0" w:space="0" w:color="auto"/>
              </w:divBdr>
            </w:div>
            <w:div w:id="913320058">
              <w:marLeft w:val="0"/>
              <w:marRight w:val="0"/>
              <w:marTop w:val="0"/>
              <w:marBottom w:val="0"/>
              <w:divBdr>
                <w:top w:val="none" w:sz="0" w:space="0" w:color="auto"/>
                <w:left w:val="none" w:sz="0" w:space="0" w:color="auto"/>
                <w:bottom w:val="none" w:sz="0" w:space="0" w:color="auto"/>
                <w:right w:val="none" w:sz="0" w:space="0" w:color="auto"/>
              </w:divBdr>
            </w:div>
            <w:div w:id="1087654607">
              <w:marLeft w:val="0"/>
              <w:marRight w:val="0"/>
              <w:marTop w:val="0"/>
              <w:marBottom w:val="0"/>
              <w:divBdr>
                <w:top w:val="none" w:sz="0" w:space="0" w:color="auto"/>
                <w:left w:val="none" w:sz="0" w:space="0" w:color="auto"/>
                <w:bottom w:val="none" w:sz="0" w:space="0" w:color="auto"/>
                <w:right w:val="none" w:sz="0" w:space="0" w:color="auto"/>
              </w:divBdr>
            </w:div>
            <w:div w:id="1681155252">
              <w:marLeft w:val="0"/>
              <w:marRight w:val="0"/>
              <w:marTop w:val="0"/>
              <w:marBottom w:val="0"/>
              <w:divBdr>
                <w:top w:val="none" w:sz="0" w:space="0" w:color="auto"/>
                <w:left w:val="none" w:sz="0" w:space="0" w:color="auto"/>
                <w:bottom w:val="none" w:sz="0" w:space="0" w:color="auto"/>
                <w:right w:val="none" w:sz="0" w:space="0" w:color="auto"/>
              </w:divBdr>
            </w:div>
            <w:div w:id="1681658249">
              <w:marLeft w:val="0"/>
              <w:marRight w:val="0"/>
              <w:marTop w:val="0"/>
              <w:marBottom w:val="0"/>
              <w:divBdr>
                <w:top w:val="none" w:sz="0" w:space="0" w:color="auto"/>
                <w:left w:val="none" w:sz="0" w:space="0" w:color="auto"/>
                <w:bottom w:val="none" w:sz="0" w:space="0" w:color="auto"/>
                <w:right w:val="none" w:sz="0" w:space="0" w:color="auto"/>
              </w:divBdr>
            </w:div>
            <w:div w:id="1748914205">
              <w:marLeft w:val="0"/>
              <w:marRight w:val="0"/>
              <w:marTop w:val="0"/>
              <w:marBottom w:val="0"/>
              <w:divBdr>
                <w:top w:val="none" w:sz="0" w:space="0" w:color="auto"/>
                <w:left w:val="none" w:sz="0" w:space="0" w:color="auto"/>
                <w:bottom w:val="none" w:sz="0" w:space="0" w:color="auto"/>
                <w:right w:val="none" w:sz="0" w:space="0" w:color="auto"/>
              </w:divBdr>
            </w:div>
            <w:div w:id="2113351592">
              <w:marLeft w:val="0"/>
              <w:marRight w:val="0"/>
              <w:marTop w:val="0"/>
              <w:marBottom w:val="0"/>
              <w:divBdr>
                <w:top w:val="none" w:sz="0" w:space="0" w:color="auto"/>
                <w:left w:val="none" w:sz="0" w:space="0" w:color="auto"/>
                <w:bottom w:val="none" w:sz="0" w:space="0" w:color="auto"/>
                <w:right w:val="none" w:sz="0" w:space="0" w:color="auto"/>
              </w:divBdr>
            </w:div>
          </w:divsChild>
        </w:div>
        <w:div w:id="1096942042">
          <w:marLeft w:val="0"/>
          <w:marRight w:val="0"/>
          <w:marTop w:val="0"/>
          <w:marBottom w:val="0"/>
          <w:divBdr>
            <w:top w:val="none" w:sz="0" w:space="0" w:color="auto"/>
            <w:left w:val="none" w:sz="0" w:space="0" w:color="auto"/>
            <w:bottom w:val="none" w:sz="0" w:space="0" w:color="auto"/>
            <w:right w:val="none" w:sz="0" w:space="0" w:color="auto"/>
          </w:divBdr>
        </w:div>
      </w:divsChild>
    </w:div>
    <w:div w:id="448622576">
      <w:bodyDiv w:val="1"/>
      <w:marLeft w:val="0"/>
      <w:marRight w:val="0"/>
      <w:marTop w:val="0"/>
      <w:marBottom w:val="0"/>
      <w:divBdr>
        <w:top w:val="none" w:sz="0" w:space="0" w:color="auto"/>
        <w:left w:val="none" w:sz="0" w:space="0" w:color="auto"/>
        <w:bottom w:val="none" w:sz="0" w:space="0" w:color="auto"/>
        <w:right w:val="none" w:sz="0" w:space="0" w:color="auto"/>
      </w:divBdr>
    </w:div>
    <w:div w:id="645092764">
      <w:bodyDiv w:val="1"/>
      <w:marLeft w:val="0"/>
      <w:marRight w:val="0"/>
      <w:marTop w:val="0"/>
      <w:marBottom w:val="0"/>
      <w:divBdr>
        <w:top w:val="none" w:sz="0" w:space="0" w:color="auto"/>
        <w:left w:val="none" w:sz="0" w:space="0" w:color="auto"/>
        <w:bottom w:val="none" w:sz="0" w:space="0" w:color="auto"/>
        <w:right w:val="none" w:sz="0" w:space="0" w:color="auto"/>
      </w:divBdr>
    </w:div>
    <w:div w:id="1110011362">
      <w:bodyDiv w:val="1"/>
      <w:marLeft w:val="0"/>
      <w:marRight w:val="0"/>
      <w:marTop w:val="0"/>
      <w:marBottom w:val="0"/>
      <w:divBdr>
        <w:top w:val="none" w:sz="0" w:space="0" w:color="auto"/>
        <w:left w:val="none" w:sz="0" w:space="0" w:color="auto"/>
        <w:bottom w:val="none" w:sz="0" w:space="0" w:color="auto"/>
        <w:right w:val="none" w:sz="0" w:space="0" w:color="auto"/>
      </w:divBdr>
    </w:div>
    <w:div w:id="1112867323">
      <w:bodyDiv w:val="1"/>
      <w:marLeft w:val="0"/>
      <w:marRight w:val="0"/>
      <w:marTop w:val="0"/>
      <w:marBottom w:val="0"/>
      <w:divBdr>
        <w:top w:val="none" w:sz="0" w:space="0" w:color="auto"/>
        <w:left w:val="none" w:sz="0" w:space="0" w:color="auto"/>
        <w:bottom w:val="none" w:sz="0" w:space="0" w:color="auto"/>
        <w:right w:val="none" w:sz="0" w:space="0" w:color="auto"/>
      </w:divBdr>
      <w:divsChild>
        <w:div w:id="661129148">
          <w:marLeft w:val="0"/>
          <w:marRight w:val="0"/>
          <w:marTop w:val="0"/>
          <w:marBottom w:val="0"/>
          <w:divBdr>
            <w:top w:val="none" w:sz="0" w:space="0" w:color="auto"/>
            <w:left w:val="none" w:sz="0" w:space="0" w:color="auto"/>
            <w:bottom w:val="none" w:sz="0" w:space="0" w:color="auto"/>
            <w:right w:val="none" w:sz="0" w:space="0" w:color="auto"/>
          </w:divBdr>
        </w:div>
      </w:divsChild>
    </w:div>
    <w:div w:id="1347442084">
      <w:bodyDiv w:val="1"/>
      <w:marLeft w:val="0"/>
      <w:marRight w:val="0"/>
      <w:marTop w:val="0"/>
      <w:marBottom w:val="0"/>
      <w:divBdr>
        <w:top w:val="none" w:sz="0" w:space="0" w:color="auto"/>
        <w:left w:val="none" w:sz="0" w:space="0" w:color="auto"/>
        <w:bottom w:val="none" w:sz="0" w:space="0" w:color="auto"/>
        <w:right w:val="none" w:sz="0" w:space="0" w:color="auto"/>
      </w:divBdr>
    </w:div>
    <w:div w:id="15521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správa---osobitná-časť"/>
    <f:field ref="objsubject" par="" edit="true" text=""/>
    <f:field ref="objcreatedby" par="" text="Pašková, Martina"/>
    <f:field ref="objcreatedat" par="" text="12.8.2022 12:29:16"/>
    <f:field ref="objchangedby" par="" text="Administrator, System"/>
    <f:field ref="objmodifiedat" par="" text="12.8.2022 12:29:1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B39BFA7-19A6-4389-9E36-CDE726B6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6675</Words>
  <Characters>38049</Characters>
  <Application>Microsoft Office Word</Application>
  <DocSecurity>0</DocSecurity>
  <Lines>317</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Hasáková Maria Alena</dc:creator>
  <cp:keywords/>
  <dc:description/>
  <cp:lastModifiedBy>Hasáková Maria Alena</cp:lastModifiedBy>
  <cp:revision>18</cp:revision>
  <cp:lastPrinted>2022-08-12T08:43:00Z</cp:lastPrinted>
  <dcterms:created xsi:type="dcterms:W3CDTF">2022-11-02T15:25:00Z</dcterms:created>
  <dcterms:modified xsi:type="dcterms:W3CDTF">2022-11-09T16:57:00Z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&amp;nbsp;</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Martina Pašková</vt:lpwstr>
  </property>
  <property fmtid="{D5CDD505-2E9C-101B-9397-08002B2CF9AE}" pid="12" name="FSC#SKEDITIONSLOVLEX@103.510:zodppredkladatel">
    <vt:lpwstr>Július Jakab</vt:lpwstr>
  </property>
  <property fmtid="{D5CDD505-2E9C-101B-9397-08002B2CF9AE}" pid="13" name="FSC#SKEDITIONSLOVLEX@103.510:dalsipredkladatel">
    <vt:lpwstr/>
  </property>
  <property fmtid="{D5CDD505-2E9C-101B-9397-08002B2CF9AE}" pid="14" name="FSC#SKEDITIONSLOVLEX@103.510:nazovpredpis">
    <vt:lpwstr>, ktorým sa mení a dopĺňa zákon č. 54/2019 Z. z. o ochrane oznamovateľov protispoločenskej činnosti a o zmene a doplnení niektorých zákonov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Transpozícia smernice Európskeho parlamentu a Rady (EÚ) 2019/1937 z 23. októbra 2019 o ochrane osôb, ktoré nahlasujú porušenia práva Únie v platnom znení</vt:lpwstr>
  </property>
  <property fmtid="{D5CDD505-2E9C-101B-9397-08002B2CF9AE}" pid="23" name="FSC#SKEDITIONSLOVLEX@103.510:plnynazovpredpis">
    <vt:lpwstr> Zákon, ktorým sa mení a dopĺňa zákon č. 54/2019 Z. z. o ochrane oznamovateľov protispoločenskej činnosti a o zmene a doplnení niektorých zákonov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4230/2022/LPO</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LP/2022/481</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vedúci Úradu vlády Slovenskej republiky</vt:lpwstr>
  </property>
  <property fmtid="{D5CDD505-2E9C-101B-9397-08002B2CF9AE}" pid="142" name="FSC#SKEDITIONSLOVLEX@103.510:funkciaZodpPredAkuzativ">
    <vt:lpwstr>vedúceho Úradu vlády Slovenskej republiky</vt:lpwstr>
  </property>
  <property fmtid="{D5CDD505-2E9C-101B-9397-08002B2CF9AE}" pid="143" name="FSC#SKEDITIONSLOVLEX@103.510:funkciaZodpPredDativ">
    <vt:lpwstr>vedúcemu Úradu vlády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Július Jakab_x000d_
vedúci Úradu vlády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&amp;nbsp;</vt:lpwstr>
  </property>
  <property fmtid="{D5CDD505-2E9C-101B-9397-08002B2CF9AE}" pid="150" name="FSC#SKEDITIONSLOVLEX@103.510:vytvorenedna">
    <vt:lpwstr>12. 8. 2022</vt:lpwstr>
  </property>
  <property fmtid="{D5CDD505-2E9C-101B-9397-08002B2CF9AE}" pid="151" name="FSC#COOSYSTEM@1.1:Container">
    <vt:lpwstr>COO.2145.1000.3.5130229</vt:lpwstr>
  </property>
  <property fmtid="{D5CDD505-2E9C-101B-9397-08002B2CF9AE}" pid="152" name="FSC#FSCFOLIO@1.1001:docpropproject">
    <vt:lpwstr/>
  </property>
</Properties>
</file>