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2"/>
        <w:gridCol w:w="99"/>
        <w:gridCol w:w="3020"/>
        <w:gridCol w:w="492"/>
        <w:gridCol w:w="84"/>
        <w:gridCol w:w="5560"/>
      </w:tblGrid>
      <w:tr w:rsidR="002644DE" w:rsidRPr="002644DE" w14:paraId="5DE05DF2" w14:textId="77777777" w:rsidTr="00315680">
        <w:trPr>
          <w:trHeight w:val="534"/>
          <w:jc w:val="center"/>
        </w:trPr>
        <w:tc>
          <w:tcPr>
            <w:tcW w:w="4998" w:type="pct"/>
            <w:gridSpan w:val="6"/>
            <w:tcBorders>
              <w:bottom w:val="single" w:sz="4" w:space="0" w:color="auto"/>
            </w:tcBorders>
            <w:shd w:val="clear" w:color="auto" w:fill="808080" w:themeFill="background1" w:themeFillShade="80"/>
          </w:tcPr>
          <w:p w14:paraId="6EECF832" w14:textId="77777777"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t>Analýza sociálnych vplyvov</w:t>
            </w:r>
          </w:p>
          <w:p w14:paraId="13FA8656" w14:textId="77777777"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0D004193" w14:textId="77777777"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14:paraId="06012AAE" w14:textId="77777777" w:rsidTr="00315680">
        <w:trPr>
          <w:jc w:val="center"/>
        </w:trPr>
        <w:tc>
          <w:tcPr>
            <w:tcW w:w="4998" w:type="pct"/>
            <w:gridSpan w:val="6"/>
            <w:tcBorders>
              <w:bottom w:val="single" w:sz="4" w:space="0" w:color="auto"/>
            </w:tcBorders>
            <w:shd w:val="clear" w:color="auto" w:fill="A6A6A6" w:themeFill="background1" w:themeFillShade="A6"/>
          </w:tcPr>
          <w:p w14:paraId="0380F9F0"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14:paraId="01EB88A3" w14:textId="77777777" w:rsidTr="00315680">
        <w:trPr>
          <w:jc w:val="center"/>
        </w:trPr>
        <w:tc>
          <w:tcPr>
            <w:tcW w:w="4998" w:type="pct"/>
            <w:gridSpan w:val="6"/>
            <w:tcBorders>
              <w:bottom w:val="single" w:sz="4" w:space="0" w:color="auto"/>
            </w:tcBorders>
            <w:shd w:val="clear" w:color="auto" w:fill="F2F2F2"/>
          </w:tcPr>
          <w:p w14:paraId="75CF1B6A"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14:paraId="255BB948"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14:paraId="4ADFB7BA"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14:paraId="039839BC" w14:textId="77777777"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14:paraId="3CE9299F" w14:textId="77777777" w:rsidTr="00315680">
        <w:trPr>
          <w:trHeight w:val="170"/>
          <w:jc w:val="center"/>
        </w:trPr>
        <w:tc>
          <w:tcPr>
            <w:tcW w:w="128" w:type="pct"/>
            <w:tcBorders>
              <w:top w:val="single" w:sz="4" w:space="0" w:color="auto"/>
              <w:bottom w:val="single" w:sz="4" w:space="0" w:color="auto"/>
            </w:tcBorders>
            <w:shd w:val="clear" w:color="auto" w:fill="DDDDDD"/>
            <w:vAlign w:val="center"/>
          </w:tcPr>
          <w:p w14:paraId="43E5968D"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69" w:type="pct"/>
            <w:gridSpan w:val="5"/>
            <w:tcBorders>
              <w:top w:val="single" w:sz="4" w:space="0" w:color="auto"/>
              <w:bottom w:val="single" w:sz="4" w:space="0" w:color="auto"/>
            </w:tcBorders>
            <w:shd w:val="clear" w:color="auto" w:fill="DDDDDD"/>
            <w:vAlign w:val="center"/>
          </w:tcPr>
          <w:p w14:paraId="59CD880C" w14:textId="77777777"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14:paraId="41235489" w14:textId="77777777" w:rsidTr="00315680">
        <w:trPr>
          <w:trHeight w:val="759"/>
          <w:jc w:val="center"/>
        </w:trPr>
        <w:tc>
          <w:tcPr>
            <w:tcW w:w="128" w:type="pct"/>
            <w:tcBorders>
              <w:top w:val="single" w:sz="4" w:space="0" w:color="auto"/>
              <w:bottom w:val="single" w:sz="4" w:space="0" w:color="auto"/>
            </w:tcBorders>
            <w:shd w:val="clear" w:color="auto" w:fill="auto"/>
            <w:vAlign w:val="center"/>
          </w:tcPr>
          <w:p w14:paraId="57EE9CDD" w14:textId="77777777"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gridSpan w:val="2"/>
            <w:tcBorders>
              <w:top w:val="single" w:sz="4" w:space="0" w:color="auto"/>
              <w:bottom w:val="single" w:sz="4" w:space="0" w:color="auto"/>
            </w:tcBorders>
            <w:shd w:val="clear" w:color="auto" w:fill="auto"/>
            <w:vAlign w:val="center"/>
          </w:tcPr>
          <w:p w14:paraId="7804BDE5"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8" w:type="pct"/>
            <w:gridSpan w:val="3"/>
            <w:tcBorders>
              <w:top w:val="single" w:sz="4" w:space="0" w:color="auto"/>
              <w:bottom w:val="single" w:sz="4" w:space="0" w:color="auto"/>
            </w:tcBorders>
            <w:shd w:val="clear" w:color="auto" w:fill="auto"/>
          </w:tcPr>
          <w:p w14:paraId="68F604CE" w14:textId="050C1590" w:rsidR="002644DE" w:rsidRPr="002644DE" w:rsidRDefault="00DF3C20" w:rsidP="00DF3C20">
            <w:pPr>
              <w:spacing w:after="0" w:line="240" w:lineRule="auto"/>
              <w:ind w:left="149"/>
              <w:contextualSpacing/>
              <w:rPr>
                <w:rFonts w:ascii="Times New Roman" w:eastAsia="Calibri" w:hAnsi="Times New Roman" w:cs="Times New Roman"/>
                <w:sz w:val="20"/>
                <w:szCs w:val="20"/>
                <w:lang w:eastAsia="sk-SK"/>
              </w:rPr>
            </w:pPr>
            <w:r>
              <w:rPr>
                <w:rFonts w:ascii="Times New Roman" w:hAnsi="Times New Roman"/>
                <w:sz w:val="20"/>
                <w:szCs w:val="20"/>
              </w:rPr>
              <w:t>Vládny n</w:t>
            </w:r>
            <w:bookmarkStart w:id="0" w:name="_GoBack"/>
            <w:bookmarkEnd w:id="0"/>
            <w:r w:rsidR="00041592" w:rsidRPr="00164BE9">
              <w:rPr>
                <w:rFonts w:ascii="Times New Roman" w:hAnsi="Times New Roman"/>
                <w:sz w:val="20"/>
                <w:szCs w:val="20"/>
              </w:rPr>
              <w:t xml:space="preserve">ávrh zákona bude mať pozitívny vplyv na </w:t>
            </w:r>
            <w:r w:rsidR="00041592">
              <w:rPr>
                <w:rFonts w:ascii="Times New Roman" w:hAnsi="Times New Roman"/>
                <w:sz w:val="20"/>
                <w:szCs w:val="20"/>
              </w:rPr>
              <w:t>hospodárenie domácností v hmotnej núdzi</w:t>
            </w:r>
            <w:r w:rsidR="00041592" w:rsidRPr="00164BE9">
              <w:rPr>
                <w:rFonts w:ascii="Times New Roman" w:hAnsi="Times New Roman"/>
                <w:sz w:val="20"/>
                <w:szCs w:val="20"/>
              </w:rPr>
              <w:t>,</w:t>
            </w:r>
            <w:r w:rsidR="00041592">
              <w:rPr>
                <w:rFonts w:ascii="Times New Roman" w:hAnsi="Times New Roman"/>
                <w:sz w:val="20"/>
                <w:szCs w:val="20"/>
              </w:rPr>
              <w:t xml:space="preserve"> a to zvýšením ich príjmu.</w:t>
            </w:r>
          </w:p>
        </w:tc>
      </w:tr>
      <w:tr w:rsidR="002644DE" w:rsidRPr="002644DE" w14:paraId="5F64F33D" w14:textId="77777777" w:rsidTr="00315680">
        <w:trPr>
          <w:trHeight w:val="397"/>
          <w:jc w:val="center"/>
        </w:trPr>
        <w:tc>
          <w:tcPr>
            <w:tcW w:w="128" w:type="pct"/>
            <w:vMerge w:val="restart"/>
            <w:tcBorders>
              <w:top w:val="single" w:sz="4" w:space="0" w:color="auto"/>
            </w:tcBorders>
            <w:shd w:val="clear" w:color="auto" w:fill="auto"/>
            <w:vAlign w:val="center"/>
          </w:tcPr>
          <w:p w14:paraId="036EF5B9"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gridSpan w:val="2"/>
            <w:tcBorders>
              <w:top w:val="single" w:sz="4" w:space="0" w:color="auto"/>
            </w:tcBorders>
            <w:shd w:val="clear" w:color="auto" w:fill="auto"/>
          </w:tcPr>
          <w:p w14:paraId="52D5678A"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8" w:type="pct"/>
            <w:gridSpan w:val="3"/>
            <w:tcBorders>
              <w:top w:val="single" w:sz="4" w:space="0" w:color="auto"/>
            </w:tcBorders>
            <w:shd w:val="clear" w:color="auto" w:fill="auto"/>
          </w:tcPr>
          <w:p w14:paraId="5FF1EED9"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p>
        </w:tc>
      </w:tr>
      <w:tr w:rsidR="002644DE" w:rsidRPr="002644DE" w14:paraId="66D3A3E3" w14:textId="77777777" w:rsidTr="00315680">
        <w:trPr>
          <w:trHeight w:val="397"/>
          <w:jc w:val="center"/>
        </w:trPr>
        <w:tc>
          <w:tcPr>
            <w:tcW w:w="128" w:type="pct"/>
            <w:vMerge/>
            <w:shd w:val="clear" w:color="auto" w:fill="auto"/>
            <w:vAlign w:val="center"/>
          </w:tcPr>
          <w:p w14:paraId="3ED46764"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gridSpan w:val="2"/>
            <w:shd w:val="clear" w:color="auto" w:fill="auto"/>
          </w:tcPr>
          <w:p w14:paraId="758F474F" w14:textId="77777777" w:rsidR="002644DE" w:rsidRPr="002644DE" w:rsidRDefault="002644DE" w:rsidP="008C3E30">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 xml:space="preserve">Ovplyvnená skupina </w:t>
            </w:r>
          </w:p>
        </w:tc>
        <w:tc>
          <w:tcPr>
            <w:tcW w:w="3228" w:type="pct"/>
            <w:gridSpan w:val="3"/>
            <w:tcBorders>
              <w:top w:val="dotted" w:sz="4" w:space="0" w:color="auto"/>
            </w:tcBorders>
            <w:shd w:val="clear" w:color="auto" w:fill="auto"/>
          </w:tcPr>
          <w:p w14:paraId="14AF95B1" w14:textId="77777777" w:rsidR="003B37F9" w:rsidRDefault="00471D71" w:rsidP="00471D71">
            <w:pPr>
              <w:spacing w:after="0" w:line="240" w:lineRule="auto"/>
              <w:jc w:val="both"/>
              <w:rPr>
                <w:rFonts w:ascii="Times New Roman" w:hAnsi="Times New Roman"/>
                <w:sz w:val="20"/>
                <w:szCs w:val="20"/>
                <w:lang w:eastAsia="sk-SK"/>
              </w:rPr>
            </w:pPr>
            <w:r>
              <w:rPr>
                <w:rFonts w:ascii="Times New Roman" w:hAnsi="Times New Roman"/>
                <w:sz w:val="20"/>
                <w:szCs w:val="20"/>
                <w:lang w:eastAsia="sk-SK"/>
              </w:rPr>
              <w:t>D</w:t>
            </w:r>
            <w:r w:rsidR="00041592" w:rsidRPr="00471D71">
              <w:rPr>
                <w:rFonts w:ascii="Times New Roman" w:hAnsi="Times New Roman"/>
                <w:sz w:val="20"/>
                <w:szCs w:val="20"/>
                <w:lang w:eastAsia="sk-SK"/>
              </w:rPr>
              <w:t xml:space="preserve">omácnosti v hmotnej núdzi, </w:t>
            </w:r>
            <w:r w:rsidR="003B37F9">
              <w:rPr>
                <w:rFonts w:ascii="Times New Roman" w:hAnsi="Times New Roman"/>
                <w:sz w:val="20"/>
                <w:szCs w:val="20"/>
                <w:lang w:eastAsia="sk-SK"/>
              </w:rPr>
              <w:t xml:space="preserve">ktorým sa poskytuje pomoc v hmotnej núdzi, a to </w:t>
            </w:r>
            <w:r w:rsidR="00041592" w:rsidRPr="00471D71">
              <w:rPr>
                <w:rFonts w:ascii="Times New Roman" w:hAnsi="Times New Roman"/>
                <w:sz w:val="20"/>
                <w:szCs w:val="20"/>
                <w:lang w:eastAsia="sk-SK"/>
              </w:rPr>
              <w:t xml:space="preserve">v dôsledku </w:t>
            </w:r>
          </w:p>
          <w:p w14:paraId="4DD24C24" w14:textId="3E8F354C" w:rsidR="003B37F9" w:rsidRDefault="003B37F9" w:rsidP="00786F17">
            <w:pPr>
              <w:pStyle w:val="Odsekzoznamu"/>
              <w:numPr>
                <w:ilvl w:val="0"/>
                <w:numId w:val="14"/>
              </w:numPr>
              <w:spacing w:after="0" w:line="240" w:lineRule="auto"/>
              <w:ind w:left="291" w:hanging="284"/>
              <w:jc w:val="both"/>
              <w:rPr>
                <w:rFonts w:ascii="Times New Roman" w:hAnsi="Times New Roman"/>
                <w:sz w:val="20"/>
                <w:szCs w:val="20"/>
                <w:lang w:eastAsia="sk-SK"/>
              </w:rPr>
            </w:pPr>
            <w:r>
              <w:rPr>
                <w:rFonts w:ascii="Times New Roman" w:hAnsi="Times New Roman"/>
                <w:sz w:val="20"/>
                <w:szCs w:val="20"/>
                <w:lang w:eastAsia="sk-SK"/>
              </w:rPr>
              <w:t>zjednoteni</w:t>
            </w:r>
            <w:r w:rsidR="00796286">
              <w:rPr>
                <w:rFonts w:ascii="Times New Roman" w:hAnsi="Times New Roman"/>
                <w:sz w:val="20"/>
                <w:szCs w:val="20"/>
                <w:lang w:eastAsia="sk-SK"/>
              </w:rPr>
              <w:t>a</w:t>
            </w:r>
            <w:r>
              <w:rPr>
                <w:rFonts w:ascii="Times New Roman" w:hAnsi="Times New Roman"/>
                <w:sz w:val="20"/>
                <w:szCs w:val="20"/>
                <w:lang w:eastAsia="sk-SK"/>
              </w:rPr>
              <w:t xml:space="preserve"> výšky ochranného príspevku</w:t>
            </w:r>
            <w:r w:rsidR="0040256A">
              <w:rPr>
                <w:rFonts w:ascii="Times New Roman" w:hAnsi="Times New Roman"/>
                <w:sz w:val="20"/>
                <w:szCs w:val="20"/>
                <w:lang w:eastAsia="sk-SK"/>
              </w:rPr>
              <w:t>,</w:t>
            </w:r>
          </w:p>
          <w:p w14:paraId="4B967F46" w14:textId="77777777" w:rsidR="004A0C73" w:rsidRDefault="0040256A" w:rsidP="004A0C73">
            <w:pPr>
              <w:pStyle w:val="Odsekzoznamu"/>
              <w:numPr>
                <w:ilvl w:val="0"/>
                <w:numId w:val="14"/>
              </w:numPr>
              <w:spacing w:after="0" w:line="240" w:lineRule="auto"/>
              <w:ind w:left="291" w:hanging="284"/>
              <w:jc w:val="both"/>
              <w:rPr>
                <w:rFonts w:ascii="Times New Roman" w:hAnsi="Times New Roman"/>
                <w:sz w:val="20"/>
                <w:szCs w:val="20"/>
                <w:lang w:eastAsia="sk-SK"/>
              </w:rPr>
            </w:pPr>
            <w:r>
              <w:rPr>
                <w:rFonts w:ascii="Times New Roman" w:hAnsi="Times New Roman"/>
                <w:sz w:val="20"/>
                <w:szCs w:val="20"/>
                <w:lang w:eastAsia="sk-SK"/>
              </w:rPr>
              <w:t>zaokrúhľovania výslednej sumy pomoci v hmotnej núdzi na celé euro,</w:t>
            </w:r>
          </w:p>
          <w:p w14:paraId="5B381AA6" w14:textId="1A3DF865" w:rsidR="004A0C73" w:rsidRPr="004A0C73" w:rsidRDefault="00CD0882" w:rsidP="004A0C73">
            <w:pPr>
              <w:pStyle w:val="Odsekzoznamu"/>
              <w:numPr>
                <w:ilvl w:val="0"/>
                <w:numId w:val="14"/>
              </w:numPr>
              <w:spacing w:after="0" w:line="240" w:lineRule="auto"/>
              <w:ind w:left="291" w:hanging="284"/>
              <w:jc w:val="both"/>
              <w:rPr>
                <w:rFonts w:ascii="Times New Roman" w:hAnsi="Times New Roman"/>
                <w:sz w:val="20"/>
                <w:szCs w:val="20"/>
                <w:lang w:eastAsia="sk-SK"/>
              </w:rPr>
            </w:pPr>
            <w:r>
              <w:rPr>
                <w:rFonts w:ascii="Times New Roman" w:hAnsi="Times New Roman"/>
                <w:sz w:val="20"/>
                <w:szCs w:val="20"/>
                <w:lang w:eastAsia="sk-SK"/>
              </w:rPr>
              <w:t xml:space="preserve">nepodmieňovania dávky v hmotnej núdzi účasťou na činnostiach u členov domácností, ktorými sú osoby s ťažkým zdravotným postihnutím odkázané na osobnú asistenciu </w:t>
            </w:r>
            <w:r w:rsidR="004A0C73" w:rsidRPr="004A0C73">
              <w:rPr>
                <w:rFonts w:ascii="Times New Roman" w:hAnsi="Times New Roman"/>
                <w:sz w:val="20"/>
                <w:szCs w:val="20"/>
                <w:lang w:eastAsia="sk-SK"/>
              </w:rPr>
              <w:t>alebo opatrovanie</w:t>
            </w:r>
            <w:r>
              <w:rPr>
                <w:rFonts w:ascii="Times New Roman" w:hAnsi="Times New Roman"/>
                <w:sz w:val="20"/>
                <w:szCs w:val="20"/>
                <w:lang w:eastAsia="sk-SK"/>
              </w:rPr>
              <w:t>,</w:t>
            </w:r>
          </w:p>
          <w:p w14:paraId="1D20B748" w14:textId="77777777" w:rsidR="00CD0882" w:rsidRDefault="0040256A" w:rsidP="00CD0882">
            <w:pPr>
              <w:pStyle w:val="Odsekzoznamu"/>
              <w:numPr>
                <w:ilvl w:val="0"/>
                <w:numId w:val="14"/>
              </w:numPr>
              <w:spacing w:after="0" w:line="240" w:lineRule="auto"/>
              <w:ind w:left="291" w:hanging="284"/>
              <w:jc w:val="both"/>
              <w:rPr>
                <w:rFonts w:ascii="Times New Roman" w:hAnsi="Times New Roman"/>
                <w:sz w:val="20"/>
                <w:szCs w:val="20"/>
                <w:lang w:eastAsia="sk-SK"/>
              </w:rPr>
            </w:pPr>
            <w:r w:rsidRPr="00CD0882">
              <w:rPr>
                <w:rFonts w:ascii="Times New Roman" w:hAnsi="Times New Roman"/>
                <w:sz w:val="20"/>
                <w:szCs w:val="20"/>
                <w:lang w:eastAsia="sk-SK"/>
              </w:rPr>
              <w:t xml:space="preserve">zvýšenia miery poskytovanej ochrany u osamelého rodiča s malým dieťaťom, a to až do jedného roku </w:t>
            </w:r>
            <w:r w:rsidR="00796286" w:rsidRPr="00CD0882">
              <w:rPr>
                <w:rFonts w:ascii="Times New Roman" w:hAnsi="Times New Roman"/>
                <w:sz w:val="20"/>
                <w:szCs w:val="20"/>
                <w:lang w:eastAsia="sk-SK"/>
              </w:rPr>
              <w:t xml:space="preserve">veku </w:t>
            </w:r>
            <w:r w:rsidRPr="00CD0882">
              <w:rPr>
                <w:rFonts w:ascii="Times New Roman" w:hAnsi="Times New Roman"/>
                <w:sz w:val="20"/>
                <w:szCs w:val="20"/>
                <w:lang w:eastAsia="sk-SK"/>
              </w:rPr>
              <w:t>dieťaťa</w:t>
            </w:r>
            <w:r w:rsidR="00CD0882">
              <w:rPr>
                <w:rFonts w:ascii="Times New Roman" w:hAnsi="Times New Roman"/>
                <w:sz w:val="20"/>
                <w:szCs w:val="20"/>
                <w:lang w:eastAsia="sk-SK"/>
              </w:rPr>
              <w:t>,</w:t>
            </w:r>
          </w:p>
          <w:p w14:paraId="37522EA1" w14:textId="48449D87" w:rsidR="00CD0882" w:rsidRPr="00CD0882" w:rsidRDefault="00CD0882" w:rsidP="00CD0882">
            <w:pPr>
              <w:pStyle w:val="Odsekzoznamu"/>
              <w:numPr>
                <w:ilvl w:val="0"/>
                <w:numId w:val="14"/>
              </w:numPr>
              <w:spacing w:after="0" w:line="240" w:lineRule="auto"/>
              <w:ind w:left="291" w:hanging="284"/>
              <w:jc w:val="both"/>
              <w:rPr>
                <w:rFonts w:ascii="Times New Roman" w:hAnsi="Times New Roman"/>
                <w:sz w:val="20"/>
                <w:szCs w:val="20"/>
                <w:lang w:eastAsia="sk-SK"/>
              </w:rPr>
            </w:pPr>
            <w:r w:rsidRPr="00CD0882">
              <w:rPr>
                <w:rFonts w:ascii="Times New Roman" w:hAnsi="Times New Roman"/>
                <w:sz w:val="20"/>
                <w:szCs w:val="20"/>
                <w:lang w:eastAsia="sk-SK"/>
              </w:rPr>
              <w:t>zabezpeč</w:t>
            </w:r>
            <w:r>
              <w:rPr>
                <w:rFonts w:ascii="Times New Roman" w:hAnsi="Times New Roman"/>
                <w:sz w:val="20"/>
                <w:szCs w:val="20"/>
                <w:lang w:eastAsia="sk-SK"/>
              </w:rPr>
              <w:t>enia</w:t>
            </w:r>
            <w:r w:rsidRPr="00CD0882">
              <w:rPr>
                <w:rFonts w:ascii="Times New Roman" w:hAnsi="Times New Roman"/>
                <w:sz w:val="20"/>
                <w:szCs w:val="20"/>
                <w:lang w:eastAsia="sk-SK"/>
              </w:rPr>
              <w:t xml:space="preserve">, aby osoby, ktoré si z objektívnych dôvodov nemôžu riešiť hmotnú núdzu predajom alebo správou majetku, neprišli o možnosť, aby im mohla byť priznaná pomoc v hmotnej núdzi. </w:t>
            </w:r>
          </w:p>
        </w:tc>
      </w:tr>
      <w:tr w:rsidR="002644DE" w:rsidRPr="002644DE" w14:paraId="5BD14B95" w14:textId="77777777" w:rsidTr="00315680">
        <w:trPr>
          <w:trHeight w:val="454"/>
          <w:jc w:val="center"/>
        </w:trPr>
        <w:tc>
          <w:tcPr>
            <w:tcW w:w="128" w:type="pct"/>
            <w:tcBorders>
              <w:top w:val="dotted" w:sz="4" w:space="0" w:color="auto"/>
            </w:tcBorders>
            <w:shd w:val="clear" w:color="auto" w:fill="F2F2F2"/>
            <w:vAlign w:val="center"/>
          </w:tcPr>
          <w:p w14:paraId="60432DA7" w14:textId="2309625D"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69" w:type="pct"/>
            <w:gridSpan w:val="5"/>
            <w:tcBorders>
              <w:top w:val="dotted" w:sz="4" w:space="0" w:color="auto"/>
            </w:tcBorders>
            <w:shd w:val="clear" w:color="auto" w:fill="F2F2F2"/>
            <w:vAlign w:val="center"/>
          </w:tcPr>
          <w:p w14:paraId="0C3B58FB"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3878B13B" w14:textId="77777777" w:rsidTr="00315680">
        <w:trPr>
          <w:trHeight w:val="680"/>
          <w:jc w:val="center"/>
        </w:trPr>
        <w:tc>
          <w:tcPr>
            <w:tcW w:w="128" w:type="pct"/>
            <w:vMerge w:val="restart"/>
            <w:tcBorders>
              <w:top w:val="dotted" w:sz="4" w:space="0" w:color="auto"/>
            </w:tcBorders>
            <w:shd w:val="clear" w:color="auto" w:fill="auto"/>
            <w:vAlign w:val="center"/>
          </w:tcPr>
          <w:p w14:paraId="074D6807"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gridSpan w:val="2"/>
            <w:tcBorders>
              <w:top w:val="dotted" w:sz="4" w:space="0" w:color="auto"/>
            </w:tcBorders>
            <w:shd w:val="clear" w:color="auto" w:fill="auto"/>
          </w:tcPr>
          <w:p w14:paraId="3F9C804D"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71F2E6CE" w14:textId="77777777" w:rsidR="002644DE" w:rsidRPr="002644DE" w:rsidRDefault="002644DE" w:rsidP="008C3E30">
            <w:pPr>
              <w:spacing w:after="0" w:line="240" w:lineRule="auto"/>
              <w:ind w:left="170"/>
              <w:contextualSpacing/>
              <w:jc w:val="both"/>
              <w:rPr>
                <w:rFonts w:ascii="Times New Roman" w:eastAsia="Calibri" w:hAnsi="Times New Roman" w:cs="Times New Roman"/>
                <w:i/>
                <w:sz w:val="20"/>
                <w:szCs w:val="20"/>
                <w:lang w:eastAsia="sk-SK"/>
              </w:rPr>
            </w:pPr>
          </w:p>
        </w:tc>
        <w:tc>
          <w:tcPr>
            <w:tcW w:w="3228" w:type="pct"/>
            <w:gridSpan w:val="3"/>
            <w:tcBorders>
              <w:top w:val="dotted" w:sz="4" w:space="0" w:color="auto"/>
            </w:tcBorders>
            <w:shd w:val="clear" w:color="auto" w:fill="auto"/>
          </w:tcPr>
          <w:p w14:paraId="62EA86F6" w14:textId="6C8EB706" w:rsidR="000333EC" w:rsidRDefault="000333EC" w:rsidP="000333EC">
            <w:pPr>
              <w:spacing w:after="0" w:line="240" w:lineRule="auto"/>
              <w:jc w:val="both"/>
              <w:rPr>
                <w:rFonts w:ascii="Times New Roman" w:hAnsi="Times New Roman"/>
                <w:sz w:val="20"/>
                <w:szCs w:val="20"/>
                <w:lang w:eastAsia="sk-SK"/>
              </w:rPr>
            </w:pPr>
            <w:r>
              <w:rPr>
                <w:rFonts w:ascii="Times New Roman" w:hAnsi="Times New Roman"/>
                <w:sz w:val="20"/>
                <w:szCs w:val="20"/>
                <w:lang w:eastAsia="sk-SK"/>
              </w:rPr>
              <w:t>Zjednotením výšky ochranného príspevku sa príjem zvýši u člena domácnosti, ktorý má nepriaznivý zdravotný stav a člena domácnosti, ktorým je t</w:t>
            </w:r>
            <w:r w:rsidRPr="00F50C79">
              <w:rPr>
                <w:rFonts w:ascii="Times New Roman" w:hAnsi="Times New Roman"/>
                <w:sz w:val="20"/>
                <w:szCs w:val="20"/>
                <w:lang w:eastAsia="sk-SK"/>
              </w:rPr>
              <w:t>ehotn</w:t>
            </w:r>
            <w:r>
              <w:rPr>
                <w:rFonts w:ascii="Times New Roman" w:hAnsi="Times New Roman"/>
                <w:sz w:val="20"/>
                <w:szCs w:val="20"/>
                <w:lang w:eastAsia="sk-SK"/>
              </w:rPr>
              <w:t>á</w:t>
            </w:r>
            <w:r w:rsidRPr="00F50C79">
              <w:rPr>
                <w:rFonts w:ascii="Times New Roman" w:hAnsi="Times New Roman"/>
                <w:sz w:val="20"/>
                <w:szCs w:val="20"/>
                <w:lang w:eastAsia="sk-SK"/>
              </w:rPr>
              <w:t xml:space="preserve"> žen</w:t>
            </w:r>
            <w:r>
              <w:rPr>
                <w:rFonts w:ascii="Times New Roman" w:hAnsi="Times New Roman"/>
                <w:sz w:val="20"/>
                <w:szCs w:val="20"/>
                <w:lang w:eastAsia="sk-SK"/>
              </w:rPr>
              <w:t>a</w:t>
            </w:r>
            <w:r w:rsidRPr="00F50C79">
              <w:rPr>
                <w:rFonts w:ascii="Times New Roman" w:hAnsi="Times New Roman"/>
                <w:sz w:val="20"/>
                <w:szCs w:val="20"/>
                <w:lang w:eastAsia="sk-SK"/>
              </w:rPr>
              <w:t xml:space="preserve"> od začiatku ôsmeho týždňa pred očakávaným dňom pôrodu</w:t>
            </w:r>
            <w:r>
              <w:rPr>
                <w:rFonts w:ascii="Times New Roman" w:hAnsi="Times New Roman"/>
                <w:sz w:val="20"/>
                <w:szCs w:val="20"/>
                <w:lang w:eastAsia="sk-SK"/>
              </w:rPr>
              <w:t>, a to o</w:t>
            </w:r>
            <w:r w:rsidR="00A17CF3">
              <w:rPr>
                <w:rFonts w:ascii="Times New Roman" w:hAnsi="Times New Roman"/>
                <w:sz w:val="20"/>
                <w:szCs w:val="20"/>
                <w:lang w:eastAsia="sk-SK"/>
              </w:rPr>
              <w:t> 34,1</w:t>
            </w:r>
            <w:r>
              <w:rPr>
                <w:rFonts w:ascii="Times New Roman" w:hAnsi="Times New Roman"/>
                <w:sz w:val="20"/>
                <w:szCs w:val="20"/>
                <w:lang w:eastAsia="sk-SK"/>
              </w:rPr>
              <w:t xml:space="preserve"> eur</w:t>
            </w:r>
            <w:r w:rsidR="001B03F6">
              <w:rPr>
                <w:rFonts w:ascii="Times New Roman" w:hAnsi="Times New Roman"/>
                <w:sz w:val="20"/>
                <w:szCs w:val="20"/>
                <w:lang w:eastAsia="sk-SK"/>
              </w:rPr>
              <w:t xml:space="preserve">, t. j. zo sumy </w:t>
            </w:r>
            <w:r w:rsidR="00A17CF3">
              <w:rPr>
                <w:rFonts w:ascii="Times New Roman" w:hAnsi="Times New Roman"/>
                <w:sz w:val="20"/>
                <w:szCs w:val="20"/>
                <w:lang w:eastAsia="sk-SK"/>
              </w:rPr>
              <w:t>41,6</w:t>
            </w:r>
            <w:r w:rsidR="001B03F6">
              <w:rPr>
                <w:rFonts w:ascii="Times New Roman" w:hAnsi="Times New Roman"/>
                <w:sz w:val="20"/>
                <w:szCs w:val="20"/>
                <w:lang w:eastAsia="sk-SK"/>
              </w:rPr>
              <w:t xml:space="preserve"> eur na 75,70 eur</w:t>
            </w:r>
            <w:r>
              <w:rPr>
                <w:rFonts w:ascii="Times New Roman" w:hAnsi="Times New Roman"/>
                <w:sz w:val="20"/>
                <w:szCs w:val="20"/>
                <w:lang w:eastAsia="sk-SK"/>
              </w:rPr>
              <w:t>.</w:t>
            </w:r>
          </w:p>
          <w:p w14:paraId="5A487683" w14:textId="7806F8A5" w:rsidR="003D6B8A" w:rsidRDefault="007D5777" w:rsidP="003D6B8A">
            <w:pPr>
              <w:spacing w:after="0" w:line="240" w:lineRule="auto"/>
              <w:jc w:val="both"/>
              <w:rPr>
                <w:rFonts w:ascii="Times New Roman" w:hAnsi="Times New Roman"/>
                <w:sz w:val="20"/>
                <w:szCs w:val="20"/>
                <w:lang w:eastAsia="sk-SK"/>
              </w:rPr>
            </w:pPr>
            <w:r>
              <w:rPr>
                <w:rFonts w:ascii="Times New Roman" w:hAnsi="Times New Roman"/>
                <w:sz w:val="20"/>
                <w:szCs w:val="20"/>
                <w:lang w:eastAsia="sk-SK"/>
              </w:rPr>
              <w:t xml:space="preserve">V dôsledku </w:t>
            </w:r>
            <w:r w:rsidRPr="0040256A">
              <w:rPr>
                <w:rFonts w:ascii="Times New Roman" w:hAnsi="Times New Roman"/>
                <w:sz w:val="20"/>
                <w:szCs w:val="20"/>
                <w:lang w:eastAsia="sk-SK"/>
              </w:rPr>
              <w:t>zvýš</w:t>
            </w:r>
            <w:r>
              <w:rPr>
                <w:rFonts w:ascii="Times New Roman" w:hAnsi="Times New Roman"/>
                <w:sz w:val="20"/>
                <w:szCs w:val="20"/>
                <w:lang w:eastAsia="sk-SK"/>
              </w:rPr>
              <w:t>enia</w:t>
            </w:r>
            <w:r w:rsidRPr="0040256A">
              <w:rPr>
                <w:rFonts w:ascii="Times New Roman" w:hAnsi="Times New Roman"/>
                <w:sz w:val="20"/>
                <w:szCs w:val="20"/>
                <w:lang w:eastAsia="sk-SK"/>
              </w:rPr>
              <w:t xml:space="preserve"> mier</w:t>
            </w:r>
            <w:r>
              <w:rPr>
                <w:rFonts w:ascii="Times New Roman" w:hAnsi="Times New Roman"/>
                <w:sz w:val="20"/>
                <w:szCs w:val="20"/>
                <w:lang w:eastAsia="sk-SK"/>
              </w:rPr>
              <w:t>y</w:t>
            </w:r>
            <w:r w:rsidRPr="0040256A">
              <w:rPr>
                <w:rFonts w:ascii="Times New Roman" w:hAnsi="Times New Roman"/>
                <w:sz w:val="20"/>
                <w:szCs w:val="20"/>
                <w:lang w:eastAsia="sk-SK"/>
              </w:rPr>
              <w:t xml:space="preserve"> poskytovanej ochrany u osamelého rodiča s malým dieťaťom</w:t>
            </w:r>
            <w:r>
              <w:rPr>
                <w:rFonts w:ascii="Times New Roman" w:hAnsi="Times New Roman"/>
                <w:sz w:val="20"/>
                <w:szCs w:val="20"/>
                <w:lang w:eastAsia="sk-SK"/>
              </w:rPr>
              <w:t xml:space="preserve"> až do jedného veku roku dieťaťa</w:t>
            </w:r>
            <w:r w:rsidR="00796286">
              <w:rPr>
                <w:rFonts w:ascii="Times New Roman" w:hAnsi="Times New Roman"/>
                <w:sz w:val="20"/>
                <w:szCs w:val="20"/>
                <w:lang w:eastAsia="sk-SK"/>
              </w:rPr>
              <w:t>,</w:t>
            </w:r>
            <w:r>
              <w:rPr>
                <w:rFonts w:ascii="Times New Roman" w:hAnsi="Times New Roman"/>
                <w:sz w:val="20"/>
                <w:szCs w:val="20"/>
                <w:lang w:eastAsia="sk-SK"/>
              </w:rPr>
              <w:t xml:space="preserve"> bude naďalej trvať nárok na ochranný príspevok  v sume 75,70 eur. </w:t>
            </w:r>
          </w:p>
          <w:p w14:paraId="28F7760E" w14:textId="51537881" w:rsidR="003E76E4" w:rsidRPr="007D5777" w:rsidRDefault="003E76E4" w:rsidP="00796286">
            <w:pPr>
              <w:spacing w:after="0" w:line="240" w:lineRule="auto"/>
              <w:jc w:val="both"/>
              <w:rPr>
                <w:rFonts w:ascii="Times New Roman" w:hAnsi="Times New Roman"/>
                <w:sz w:val="20"/>
                <w:szCs w:val="20"/>
                <w:lang w:eastAsia="sk-SK"/>
              </w:rPr>
            </w:pPr>
          </w:p>
        </w:tc>
      </w:tr>
      <w:tr w:rsidR="002644DE" w:rsidRPr="002644DE" w14:paraId="28EBB987" w14:textId="77777777" w:rsidTr="00315680">
        <w:trPr>
          <w:trHeight w:val="680"/>
          <w:jc w:val="center"/>
        </w:trPr>
        <w:tc>
          <w:tcPr>
            <w:tcW w:w="128" w:type="pct"/>
            <w:vMerge/>
            <w:shd w:val="clear" w:color="auto" w:fill="auto"/>
            <w:vAlign w:val="center"/>
          </w:tcPr>
          <w:p w14:paraId="0933FC7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gridSpan w:val="2"/>
            <w:shd w:val="clear" w:color="auto" w:fill="auto"/>
          </w:tcPr>
          <w:p w14:paraId="2A699835" w14:textId="77777777" w:rsidR="002644DE" w:rsidRPr="002644DE" w:rsidRDefault="008C3E30" w:rsidP="008C3E30">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8" w:type="pct"/>
            <w:gridSpan w:val="3"/>
            <w:tcBorders>
              <w:top w:val="dotted" w:sz="4" w:space="0" w:color="auto"/>
            </w:tcBorders>
            <w:shd w:val="clear" w:color="auto" w:fill="auto"/>
          </w:tcPr>
          <w:p w14:paraId="61377E0E" w14:textId="1BAC9E21" w:rsidR="006633EB" w:rsidRPr="009C7B8A" w:rsidRDefault="00315680" w:rsidP="00796286">
            <w:pPr>
              <w:spacing w:after="0" w:line="240" w:lineRule="auto"/>
              <w:jc w:val="both"/>
              <w:rPr>
                <w:rFonts w:ascii="Times New Roman" w:hAnsi="Times New Roman"/>
                <w:sz w:val="20"/>
                <w:szCs w:val="20"/>
                <w:lang w:eastAsia="sk-SK"/>
              </w:rPr>
            </w:pPr>
            <w:r>
              <w:rPr>
                <w:rFonts w:ascii="Times New Roman" w:hAnsi="Times New Roman"/>
                <w:sz w:val="20"/>
                <w:szCs w:val="20"/>
                <w:lang w:eastAsia="sk-SK"/>
              </w:rPr>
              <w:t>Z</w:t>
            </w:r>
            <w:r w:rsidR="007D5777">
              <w:rPr>
                <w:rFonts w:ascii="Times New Roman" w:hAnsi="Times New Roman"/>
                <w:sz w:val="20"/>
                <w:szCs w:val="20"/>
                <w:lang w:eastAsia="sk-SK"/>
              </w:rPr>
              <w:t>jednote</w:t>
            </w:r>
            <w:r w:rsidR="002224B5">
              <w:rPr>
                <w:rFonts w:ascii="Times New Roman" w:hAnsi="Times New Roman"/>
                <w:sz w:val="20"/>
                <w:szCs w:val="20"/>
                <w:lang w:eastAsia="sk-SK"/>
              </w:rPr>
              <w:t>n</w:t>
            </w:r>
            <w:r w:rsidR="00BD0D0E">
              <w:rPr>
                <w:rFonts w:ascii="Times New Roman" w:hAnsi="Times New Roman"/>
                <w:sz w:val="20"/>
                <w:szCs w:val="20"/>
                <w:lang w:eastAsia="sk-SK"/>
              </w:rPr>
              <w:t>i</w:t>
            </w:r>
            <w:r>
              <w:rPr>
                <w:rFonts w:ascii="Times New Roman" w:hAnsi="Times New Roman"/>
                <w:sz w:val="20"/>
                <w:szCs w:val="20"/>
                <w:lang w:eastAsia="sk-SK"/>
              </w:rPr>
              <w:t>e</w:t>
            </w:r>
            <w:r w:rsidR="00BD0D0E">
              <w:rPr>
                <w:rFonts w:ascii="Times New Roman" w:hAnsi="Times New Roman"/>
                <w:sz w:val="20"/>
                <w:szCs w:val="20"/>
                <w:lang w:eastAsia="sk-SK"/>
              </w:rPr>
              <w:t xml:space="preserve"> sumy ochranného príspevku s</w:t>
            </w:r>
            <w:r w:rsidR="00065151">
              <w:rPr>
                <w:rFonts w:ascii="Times New Roman" w:hAnsi="Times New Roman"/>
                <w:sz w:val="20"/>
                <w:szCs w:val="20"/>
                <w:lang w:eastAsia="sk-SK"/>
              </w:rPr>
              <w:t>a</w:t>
            </w:r>
            <w:r w:rsidR="00BD0D0E">
              <w:rPr>
                <w:rFonts w:ascii="Times New Roman" w:hAnsi="Times New Roman"/>
                <w:sz w:val="20"/>
                <w:szCs w:val="20"/>
                <w:lang w:eastAsia="sk-SK"/>
              </w:rPr>
              <w:t xml:space="preserve">  </w:t>
            </w:r>
            <w:r w:rsidR="00147C5D">
              <w:rPr>
                <w:rFonts w:ascii="Times New Roman" w:hAnsi="Times New Roman"/>
                <w:sz w:val="20"/>
                <w:szCs w:val="20"/>
                <w:lang w:eastAsia="sk-SK"/>
              </w:rPr>
              <w:t xml:space="preserve">v roku 2023 </w:t>
            </w:r>
            <w:r>
              <w:rPr>
                <w:rFonts w:ascii="Times New Roman" w:hAnsi="Times New Roman"/>
                <w:sz w:val="20"/>
                <w:szCs w:val="20"/>
                <w:lang w:eastAsia="sk-SK"/>
              </w:rPr>
              <w:t xml:space="preserve">pozitívne </w:t>
            </w:r>
            <w:r w:rsidR="00BD0D0E">
              <w:rPr>
                <w:rFonts w:ascii="Times New Roman" w:hAnsi="Times New Roman"/>
                <w:sz w:val="20"/>
                <w:szCs w:val="20"/>
                <w:lang w:eastAsia="sk-SK"/>
              </w:rPr>
              <w:t xml:space="preserve">dotkne </w:t>
            </w:r>
            <w:r w:rsidR="002224B5">
              <w:rPr>
                <w:rFonts w:ascii="Times New Roman" w:hAnsi="Times New Roman"/>
                <w:sz w:val="20"/>
                <w:szCs w:val="20"/>
                <w:lang w:eastAsia="sk-SK"/>
              </w:rPr>
              <w:t xml:space="preserve"> </w:t>
            </w:r>
            <w:r w:rsidR="007D5777">
              <w:rPr>
                <w:rFonts w:ascii="Times New Roman" w:hAnsi="Times New Roman"/>
                <w:sz w:val="20"/>
                <w:szCs w:val="20"/>
                <w:lang w:eastAsia="sk-SK"/>
              </w:rPr>
              <w:t>4 165 členov domácností</w:t>
            </w:r>
            <w:r>
              <w:rPr>
                <w:rFonts w:ascii="Times New Roman" w:hAnsi="Times New Roman"/>
                <w:sz w:val="20"/>
                <w:szCs w:val="20"/>
                <w:lang w:eastAsia="sk-SK"/>
              </w:rPr>
              <w:t>,</w:t>
            </w:r>
            <w:r w:rsidR="007D5777">
              <w:rPr>
                <w:rFonts w:ascii="Times New Roman" w:hAnsi="Times New Roman"/>
                <w:sz w:val="20"/>
                <w:szCs w:val="20"/>
                <w:lang w:eastAsia="sk-SK"/>
              </w:rPr>
              <w:t xml:space="preserve"> </w:t>
            </w:r>
            <w:r w:rsidR="00BD0D0E">
              <w:rPr>
                <w:rFonts w:ascii="Times New Roman" w:hAnsi="Times New Roman"/>
                <w:sz w:val="20"/>
                <w:szCs w:val="20"/>
                <w:lang w:eastAsia="sk-SK"/>
              </w:rPr>
              <w:t xml:space="preserve">ak majú </w:t>
            </w:r>
            <w:r w:rsidR="007D5777">
              <w:rPr>
                <w:rFonts w:ascii="Times New Roman" w:hAnsi="Times New Roman"/>
                <w:sz w:val="20"/>
                <w:szCs w:val="20"/>
                <w:lang w:eastAsia="sk-SK"/>
              </w:rPr>
              <w:t>nepriazniv</w:t>
            </w:r>
            <w:r w:rsidR="00BD0D0E">
              <w:rPr>
                <w:rFonts w:ascii="Times New Roman" w:hAnsi="Times New Roman"/>
                <w:sz w:val="20"/>
                <w:szCs w:val="20"/>
                <w:lang w:eastAsia="sk-SK"/>
              </w:rPr>
              <w:t>ý</w:t>
            </w:r>
            <w:r w:rsidR="007D5777">
              <w:rPr>
                <w:rFonts w:ascii="Times New Roman" w:hAnsi="Times New Roman"/>
                <w:sz w:val="20"/>
                <w:szCs w:val="20"/>
                <w:lang w:eastAsia="sk-SK"/>
              </w:rPr>
              <w:t xml:space="preserve"> zdravotn</w:t>
            </w:r>
            <w:r w:rsidR="00BD0D0E">
              <w:rPr>
                <w:rFonts w:ascii="Times New Roman" w:hAnsi="Times New Roman"/>
                <w:sz w:val="20"/>
                <w:szCs w:val="20"/>
                <w:lang w:eastAsia="sk-SK"/>
              </w:rPr>
              <w:t>ý</w:t>
            </w:r>
            <w:r w:rsidR="007D5777">
              <w:rPr>
                <w:rFonts w:ascii="Times New Roman" w:hAnsi="Times New Roman"/>
                <w:sz w:val="20"/>
                <w:szCs w:val="20"/>
                <w:lang w:eastAsia="sk-SK"/>
              </w:rPr>
              <w:t xml:space="preserve"> stav alebo </w:t>
            </w:r>
            <w:r w:rsidR="003E76E4">
              <w:rPr>
                <w:rFonts w:ascii="Times New Roman" w:hAnsi="Times New Roman"/>
                <w:sz w:val="20"/>
                <w:szCs w:val="20"/>
                <w:lang w:eastAsia="sk-SK"/>
              </w:rPr>
              <w:t xml:space="preserve">ak ide o tehotnú ženu </w:t>
            </w:r>
            <w:r w:rsidR="007D5777" w:rsidRPr="00F50C79">
              <w:rPr>
                <w:rFonts w:ascii="Times New Roman" w:hAnsi="Times New Roman"/>
                <w:sz w:val="20"/>
                <w:szCs w:val="20"/>
                <w:lang w:eastAsia="sk-SK"/>
              </w:rPr>
              <w:t>od začiatku ôsmeho týždňa pred očakávaným dňom pôrodu</w:t>
            </w:r>
            <w:r w:rsidR="003E76E4">
              <w:rPr>
                <w:rFonts w:ascii="Times New Roman" w:hAnsi="Times New Roman"/>
                <w:sz w:val="20"/>
                <w:szCs w:val="20"/>
                <w:lang w:eastAsia="sk-SK"/>
              </w:rPr>
              <w:t xml:space="preserve">. </w:t>
            </w:r>
            <w:r w:rsidR="00BD0D0E">
              <w:rPr>
                <w:rFonts w:ascii="Times New Roman" w:hAnsi="Times New Roman"/>
                <w:sz w:val="20"/>
                <w:szCs w:val="20"/>
                <w:lang w:eastAsia="sk-SK"/>
              </w:rPr>
              <w:t xml:space="preserve">Za účelom </w:t>
            </w:r>
            <w:r w:rsidR="003E76E4">
              <w:rPr>
                <w:rFonts w:ascii="Times New Roman" w:hAnsi="Times New Roman"/>
                <w:sz w:val="20"/>
                <w:szCs w:val="20"/>
                <w:lang w:eastAsia="sk-SK"/>
              </w:rPr>
              <w:t xml:space="preserve"> zvýšenia miery ochran</w:t>
            </w:r>
            <w:r w:rsidR="00796286">
              <w:rPr>
                <w:rFonts w:ascii="Times New Roman" w:hAnsi="Times New Roman"/>
                <w:sz w:val="20"/>
                <w:szCs w:val="20"/>
                <w:lang w:eastAsia="sk-SK"/>
              </w:rPr>
              <w:t>y</w:t>
            </w:r>
            <w:r w:rsidR="003E76E4">
              <w:rPr>
                <w:rFonts w:ascii="Times New Roman" w:hAnsi="Times New Roman"/>
                <w:sz w:val="20"/>
                <w:szCs w:val="20"/>
                <w:lang w:eastAsia="sk-SK"/>
              </w:rPr>
              <w:t xml:space="preserve"> </w:t>
            </w:r>
            <w:r w:rsidR="003E76E4" w:rsidRPr="0040256A">
              <w:rPr>
                <w:rFonts w:ascii="Times New Roman" w:hAnsi="Times New Roman"/>
                <w:sz w:val="20"/>
                <w:szCs w:val="20"/>
                <w:lang w:eastAsia="sk-SK"/>
              </w:rPr>
              <w:t>u osamelého rodiča s malým dieťaťom</w:t>
            </w:r>
            <w:r w:rsidR="003E76E4">
              <w:rPr>
                <w:rFonts w:ascii="Times New Roman" w:hAnsi="Times New Roman"/>
                <w:sz w:val="20"/>
                <w:szCs w:val="20"/>
                <w:lang w:eastAsia="sk-SK"/>
              </w:rPr>
              <w:t xml:space="preserve">, a to až do jedného roku </w:t>
            </w:r>
            <w:r w:rsidR="00796286">
              <w:rPr>
                <w:rFonts w:ascii="Times New Roman" w:hAnsi="Times New Roman"/>
                <w:sz w:val="20"/>
                <w:szCs w:val="20"/>
                <w:lang w:eastAsia="sk-SK"/>
              </w:rPr>
              <w:t xml:space="preserve">veku </w:t>
            </w:r>
            <w:r w:rsidR="003E76E4">
              <w:rPr>
                <w:rFonts w:ascii="Times New Roman" w:hAnsi="Times New Roman"/>
                <w:sz w:val="20"/>
                <w:szCs w:val="20"/>
                <w:lang w:eastAsia="sk-SK"/>
              </w:rPr>
              <w:t xml:space="preserve">dieťaťa sa táto zmena dotkne </w:t>
            </w:r>
            <w:r w:rsidR="00D77186">
              <w:rPr>
                <w:rFonts w:ascii="Times New Roman" w:hAnsi="Times New Roman"/>
                <w:sz w:val="20"/>
                <w:szCs w:val="20"/>
                <w:lang w:eastAsia="sk-SK"/>
              </w:rPr>
              <w:t xml:space="preserve">cca </w:t>
            </w:r>
            <w:r w:rsidR="009C7B8A">
              <w:rPr>
                <w:rFonts w:ascii="Times New Roman" w:hAnsi="Times New Roman"/>
                <w:sz w:val="20"/>
                <w:szCs w:val="20"/>
                <w:lang w:eastAsia="sk-SK"/>
              </w:rPr>
              <w:t xml:space="preserve">30 </w:t>
            </w:r>
            <w:r w:rsidR="00D77186">
              <w:rPr>
                <w:rFonts w:ascii="Times New Roman" w:hAnsi="Times New Roman"/>
                <w:sz w:val="20"/>
                <w:szCs w:val="20"/>
                <w:lang w:eastAsia="sk-SK"/>
              </w:rPr>
              <w:t xml:space="preserve"> domácností. </w:t>
            </w:r>
          </w:p>
        </w:tc>
      </w:tr>
      <w:tr w:rsidR="002644DE" w:rsidRPr="002644DE" w14:paraId="61573E02" w14:textId="77777777" w:rsidTr="00315680">
        <w:trPr>
          <w:trHeight w:val="397"/>
          <w:jc w:val="center"/>
        </w:trPr>
        <w:tc>
          <w:tcPr>
            <w:tcW w:w="128" w:type="pct"/>
            <w:tcBorders>
              <w:top w:val="dotted" w:sz="4" w:space="0" w:color="auto"/>
            </w:tcBorders>
            <w:shd w:val="clear" w:color="auto" w:fill="auto"/>
            <w:vAlign w:val="center"/>
          </w:tcPr>
          <w:p w14:paraId="76392CBB"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gridSpan w:val="2"/>
            <w:tcBorders>
              <w:top w:val="dotted" w:sz="4" w:space="0" w:color="auto"/>
            </w:tcBorders>
            <w:shd w:val="clear" w:color="auto" w:fill="auto"/>
          </w:tcPr>
          <w:p w14:paraId="0A760716"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8" w:type="pct"/>
            <w:gridSpan w:val="3"/>
            <w:tcBorders>
              <w:top w:val="dotted" w:sz="4" w:space="0" w:color="auto"/>
            </w:tcBorders>
            <w:shd w:val="clear" w:color="auto" w:fill="auto"/>
          </w:tcPr>
          <w:p w14:paraId="6CFA81EC"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170A3A95" w14:textId="77777777" w:rsidTr="00315680">
        <w:trPr>
          <w:trHeight w:val="170"/>
          <w:jc w:val="center"/>
        </w:trPr>
        <w:tc>
          <w:tcPr>
            <w:tcW w:w="128" w:type="pct"/>
            <w:tcBorders>
              <w:top w:val="nil"/>
              <w:bottom w:val="single" w:sz="4" w:space="0" w:color="auto"/>
            </w:tcBorders>
            <w:shd w:val="clear" w:color="auto" w:fill="F2F2F2"/>
            <w:vAlign w:val="center"/>
          </w:tcPr>
          <w:p w14:paraId="6AF2B58E"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69" w:type="pct"/>
            <w:gridSpan w:val="5"/>
            <w:tcBorders>
              <w:top w:val="nil"/>
              <w:bottom w:val="single" w:sz="4" w:space="0" w:color="auto"/>
            </w:tcBorders>
            <w:shd w:val="clear" w:color="auto" w:fill="F2F2F2"/>
            <w:vAlign w:val="center"/>
          </w:tcPr>
          <w:p w14:paraId="7C2BF8D3" w14:textId="77777777" w:rsidR="002644DE" w:rsidRPr="002644DE" w:rsidRDefault="002644DE" w:rsidP="002644DE">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14:paraId="3DF5BAC0" w14:textId="77777777"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644DE" w:rsidRPr="002644DE" w14:paraId="4B626020" w14:textId="77777777" w:rsidTr="00315680">
        <w:trPr>
          <w:trHeight w:val="759"/>
          <w:jc w:val="center"/>
        </w:trPr>
        <w:tc>
          <w:tcPr>
            <w:tcW w:w="128" w:type="pct"/>
            <w:tcBorders>
              <w:top w:val="single" w:sz="4" w:space="0" w:color="auto"/>
              <w:bottom w:val="single" w:sz="4" w:space="0" w:color="auto"/>
            </w:tcBorders>
            <w:shd w:val="clear" w:color="auto" w:fill="auto"/>
            <w:vAlign w:val="center"/>
          </w:tcPr>
          <w:p w14:paraId="7E763001"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gridSpan w:val="2"/>
            <w:tcBorders>
              <w:top w:val="single" w:sz="4" w:space="0" w:color="auto"/>
              <w:bottom w:val="single" w:sz="4" w:space="0" w:color="auto"/>
            </w:tcBorders>
            <w:shd w:val="clear" w:color="auto" w:fill="auto"/>
          </w:tcPr>
          <w:p w14:paraId="171C9A51"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8" w:type="pct"/>
            <w:gridSpan w:val="3"/>
            <w:tcBorders>
              <w:top w:val="single" w:sz="4" w:space="0" w:color="auto"/>
              <w:bottom w:val="single" w:sz="4" w:space="0" w:color="auto"/>
            </w:tcBorders>
            <w:shd w:val="clear" w:color="auto" w:fill="auto"/>
          </w:tcPr>
          <w:p w14:paraId="3F58C3F5" w14:textId="6E939D66" w:rsidR="002644DE" w:rsidRPr="002644DE" w:rsidRDefault="009D0840">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Pozitívne budú ovplyvnené všetky domácnosti v riziku chudoby alebo sociálneho vylúčenia, ktoré sú prijímateľmi </w:t>
            </w:r>
            <w:r w:rsidR="00D77186">
              <w:rPr>
                <w:rFonts w:ascii="Times New Roman" w:eastAsia="Calibri" w:hAnsi="Times New Roman" w:cs="Times New Roman"/>
                <w:sz w:val="20"/>
                <w:szCs w:val="20"/>
                <w:lang w:eastAsia="sk-SK"/>
              </w:rPr>
              <w:t>pomoci v hmotnej núdzi v dôsledk</w:t>
            </w:r>
            <w:r w:rsidR="00796286">
              <w:rPr>
                <w:rFonts w:ascii="Times New Roman" w:eastAsia="Calibri" w:hAnsi="Times New Roman" w:cs="Times New Roman"/>
                <w:sz w:val="20"/>
                <w:szCs w:val="20"/>
                <w:lang w:eastAsia="sk-SK"/>
              </w:rPr>
              <w:t>u</w:t>
            </w:r>
            <w:r w:rsidR="00D77186">
              <w:rPr>
                <w:rFonts w:ascii="Times New Roman" w:eastAsia="Calibri" w:hAnsi="Times New Roman" w:cs="Times New Roman"/>
                <w:sz w:val="20"/>
                <w:szCs w:val="20"/>
                <w:lang w:eastAsia="sk-SK"/>
              </w:rPr>
              <w:t xml:space="preserve"> úprav</w:t>
            </w:r>
            <w:r w:rsidR="00147C5D">
              <w:rPr>
                <w:rFonts w:ascii="Times New Roman" w:eastAsia="Calibri" w:hAnsi="Times New Roman" w:cs="Times New Roman"/>
                <w:sz w:val="20"/>
                <w:szCs w:val="20"/>
                <w:lang w:eastAsia="sk-SK"/>
              </w:rPr>
              <w:t>y niektorých podmienok nároku na príspevky v rámci systému pomoci v hmotnej núdzi.</w:t>
            </w:r>
            <w:r w:rsidR="00D77186">
              <w:rPr>
                <w:rFonts w:ascii="Times New Roman" w:eastAsia="Calibri" w:hAnsi="Times New Roman" w:cs="Times New Roman"/>
                <w:sz w:val="20"/>
                <w:szCs w:val="20"/>
                <w:lang w:eastAsia="sk-SK"/>
              </w:rPr>
              <w:t xml:space="preserve"> </w:t>
            </w:r>
            <w:r>
              <w:rPr>
                <w:rFonts w:ascii="Times New Roman" w:eastAsia="Calibri" w:hAnsi="Times New Roman" w:cs="Times New Roman"/>
                <w:sz w:val="20"/>
                <w:szCs w:val="20"/>
                <w:lang w:eastAsia="sk-SK"/>
              </w:rPr>
              <w:t>Nakoľko ide o sociálne transfery, tieto majú priamy vplyv na príjmovú chudobu, t. j. mieru rizika chudoby, ako aj celý agregát chudoby, mieru rizika chudoby alebo sociálneho vylúčenia.</w:t>
            </w:r>
          </w:p>
        </w:tc>
      </w:tr>
      <w:tr w:rsidR="002644DE" w:rsidRPr="002644DE" w14:paraId="3FBC5709" w14:textId="77777777" w:rsidTr="00315680">
        <w:trPr>
          <w:trHeight w:val="397"/>
          <w:jc w:val="center"/>
        </w:trPr>
        <w:tc>
          <w:tcPr>
            <w:tcW w:w="128" w:type="pct"/>
            <w:vMerge w:val="restart"/>
            <w:tcBorders>
              <w:top w:val="single" w:sz="4" w:space="0" w:color="auto"/>
            </w:tcBorders>
            <w:shd w:val="clear" w:color="auto" w:fill="auto"/>
            <w:vAlign w:val="center"/>
          </w:tcPr>
          <w:p w14:paraId="180E8877"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gridSpan w:val="2"/>
            <w:tcBorders>
              <w:top w:val="single" w:sz="4" w:space="0" w:color="auto"/>
            </w:tcBorders>
            <w:shd w:val="clear" w:color="auto" w:fill="auto"/>
          </w:tcPr>
          <w:p w14:paraId="0095F2BC"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8" w:type="pct"/>
            <w:gridSpan w:val="3"/>
            <w:tcBorders>
              <w:top w:val="single" w:sz="4" w:space="0" w:color="auto"/>
            </w:tcBorders>
            <w:shd w:val="clear" w:color="auto" w:fill="auto"/>
          </w:tcPr>
          <w:p w14:paraId="138DBDF0" w14:textId="77777777" w:rsidR="002644DE" w:rsidRPr="002644DE" w:rsidRDefault="002644DE" w:rsidP="002644DE">
            <w:pPr>
              <w:spacing w:after="0" w:line="240" w:lineRule="auto"/>
              <w:rPr>
                <w:rFonts w:ascii="Times New Roman" w:eastAsia="Calibri" w:hAnsi="Times New Roman" w:cs="Times New Roman"/>
                <w:i/>
                <w:sz w:val="18"/>
                <w:szCs w:val="20"/>
                <w:lang w:eastAsia="sk-SK"/>
              </w:rPr>
            </w:pPr>
          </w:p>
        </w:tc>
      </w:tr>
      <w:tr w:rsidR="002644DE" w:rsidRPr="002644DE" w14:paraId="44A92A29" w14:textId="77777777" w:rsidTr="00315680">
        <w:trPr>
          <w:trHeight w:val="397"/>
          <w:jc w:val="center"/>
        </w:trPr>
        <w:tc>
          <w:tcPr>
            <w:tcW w:w="128" w:type="pct"/>
            <w:vMerge/>
            <w:shd w:val="clear" w:color="auto" w:fill="auto"/>
            <w:vAlign w:val="center"/>
          </w:tcPr>
          <w:p w14:paraId="3763D81D"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gridSpan w:val="2"/>
            <w:shd w:val="clear" w:color="auto" w:fill="auto"/>
          </w:tcPr>
          <w:p w14:paraId="0C66989F"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p>
        </w:tc>
        <w:tc>
          <w:tcPr>
            <w:tcW w:w="3228" w:type="pct"/>
            <w:gridSpan w:val="3"/>
            <w:tcBorders>
              <w:top w:val="dotted" w:sz="4" w:space="0" w:color="auto"/>
            </w:tcBorders>
            <w:shd w:val="clear" w:color="auto" w:fill="auto"/>
          </w:tcPr>
          <w:p w14:paraId="56F9B532"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641A3F0D" w14:textId="77777777" w:rsidTr="00315680">
        <w:trPr>
          <w:trHeight w:val="397"/>
          <w:jc w:val="center"/>
        </w:trPr>
        <w:tc>
          <w:tcPr>
            <w:tcW w:w="128" w:type="pct"/>
            <w:tcBorders>
              <w:top w:val="dotted" w:sz="4" w:space="0" w:color="auto"/>
            </w:tcBorders>
            <w:shd w:val="clear" w:color="auto" w:fill="F2F2F2"/>
            <w:vAlign w:val="center"/>
          </w:tcPr>
          <w:p w14:paraId="28C34F6C" w14:textId="77777777"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lastRenderedPageBreak/>
              <w:t>j</w:t>
            </w:r>
            <w:r w:rsidRPr="002644DE">
              <w:rPr>
                <w:rFonts w:ascii="Times New Roman" w:eastAsia="Calibri" w:hAnsi="Times New Roman" w:cs="Times New Roman"/>
                <w:sz w:val="18"/>
                <w:szCs w:val="18"/>
                <w:lang w:eastAsia="sk-SK"/>
              </w:rPr>
              <w:t>)</w:t>
            </w:r>
          </w:p>
        </w:tc>
        <w:tc>
          <w:tcPr>
            <w:tcW w:w="4869" w:type="pct"/>
            <w:gridSpan w:val="5"/>
            <w:tcBorders>
              <w:top w:val="dotted" w:sz="4" w:space="0" w:color="auto"/>
            </w:tcBorders>
            <w:shd w:val="clear" w:color="auto" w:fill="F2F2F2"/>
          </w:tcPr>
          <w:p w14:paraId="67CAA49E"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64EEE5C1" w14:textId="77777777" w:rsidTr="00315680">
        <w:trPr>
          <w:trHeight w:val="680"/>
          <w:jc w:val="center"/>
        </w:trPr>
        <w:tc>
          <w:tcPr>
            <w:tcW w:w="128" w:type="pct"/>
            <w:vMerge w:val="restart"/>
            <w:tcBorders>
              <w:top w:val="dotted" w:sz="4" w:space="0" w:color="auto"/>
            </w:tcBorders>
            <w:shd w:val="clear" w:color="auto" w:fill="auto"/>
            <w:vAlign w:val="center"/>
          </w:tcPr>
          <w:p w14:paraId="5DF1C703"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gridSpan w:val="2"/>
            <w:tcBorders>
              <w:top w:val="dotted" w:sz="4" w:space="0" w:color="auto"/>
            </w:tcBorders>
            <w:shd w:val="clear" w:color="auto" w:fill="auto"/>
          </w:tcPr>
          <w:p w14:paraId="1F6CB082"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27BC2CB7"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8" w:type="pct"/>
            <w:gridSpan w:val="3"/>
            <w:tcBorders>
              <w:top w:val="dotted" w:sz="4" w:space="0" w:color="auto"/>
            </w:tcBorders>
            <w:shd w:val="clear" w:color="auto" w:fill="auto"/>
          </w:tcPr>
          <w:p w14:paraId="790C38E0"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31D0A4B5" w14:textId="77777777" w:rsidTr="00315680">
        <w:trPr>
          <w:trHeight w:val="680"/>
          <w:jc w:val="center"/>
        </w:trPr>
        <w:tc>
          <w:tcPr>
            <w:tcW w:w="128" w:type="pct"/>
            <w:vMerge/>
            <w:shd w:val="clear" w:color="auto" w:fill="auto"/>
            <w:vAlign w:val="center"/>
          </w:tcPr>
          <w:p w14:paraId="3BF10B09"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gridSpan w:val="2"/>
            <w:shd w:val="clear" w:color="auto" w:fill="auto"/>
          </w:tcPr>
          <w:p w14:paraId="29411DA8"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p>
        </w:tc>
        <w:tc>
          <w:tcPr>
            <w:tcW w:w="3228" w:type="pct"/>
            <w:gridSpan w:val="3"/>
            <w:tcBorders>
              <w:top w:val="dotted" w:sz="4" w:space="0" w:color="auto"/>
            </w:tcBorders>
            <w:shd w:val="clear" w:color="auto" w:fill="auto"/>
          </w:tcPr>
          <w:p w14:paraId="421B7126"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4352C2D0" w14:textId="77777777" w:rsidTr="00315680">
        <w:trPr>
          <w:trHeight w:val="350"/>
          <w:jc w:val="center"/>
        </w:trPr>
        <w:tc>
          <w:tcPr>
            <w:tcW w:w="128" w:type="pct"/>
            <w:tcBorders>
              <w:top w:val="dotted" w:sz="4" w:space="0" w:color="auto"/>
              <w:bottom w:val="single" w:sz="4" w:space="0" w:color="auto"/>
            </w:tcBorders>
            <w:shd w:val="clear" w:color="auto" w:fill="auto"/>
            <w:vAlign w:val="center"/>
          </w:tcPr>
          <w:p w14:paraId="2C4B8ECB"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gridSpan w:val="2"/>
            <w:tcBorders>
              <w:top w:val="dotted" w:sz="4" w:space="0" w:color="auto"/>
              <w:bottom w:val="single" w:sz="4" w:space="0" w:color="auto"/>
            </w:tcBorders>
            <w:shd w:val="clear" w:color="auto" w:fill="auto"/>
          </w:tcPr>
          <w:p w14:paraId="69B1CFD2"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8" w:type="pct"/>
            <w:gridSpan w:val="3"/>
            <w:tcBorders>
              <w:top w:val="dotted" w:sz="4" w:space="0" w:color="auto"/>
              <w:bottom w:val="single" w:sz="4" w:space="0" w:color="auto"/>
            </w:tcBorders>
            <w:shd w:val="clear" w:color="auto" w:fill="auto"/>
          </w:tcPr>
          <w:p w14:paraId="657E8F77"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43835E90" w14:textId="77777777" w:rsidTr="00315680">
        <w:trPr>
          <w:trHeight w:val="170"/>
          <w:jc w:val="center"/>
        </w:trPr>
        <w:tc>
          <w:tcPr>
            <w:tcW w:w="128" w:type="pct"/>
            <w:tcBorders>
              <w:top w:val="single" w:sz="4" w:space="0" w:color="auto"/>
              <w:bottom w:val="single" w:sz="4" w:space="0" w:color="auto"/>
            </w:tcBorders>
            <w:shd w:val="clear" w:color="auto" w:fill="DDDDDD"/>
            <w:vAlign w:val="center"/>
          </w:tcPr>
          <w:p w14:paraId="590885B2"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69" w:type="pct"/>
            <w:gridSpan w:val="5"/>
            <w:tcBorders>
              <w:top w:val="single" w:sz="4" w:space="0" w:color="auto"/>
              <w:bottom w:val="single" w:sz="4" w:space="0" w:color="auto"/>
            </w:tcBorders>
            <w:shd w:val="clear" w:color="auto" w:fill="DDDDDD"/>
            <w:vAlign w:val="center"/>
          </w:tcPr>
          <w:p w14:paraId="36FDD93A" w14:textId="77777777" w:rsidR="002644DE" w:rsidRPr="002644DE" w:rsidRDefault="002644DE" w:rsidP="002644DE">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2644DE" w:rsidRPr="002644DE" w14:paraId="1A982766" w14:textId="77777777" w:rsidTr="00315680">
        <w:trPr>
          <w:trHeight w:val="759"/>
          <w:jc w:val="center"/>
        </w:trPr>
        <w:tc>
          <w:tcPr>
            <w:tcW w:w="128" w:type="pct"/>
            <w:tcBorders>
              <w:top w:val="single" w:sz="4" w:space="0" w:color="auto"/>
              <w:bottom w:val="single" w:sz="4" w:space="0" w:color="auto"/>
            </w:tcBorders>
            <w:shd w:val="clear" w:color="auto" w:fill="auto"/>
            <w:vAlign w:val="center"/>
          </w:tcPr>
          <w:p w14:paraId="21CF81A5" w14:textId="77777777"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14:paraId="30AD6DC9" w14:textId="77777777" w:rsidR="002644DE" w:rsidRPr="002644DE" w:rsidRDefault="002644DE" w:rsidP="002644DE">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gridSpan w:val="2"/>
            <w:tcBorders>
              <w:top w:val="single" w:sz="4" w:space="0" w:color="auto"/>
              <w:bottom w:val="single" w:sz="4" w:space="0" w:color="auto"/>
            </w:tcBorders>
            <w:shd w:val="clear" w:color="auto" w:fill="auto"/>
            <w:vAlign w:val="center"/>
          </w:tcPr>
          <w:p w14:paraId="08597F81"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8" w:type="pct"/>
            <w:gridSpan w:val="3"/>
            <w:tcBorders>
              <w:top w:val="single" w:sz="4" w:space="0" w:color="auto"/>
              <w:bottom w:val="single" w:sz="4" w:space="0" w:color="auto"/>
            </w:tcBorders>
            <w:shd w:val="clear" w:color="auto" w:fill="auto"/>
          </w:tcPr>
          <w:p w14:paraId="4D625056" w14:textId="5C68F3A0" w:rsidR="00161BFE" w:rsidRPr="001C1404" w:rsidRDefault="00161BFE" w:rsidP="003178C1">
            <w:pPr>
              <w:pStyle w:val="Odsekzoznamu"/>
              <w:spacing w:after="0" w:line="240" w:lineRule="auto"/>
              <w:jc w:val="both"/>
              <w:rPr>
                <w:rFonts w:ascii="Times New Roman" w:eastAsia="Calibri" w:hAnsi="Times New Roman" w:cs="Times New Roman"/>
                <w:sz w:val="20"/>
                <w:szCs w:val="20"/>
                <w:lang w:eastAsia="sk-SK"/>
              </w:rPr>
            </w:pPr>
          </w:p>
          <w:p w14:paraId="207F611D" w14:textId="77777777" w:rsidR="002644DE" w:rsidRDefault="00147C5D" w:rsidP="00315680">
            <w:pPr>
              <w:shd w:val="clear" w:color="auto" w:fill="FFFFFF"/>
              <w:spacing w:after="0" w:line="276" w:lineRule="auto"/>
              <w:jc w:val="both"/>
              <w:rPr>
                <w:rFonts w:ascii="Times New Roman" w:eastAsia="Calibri" w:hAnsi="Times New Roman" w:cs="Times New Roman"/>
                <w:sz w:val="20"/>
                <w:szCs w:val="20"/>
                <w:lang w:eastAsia="sk-SK"/>
              </w:rPr>
            </w:pPr>
            <w:r w:rsidRPr="001C1404">
              <w:rPr>
                <w:rFonts w:ascii="Times New Roman" w:eastAsia="Calibri" w:hAnsi="Times New Roman" w:cs="Times New Roman"/>
                <w:sz w:val="20"/>
                <w:szCs w:val="20"/>
                <w:lang w:eastAsia="sk-SK"/>
              </w:rPr>
              <w:t xml:space="preserve">Započítavanie daňového bonusu za príjem na účely posúdenia, ako aj poskytnutia pomoci v hmotnej núdzi, nakoľko došlo k jeho zvýšeniu a zároveň umožnenie jeho získania najmä u osôb, ktoré majú minimálny príjem, ktorým si nemôžu zabezpečiť základné životné podmienky.  </w:t>
            </w:r>
            <w:r w:rsidR="00534D7F" w:rsidRPr="001C1404">
              <w:rPr>
                <w:rFonts w:ascii="Times New Roman" w:eastAsia="Calibri" w:hAnsi="Times New Roman" w:cs="Times New Roman"/>
                <w:sz w:val="20"/>
                <w:szCs w:val="20"/>
                <w:lang w:eastAsia="sk-SK"/>
              </w:rPr>
              <w:t xml:space="preserve">Navrhuje sa, aby nárok na aktivačný príspevok nevznikol členovi domácnosti, ktorý má príjem zo závislej činnosti, a to s ohľadom na skutočnosť, že podpora zamestnaných členov domácnosti je riešená v rámci iných systémov zameraných na podporu a motiváciu pracovať a udržať si zamestnanie (služby zamestnanosti, daňové úľavy). V tomto prípade je však  zavedené prechodné ustanovenie na poberanie tohto aktivačného príspevku ešte ďalších 12 mesiacov od </w:t>
            </w:r>
            <w:r w:rsidR="00315680" w:rsidRPr="001C1404">
              <w:rPr>
                <w:rFonts w:ascii="Times New Roman" w:eastAsia="Calibri" w:hAnsi="Times New Roman" w:cs="Times New Roman"/>
                <w:sz w:val="20"/>
                <w:szCs w:val="20"/>
                <w:lang w:eastAsia="sk-SK"/>
              </w:rPr>
              <w:t>účinnosti novely zákona.</w:t>
            </w:r>
          </w:p>
          <w:p w14:paraId="6C7D3647" w14:textId="0271270C" w:rsidR="00510015" w:rsidRPr="002E3124" w:rsidRDefault="00510015" w:rsidP="002E3124">
            <w:pPr>
              <w:shd w:val="clear" w:color="auto" w:fill="FFFFFF"/>
              <w:spacing w:after="0" w:line="240" w:lineRule="auto"/>
              <w:jc w:val="both"/>
              <w:rPr>
                <w:rFonts w:ascii="Times New Roman" w:eastAsia="Calibri" w:hAnsi="Times New Roman" w:cs="Times New Roman"/>
                <w:sz w:val="20"/>
                <w:szCs w:val="20"/>
                <w:lang w:eastAsia="sk-SK"/>
              </w:rPr>
            </w:pPr>
            <w:r w:rsidRPr="002E3124">
              <w:rPr>
                <w:rFonts w:ascii="Times New Roman" w:eastAsia="Calibri" w:hAnsi="Times New Roman" w:cs="Times New Roman"/>
                <w:sz w:val="20"/>
                <w:szCs w:val="20"/>
              </w:rPr>
              <w:t>Negatívny vplyv vypustenia osobitného príspevku zo systému pomoci v hmotnej núdzi môže vzniknúť u tých osôb, ktoré</w:t>
            </w:r>
            <w:r w:rsidR="002E3124">
              <w:rPr>
                <w:rFonts w:ascii="Times New Roman" w:eastAsia="Calibri" w:hAnsi="Times New Roman" w:cs="Times New Roman"/>
                <w:sz w:val="20"/>
                <w:szCs w:val="20"/>
              </w:rPr>
              <w:t xml:space="preserve"> </w:t>
            </w:r>
            <w:r w:rsidRPr="002E3124">
              <w:rPr>
                <w:rFonts w:ascii="Times New Roman" w:eastAsia="Calibri" w:hAnsi="Times New Roman" w:cs="Times New Roman"/>
                <w:sz w:val="20"/>
                <w:szCs w:val="20"/>
              </w:rPr>
              <w:t>boli dlhodobo neaktívne v systéme pomoci v hmotnej núdzi a zamestnali sa, nakoľko táto skupina nebude môcť by</w:t>
            </w:r>
            <w:r w:rsidR="002E3124" w:rsidRPr="002E3124">
              <w:rPr>
                <w:rFonts w:ascii="Times New Roman" w:eastAsia="Calibri" w:hAnsi="Times New Roman" w:cs="Times New Roman"/>
                <w:sz w:val="20"/>
                <w:szCs w:val="20"/>
              </w:rPr>
              <w:t>ť</w:t>
            </w:r>
            <w:r w:rsidRPr="002E3124">
              <w:rPr>
                <w:rFonts w:ascii="Times New Roman" w:eastAsia="Calibri" w:hAnsi="Times New Roman" w:cs="Times New Roman"/>
                <w:sz w:val="20"/>
                <w:szCs w:val="20"/>
              </w:rPr>
              <w:t xml:space="preserve"> riešená prostredníctvom projektov a programov na</w:t>
            </w:r>
            <w:r w:rsidR="002E3124" w:rsidRPr="002E3124">
              <w:rPr>
                <w:rFonts w:ascii="Times New Roman" w:eastAsia="Calibri" w:hAnsi="Times New Roman" w:cs="Times New Roman"/>
                <w:sz w:val="20"/>
                <w:szCs w:val="20"/>
                <w:lang w:eastAsia="sk-SK"/>
              </w:rPr>
              <w:t xml:space="preserve"> </w:t>
            </w:r>
            <w:r w:rsidRPr="002E3124">
              <w:rPr>
                <w:rFonts w:ascii="Times New Roman" w:eastAsia="Calibri" w:hAnsi="Times New Roman" w:cs="Times New Roman"/>
                <w:sz w:val="20"/>
                <w:szCs w:val="20"/>
                <w:lang w:eastAsia="sk-SK"/>
              </w:rPr>
              <w:t xml:space="preserve">podporu opätovného začlenenia a udržania znevýhodneného uchádzača o zamestnanie, ktorý bol členom domácnosti, ktorej sa poskytuje pomoc v hmotnej núdzi na trhu práce práve z dôvodu, že nejde o uchádzačov o zamestnanie.   </w:t>
            </w:r>
          </w:p>
        </w:tc>
      </w:tr>
      <w:tr w:rsidR="002644DE" w:rsidRPr="002644DE" w14:paraId="0F8520F7" w14:textId="77777777" w:rsidTr="00315680">
        <w:trPr>
          <w:trHeight w:val="397"/>
          <w:jc w:val="center"/>
        </w:trPr>
        <w:tc>
          <w:tcPr>
            <w:tcW w:w="128" w:type="pct"/>
            <w:vMerge w:val="restart"/>
            <w:tcBorders>
              <w:top w:val="single" w:sz="4" w:space="0" w:color="auto"/>
            </w:tcBorders>
            <w:shd w:val="clear" w:color="auto" w:fill="auto"/>
            <w:vAlign w:val="center"/>
          </w:tcPr>
          <w:p w14:paraId="5A2C3338" w14:textId="522264DF"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gridSpan w:val="2"/>
            <w:tcBorders>
              <w:top w:val="single" w:sz="4" w:space="0" w:color="auto"/>
            </w:tcBorders>
            <w:shd w:val="clear" w:color="auto" w:fill="auto"/>
          </w:tcPr>
          <w:p w14:paraId="6CB5C9E7"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8" w:type="pct"/>
            <w:gridSpan w:val="3"/>
            <w:tcBorders>
              <w:top w:val="single" w:sz="4" w:space="0" w:color="auto"/>
            </w:tcBorders>
            <w:shd w:val="clear" w:color="auto" w:fill="auto"/>
          </w:tcPr>
          <w:p w14:paraId="150F859A" w14:textId="257B5F29" w:rsidR="002644DE" w:rsidRPr="00161BFE" w:rsidRDefault="002644DE" w:rsidP="009F0A81">
            <w:pPr>
              <w:spacing w:after="0" w:line="240" w:lineRule="auto"/>
              <w:jc w:val="both"/>
              <w:rPr>
                <w:rFonts w:ascii="Times New Roman" w:hAnsi="Times New Roman"/>
                <w:sz w:val="20"/>
                <w:szCs w:val="20"/>
                <w:lang w:eastAsia="sk-SK"/>
              </w:rPr>
            </w:pPr>
          </w:p>
        </w:tc>
      </w:tr>
      <w:tr w:rsidR="002644DE" w:rsidRPr="002644DE" w14:paraId="2FF0A667" w14:textId="77777777" w:rsidTr="00315680">
        <w:trPr>
          <w:trHeight w:val="397"/>
          <w:jc w:val="center"/>
        </w:trPr>
        <w:tc>
          <w:tcPr>
            <w:tcW w:w="128" w:type="pct"/>
            <w:vMerge/>
            <w:tcBorders>
              <w:bottom w:val="single" w:sz="4" w:space="0" w:color="auto"/>
            </w:tcBorders>
            <w:shd w:val="clear" w:color="auto" w:fill="auto"/>
            <w:vAlign w:val="center"/>
          </w:tcPr>
          <w:p w14:paraId="014E6A2B" w14:textId="39CD16EE"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gridSpan w:val="2"/>
            <w:tcBorders>
              <w:bottom w:val="single" w:sz="4" w:space="0" w:color="auto"/>
            </w:tcBorders>
            <w:shd w:val="clear" w:color="auto" w:fill="auto"/>
          </w:tcPr>
          <w:p w14:paraId="384B9D35"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p>
        </w:tc>
        <w:tc>
          <w:tcPr>
            <w:tcW w:w="3228" w:type="pct"/>
            <w:gridSpan w:val="3"/>
            <w:tcBorders>
              <w:top w:val="dotted" w:sz="4" w:space="0" w:color="auto"/>
              <w:bottom w:val="single" w:sz="4" w:space="0" w:color="auto"/>
            </w:tcBorders>
            <w:shd w:val="clear" w:color="auto" w:fill="auto"/>
          </w:tcPr>
          <w:p w14:paraId="47DACCD3"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19FB7286" w14:textId="77777777" w:rsidTr="00315680">
        <w:trPr>
          <w:trHeight w:val="397"/>
          <w:jc w:val="center"/>
        </w:trPr>
        <w:tc>
          <w:tcPr>
            <w:tcW w:w="128" w:type="pct"/>
            <w:tcBorders>
              <w:top w:val="single" w:sz="4" w:space="0" w:color="auto"/>
            </w:tcBorders>
            <w:shd w:val="clear" w:color="auto" w:fill="F2F2F2"/>
            <w:vAlign w:val="center"/>
          </w:tcPr>
          <w:p w14:paraId="3E2C7889"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69" w:type="pct"/>
            <w:gridSpan w:val="5"/>
            <w:tcBorders>
              <w:top w:val="single" w:sz="4" w:space="0" w:color="auto"/>
            </w:tcBorders>
            <w:shd w:val="clear" w:color="auto" w:fill="F2F2F2"/>
            <w:vAlign w:val="center"/>
          </w:tcPr>
          <w:p w14:paraId="4B1905AC"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322B0159" w14:textId="77777777" w:rsidTr="00315680">
        <w:trPr>
          <w:trHeight w:val="680"/>
          <w:jc w:val="center"/>
        </w:trPr>
        <w:tc>
          <w:tcPr>
            <w:tcW w:w="128" w:type="pct"/>
            <w:vMerge w:val="restart"/>
            <w:tcBorders>
              <w:top w:val="dotted" w:sz="4" w:space="0" w:color="auto"/>
            </w:tcBorders>
            <w:shd w:val="clear" w:color="auto" w:fill="auto"/>
            <w:vAlign w:val="center"/>
          </w:tcPr>
          <w:p w14:paraId="5E654CC1"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gridSpan w:val="2"/>
            <w:tcBorders>
              <w:top w:val="dotted" w:sz="4" w:space="0" w:color="auto"/>
            </w:tcBorders>
            <w:shd w:val="clear" w:color="auto" w:fill="auto"/>
          </w:tcPr>
          <w:p w14:paraId="6F3E6C4A"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48CD4D77"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8" w:type="pct"/>
            <w:gridSpan w:val="3"/>
            <w:tcBorders>
              <w:top w:val="dotted" w:sz="4" w:space="0" w:color="auto"/>
            </w:tcBorders>
            <w:shd w:val="clear" w:color="auto" w:fill="auto"/>
          </w:tcPr>
          <w:p w14:paraId="0721AE5E" w14:textId="008E81CE" w:rsidR="002644DE" w:rsidRPr="00333C3A" w:rsidRDefault="00534D7F" w:rsidP="000776AE">
            <w:pPr>
              <w:spacing w:after="0" w:line="240" w:lineRule="auto"/>
              <w:jc w:val="both"/>
              <w:rPr>
                <w:rFonts w:ascii="Times New Roman" w:hAnsi="Times New Roman"/>
                <w:sz w:val="20"/>
                <w:szCs w:val="20"/>
                <w:lang w:eastAsia="sk-SK"/>
              </w:rPr>
            </w:pPr>
            <w:r>
              <w:rPr>
                <w:rFonts w:ascii="Times New Roman" w:hAnsi="Times New Roman"/>
                <w:sz w:val="20"/>
                <w:szCs w:val="20"/>
                <w:lang w:eastAsia="sk-SK"/>
              </w:rPr>
              <w:t>Priemerné mesačne je v systéme pomoci v hmotnej núdzi v roku 2022 vyše 300 členov domácností, ktorý majú príjem minimálne na úrovni minimálnej mzdy</w:t>
            </w:r>
            <w:r w:rsidR="00BB33B7">
              <w:rPr>
                <w:rFonts w:ascii="Times New Roman" w:hAnsi="Times New Roman"/>
                <w:sz w:val="20"/>
                <w:szCs w:val="20"/>
                <w:lang w:eastAsia="sk-SK"/>
              </w:rPr>
              <w:t xml:space="preserve">. </w:t>
            </w:r>
          </w:p>
        </w:tc>
      </w:tr>
      <w:tr w:rsidR="002644DE" w:rsidRPr="002644DE" w14:paraId="3EBBB9CF" w14:textId="77777777" w:rsidTr="00315680">
        <w:trPr>
          <w:trHeight w:val="680"/>
          <w:jc w:val="center"/>
        </w:trPr>
        <w:tc>
          <w:tcPr>
            <w:tcW w:w="128" w:type="pct"/>
            <w:vMerge/>
            <w:shd w:val="clear" w:color="auto" w:fill="auto"/>
            <w:vAlign w:val="center"/>
          </w:tcPr>
          <w:p w14:paraId="36DF8BD3"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gridSpan w:val="2"/>
            <w:shd w:val="clear" w:color="auto" w:fill="auto"/>
          </w:tcPr>
          <w:p w14:paraId="3903E4FC"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p>
        </w:tc>
        <w:tc>
          <w:tcPr>
            <w:tcW w:w="3228" w:type="pct"/>
            <w:gridSpan w:val="3"/>
            <w:tcBorders>
              <w:top w:val="dotted" w:sz="4" w:space="0" w:color="auto"/>
            </w:tcBorders>
            <w:shd w:val="clear" w:color="auto" w:fill="auto"/>
          </w:tcPr>
          <w:p w14:paraId="65746E63" w14:textId="34753585" w:rsidR="002644DE" w:rsidRPr="002644DE" w:rsidRDefault="002644DE" w:rsidP="00895C70">
            <w:pPr>
              <w:spacing w:after="0" w:line="240" w:lineRule="auto"/>
              <w:rPr>
                <w:rFonts w:ascii="Times New Roman" w:eastAsia="Calibri" w:hAnsi="Times New Roman" w:cs="Times New Roman"/>
                <w:sz w:val="20"/>
                <w:szCs w:val="20"/>
                <w:lang w:eastAsia="sk-SK"/>
              </w:rPr>
            </w:pPr>
          </w:p>
        </w:tc>
      </w:tr>
      <w:tr w:rsidR="002644DE" w:rsidRPr="002644DE" w14:paraId="31BD2D67" w14:textId="77777777" w:rsidTr="00315680">
        <w:trPr>
          <w:trHeight w:val="397"/>
          <w:jc w:val="center"/>
        </w:trPr>
        <w:tc>
          <w:tcPr>
            <w:tcW w:w="128" w:type="pct"/>
            <w:tcBorders>
              <w:top w:val="dotted" w:sz="4" w:space="0" w:color="auto"/>
            </w:tcBorders>
            <w:shd w:val="clear" w:color="auto" w:fill="auto"/>
            <w:vAlign w:val="center"/>
          </w:tcPr>
          <w:p w14:paraId="42D41EF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gridSpan w:val="2"/>
            <w:tcBorders>
              <w:top w:val="dotted" w:sz="4" w:space="0" w:color="auto"/>
            </w:tcBorders>
            <w:shd w:val="clear" w:color="auto" w:fill="auto"/>
          </w:tcPr>
          <w:p w14:paraId="5EB5426C"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8" w:type="pct"/>
            <w:gridSpan w:val="3"/>
            <w:tcBorders>
              <w:top w:val="dotted" w:sz="4" w:space="0" w:color="auto"/>
            </w:tcBorders>
            <w:shd w:val="clear" w:color="auto" w:fill="auto"/>
          </w:tcPr>
          <w:p w14:paraId="6AC20EC3" w14:textId="6CF8F74F"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35758713" w14:textId="77777777" w:rsidTr="00315680">
        <w:trPr>
          <w:trHeight w:val="227"/>
          <w:jc w:val="center"/>
        </w:trPr>
        <w:tc>
          <w:tcPr>
            <w:tcW w:w="128" w:type="pct"/>
            <w:tcBorders>
              <w:top w:val="nil"/>
              <w:bottom w:val="single" w:sz="4" w:space="0" w:color="auto"/>
            </w:tcBorders>
            <w:shd w:val="clear" w:color="auto" w:fill="F2F2F2"/>
            <w:vAlign w:val="center"/>
          </w:tcPr>
          <w:p w14:paraId="418384BC"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69" w:type="pct"/>
            <w:gridSpan w:val="5"/>
            <w:tcBorders>
              <w:top w:val="nil"/>
              <w:bottom w:val="single" w:sz="4" w:space="0" w:color="auto"/>
            </w:tcBorders>
            <w:shd w:val="clear" w:color="auto" w:fill="F2F2F2"/>
          </w:tcPr>
          <w:p w14:paraId="6D88029A"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14:paraId="15D8B3C7" w14:textId="77777777"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2644DE" w:rsidRPr="002644DE" w14:paraId="0C526E5C" w14:textId="77777777" w:rsidTr="00315680">
        <w:trPr>
          <w:trHeight w:val="759"/>
          <w:jc w:val="center"/>
        </w:trPr>
        <w:tc>
          <w:tcPr>
            <w:tcW w:w="128" w:type="pct"/>
            <w:tcBorders>
              <w:top w:val="single" w:sz="4" w:space="0" w:color="auto"/>
              <w:bottom w:val="single" w:sz="4" w:space="0" w:color="auto"/>
            </w:tcBorders>
            <w:shd w:val="clear" w:color="auto" w:fill="auto"/>
            <w:vAlign w:val="center"/>
          </w:tcPr>
          <w:p w14:paraId="78CBBD10"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gridSpan w:val="2"/>
            <w:tcBorders>
              <w:top w:val="single" w:sz="4" w:space="0" w:color="auto"/>
              <w:bottom w:val="single" w:sz="4" w:space="0" w:color="auto"/>
            </w:tcBorders>
            <w:shd w:val="clear" w:color="auto" w:fill="auto"/>
          </w:tcPr>
          <w:p w14:paraId="3B2114DC"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8" w:type="pct"/>
            <w:gridSpan w:val="3"/>
            <w:tcBorders>
              <w:top w:val="single" w:sz="4" w:space="0" w:color="auto"/>
              <w:bottom w:val="single" w:sz="4" w:space="0" w:color="auto"/>
            </w:tcBorders>
            <w:shd w:val="clear" w:color="auto" w:fill="auto"/>
          </w:tcPr>
          <w:p w14:paraId="7F2A141C"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140D8EAB" w14:textId="77777777" w:rsidTr="00315680">
        <w:trPr>
          <w:trHeight w:val="397"/>
          <w:jc w:val="center"/>
        </w:trPr>
        <w:tc>
          <w:tcPr>
            <w:tcW w:w="128" w:type="pct"/>
            <w:vMerge w:val="restart"/>
            <w:tcBorders>
              <w:top w:val="single" w:sz="4" w:space="0" w:color="auto"/>
            </w:tcBorders>
            <w:shd w:val="clear" w:color="auto" w:fill="auto"/>
            <w:vAlign w:val="center"/>
          </w:tcPr>
          <w:p w14:paraId="51608062"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gridSpan w:val="2"/>
            <w:tcBorders>
              <w:top w:val="single" w:sz="4" w:space="0" w:color="auto"/>
            </w:tcBorders>
            <w:shd w:val="clear" w:color="auto" w:fill="auto"/>
          </w:tcPr>
          <w:p w14:paraId="7E2A1BF2"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8" w:type="pct"/>
            <w:gridSpan w:val="3"/>
            <w:tcBorders>
              <w:top w:val="single" w:sz="4" w:space="0" w:color="auto"/>
            </w:tcBorders>
            <w:shd w:val="clear" w:color="auto" w:fill="auto"/>
          </w:tcPr>
          <w:p w14:paraId="307F05C8" w14:textId="77777777" w:rsidR="002644DE" w:rsidRPr="002644DE" w:rsidRDefault="002644DE" w:rsidP="002644DE">
            <w:pPr>
              <w:spacing w:after="0" w:line="240" w:lineRule="auto"/>
              <w:rPr>
                <w:rFonts w:ascii="Times New Roman" w:eastAsia="Calibri" w:hAnsi="Times New Roman" w:cs="Times New Roman"/>
                <w:i/>
                <w:sz w:val="18"/>
                <w:szCs w:val="20"/>
                <w:lang w:eastAsia="sk-SK"/>
              </w:rPr>
            </w:pPr>
          </w:p>
        </w:tc>
      </w:tr>
      <w:tr w:rsidR="002644DE" w:rsidRPr="002644DE" w14:paraId="60F501CD" w14:textId="77777777" w:rsidTr="00315680">
        <w:trPr>
          <w:trHeight w:val="397"/>
          <w:jc w:val="center"/>
        </w:trPr>
        <w:tc>
          <w:tcPr>
            <w:tcW w:w="128" w:type="pct"/>
            <w:vMerge/>
            <w:shd w:val="clear" w:color="auto" w:fill="auto"/>
            <w:vAlign w:val="center"/>
          </w:tcPr>
          <w:p w14:paraId="6726F4C2"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gridSpan w:val="2"/>
            <w:shd w:val="clear" w:color="auto" w:fill="auto"/>
          </w:tcPr>
          <w:p w14:paraId="5C88B0FC"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p>
        </w:tc>
        <w:tc>
          <w:tcPr>
            <w:tcW w:w="3228" w:type="pct"/>
            <w:gridSpan w:val="3"/>
            <w:tcBorders>
              <w:top w:val="dotted" w:sz="4" w:space="0" w:color="auto"/>
            </w:tcBorders>
            <w:shd w:val="clear" w:color="auto" w:fill="auto"/>
          </w:tcPr>
          <w:p w14:paraId="02FA8CB7"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4B6F777F" w14:textId="77777777" w:rsidTr="00315680">
        <w:trPr>
          <w:trHeight w:val="454"/>
          <w:jc w:val="center"/>
        </w:trPr>
        <w:tc>
          <w:tcPr>
            <w:tcW w:w="128" w:type="pct"/>
            <w:tcBorders>
              <w:top w:val="dotted" w:sz="4" w:space="0" w:color="auto"/>
            </w:tcBorders>
            <w:shd w:val="clear" w:color="auto" w:fill="F2F2F2"/>
            <w:vAlign w:val="center"/>
          </w:tcPr>
          <w:p w14:paraId="3252ED98" w14:textId="77777777"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69" w:type="pct"/>
            <w:gridSpan w:val="5"/>
            <w:tcBorders>
              <w:top w:val="dotted" w:sz="4" w:space="0" w:color="auto"/>
            </w:tcBorders>
            <w:shd w:val="clear" w:color="auto" w:fill="F2F2F2"/>
            <w:vAlign w:val="center"/>
          </w:tcPr>
          <w:p w14:paraId="32719BB7"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66117C28" w14:textId="77777777" w:rsidTr="00315680">
        <w:trPr>
          <w:trHeight w:val="680"/>
          <w:jc w:val="center"/>
        </w:trPr>
        <w:tc>
          <w:tcPr>
            <w:tcW w:w="128" w:type="pct"/>
            <w:vMerge w:val="restart"/>
            <w:tcBorders>
              <w:top w:val="dotted" w:sz="4" w:space="0" w:color="auto"/>
            </w:tcBorders>
            <w:shd w:val="clear" w:color="auto" w:fill="auto"/>
            <w:vAlign w:val="center"/>
          </w:tcPr>
          <w:p w14:paraId="0E482FF0"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gridSpan w:val="2"/>
            <w:tcBorders>
              <w:top w:val="dotted" w:sz="4" w:space="0" w:color="auto"/>
            </w:tcBorders>
            <w:shd w:val="clear" w:color="auto" w:fill="auto"/>
          </w:tcPr>
          <w:p w14:paraId="0263B3C7"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45F48580"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lastRenderedPageBreak/>
              <w:t>veľkosť skupiny (počet obyvateľov):</w:t>
            </w:r>
          </w:p>
        </w:tc>
        <w:tc>
          <w:tcPr>
            <w:tcW w:w="3228" w:type="pct"/>
            <w:gridSpan w:val="3"/>
            <w:tcBorders>
              <w:top w:val="dotted" w:sz="4" w:space="0" w:color="auto"/>
            </w:tcBorders>
            <w:shd w:val="clear" w:color="auto" w:fill="auto"/>
          </w:tcPr>
          <w:p w14:paraId="50B25FC9"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21734EC9" w14:textId="77777777" w:rsidTr="00315680">
        <w:trPr>
          <w:trHeight w:val="680"/>
          <w:jc w:val="center"/>
        </w:trPr>
        <w:tc>
          <w:tcPr>
            <w:tcW w:w="128" w:type="pct"/>
            <w:vMerge/>
            <w:shd w:val="clear" w:color="auto" w:fill="auto"/>
            <w:vAlign w:val="center"/>
          </w:tcPr>
          <w:p w14:paraId="47D4F814"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gridSpan w:val="2"/>
            <w:shd w:val="clear" w:color="auto" w:fill="auto"/>
          </w:tcPr>
          <w:p w14:paraId="503DE02C"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p>
        </w:tc>
        <w:tc>
          <w:tcPr>
            <w:tcW w:w="3228" w:type="pct"/>
            <w:gridSpan w:val="3"/>
            <w:tcBorders>
              <w:top w:val="dotted" w:sz="4" w:space="0" w:color="auto"/>
            </w:tcBorders>
            <w:shd w:val="clear" w:color="auto" w:fill="auto"/>
          </w:tcPr>
          <w:p w14:paraId="70CDC7B5"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77C73140" w14:textId="77777777" w:rsidTr="00315680">
        <w:trPr>
          <w:trHeight w:val="454"/>
          <w:jc w:val="center"/>
        </w:trPr>
        <w:tc>
          <w:tcPr>
            <w:tcW w:w="128" w:type="pct"/>
            <w:tcBorders>
              <w:top w:val="dotted" w:sz="4" w:space="0" w:color="auto"/>
              <w:bottom w:val="single" w:sz="4" w:space="0" w:color="auto"/>
            </w:tcBorders>
            <w:shd w:val="clear" w:color="auto" w:fill="auto"/>
            <w:vAlign w:val="center"/>
          </w:tcPr>
          <w:p w14:paraId="5FA23B60"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gridSpan w:val="2"/>
            <w:tcBorders>
              <w:top w:val="dotted" w:sz="4" w:space="0" w:color="auto"/>
              <w:bottom w:val="single" w:sz="4" w:space="0" w:color="auto"/>
            </w:tcBorders>
            <w:shd w:val="clear" w:color="auto" w:fill="auto"/>
          </w:tcPr>
          <w:p w14:paraId="6DCCC137"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8" w:type="pct"/>
            <w:gridSpan w:val="3"/>
            <w:tcBorders>
              <w:top w:val="dotted" w:sz="4" w:space="0" w:color="auto"/>
              <w:bottom w:val="single" w:sz="4" w:space="0" w:color="auto"/>
            </w:tcBorders>
            <w:shd w:val="clear" w:color="auto" w:fill="auto"/>
          </w:tcPr>
          <w:p w14:paraId="631D5809"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3D4BC0F7" w14:textId="77777777" w:rsidTr="00315680">
        <w:tblPrEx>
          <w:tblCellMar>
            <w:top w:w="28" w:type="dxa"/>
            <w:left w:w="91" w:type="dxa"/>
            <w:right w:w="91" w:type="dxa"/>
          </w:tblCellMar>
        </w:tblPrEx>
        <w:trPr>
          <w:trHeight w:val="339"/>
          <w:jc w:val="center"/>
        </w:trPr>
        <w:tc>
          <w:tcPr>
            <w:tcW w:w="5000" w:type="pct"/>
            <w:gridSpan w:val="6"/>
            <w:tcBorders>
              <w:bottom w:val="single" w:sz="4" w:space="0" w:color="auto"/>
            </w:tcBorders>
            <w:shd w:val="clear" w:color="auto" w:fill="D9D9D9"/>
          </w:tcPr>
          <w:p w14:paraId="2D44A3C6" w14:textId="77777777"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t>4.2 Identifikujte, popíšte a kvantifikujte vplyvy na prístup k zdrojom, právam, tovarom a službám u jednotlivých ovplyvnených skupín obyvateľstva a vplyv na sociálnu inklúziu.</w:t>
            </w:r>
          </w:p>
        </w:tc>
      </w:tr>
      <w:tr w:rsidR="002644DE" w:rsidRPr="002644DE" w14:paraId="3F325ECE" w14:textId="77777777" w:rsidTr="00315680">
        <w:tblPrEx>
          <w:tblCellMar>
            <w:top w:w="28" w:type="dxa"/>
            <w:left w:w="91" w:type="dxa"/>
            <w:right w:w="91" w:type="dxa"/>
          </w:tblCellMar>
        </w:tblPrEx>
        <w:trPr>
          <w:trHeight w:val="290"/>
          <w:jc w:val="center"/>
        </w:trPr>
        <w:tc>
          <w:tcPr>
            <w:tcW w:w="5000" w:type="pct"/>
            <w:gridSpan w:val="6"/>
            <w:tcBorders>
              <w:bottom w:val="single" w:sz="4" w:space="0" w:color="auto"/>
            </w:tcBorders>
            <w:shd w:val="clear" w:color="auto" w:fill="F2F2F2"/>
            <w:vAlign w:val="center"/>
          </w:tcPr>
          <w:p w14:paraId="1E369C00" w14:textId="77777777"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14:paraId="300B5E6E" w14:textId="77777777"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14:paraId="4552DEE9" w14:textId="77777777" w:rsidTr="00315680">
        <w:tblPrEx>
          <w:tblBorders>
            <w:top w:val="none" w:sz="0" w:space="0" w:color="auto"/>
            <w:bottom w:val="none" w:sz="0" w:space="0" w:color="auto"/>
          </w:tblBorders>
          <w:tblCellMar>
            <w:top w:w="28" w:type="dxa"/>
            <w:left w:w="91" w:type="dxa"/>
            <w:right w:w="91" w:type="dxa"/>
          </w:tblCellMar>
        </w:tblPrEx>
        <w:trPr>
          <w:trHeight w:val="557"/>
          <w:jc w:val="center"/>
        </w:trPr>
        <w:tc>
          <w:tcPr>
            <w:tcW w:w="180" w:type="pct"/>
            <w:gridSpan w:val="2"/>
            <w:shd w:val="clear" w:color="auto" w:fill="auto"/>
            <w:vAlign w:val="center"/>
          </w:tcPr>
          <w:p w14:paraId="0A6BCB32"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3"/>
            <w:shd w:val="clear" w:color="auto" w:fill="auto"/>
          </w:tcPr>
          <w:p w14:paraId="645F0624"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14:paraId="2C7B9023"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1B554843"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31C1F900"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14:paraId="797A337D"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60162EFB"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4E1534AA"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14:paraId="1E9243AA"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14:paraId="6C3A856E"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14:paraId="1C1DC167"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14:paraId="3C914A62"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14:paraId="2CDF73C2"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14:paraId="1368B15F" w14:textId="77777777"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7" w:type="pct"/>
            <w:shd w:val="clear" w:color="auto" w:fill="auto"/>
          </w:tcPr>
          <w:p w14:paraId="32693F76"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p w14:paraId="0AB46351" w14:textId="77777777" w:rsidR="002644DE" w:rsidRPr="002644DE" w:rsidRDefault="00B572A8"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tc>
      </w:tr>
      <w:tr w:rsidR="002644DE" w:rsidRPr="002644DE" w14:paraId="42C5520D" w14:textId="77777777" w:rsidTr="00315680">
        <w:tblPrEx>
          <w:tblCellMar>
            <w:top w:w="28" w:type="dxa"/>
            <w:left w:w="91" w:type="dxa"/>
            <w:right w:w="91" w:type="dxa"/>
          </w:tblCellMar>
        </w:tblPrEx>
        <w:trPr>
          <w:jc w:val="center"/>
        </w:trPr>
        <w:tc>
          <w:tcPr>
            <w:tcW w:w="180" w:type="pct"/>
            <w:gridSpan w:val="2"/>
            <w:tcBorders>
              <w:bottom w:val="single" w:sz="4" w:space="0" w:color="auto"/>
            </w:tcBorders>
            <w:shd w:val="clear" w:color="auto" w:fill="F2F2F2"/>
            <w:vAlign w:val="center"/>
          </w:tcPr>
          <w:p w14:paraId="173E6B3C" w14:textId="77777777"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20" w:type="pct"/>
            <w:gridSpan w:val="4"/>
            <w:tcBorders>
              <w:bottom w:val="single" w:sz="4" w:space="0" w:color="auto"/>
            </w:tcBorders>
            <w:shd w:val="clear" w:color="auto" w:fill="F2F2F2"/>
          </w:tcPr>
          <w:p w14:paraId="50A4A76D"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57B7D724" w14:textId="77777777"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2644DE" w:rsidRPr="002644DE" w14:paraId="0456CBEC" w14:textId="77777777" w:rsidTr="00315680">
        <w:tblPrEx>
          <w:tblBorders>
            <w:top w:val="none" w:sz="0" w:space="0" w:color="auto"/>
          </w:tblBorders>
          <w:tblCellMar>
            <w:top w:w="28" w:type="dxa"/>
            <w:left w:w="91" w:type="dxa"/>
            <w:right w:w="91" w:type="dxa"/>
          </w:tblCellMar>
        </w:tblPrEx>
        <w:trPr>
          <w:trHeight w:val="677"/>
          <w:jc w:val="center"/>
        </w:trPr>
        <w:tc>
          <w:tcPr>
            <w:tcW w:w="180" w:type="pct"/>
            <w:gridSpan w:val="2"/>
            <w:shd w:val="clear" w:color="auto" w:fill="auto"/>
            <w:vAlign w:val="center"/>
          </w:tcPr>
          <w:p w14:paraId="26E98BA0"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gridSpan w:val="2"/>
            <w:shd w:val="clear" w:color="auto" w:fill="auto"/>
          </w:tcPr>
          <w:p w14:paraId="689E36DD"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14:paraId="18ABAFE7"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0D87EED0"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14:paraId="32E15663"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14:paraId="09BBEFFB"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14:paraId="09F225C3"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14:paraId="299F5872"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14:paraId="6110E681"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14:paraId="6067BB94"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14:paraId="0693F902"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jednorodičovské domácnosti s deťmi (neúplné rodiny, ktoré tvoria najmä osamelé matky s deťmi),</w:t>
            </w:r>
          </w:p>
          <w:p w14:paraId="75C465D7"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14:paraId="0A83D814"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1" w:type="pct"/>
            <w:gridSpan w:val="2"/>
            <w:shd w:val="clear" w:color="auto" w:fill="auto"/>
          </w:tcPr>
          <w:p w14:paraId="7F052B30" w14:textId="77777777" w:rsidR="002644DE" w:rsidRPr="002644DE" w:rsidRDefault="00B572A8" w:rsidP="002644DE">
            <w:pPr>
              <w:spacing w:after="0" w:line="240" w:lineRule="auto"/>
              <w:rPr>
                <w:rFonts w:ascii="Times New Roman" w:eastAsia="Calibri" w:hAnsi="Times New Roman" w:cs="Times New Roman"/>
                <w:sz w:val="20"/>
                <w:lang w:eastAsia="sk-SK"/>
              </w:rPr>
            </w:pPr>
            <w:r>
              <w:rPr>
                <w:rFonts w:ascii="Times New Roman" w:eastAsia="Calibri" w:hAnsi="Times New Roman" w:cs="Times New Roman"/>
                <w:sz w:val="20"/>
                <w:lang w:eastAsia="sk-SK"/>
              </w:rPr>
              <w:lastRenderedPageBreak/>
              <w:t>Bez vplyvu</w:t>
            </w:r>
          </w:p>
        </w:tc>
      </w:tr>
    </w:tbl>
    <w:p w14:paraId="10D9DD67" w14:textId="77777777" w:rsidR="002644DE" w:rsidRPr="002644DE" w:rsidRDefault="002644DE" w:rsidP="002644DE">
      <w:pPr>
        <w:sectPr w:rsidR="002644DE" w:rsidRPr="002644DE" w:rsidSect="00670684">
          <w:footerReference w:type="default" r:id="rId8"/>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14:paraId="3E11A058" w14:textId="77777777" w:rsidTr="000800FC">
        <w:trPr>
          <w:jc w:val="center"/>
        </w:trPr>
        <w:tc>
          <w:tcPr>
            <w:tcW w:w="5000" w:type="pct"/>
            <w:gridSpan w:val="3"/>
            <w:shd w:val="clear" w:color="auto" w:fill="D9D9D9"/>
          </w:tcPr>
          <w:p w14:paraId="110F6288" w14:textId="77777777"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14:paraId="1643B208" w14:textId="77777777"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14:paraId="1C9658B5" w14:textId="77777777" w:rsidTr="000800FC">
        <w:trPr>
          <w:jc w:val="center"/>
        </w:trPr>
        <w:tc>
          <w:tcPr>
            <w:tcW w:w="132" w:type="pct"/>
            <w:tcBorders>
              <w:bottom w:val="single" w:sz="4" w:space="0" w:color="auto"/>
            </w:tcBorders>
            <w:shd w:val="clear" w:color="auto" w:fill="F2F2F2"/>
            <w:vAlign w:val="center"/>
          </w:tcPr>
          <w:p w14:paraId="454115BA" w14:textId="77777777"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14:paraId="6CEB5E87" w14:textId="77777777" w:rsidR="002644DE" w:rsidRPr="002644DE" w:rsidRDefault="002644DE" w:rsidP="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644DE" w:rsidRPr="002644DE" w14:paraId="0D812784" w14:textId="77777777" w:rsidTr="000800FC">
        <w:trPr>
          <w:trHeight w:val="928"/>
          <w:jc w:val="center"/>
        </w:trPr>
        <w:tc>
          <w:tcPr>
            <w:tcW w:w="132" w:type="pct"/>
            <w:tcBorders>
              <w:top w:val="nil"/>
              <w:bottom w:val="nil"/>
            </w:tcBorders>
            <w:shd w:val="clear" w:color="auto" w:fill="auto"/>
          </w:tcPr>
          <w:p w14:paraId="4ED5CE60" w14:textId="77777777" w:rsidR="002644DE" w:rsidRPr="002644DE" w:rsidRDefault="002644DE" w:rsidP="002644DE">
            <w:pPr>
              <w:spacing w:after="0" w:line="240" w:lineRule="auto"/>
              <w:rPr>
                <w:rFonts w:ascii="Times New Roman" w:eastAsia="Calibri" w:hAnsi="Times New Roman" w:cs="Times New Roman"/>
                <w:sz w:val="20"/>
              </w:rPr>
            </w:pPr>
          </w:p>
          <w:p w14:paraId="7B5B22AC" w14:textId="77777777" w:rsidR="002644DE" w:rsidRPr="002644DE" w:rsidRDefault="002644DE" w:rsidP="002644DE">
            <w:pPr>
              <w:spacing w:after="0" w:line="240" w:lineRule="auto"/>
              <w:rPr>
                <w:rFonts w:ascii="Times New Roman" w:eastAsia="Calibri" w:hAnsi="Times New Roman" w:cs="Times New Roman"/>
                <w:i/>
                <w:sz w:val="20"/>
              </w:rPr>
            </w:pPr>
          </w:p>
          <w:p w14:paraId="724E0C9A" w14:textId="77777777" w:rsidR="002644DE" w:rsidRPr="002644DE" w:rsidRDefault="002644DE" w:rsidP="002644DE">
            <w:pPr>
              <w:spacing w:after="0" w:line="240" w:lineRule="auto"/>
              <w:rPr>
                <w:rFonts w:ascii="Times New Roman" w:eastAsia="Calibri" w:hAnsi="Times New Roman" w:cs="Times New Roman"/>
                <w:i/>
                <w:sz w:val="20"/>
              </w:rPr>
            </w:pPr>
          </w:p>
          <w:p w14:paraId="37467458" w14:textId="77777777"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14:paraId="24EA2C50" w14:textId="77777777" w:rsidR="002644DE" w:rsidRPr="002644DE" w:rsidRDefault="002644DE" w:rsidP="002644DE">
            <w:pPr>
              <w:spacing w:after="0" w:line="240" w:lineRule="auto"/>
              <w:rPr>
                <w:rFonts w:ascii="Times New Roman" w:eastAsia="Calibri" w:hAnsi="Times New Roman" w:cs="Times New Roman"/>
                <w:i/>
                <w:sz w:val="20"/>
              </w:rPr>
            </w:pPr>
          </w:p>
          <w:p w14:paraId="46B2B275" w14:textId="77777777" w:rsidR="002644DE" w:rsidRPr="002644DE" w:rsidRDefault="002644DE" w:rsidP="002644DE">
            <w:pPr>
              <w:spacing w:after="0" w:line="240" w:lineRule="auto"/>
              <w:rPr>
                <w:rFonts w:ascii="Times New Roman" w:eastAsia="Calibri" w:hAnsi="Times New Roman" w:cs="Times New Roman"/>
                <w:i/>
                <w:sz w:val="20"/>
              </w:rPr>
            </w:pPr>
          </w:p>
          <w:p w14:paraId="50751196" w14:textId="77777777"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14:paraId="36309497" w14:textId="77777777" w:rsidR="002644DE" w:rsidRPr="002644DE" w:rsidRDefault="00B572A8" w:rsidP="002644DE">
            <w:pPr>
              <w:rPr>
                <w:rFonts w:ascii="Times New Roman" w:eastAsia="Calibri" w:hAnsi="Times New Roman" w:cs="Times New Roman"/>
                <w:i/>
                <w:sz w:val="20"/>
              </w:rPr>
            </w:pPr>
            <w:r>
              <w:rPr>
                <w:rFonts w:ascii="Times New Roman" w:eastAsia="Calibri" w:hAnsi="Times New Roman" w:cs="Times New Roman"/>
                <w:i/>
                <w:sz w:val="20"/>
              </w:rPr>
              <w:t>Bez vplyvu</w:t>
            </w:r>
          </w:p>
          <w:p w14:paraId="00C12A51" w14:textId="77777777" w:rsidR="002644DE" w:rsidRPr="002644DE" w:rsidRDefault="002644DE" w:rsidP="002644DE">
            <w:pPr>
              <w:spacing w:after="0" w:line="240" w:lineRule="auto"/>
              <w:rPr>
                <w:rFonts w:ascii="Times New Roman" w:eastAsia="Calibri" w:hAnsi="Times New Roman" w:cs="Times New Roman"/>
                <w:i/>
                <w:sz w:val="20"/>
              </w:rPr>
            </w:pPr>
          </w:p>
        </w:tc>
      </w:tr>
      <w:tr w:rsidR="002644DE" w:rsidRPr="002644DE" w14:paraId="546683CD" w14:textId="77777777" w:rsidTr="000800FC">
        <w:trPr>
          <w:trHeight w:val="345"/>
          <w:jc w:val="center"/>
        </w:trPr>
        <w:tc>
          <w:tcPr>
            <w:tcW w:w="132" w:type="pct"/>
            <w:tcBorders>
              <w:bottom w:val="single" w:sz="4" w:space="0" w:color="auto"/>
            </w:tcBorders>
            <w:shd w:val="clear" w:color="auto" w:fill="F2F2F2"/>
            <w:vAlign w:val="center"/>
          </w:tcPr>
          <w:p w14:paraId="2ED5AE60"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14:paraId="568F596D"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644DE" w:rsidRPr="002644DE" w14:paraId="16A15F79" w14:textId="77777777" w:rsidTr="000800FC">
        <w:tblPrEx>
          <w:tblBorders>
            <w:top w:val="none" w:sz="0" w:space="0" w:color="auto"/>
            <w:bottom w:val="none" w:sz="0" w:space="0" w:color="auto"/>
          </w:tblBorders>
        </w:tblPrEx>
        <w:trPr>
          <w:trHeight w:val="372"/>
          <w:jc w:val="center"/>
        </w:trPr>
        <w:tc>
          <w:tcPr>
            <w:tcW w:w="132" w:type="pct"/>
            <w:shd w:val="clear" w:color="auto" w:fill="auto"/>
            <w:vAlign w:val="center"/>
          </w:tcPr>
          <w:p w14:paraId="7BDB1F7E"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14:paraId="205424AE"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14:paraId="570FDD15" w14:textId="77777777" w:rsidR="002644DE" w:rsidRPr="002644DE" w:rsidRDefault="00B572A8" w:rsidP="002644DE">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rPr>
              <w:t>Bez vplyvu</w:t>
            </w:r>
          </w:p>
        </w:tc>
      </w:tr>
      <w:tr w:rsidR="002644DE" w:rsidRPr="002644DE" w14:paraId="7C0B06F2" w14:textId="77777777" w:rsidTr="000800FC">
        <w:tblPrEx>
          <w:tblBorders>
            <w:top w:val="none" w:sz="0" w:space="0" w:color="auto"/>
            <w:bottom w:val="none" w:sz="0" w:space="0" w:color="auto"/>
          </w:tblBorders>
        </w:tblPrEx>
        <w:trPr>
          <w:trHeight w:val="371"/>
          <w:jc w:val="center"/>
        </w:trPr>
        <w:tc>
          <w:tcPr>
            <w:tcW w:w="132" w:type="pct"/>
            <w:shd w:val="clear" w:color="auto" w:fill="auto"/>
            <w:vAlign w:val="center"/>
          </w:tcPr>
          <w:p w14:paraId="47D86D90"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14:paraId="54F00786"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14:paraId="175D9432" w14:textId="77777777" w:rsidR="002644DE" w:rsidRPr="002644DE" w:rsidRDefault="00B572A8" w:rsidP="002644DE">
            <w:pPr>
              <w:spacing w:after="0" w:line="240" w:lineRule="auto"/>
              <w:jc w:val="both"/>
              <w:rPr>
                <w:rFonts w:ascii="Times New Roman" w:eastAsia="Calibri" w:hAnsi="Times New Roman" w:cs="Times New Roman"/>
                <w:i/>
                <w:sz w:val="18"/>
                <w:szCs w:val="18"/>
              </w:rPr>
            </w:pPr>
            <w:r>
              <w:rPr>
                <w:rFonts w:ascii="Times New Roman" w:eastAsia="Calibri" w:hAnsi="Times New Roman" w:cs="Times New Roman"/>
                <w:sz w:val="20"/>
              </w:rPr>
              <w:t>Bez vplyvu</w:t>
            </w:r>
          </w:p>
        </w:tc>
      </w:tr>
      <w:tr w:rsidR="002644DE" w:rsidRPr="002644DE" w14:paraId="1E0495B8" w14:textId="77777777" w:rsidTr="000800FC">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14:paraId="4E166860"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14:paraId="4CAF0B75"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14:paraId="72576683" w14:textId="77777777" w:rsidR="002644DE" w:rsidRPr="002644DE" w:rsidRDefault="00B572A8" w:rsidP="002644DE">
            <w:pPr>
              <w:spacing w:after="0" w:line="240" w:lineRule="auto"/>
              <w:jc w:val="both"/>
              <w:rPr>
                <w:rFonts w:ascii="Times New Roman" w:eastAsia="Calibri" w:hAnsi="Times New Roman" w:cs="Times New Roman"/>
                <w:i/>
                <w:sz w:val="18"/>
                <w:szCs w:val="18"/>
              </w:rPr>
            </w:pPr>
            <w:r>
              <w:rPr>
                <w:rFonts w:ascii="Times New Roman" w:eastAsia="Calibri" w:hAnsi="Times New Roman" w:cs="Times New Roman"/>
                <w:sz w:val="20"/>
              </w:rPr>
              <w:t>Bez vplyvu</w:t>
            </w:r>
          </w:p>
        </w:tc>
      </w:tr>
      <w:tr w:rsidR="002644DE" w:rsidRPr="002644DE" w14:paraId="4EFA2D01" w14:textId="77777777" w:rsidTr="000800FC">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14:paraId="30F07D80"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14:paraId="150B602F"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7075A5E4" w14:textId="77777777"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14:paraId="6C6A0C38"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14:paraId="3B63ABDE"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14:paraId="79C5304C"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14:paraId="1CDACCD9"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14:paraId="10F1506A"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14:paraId="14A6B319"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5A318F96"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14:paraId="3A5E4E9A" w14:textId="77777777" w:rsidR="002644DE" w:rsidRPr="002644DE" w:rsidRDefault="00B572A8" w:rsidP="002644DE">
            <w:pPr>
              <w:spacing w:after="0" w:line="240" w:lineRule="auto"/>
              <w:rPr>
                <w:rFonts w:ascii="Times New Roman" w:eastAsia="Calibri" w:hAnsi="Times New Roman" w:cs="Times New Roman"/>
                <w:sz w:val="20"/>
              </w:rPr>
            </w:pPr>
            <w:r>
              <w:rPr>
                <w:rFonts w:ascii="Times New Roman" w:eastAsia="Calibri" w:hAnsi="Times New Roman" w:cs="Times New Roman"/>
                <w:sz w:val="20"/>
              </w:rPr>
              <w:t>Bez vplyvu</w:t>
            </w:r>
          </w:p>
        </w:tc>
      </w:tr>
    </w:tbl>
    <w:p w14:paraId="6E9D6F01" w14:textId="77777777"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670684">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2644DE" w:rsidRPr="002644DE" w14:paraId="228EA47E" w14:textId="77777777" w:rsidTr="000800FC">
        <w:trPr>
          <w:jc w:val="center"/>
        </w:trPr>
        <w:tc>
          <w:tcPr>
            <w:tcW w:w="5000" w:type="pct"/>
            <w:gridSpan w:val="3"/>
            <w:shd w:val="clear" w:color="auto" w:fill="D9D9D9"/>
          </w:tcPr>
          <w:p w14:paraId="28B86BEE"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14:paraId="461158F6" w14:textId="77777777"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14:paraId="08E642A5" w14:textId="77777777" w:rsidTr="000800FC">
        <w:trPr>
          <w:trHeight w:val="287"/>
          <w:jc w:val="center"/>
        </w:trPr>
        <w:tc>
          <w:tcPr>
            <w:tcW w:w="129" w:type="pct"/>
            <w:tcBorders>
              <w:top w:val="nil"/>
              <w:bottom w:val="single" w:sz="4" w:space="0" w:color="auto"/>
            </w:tcBorders>
            <w:shd w:val="clear" w:color="auto" w:fill="F2F2F2"/>
            <w:vAlign w:val="center"/>
          </w:tcPr>
          <w:p w14:paraId="5549486B"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14:paraId="776C181F"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14:paraId="64C09FF3" w14:textId="77777777" w:rsidTr="000800FC">
        <w:trPr>
          <w:trHeight w:val="567"/>
          <w:jc w:val="center"/>
        </w:trPr>
        <w:tc>
          <w:tcPr>
            <w:tcW w:w="129" w:type="pct"/>
            <w:tcBorders>
              <w:top w:val="nil"/>
              <w:bottom w:val="single" w:sz="4" w:space="0" w:color="auto"/>
            </w:tcBorders>
            <w:shd w:val="clear" w:color="auto" w:fill="FFFFFF"/>
            <w:vAlign w:val="center"/>
          </w:tcPr>
          <w:p w14:paraId="04975E48"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14:paraId="3E089552"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14:paraId="6A554839" w14:textId="77777777" w:rsidR="002644DE" w:rsidRPr="002644DE" w:rsidRDefault="00B572A8"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r w:rsidR="002644DE" w:rsidRPr="002644DE" w14:paraId="79567ED9" w14:textId="77777777" w:rsidTr="000800FC">
        <w:trPr>
          <w:trHeight w:val="270"/>
          <w:jc w:val="center"/>
        </w:trPr>
        <w:tc>
          <w:tcPr>
            <w:tcW w:w="129" w:type="pct"/>
            <w:tcBorders>
              <w:bottom w:val="single" w:sz="4" w:space="0" w:color="auto"/>
            </w:tcBorders>
            <w:shd w:val="clear" w:color="auto" w:fill="F2F2F2"/>
            <w:vAlign w:val="center"/>
          </w:tcPr>
          <w:p w14:paraId="4CC52709"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14:paraId="4277647A"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14:paraId="0883AFC2" w14:textId="77777777" w:rsidTr="000800FC">
        <w:trPr>
          <w:trHeight w:val="454"/>
          <w:jc w:val="center"/>
        </w:trPr>
        <w:tc>
          <w:tcPr>
            <w:tcW w:w="129" w:type="pct"/>
            <w:tcBorders>
              <w:bottom w:val="single" w:sz="4" w:space="0" w:color="auto"/>
            </w:tcBorders>
            <w:shd w:val="clear" w:color="auto" w:fill="FFFFFF"/>
            <w:vAlign w:val="center"/>
          </w:tcPr>
          <w:p w14:paraId="064D4592"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14:paraId="5D729388"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14:paraId="0F92A9AB" w14:textId="77777777" w:rsidR="002644DE" w:rsidRPr="002644DE" w:rsidRDefault="00B572A8"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r w:rsidR="002644DE" w:rsidRPr="002644DE" w14:paraId="35E566AA" w14:textId="77777777" w:rsidTr="000800FC">
        <w:trPr>
          <w:trHeight w:val="248"/>
          <w:jc w:val="center"/>
        </w:trPr>
        <w:tc>
          <w:tcPr>
            <w:tcW w:w="129" w:type="pct"/>
            <w:tcBorders>
              <w:bottom w:val="single" w:sz="4" w:space="0" w:color="auto"/>
            </w:tcBorders>
            <w:shd w:val="clear" w:color="auto" w:fill="F2F2F2"/>
            <w:vAlign w:val="center"/>
          </w:tcPr>
          <w:p w14:paraId="3EFA6684"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14:paraId="273BA2E8"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2644DE" w:rsidRPr="002644DE" w14:paraId="66FBD41A" w14:textId="77777777" w:rsidTr="000800FC">
        <w:trPr>
          <w:trHeight w:val="209"/>
          <w:jc w:val="center"/>
        </w:trPr>
        <w:tc>
          <w:tcPr>
            <w:tcW w:w="129" w:type="pct"/>
            <w:tcBorders>
              <w:bottom w:val="single" w:sz="4" w:space="0" w:color="auto"/>
            </w:tcBorders>
            <w:shd w:val="clear" w:color="auto" w:fill="FFFFFF"/>
            <w:vAlign w:val="center"/>
          </w:tcPr>
          <w:p w14:paraId="3CA04D11"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14:paraId="6CB95FB0"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14:paraId="1E98CCF7" w14:textId="77777777" w:rsidR="002644DE" w:rsidRPr="002644DE" w:rsidRDefault="00B572A8"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r w:rsidR="002644DE" w:rsidRPr="002644DE" w14:paraId="4E5C8611" w14:textId="77777777" w:rsidTr="000800FC">
        <w:trPr>
          <w:trHeight w:val="208"/>
          <w:jc w:val="center"/>
        </w:trPr>
        <w:tc>
          <w:tcPr>
            <w:tcW w:w="129" w:type="pct"/>
            <w:tcBorders>
              <w:bottom w:val="single" w:sz="4" w:space="0" w:color="auto"/>
            </w:tcBorders>
            <w:shd w:val="clear" w:color="auto" w:fill="F2F2F2"/>
            <w:vAlign w:val="center"/>
          </w:tcPr>
          <w:p w14:paraId="6604E85F"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14:paraId="6553792C"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14:paraId="1F01F6D5" w14:textId="77777777" w:rsidTr="000800FC">
        <w:trPr>
          <w:trHeight w:val="794"/>
          <w:jc w:val="center"/>
        </w:trPr>
        <w:tc>
          <w:tcPr>
            <w:tcW w:w="129" w:type="pct"/>
            <w:tcBorders>
              <w:bottom w:val="single" w:sz="4" w:space="0" w:color="auto"/>
            </w:tcBorders>
            <w:shd w:val="clear" w:color="auto" w:fill="FFFFFF"/>
            <w:vAlign w:val="center"/>
          </w:tcPr>
          <w:p w14:paraId="4E902865"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14:paraId="0B6A8BF4"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14:paraId="1187BA47" w14:textId="77777777" w:rsidR="002644DE" w:rsidRPr="002644DE" w:rsidRDefault="00B572A8"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r w:rsidR="002644DE" w:rsidRPr="002644DE" w14:paraId="444866A6" w14:textId="77777777" w:rsidTr="000800FC">
        <w:trPr>
          <w:trHeight w:val="324"/>
          <w:jc w:val="center"/>
        </w:trPr>
        <w:tc>
          <w:tcPr>
            <w:tcW w:w="129" w:type="pct"/>
            <w:tcBorders>
              <w:bottom w:val="single" w:sz="4" w:space="0" w:color="auto"/>
            </w:tcBorders>
            <w:shd w:val="clear" w:color="auto" w:fill="F2F2F2"/>
            <w:vAlign w:val="center"/>
          </w:tcPr>
          <w:p w14:paraId="29671655"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14:paraId="72D08342"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14:paraId="40F62E5A" w14:textId="77777777" w:rsidTr="000800FC">
        <w:trPr>
          <w:trHeight w:val="216"/>
          <w:jc w:val="center"/>
        </w:trPr>
        <w:tc>
          <w:tcPr>
            <w:tcW w:w="129" w:type="pct"/>
            <w:tcBorders>
              <w:bottom w:val="single" w:sz="4" w:space="0" w:color="auto"/>
            </w:tcBorders>
            <w:shd w:val="clear" w:color="auto" w:fill="FFFFFF"/>
            <w:vAlign w:val="center"/>
          </w:tcPr>
          <w:p w14:paraId="2896C8E5"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14:paraId="3BA5C3D2"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14:paraId="615625D4" w14:textId="77777777" w:rsidR="002644DE" w:rsidRPr="002644DE" w:rsidRDefault="00B572A8"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r w:rsidR="002644DE" w:rsidRPr="002644DE" w14:paraId="6B332567" w14:textId="77777777" w:rsidTr="000800FC">
        <w:trPr>
          <w:trHeight w:val="219"/>
          <w:jc w:val="center"/>
        </w:trPr>
        <w:tc>
          <w:tcPr>
            <w:tcW w:w="129" w:type="pct"/>
            <w:tcBorders>
              <w:bottom w:val="single" w:sz="4" w:space="0" w:color="auto"/>
            </w:tcBorders>
            <w:shd w:val="clear" w:color="auto" w:fill="F2F2F2"/>
            <w:vAlign w:val="center"/>
          </w:tcPr>
          <w:p w14:paraId="3F5D0198"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14:paraId="6E130852"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14:paraId="6502B52A" w14:textId="77777777" w:rsidTr="000800FC">
        <w:trPr>
          <w:trHeight w:val="497"/>
          <w:jc w:val="center"/>
        </w:trPr>
        <w:tc>
          <w:tcPr>
            <w:tcW w:w="129" w:type="pct"/>
            <w:tcBorders>
              <w:bottom w:val="single" w:sz="4" w:space="0" w:color="auto"/>
            </w:tcBorders>
            <w:shd w:val="clear" w:color="auto" w:fill="FFFFFF"/>
            <w:vAlign w:val="center"/>
          </w:tcPr>
          <w:p w14:paraId="242EC4C0"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14:paraId="313EB59E"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14:paraId="4DCA4D42" w14:textId="77777777" w:rsidR="002644DE" w:rsidRPr="002644DE" w:rsidRDefault="00B572A8"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rPr>
              <w:t>Bez vplyvu</w:t>
            </w:r>
          </w:p>
        </w:tc>
      </w:tr>
    </w:tbl>
    <w:p w14:paraId="26D04A61" w14:textId="77777777" w:rsidR="00274130" w:rsidRDefault="00784E49" w:rsidP="00315680">
      <w:pPr>
        <w:spacing w:after="0" w:line="240" w:lineRule="auto"/>
        <w:jc w:val="center"/>
        <w:outlineLvl w:val="0"/>
      </w:pPr>
    </w:p>
    <w:sectPr w:rsidR="002741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41275" w14:textId="77777777" w:rsidR="00784E49" w:rsidRDefault="00784E49" w:rsidP="002644DE">
      <w:pPr>
        <w:spacing w:after="0" w:line="240" w:lineRule="auto"/>
      </w:pPr>
      <w:r>
        <w:separator/>
      </w:r>
    </w:p>
  </w:endnote>
  <w:endnote w:type="continuationSeparator" w:id="0">
    <w:p w14:paraId="1C1D793F" w14:textId="77777777" w:rsidR="00784E49" w:rsidRDefault="00784E49"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A00002EF" w:usb1="4000207B" w:usb2="00000000" w:usb3="00000000" w:csb0="0000019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14:paraId="461F96B2" w14:textId="55F6A6EB" w:rsidR="002644DE" w:rsidRPr="001D6749" w:rsidRDefault="002644DE">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DF3C20">
          <w:rPr>
            <w:rFonts w:ascii="Times New Roman" w:hAnsi="Times New Roman" w:cs="Times New Roman"/>
            <w:noProof/>
          </w:rPr>
          <w:t>6</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943B4" w14:textId="77777777" w:rsidR="00784E49" w:rsidRDefault="00784E49" w:rsidP="002644DE">
      <w:pPr>
        <w:spacing w:after="0" w:line="240" w:lineRule="auto"/>
      </w:pPr>
      <w:r>
        <w:separator/>
      </w:r>
    </w:p>
  </w:footnote>
  <w:footnote w:type="continuationSeparator" w:id="0">
    <w:p w14:paraId="19696242" w14:textId="77777777" w:rsidR="00784E49" w:rsidRDefault="00784E49" w:rsidP="002644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01A1"/>
    <w:multiLevelType w:val="hybridMultilevel"/>
    <w:tmpl w:val="2A822D56"/>
    <w:lvl w:ilvl="0" w:tplc="CCC099DA">
      <w:start w:val="4"/>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D483115"/>
    <w:multiLevelType w:val="hybridMultilevel"/>
    <w:tmpl w:val="80FCDEB4"/>
    <w:lvl w:ilvl="0" w:tplc="041B0001">
      <w:start w:val="1"/>
      <w:numFmt w:val="bullet"/>
      <w:lvlText w:val=""/>
      <w:lvlJc w:val="left"/>
      <w:pPr>
        <w:ind w:left="768" w:hanging="360"/>
      </w:pPr>
      <w:rPr>
        <w:rFonts w:ascii="Symbol" w:hAnsi="Symbol" w:hint="default"/>
      </w:rPr>
    </w:lvl>
    <w:lvl w:ilvl="1" w:tplc="041B0003" w:tentative="1">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3" w15:restartNumberingAfterBreak="0">
    <w:nsid w:val="24F50C5E"/>
    <w:multiLevelType w:val="hybridMultilevel"/>
    <w:tmpl w:val="379E2C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CB60C93"/>
    <w:multiLevelType w:val="hybridMultilevel"/>
    <w:tmpl w:val="2F788B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4327F1B"/>
    <w:multiLevelType w:val="hybridMultilevel"/>
    <w:tmpl w:val="0C4ABCF0"/>
    <w:lvl w:ilvl="0" w:tplc="9B300D50">
      <w:start w:val="17"/>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D09207B"/>
    <w:multiLevelType w:val="hybridMultilevel"/>
    <w:tmpl w:val="25A8EA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6218AA"/>
    <w:multiLevelType w:val="hybridMultilevel"/>
    <w:tmpl w:val="13809360"/>
    <w:lvl w:ilvl="0" w:tplc="041B0001">
      <w:start w:val="1"/>
      <w:numFmt w:val="bullet"/>
      <w:lvlText w:val=""/>
      <w:lvlJc w:val="left"/>
      <w:pPr>
        <w:ind w:left="770" w:hanging="360"/>
      </w:pPr>
      <w:rPr>
        <w:rFonts w:ascii="Symbol" w:hAnsi="Symbol" w:hint="default"/>
      </w:rPr>
    </w:lvl>
    <w:lvl w:ilvl="1" w:tplc="041B0003">
      <w:start w:val="1"/>
      <w:numFmt w:val="bullet"/>
      <w:lvlText w:val="o"/>
      <w:lvlJc w:val="left"/>
      <w:pPr>
        <w:ind w:left="1490" w:hanging="360"/>
      </w:pPr>
      <w:rPr>
        <w:rFonts w:ascii="Courier New" w:hAnsi="Courier New" w:cs="Courier New" w:hint="default"/>
      </w:rPr>
    </w:lvl>
    <w:lvl w:ilvl="2" w:tplc="041B0005">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9"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17"/>
  </w:num>
  <w:num w:numId="5">
    <w:abstractNumId w:val="13"/>
  </w:num>
  <w:num w:numId="6">
    <w:abstractNumId w:val="14"/>
  </w:num>
  <w:num w:numId="7">
    <w:abstractNumId w:val="7"/>
  </w:num>
  <w:num w:numId="8">
    <w:abstractNumId w:val="11"/>
  </w:num>
  <w:num w:numId="9">
    <w:abstractNumId w:val="10"/>
  </w:num>
  <w:num w:numId="10">
    <w:abstractNumId w:val="1"/>
  </w:num>
  <w:num w:numId="11">
    <w:abstractNumId w:val="15"/>
  </w:num>
  <w:num w:numId="12">
    <w:abstractNumId w:val="16"/>
  </w:num>
  <w:num w:numId="13">
    <w:abstractNumId w:val="19"/>
  </w:num>
  <w:num w:numId="14">
    <w:abstractNumId w:val="18"/>
  </w:num>
  <w:num w:numId="15">
    <w:abstractNumId w:val="9"/>
  </w:num>
  <w:num w:numId="16">
    <w:abstractNumId w:val="3"/>
  </w:num>
  <w:num w:numId="17">
    <w:abstractNumId w:val="2"/>
  </w:num>
  <w:num w:numId="18">
    <w:abstractNumId w:val="0"/>
  </w:num>
  <w:num w:numId="19">
    <w:abstractNumId w:val="1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DE"/>
    <w:rsid w:val="00010730"/>
    <w:rsid w:val="000333EC"/>
    <w:rsid w:val="0004151B"/>
    <w:rsid w:val="00041592"/>
    <w:rsid w:val="00060EEC"/>
    <w:rsid w:val="00065151"/>
    <w:rsid w:val="000776AE"/>
    <w:rsid w:val="000B2C69"/>
    <w:rsid w:val="000E03C7"/>
    <w:rsid w:val="000E4F77"/>
    <w:rsid w:val="00147AEB"/>
    <w:rsid w:val="00147C5D"/>
    <w:rsid w:val="00161BFE"/>
    <w:rsid w:val="001A0924"/>
    <w:rsid w:val="001A5DB2"/>
    <w:rsid w:val="001B03F6"/>
    <w:rsid w:val="001C1404"/>
    <w:rsid w:val="001D0769"/>
    <w:rsid w:val="001E54AD"/>
    <w:rsid w:val="001E64F5"/>
    <w:rsid w:val="00222130"/>
    <w:rsid w:val="002224B5"/>
    <w:rsid w:val="002326C2"/>
    <w:rsid w:val="0023545B"/>
    <w:rsid w:val="002644DE"/>
    <w:rsid w:val="002E3124"/>
    <w:rsid w:val="00315680"/>
    <w:rsid w:val="003178C1"/>
    <w:rsid w:val="0032423E"/>
    <w:rsid w:val="00333C3A"/>
    <w:rsid w:val="00345AB2"/>
    <w:rsid w:val="00382021"/>
    <w:rsid w:val="003B37F9"/>
    <w:rsid w:val="003D6B8A"/>
    <w:rsid w:val="003E76E4"/>
    <w:rsid w:val="003F1078"/>
    <w:rsid w:val="0040256A"/>
    <w:rsid w:val="0040256B"/>
    <w:rsid w:val="0041042E"/>
    <w:rsid w:val="00412338"/>
    <w:rsid w:val="00433C47"/>
    <w:rsid w:val="004660B5"/>
    <w:rsid w:val="00471D71"/>
    <w:rsid w:val="004A0C73"/>
    <w:rsid w:val="004A1213"/>
    <w:rsid w:val="004E2A31"/>
    <w:rsid w:val="004F3533"/>
    <w:rsid w:val="004F3BE2"/>
    <w:rsid w:val="005014CC"/>
    <w:rsid w:val="005051C0"/>
    <w:rsid w:val="00510015"/>
    <w:rsid w:val="00534D7F"/>
    <w:rsid w:val="005773EE"/>
    <w:rsid w:val="005A7231"/>
    <w:rsid w:val="00620433"/>
    <w:rsid w:val="006279F1"/>
    <w:rsid w:val="00632CDC"/>
    <w:rsid w:val="0064068B"/>
    <w:rsid w:val="00645D08"/>
    <w:rsid w:val="0066304A"/>
    <w:rsid w:val="006633EB"/>
    <w:rsid w:val="006B7338"/>
    <w:rsid w:val="006C6CC1"/>
    <w:rsid w:val="006D4658"/>
    <w:rsid w:val="006F16F7"/>
    <w:rsid w:val="00754046"/>
    <w:rsid w:val="00784E49"/>
    <w:rsid w:val="00786F17"/>
    <w:rsid w:val="00796286"/>
    <w:rsid w:val="007A1085"/>
    <w:rsid w:val="007A238C"/>
    <w:rsid w:val="007B5C7B"/>
    <w:rsid w:val="007D5777"/>
    <w:rsid w:val="007E57E7"/>
    <w:rsid w:val="007F6319"/>
    <w:rsid w:val="008801B5"/>
    <w:rsid w:val="00895C70"/>
    <w:rsid w:val="008C332E"/>
    <w:rsid w:val="008C3E30"/>
    <w:rsid w:val="00940717"/>
    <w:rsid w:val="0095188C"/>
    <w:rsid w:val="009827C8"/>
    <w:rsid w:val="009C2858"/>
    <w:rsid w:val="009C7B8A"/>
    <w:rsid w:val="009D0840"/>
    <w:rsid w:val="009E09F7"/>
    <w:rsid w:val="009F0A81"/>
    <w:rsid w:val="00A10823"/>
    <w:rsid w:val="00A17CF3"/>
    <w:rsid w:val="00A328E0"/>
    <w:rsid w:val="00A34E0E"/>
    <w:rsid w:val="00A405A2"/>
    <w:rsid w:val="00A676B0"/>
    <w:rsid w:val="00A74FE4"/>
    <w:rsid w:val="00A827BF"/>
    <w:rsid w:val="00A949A4"/>
    <w:rsid w:val="00AA401F"/>
    <w:rsid w:val="00B13B35"/>
    <w:rsid w:val="00B572A8"/>
    <w:rsid w:val="00B72622"/>
    <w:rsid w:val="00B81E19"/>
    <w:rsid w:val="00BA4250"/>
    <w:rsid w:val="00BB33B7"/>
    <w:rsid w:val="00BD0D0E"/>
    <w:rsid w:val="00BD141A"/>
    <w:rsid w:val="00BF0657"/>
    <w:rsid w:val="00C91162"/>
    <w:rsid w:val="00CD0882"/>
    <w:rsid w:val="00CE0566"/>
    <w:rsid w:val="00D11930"/>
    <w:rsid w:val="00D55A32"/>
    <w:rsid w:val="00D77186"/>
    <w:rsid w:val="00DC3591"/>
    <w:rsid w:val="00DD3CE8"/>
    <w:rsid w:val="00DF3C20"/>
    <w:rsid w:val="00E06269"/>
    <w:rsid w:val="00E20DB9"/>
    <w:rsid w:val="00E301C5"/>
    <w:rsid w:val="00E52CEB"/>
    <w:rsid w:val="00F06926"/>
    <w:rsid w:val="00F3189E"/>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DB8F0"/>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paragraph" w:styleId="Odsekzoznamu">
    <w:name w:val="List Paragraph"/>
    <w:basedOn w:val="Normlny"/>
    <w:uiPriority w:val="34"/>
    <w:qFormat/>
    <w:rsid w:val="008C3E30"/>
    <w:pPr>
      <w:spacing w:after="200" w:line="276" w:lineRule="auto"/>
      <w:ind w:left="720"/>
      <w:contextualSpacing/>
    </w:pPr>
  </w:style>
  <w:style w:type="paragraph" w:customStyle="1" w:styleId="Standard">
    <w:name w:val="Standard"/>
    <w:rsid w:val="00B13B35"/>
    <w:pPr>
      <w:suppressAutoHyphens/>
      <w:autoSpaceDN w:val="0"/>
      <w:textAlignment w:val="baseline"/>
    </w:pPr>
    <w:rPr>
      <w:rFonts w:ascii="Calibri" w:eastAsia="SimSun" w:hAnsi="Calibri" w:cs="Tahoma"/>
      <w:kern w:val="3"/>
    </w:rPr>
  </w:style>
  <w:style w:type="character" w:customStyle="1" w:styleId="Zstupntext1">
    <w:name w:val="Zástupný text1"/>
    <w:semiHidden/>
    <w:rsid w:val="003D6B8A"/>
    <w:rPr>
      <w:rFonts w:ascii="Times New Roman" w:hAnsi="Times New Roman" w:cs="Times New Roman"/>
      <w:color w:val="808080"/>
    </w:rPr>
  </w:style>
  <w:style w:type="paragraph" w:styleId="Zkladntext">
    <w:name w:val="Body Text"/>
    <w:basedOn w:val="Normlny"/>
    <w:link w:val="ZkladntextChar"/>
    <w:uiPriority w:val="99"/>
    <w:unhideWhenUsed/>
    <w:rsid w:val="00041592"/>
    <w:pPr>
      <w:spacing w:after="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uiPriority w:val="99"/>
    <w:rsid w:val="00041592"/>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79628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96286"/>
    <w:rPr>
      <w:rFonts w:ascii="Segoe UI" w:hAnsi="Segoe UI" w:cs="Segoe UI"/>
      <w:sz w:val="18"/>
      <w:szCs w:val="18"/>
    </w:rPr>
  </w:style>
  <w:style w:type="character" w:styleId="Odkaznakomentr">
    <w:name w:val="annotation reference"/>
    <w:basedOn w:val="Predvolenpsmoodseku"/>
    <w:uiPriority w:val="99"/>
    <w:semiHidden/>
    <w:unhideWhenUsed/>
    <w:rsid w:val="00796286"/>
    <w:rPr>
      <w:sz w:val="16"/>
      <w:szCs w:val="16"/>
    </w:rPr>
  </w:style>
  <w:style w:type="paragraph" w:styleId="Textkomentra">
    <w:name w:val="annotation text"/>
    <w:basedOn w:val="Normlny"/>
    <w:link w:val="TextkomentraChar"/>
    <w:uiPriority w:val="99"/>
    <w:semiHidden/>
    <w:unhideWhenUsed/>
    <w:rsid w:val="00796286"/>
    <w:pPr>
      <w:spacing w:line="240" w:lineRule="auto"/>
    </w:pPr>
    <w:rPr>
      <w:sz w:val="20"/>
      <w:szCs w:val="20"/>
    </w:rPr>
  </w:style>
  <w:style w:type="character" w:customStyle="1" w:styleId="TextkomentraChar">
    <w:name w:val="Text komentára Char"/>
    <w:basedOn w:val="Predvolenpsmoodseku"/>
    <w:link w:val="Textkomentra"/>
    <w:uiPriority w:val="99"/>
    <w:semiHidden/>
    <w:rsid w:val="00796286"/>
    <w:rPr>
      <w:sz w:val="20"/>
      <w:szCs w:val="20"/>
    </w:rPr>
  </w:style>
  <w:style w:type="paragraph" w:styleId="Predmetkomentra">
    <w:name w:val="annotation subject"/>
    <w:basedOn w:val="Textkomentra"/>
    <w:next w:val="Textkomentra"/>
    <w:link w:val="PredmetkomentraChar"/>
    <w:uiPriority w:val="99"/>
    <w:semiHidden/>
    <w:unhideWhenUsed/>
    <w:rsid w:val="00796286"/>
    <w:rPr>
      <w:b/>
      <w:bCs/>
    </w:rPr>
  </w:style>
  <w:style w:type="character" w:customStyle="1" w:styleId="PredmetkomentraChar">
    <w:name w:val="Predmet komentára Char"/>
    <w:basedOn w:val="TextkomentraChar"/>
    <w:link w:val="Predmetkomentra"/>
    <w:uiPriority w:val="99"/>
    <w:semiHidden/>
    <w:rsid w:val="00796286"/>
    <w:rPr>
      <w:b/>
      <w:bCs/>
      <w:sz w:val="20"/>
      <w:szCs w:val="20"/>
    </w:rPr>
  </w:style>
  <w:style w:type="paragraph" w:styleId="Revzia">
    <w:name w:val="Revision"/>
    <w:hidden/>
    <w:uiPriority w:val="99"/>
    <w:semiHidden/>
    <w:rsid w:val="00534D7F"/>
    <w:pPr>
      <w:spacing w:after="0" w:line="240" w:lineRule="auto"/>
    </w:pPr>
  </w:style>
  <w:style w:type="paragraph" w:customStyle="1" w:styleId="xmsolistparagraph">
    <w:name w:val="x_msolistparagraph"/>
    <w:basedOn w:val="Normlny"/>
    <w:rsid w:val="00510015"/>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2117</Words>
  <Characters>12071</Characters>
  <Application>Microsoft Office Word</Application>
  <DocSecurity>0</DocSecurity>
  <Lines>100</Lines>
  <Paragraphs>28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Ministerstvo hospodárstva Slovenskej republiky</Company>
  <LinksUpToDate>false</LinksUpToDate>
  <CharactersWithSpaces>14160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Cebulakova Monika</cp:lastModifiedBy>
  <cp:revision>4</cp:revision>
  <dcterms:created xsi:type="dcterms:W3CDTF">2022-11-09T11:57:00Z</dcterms:created>
  <dcterms:modified xsi:type="dcterms:W3CDTF">2022-11-09T12:17:00Z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ies>
</file>