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C8" w:rsidRPr="00DD7BE7" w:rsidRDefault="00DD7BE7" w:rsidP="00223ACB">
      <w:pPr>
        <w:keepNext/>
        <w:keepLines/>
        <w:spacing w:before="120" w:after="120"/>
        <w:jc w:val="center"/>
        <w:rPr>
          <w:b/>
          <w:sz w:val="36"/>
          <w:szCs w:val="36"/>
        </w:rPr>
      </w:pPr>
      <w:r w:rsidRPr="00DD7BE7">
        <w:rPr>
          <w:b/>
          <w:sz w:val="36"/>
          <w:szCs w:val="36"/>
        </w:rPr>
        <w:t>NÁRODNÁ RADA SLOVENSKEJ REPUBLIKY</w:t>
      </w:r>
    </w:p>
    <w:p w:rsidR="00DD7BE7" w:rsidRPr="00DD7BE7" w:rsidRDefault="000A1B6A" w:rsidP="00223ACB">
      <w:pPr>
        <w:keepNext/>
        <w:keepLines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</w:t>
      </w:r>
      <w:r w:rsidR="00DD7BE7" w:rsidRPr="00DD7BE7">
        <w:rPr>
          <w:b/>
          <w:sz w:val="28"/>
          <w:szCs w:val="28"/>
        </w:rPr>
        <w:t>olebné obdobie</w:t>
      </w:r>
    </w:p>
    <w:p w:rsidR="008869C8" w:rsidRPr="00DD7BE7" w:rsidRDefault="008869C8" w:rsidP="00223ACB">
      <w:pPr>
        <w:keepNext/>
        <w:keepLines/>
        <w:spacing w:before="120" w:after="120"/>
        <w:jc w:val="center"/>
        <w:rPr>
          <w:b/>
          <w:color w:val="000000" w:themeColor="text1"/>
          <w:sz w:val="28"/>
          <w:szCs w:val="28"/>
        </w:rPr>
      </w:pPr>
      <w:r w:rsidRPr="00DD7BE7"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8869C8" w:rsidRDefault="008869C8" w:rsidP="00223ACB">
      <w:pPr>
        <w:keepNext/>
        <w:keepLines/>
        <w:spacing w:before="120" w:after="120"/>
        <w:jc w:val="center"/>
        <w:rPr>
          <w:b/>
          <w:color w:val="000000" w:themeColor="text1"/>
          <w:sz w:val="28"/>
          <w:szCs w:val="28"/>
        </w:rPr>
      </w:pPr>
    </w:p>
    <w:p w:rsidR="008869C8" w:rsidRDefault="008869C8" w:rsidP="00223ACB">
      <w:pPr>
        <w:keepNext/>
        <w:keepLines/>
        <w:spacing w:before="120" w:after="120"/>
        <w:jc w:val="center"/>
        <w:rPr>
          <w:b/>
          <w:color w:val="000000" w:themeColor="text1"/>
          <w:sz w:val="28"/>
          <w:szCs w:val="28"/>
        </w:rPr>
      </w:pPr>
    </w:p>
    <w:p w:rsidR="008869C8" w:rsidRDefault="002A3C3F" w:rsidP="00223ACB">
      <w:pPr>
        <w:keepNext/>
        <w:keepLines/>
        <w:spacing w:before="120" w:after="120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1289</w:t>
      </w:r>
    </w:p>
    <w:p w:rsidR="00DD7BE7" w:rsidRDefault="00DD7BE7" w:rsidP="00223ACB">
      <w:pPr>
        <w:keepNext/>
        <w:keepLines/>
        <w:spacing w:before="120" w:after="120"/>
        <w:jc w:val="center"/>
        <w:rPr>
          <w:b/>
          <w:color w:val="000000" w:themeColor="text1"/>
          <w:sz w:val="48"/>
          <w:szCs w:val="48"/>
        </w:rPr>
      </w:pPr>
    </w:p>
    <w:p w:rsidR="00DD7BE7" w:rsidRDefault="00DD7BE7" w:rsidP="00223ACB">
      <w:pPr>
        <w:keepNext/>
        <w:keepLines/>
        <w:spacing w:before="120" w:after="120"/>
        <w:jc w:val="center"/>
        <w:rPr>
          <w:b/>
          <w:color w:val="000000" w:themeColor="text1"/>
          <w:sz w:val="48"/>
          <w:szCs w:val="48"/>
        </w:rPr>
      </w:pPr>
    </w:p>
    <w:p w:rsidR="00DD7BE7" w:rsidRPr="00DD7BE7" w:rsidRDefault="00DD7BE7" w:rsidP="00223ACB">
      <w:pPr>
        <w:keepNext/>
        <w:keepLines/>
        <w:spacing w:before="120" w:after="120"/>
        <w:jc w:val="center"/>
        <w:rPr>
          <w:b/>
          <w:color w:val="000000" w:themeColor="text1"/>
        </w:rPr>
      </w:pPr>
    </w:p>
    <w:p w:rsidR="00755AA9" w:rsidRPr="008869C8" w:rsidRDefault="00755AA9" w:rsidP="00755AA9">
      <w:pPr>
        <w:keepNext/>
        <w:keepLines/>
        <w:spacing w:before="120" w:after="120"/>
        <w:jc w:val="center"/>
        <w:rPr>
          <w:b/>
          <w:color w:val="000000" w:themeColor="text1"/>
          <w:sz w:val="28"/>
          <w:szCs w:val="28"/>
        </w:rPr>
      </w:pPr>
      <w:r w:rsidRPr="008869C8">
        <w:rPr>
          <w:b/>
          <w:color w:val="000000" w:themeColor="text1"/>
          <w:sz w:val="28"/>
          <w:szCs w:val="28"/>
        </w:rPr>
        <w:t xml:space="preserve">VLÁDNY  NÁVRH </w:t>
      </w:r>
    </w:p>
    <w:p w:rsidR="00755AA9" w:rsidRPr="008869C8" w:rsidRDefault="00755AA9" w:rsidP="00755AA9">
      <w:pPr>
        <w:keepNext/>
        <w:keepLines/>
        <w:spacing w:before="120" w:after="120"/>
        <w:jc w:val="center"/>
        <w:rPr>
          <w:b/>
          <w:color w:val="000000" w:themeColor="text1"/>
        </w:rPr>
      </w:pPr>
      <w:r w:rsidRPr="008869C8">
        <w:rPr>
          <w:b/>
          <w:color w:val="000000" w:themeColor="text1"/>
        </w:rPr>
        <w:t>Zákon</w:t>
      </w:r>
    </w:p>
    <w:p w:rsidR="002A3C3F" w:rsidRPr="006D57D2" w:rsidRDefault="002A3C3F" w:rsidP="002A3C3F">
      <w:pPr>
        <w:keepNext/>
        <w:keepLines/>
        <w:spacing w:before="120" w:after="120"/>
        <w:jc w:val="center"/>
        <w:rPr>
          <w:b/>
          <w:color w:val="000000" w:themeColor="text1"/>
        </w:rPr>
      </w:pPr>
      <w:r w:rsidRPr="006D57D2">
        <w:rPr>
          <w:b/>
          <w:color w:val="000000" w:themeColor="text1"/>
        </w:rPr>
        <w:t>z ... 202</w:t>
      </w:r>
      <w:r>
        <w:rPr>
          <w:b/>
          <w:color w:val="000000" w:themeColor="text1"/>
        </w:rPr>
        <w:t>3</w:t>
      </w:r>
      <w:r w:rsidRPr="006D57D2">
        <w:rPr>
          <w:b/>
          <w:color w:val="000000" w:themeColor="text1"/>
        </w:rPr>
        <w:t>,</w:t>
      </w:r>
    </w:p>
    <w:p w:rsidR="002A3C3F" w:rsidRPr="006D57D2" w:rsidRDefault="002A3C3F" w:rsidP="002A3C3F">
      <w:pPr>
        <w:keepNext/>
        <w:keepLines/>
        <w:spacing w:before="120" w:after="120"/>
        <w:jc w:val="center"/>
        <w:rPr>
          <w:color w:val="000000" w:themeColor="text1"/>
        </w:rPr>
      </w:pPr>
      <w:r w:rsidRPr="006D57D2">
        <w:rPr>
          <w:b/>
          <w:color w:val="000000" w:themeColor="text1"/>
        </w:rPr>
        <w:t xml:space="preserve">ktorým sa mení a dopĺňa zákon č. 69/2018 Z. z. o kybernetickej bezpečnosti a o zmene a doplnení niektorých zákonov v znení neskorších predpisov </w:t>
      </w:r>
    </w:p>
    <w:p w:rsidR="002A3C3F" w:rsidRPr="006D57D2" w:rsidRDefault="002A3C3F" w:rsidP="002A3C3F">
      <w:pPr>
        <w:keepNext/>
        <w:keepLines/>
        <w:spacing w:before="480" w:after="480"/>
        <w:ind w:firstLine="709"/>
        <w:jc w:val="both"/>
        <w:rPr>
          <w:color w:val="000000" w:themeColor="text1"/>
        </w:rPr>
      </w:pPr>
      <w:r w:rsidRPr="006D57D2">
        <w:rPr>
          <w:color w:val="000000" w:themeColor="text1"/>
        </w:rPr>
        <w:t>Národná rada Slovenskej republiky sa uzniesla na tomto zákone:</w:t>
      </w:r>
    </w:p>
    <w:p w:rsidR="002A3C3F" w:rsidRPr="006D57D2" w:rsidRDefault="002A3C3F" w:rsidP="002A3C3F">
      <w:pPr>
        <w:keepNext/>
        <w:keepLines/>
        <w:spacing w:before="240" w:after="240"/>
        <w:jc w:val="center"/>
        <w:rPr>
          <w:b/>
          <w:color w:val="000000" w:themeColor="text1"/>
        </w:rPr>
      </w:pPr>
      <w:r w:rsidRPr="006D57D2">
        <w:rPr>
          <w:b/>
          <w:color w:val="000000" w:themeColor="text1"/>
        </w:rPr>
        <w:t>Čl. I</w:t>
      </w:r>
    </w:p>
    <w:p w:rsidR="002A3C3F" w:rsidRPr="006D57D2" w:rsidRDefault="002A3C3F" w:rsidP="002A3C3F">
      <w:pPr>
        <w:keepNext/>
        <w:keepLines/>
        <w:spacing w:before="240" w:after="240"/>
        <w:ind w:firstLine="709"/>
        <w:jc w:val="both"/>
        <w:rPr>
          <w:color w:val="000000" w:themeColor="text1"/>
        </w:rPr>
      </w:pPr>
      <w:r w:rsidRPr="006D57D2">
        <w:rPr>
          <w:color w:val="000000" w:themeColor="text1"/>
        </w:rPr>
        <w:t>Zákon č. 69/2018 Z. z. o kybernetickej bezpečnosti a o zmene a doplnení niektorých zákonov v znení zákona č. 373/2018 Z. z., zákona č. 134/2020 Z. z., zákona č. 287/2021 Z. z.</w:t>
      </w:r>
      <w:r>
        <w:rPr>
          <w:color w:val="000000" w:themeColor="text1"/>
        </w:rPr>
        <w:t>,</w:t>
      </w:r>
      <w:r w:rsidRPr="006D57D2">
        <w:rPr>
          <w:color w:val="000000" w:themeColor="text1"/>
        </w:rPr>
        <w:t xml:space="preserve"> zákona č. 55/2022 Z. z. </w:t>
      </w:r>
      <w:r>
        <w:rPr>
          <w:color w:val="000000" w:themeColor="text1"/>
        </w:rPr>
        <w:t xml:space="preserve">a zákona č. 231/2022 Z. z. </w:t>
      </w:r>
      <w:r w:rsidRPr="006D57D2">
        <w:rPr>
          <w:color w:val="000000" w:themeColor="text1"/>
        </w:rPr>
        <w:t>sa mení a dopĺňa takto:</w:t>
      </w:r>
    </w:p>
    <w:p w:rsidR="002A3C3F" w:rsidRPr="006D57D2" w:rsidRDefault="002A3C3F" w:rsidP="002A3C3F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 xml:space="preserve">V § 5 ods. 1 písmeno </w:t>
      </w:r>
      <w:proofErr w:type="spellStart"/>
      <w:r w:rsidRPr="006D57D2">
        <w:rPr>
          <w:rFonts w:ascii="Times New Roman" w:hAnsi="Times New Roman" w:cs="Times New Roman"/>
        </w:rPr>
        <w:t>ag</w:t>
      </w:r>
      <w:proofErr w:type="spellEnd"/>
      <w:r w:rsidRPr="006D57D2">
        <w:rPr>
          <w:rFonts w:ascii="Times New Roman" w:hAnsi="Times New Roman" w:cs="Times New Roman"/>
        </w:rPr>
        <w:t>) znie:</w:t>
      </w:r>
    </w:p>
    <w:p w:rsidR="002A3C3F" w:rsidRPr="006D57D2" w:rsidRDefault="002A3C3F" w:rsidP="002A3C3F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:rsidR="002A3C3F" w:rsidRDefault="002A3C3F" w:rsidP="002A3C3F">
      <w:pPr>
        <w:pStyle w:val="Odsekzoznamu"/>
        <w:ind w:left="708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>„</w:t>
      </w:r>
      <w:proofErr w:type="spellStart"/>
      <w:r w:rsidRPr="006D57D2">
        <w:rPr>
          <w:rFonts w:ascii="Times New Roman" w:hAnsi="Times New Roman" w:cs="Times New Roman"/>
        </w:rPr>
        <w:t>ag</w:t>
      </w:r>
      <w:proofErr w:type="spellEnd"/>
      <w:r w:rsidRPr="006D57D2">
        <w:rPr>
          <w:rFonts w:ascii="Times New Roman" w:hAnsi="Times New Roman" w:cs="Times New Roman"/>
        </w:rPr>
        <w:t>) rozhoduje o blokovaní a vykonáva blokovanie činnosti, údaja alebo programového prostriedku</w:t>
      </w:r>
      <w:r>
        <w:rPr>
          <w:rFonts w:ascii="Times New Roman" w:hAnsi="Times New Roman" w:cs="Times New Roman"/>
        </w:rPr>
        <w:t>, ktoré smerujú do kybernetického priestoru Slovenskej republiky alebo z kybernetického priestoru Slovenskej republiky,</w:t>
      </w:r>
      <w:r w:rsidRPr="006D57D2">
        <w:rPr>
          <w:rFonts w:ascii="Times New Roman" w:hAnsi="Times New Roman" w:cs="Times New Roman"/>
        </w:rPr>
        <w:t xml:space="preserve"> identifikované doménou alebo doménovým záznamom, priamym odkazom (</w:t>
      </w:r>
      <w:proofErr w:type="spellStart"/>
      <w:r w:rsidRPr="006D57D2">
        <w:rPr>
          <w:rFonts w:ascii="Times New Roman" w:hAnsi="Times New Roman" w:cs="Times New Roman"/>
        </w:rPr>
        <w:t>Uniform</w:t>
      </w:r>
      <w:proofErr w:type="spellEnd"/>
      <w:r w:rsidRPr="006D57D2">
        <w:rPr>
          <w:rFonts w:ascii="Times New Roman" w:hAnsi="Times New Roman" w:cs="Times New Roman"/>
        </w:rPr>
        <w:t xml:space="preserve"> </w:t>
      </w:r>
      <w:proofErr w:type="spellStart"/>
      <w:r w:rsidRPr="006D57D2">
        <w:rPr>
          <w:rFonts w:ascii="Times New Roman" w:hAnsi="Times New Roman" w:cs="Times New Roman"/>
        </w:rPr>
        <w:t>Resource</w:t>
      </w:r>
      <w:proofErr w:type="spellEnd"/>
      <w:r w:rsidRPr="006D57D2">
        <w:rPr>
          <w:rFonts w:ascii="Times New Roman" w:hAnsi="Times New Roman" w:cs="Times New Roman"/>
        </w:rPr>
        <w:t xml:space="preserve"> </w:t>
      </w:r>
      <w:proofErr w:type="spellStart"/>
      <w:r w:rsidRPr="006D57D2">
        <w:rPr>
          <w:rFonts w:ascii="Times New Roman" w:hAnsi="Times New Roman" w:cs="Times New Roman"/>
        </w:rPr>
        <w:t>Locator</w:t>
      </w:r>
      <w:proofErr w:type="spellEnd"/>
      <w:r w:rsidRPr="006D57D2">
        <w:rPr>
          <w:rFonts w:ascii="Times New Roman" w:hAnsi="Times New Roman" w:cs="Times New Roman"/>
        </w:rPr>
        <w:t xml:space="preserve">) alebo časťou priameho odkazu, technickým indikátorom, IP adresou alebo adresným rozsahom, používateľským účtom, kanálom na sociálnych sieťach </w:t>
      </w:r>
      <w:r w:rsidRPr="007C0188">
        <w:rPr>
          <w:rFonts w:ascii="Times New Roman" w:hAnsi="Times New Roman" w:cs="Times New Roman"/>
        </w:rPr>
        <w:t>alebo</w:t>
      </w:r>
      <w:r w:rsidRPr="006D57D2">
        <w:rPr>
          <w:rFonts w:ascii="Times New Roman" w:hAnsi="Times New Roman" w:cs="Times New Roman"/>
        </w:rPr>
        <w:t xml:space="preserve"> komunikačných platformách</w:t>
      </w:r>
      <w:r>
        <w:rPr>
          <w:rFonts w:ascii="Times New Roman" w:hAnsi="Times New Roman" w:cs="Times New Roman"/>
        </w:rPr>
        <w:t xml:space="preserve"> (ďalej len „blokovanie“),“. </w:t>
      </w:r>
      <w:r w:rsidRPr="006D57D2">
        <w:rPr>
          <w:rFonts w:ascii="Times New Roman" w:hAnsi="Times New Roman" w:cs="Times New Roman"/>
        </w:rPr>
        <w:t xml:space="preserve"> </w:t>
      </w:r>
    </w:p>
    <w:p w:rsidR="002A3C3F" w:rsidRPr="006D57D2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</w:p>
    <w:p w:rsidR="002A3C3F" w:rsidRDefault="002A3C3F" w:rsidP="002A3C3F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sa odsek 1 dopĺňa písmenom ah), ktoré znie:</w:t>
      </w:r>
    </w:p>
    <w:p w:rsidR="002A3C3F" w:rsidRPr="006D57D2" w:rsidRDefault="002A3C3F" w:rsidP="002A3C3F">
      <w:pPr>
        <w:pStyle w:val="Odsekzoznamu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„ah) </w:t>
      </w:r>
      <w:r w:rsidRPr="006D57D2">
        <w:rPr>
          <w:rFonts w:ascii="Times New Roman" w:hAnsi="Times New Roman" w:cs="Times New Roman"/>
        </w:rPr>
        <w:t>predkladá príslušnému osobitnému kontrolnému výboru Národnej rady Slovenskej republiky každoročne správu o vydaných rozhodnutiach o blokovaní podľa § 27b.“.</w:t>
      </w:r>
    </w:p>
    <w:p w:rsidR="002A3C3F" w:rsidRDefault="002A3C3F" w:rsidP="002A3C3F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:rsidR="002A3C3F" w:rsidRPr="006D57D2" w:rsidRDefault="002A3C3F" w:rsidP="002A3C3F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Pr="006D57D2">
        <w:rPr>
          <w:rFonts w:ascii="Times New Roman" w:hAnsi="Times New Roman" w:cs="Times New Roman"/>
        </w:rPr>
        <w:t xml:space="preserve">§ 27 </w:t>
      </w:r>
      <w:r>
        <w:rPr>
          <w:rFonts w:ascii="Times New Roman" w:hAnsi="Times New Roman" w:cs="Times New Roman"/>
        </w:rPr>
        <w:t xml:space="preserve">sa </w:t>
      </w:r>
      <w:r w:rsidRPr="006D57D2">
        <w:rPr>
          <w:rFonts w:ascii="Times New Roman" w:hAnsi="Times New Roman" w:cs="Times New Roman"/>
        </w:rPr>
        <w:t>ods</w:t>
      </w:r>
      <w:r>
        <w:rPr>
          <w:rFonts w:ascii="Times New Roman" w:hAnsi="Times New Roman" w:cs="Times New Roman"/>
        </w:rPr>
        <w:t>ek</w:t>
      </w:r>
      <w:r w:rsidRPr="006D57D2">
        <w:rPr>
          <w:rFonts w:ascii="Times New Roman" w:hAnsi="Times New Roman" w:cs="Times New Roman"/>
        </w:rPr>
        <w:t xml:space="preserve"> 1 dopĺňa písmenom e), ktoré znie:</w:t>
      </w:r>
    </w:p>
    <w:p w:rsidR="002A3C3F" w:rsidRPr="006D57D2" w:rsidRDefault="002A3C3F" w:rsidP="002A3C3F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:rsidR="002A3C3F" w:rsidRPr="006D57D2" w:rsidRDefault="002A3C3F" w:rsidP="002A3C3F">
      <w:pPr>
        <w:ind w:left="709" w:hanging="1"/>
        <w:jc w:val="both"/>
      </w:pPr>
      <w:r w:rsidRPr="006D57D2">
        <w:t>„e) vykonať blokovanie.“.</w:t>
      </w:r>
    </w:p>
    <w:p w:rsidR="002A3C3F" w:rsidRPr="006D57D2" w:rsidRDefault="002A3C3F" w:rsidP="002A3C3F">
      <w:pPr>
        <w:ind w:firstLine="708"/>
        <w:jc w:val="both"/>
      </w:pPr>
    </w:p>
    <w:p w:rsidR="002A3C3F" w:rsidRPr="006D57D2" w:rsidRDefault="002A3C3F" w:rsidP="002A3C3F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>V § 27b odsek 1 znie:</w:t>
      </w:r>
    </w:p>
    <w:p w:rsidR="002A3C3F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 xml:space="preserve">„(1) </w:t>
      </w:r>
      <w:r>
        <w:rPr>
          <w:rFonts w:ascii="Times New Roman" w:hAnsi="Times New Roman" w:cs="Times New Roman"/>
        </w:rPr>
        <w:t>Úrad rozhoduje o blokovaní</w:t>
      </w:r>
      <w:r w:rsidRPr="006D57D2">
        <w:rPr>
          <w:rFonts w:ascii="Times New Roman" w:hAnsi="Times New Roman" w:cs="Times New Roman"/>
        </w:rPr>
        <w:t xml:space="preserve"> len na základe doručeného odôvodneného návrhu subjektu s pôsobnosťou v oblasti bezpečnosti a obrany štátu</w:t>
      </w:r>
      <w:r w:rsidRPr="006D57D2">
        <w:rPr>
          <w:rFonts w:ascii="Times New Roman" w:hAnsi="Times New Roman" w:cs="Times New Roman"/>
          <w:vertAlign w:val="superscript"/>
        </w:rPr>
        <w:t>28ba)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6D57D2">
        <w:rPr>
          <w:rFonts w:ascii="Times New Roman" w:hAnsi="Times New Roman" w:cs="Times New Roman"/>
        </w:rPr>
        <w:t xml:space="preserve">a na základe predchádzajúceho súhlasu súdu a v jeho rozsahu. </w:t>
      </w:r>
      <w:r>
        <w:rPr>
          <w:rFonts w:ascii="Times New Roman" w:hAnsi="Times New Roman" w:cs="Times New Roman"/>
        </w:rPr>
        <w:t>Žiadosť o</w:t>
      </w:r>
      <w:r w:rsidRPr="006D57D2">
        <w:rPr>
          <w:rFonts w:ascii="Times New Roman" w:hAnsi="Times New Roman" w:cs="Times New Roman"/>
        </w:rPr>
        <w:t xml:space="preserve"> vydanie súhlasu súdu s blokovaním </w:t>
      </w:r>
      <w:r>
        <w:rPr>
          <w:rFonts w:ascii="Times New Roman" w:hAnsi="Times New Roman" w:cs="Times New Roman"/>
        </w:rPr>
        <w:t>predkladá úrad písomne</w:t>
      </w:r>
      <w:r w:rsidRPr="006D57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Najvyššiemu správnemu súdu Slovenskej republiky s</w:t>
      </w:r>
      <w:r w:rsidRPr="006D57D2">
        <w:rPr>
          <w:rFonts w:ascii="Times New Roman" w:hAnsi="Times New Roman" w:cs="Times New Roman"/>
        </w:rPr>
        <w:t xml:space="preserve"> náležitos</w:t>
      </w:r>
      <w:r>
        <w:rPr>
          <w:rFonts w:ascii="Times New Roman" w:hAnsi="Times New Roman" w:cs="Times New Roman"/>
        </w:rPr>
        <w:t>ťam</w:t>
      </w:r>
      <w:r w:rsidRPr="006D57D2">
        <w:rPr>
          <w:rFonts w:ascii="Times New Roman" w:hAnsi="Times New Roman" w:cs="Times New Roman"/>
        </w:rPr>
        <w:t xml:space="preserve">i podľa odseku 2 písm. a) až f). </w:t>
      </w:r>
      <w:r>
        <w:rPr>
          <w:rFonts w:ascii="Times New Roman" w:hAnsi="Times New Roman" w:cs="Times New Roman"/>
        </w:rPr>
        <w:t> </w:t>
      </w:r>
      <w:r w:rsidR="001C63F9">
        <w:rPr>
          <w:rFonts w:ascii="Times New Roman" w:hAnsi="Times New Roman" w:cs="Times New Roman"/>
        </w:rPr>
        <w:t xml:space="preserve">Sudca </w:t>
      </w:r>
      <w:r>
        <w:rPr>
          <w:rFonts w:ascii="Times New Roman" w:hAnsi="Times New Roman" w:cs="Times New Roman"/>
        </w:rPr>
        <w:t>Najvyšš</w:t>
      </w:r>
      <w:r w:rsidR="001C63F9">
        <w:rPr>
          <w:rFonts w:ascii="Times New Roman" w:hAnsi="Times New Roman" w:cs="Times New Roman"/>
        </w:rPr>
        <w:t>ieho</w:t>
      </w:r>
      <w:r>
        <w:rPr>
          <w:rFonts w:ascii="Times New Roman" w:hAnsi="Times New Roman" w:cs="Times New Roman"/>
        </w:rPr>
        <w:t xml:space="preserve"> správn</w:t>
      </w:r>
      <w:r w:rsidR="001C63F9">
        <w:rPr>
          <w:rFonts w:ascii="Times New Roman" w:hAnsi="Times New Roman" w:cs="Times New Roman"/>
        </w:rPr>
        <w:t>eho</w:t>
      </w:r>
      <w:r>
        <w:rPr>
          <w:rFonts w:ascii="Times New Roman" w:hAnsi="Times New Roman" w:cs="Times New Roman"/>
        </w:rPr>
        <w:t xml:space="preserve"> súd</w:t>
      </w:r>
      <w:r w:rsidR="001C63F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Slovenskej republiky rozhodne o vydaní súhlasu s blokovaním do</w:t>
      </w:r>
      <w:r w:rsidRPr="006D57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</w:t>
      </w:r>
      <w:r w:rsidRPr="006D57D2">
        <w:rPr>
          <w:rFonts w:ascii="Times New Roman" w:hAnsi="Times New Roman" w:cs="Times New Roman"/>
        </w:rPr>
        <w:t xml:space="preserve"> dní odo dňa podania žiadosti</w:t>
      </w:r>
      <w:r w:rsidR="001C63F9">
        <w:rPr>
          <w:rFonts w:ascii="Times New Roman" w:hAnsi="Times New Roman" w:cs="Times New Roman"/>
        </w:rPr>
        <w:t xml:space="preserve"> postupom podľa osobitného predpisu</w:t>
      </w:r>
      <w:r w:rsidR="001C63F9">
        <w:rPr>
          <w:rFonts w:ascii="Times New Roman" w:hAnsi="Times New Roman" w:cs="Times New Roman"/>
          <w:vertAlign w:val="superscript"/>
        </w:rPr>
        <w:t>28a</w:t>
      </w:r>
      <w:r w:rsidR="001C63F9">
        <w:rPr>
          <w:rFonts w:ascii="Times New Roman" w:hAnsi="Times New Roman" w:cs="Times New Roman"/>
        </w:rPr>
        <w:t>) primerane.</w:t>
      </w:r>
      <w:r w:rsidRPr="006D57D2">
        <w:rPr>
          <w:rFonts w:ascii="Times New Roman" w:hAnsi="Times New Roman" w:cs="Times New Roman"/>
        </w:rPr>
        <w:t xml:space="preserve"> </w:t>
      </w:r>
      <w:r w:rsidR="001C63F9">
        <w:rPr>
          <w:rFonts w:ascii="Times New Roman" w:hAnsi="Times New Roman" w:cs="Times New Roman"/>
        </w:rPr>
        <w:t>P</w:t>
      </w:r>
      <w:r w:rsidRPr="006D57D2">
        <w:rPr>
          <w:rFonts w:ascii="Times New Roman" w:hAnsi="Times New Roman" w:cs="Times New Roman"/>
        </w:rPr>
        <w:t xml:space="preserve">roti </w:t>
      </w:r>
      <w:r>
        <w:rPr>
          <w:rFonts w:ascii="Times New Roman" w:hAnsi="Times New Roman" w:cs="Times New Roman"/>
        </w:rPr>
        <w:t>rozhodnutiu</w:t>
      </w:r>
      <w:r w:rsidRPr="006D57D2">
        <w:rPr>
          <w:rFonts w:ascii="Times New Roman" w:hAnsi="Times New Roman" w:cs="Times New Roman"/>
        </w:rPr>
        <w:t xml:space="preserve"> </w:t>
      </w:r>
      <w:r w:rsidR="001C63F9">
        <w:rPr>
          <w:rFonts w:ascii="Times New Roman" w:hAnsi="Times New Roman" w:cs="Times New Roman"/>
        </w:rPr>
        <w:t xml:space="preserve">Najvyššieho správneho </w:t>
      </w:r>
      <w:bookmarkStart w:id="0" w:name="_GoBack"/>
      <w:bookmarkEnd w:id="0"/>
      <w:r w:rsidRPr="006D57D2">
        <w:rPr>
          <w:rFonts w:ascii="Times New Roman" w:hAnsi="Times New Roman" w:cs="Times New Roman"/>
        </w:rPr>
        <w:t>súdu</w:t>
      </w:r>
      <w:r>
        <w:rPr>
          <w:rFonts w:ascii="Times New Roman" w:hAnsi="Times New Roman" w:cs="Times New Roman"/>
        </w:rPr>
        <w:t xml:space="preserve"> o vydaní súhlasu</w:t>
      </w:r>
      <w:r w:rsidRPr="006D57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 blokovaním </w:t>
      </w:r>
      <w:r w:rsidRPr="006D57D2">
        <w:rPr>
          <w:rFonts w:ascii="Times New Roman" w:hAnsi="Times New Roman" w:cs="Times New Roman"/>
        </w:rPr>
        <w:t>nie je prípustný opravný prostriedok.</w:t>
      </w:r>
      <w:r>
        <w:rPr>
          <w:rFonts w:ascii="Times New Roman" w:hAnsi="Times New Roman" w:cs="Times New Roman"/>
        </w:rPr>
        <w:t xml:space="preserve"> Rozhodnutie Najvyššieho správneho súdu Slovenskej republiky o vydaní súhlasu s blokovaním</w:t>
      </w:r>
      <w:r w:rsidRPr="00C87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musí obsahovať náležitosti podľa odseku 2.</w:t>
      </w:r>
      <w:r w:rsidRPr="006D57D2">
        <w:rPr>
          <w:rFonts w:ascii="Times New Roman" w:hAnsi="Times New Roman" w:cs="Times New Roman"/>
        </w:rPr>
        <w:t xml:space="preserve">“. </w:t>
      </w:r>
    </w:p>
    <w:p w:rsidR="002A3C3F" w:rsidRPr="006D57D2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</w:p>
    <w:p w:rsidR="002A3C3F" w:rsidRPr="006D57D2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>Poznámka pod čiarou k odkazu 28ba znie:</w:t>
      </w:r>
    </w:p>
    <w:p w:rsidR="002A3C3F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>„</w:t>
      </w:r>
      <w:r w:rsidRPr="006D57D2">
        <w:rPr>
          <w:rFonts w:ascii="Times New Roman" w:hAnsi="Times New Roman" w:cs="Times New Roman"/>
          <w:vertAlign w:val="superscript"/>
        </w:rPr>
        <w:t>28ba</w:t>
      </w:r>
      <w:r w:rsidRPr="006D57D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Zákon</w:t>
      </w:r>
      <w:r w:rsidRPr="006D57D2">
        <w:rPr>
          <w:rFonts w:ascii="Times New Roman" w:hAnsi="Times New Roman" w:cs="Times New Roman"/>
        </w:rPr>
        <w:t xml:space="preserve"> Národnej rady Slovenskej republiky  č. 46/1993 Z. z. v znení neskorších predpisov</w:t>
      </w:r>
      <w:r>
        <w:rPr>
          <w:rFonts w:ascii="Times New Roman" w:hAnsi="Times New Roman" w:cs="Times New Roman"/>
        </w:rPr>
        <w:t>.</w:t>
      </w:r>
    </w:p>
    <w:p w:rsidR="002A3C3F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6D57D2">
        <w:rPr>
          <w:rFonts w:ascii="Times New Roman" w:hAnsi="Times New Roman" w:cs="Times New Roman"/>
        </w:rPr>
        <w:t>ákon Národnej rady Slovenskej republiky č. 171/1993 Z. z. o Policajnom zbore v znení neskorších predpisov</w:t>
      </w:r>
      <w:r>
        <w:rPr>
          <w:rFonts w:ascii="Times New Roman" w:hAnsi="Times New Roman" w:cs="Times New Roman"/>
        </w:rPr>
        <w:t>.</w:t>
      </w:r>
      <w:r w:rsidRPr="006D57D2">
        <w:rPr>
          <w:rFonts w:ascii="Times New Roman" w:hAnsi="Times New Roman" w:cs="Times New Roman"/>
        </w:rPr>
        <w:t xml:space="preserve"> </w:t>
      </w:r>
    </w:p>
    <w:p w:rsidR="002A3C3F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6D57D2">
        <w:rPr>
          <w:rFonts w:ascii="Times New Roman" w:hAnsi="Times New Roman" w:cs="Times New Roman"/>
        </w:rPr>
        <w:t>ákon Národnej rady Slovenskej republiky č. 198/1994 Z. z. v znení neskorších predpisov</w:t>
      </w:r>
      <w:r>
        <w:rPr>
          <w:rFonts w:ascii="Times New Roman" w:hAnsi="Times New Roman" w:cs="Times New Roman"/>
        </w:rPr>
        <w:t>.</w:t>
      </w:r>
    </w:p>
    <w:p w:rsidR="002A3C3F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6D57D2">
        <w:rPr>
          <w:rFonts w:ascii="Times New Roman" w:hAnsi="Times New Roman" w:cs="Times New Roman"/>
        </w:rPr>
        <w:t>11 zákona č. 575/2001 Z. z. v znení neskorších predpisov</w:t>
      </w:r>
      <w:r>
        <w:rPr>
          <w:rFonts w:ascii="Times New Roman" w:hAnsi="Times New Roman" w:cs="Times New Roman"/>
        </w:rPr>
        <w:t>.</w:t>
      </w:r>
    </w:p>
    <w:p w:rsidR="002A3C3F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6D57D2">
        <w:rPr>
          <w:rFonts w:ascii="Times New Roman" w:hAnsi="Times New Roman" w:cs="Times New Roman"/>
        </w:rPr>
        <w:t>ákon č. 319/2002 Z. z. v znení neskorších predpisov.“.</w:t>
      </w:r>
    </w:p>
    <w:p w:rsidR="002A3C3F" w:rsidRPr="006D57D2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</w:p>
    <w:p w:rsidR="002A3C3F" w:rsidRDefault="002A3C3F" w:rsidP="002A3C3F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27b ods. 2 písm. c) sa vypúšťajú slová „alebo škodlivej aktivity“.</w:t>
      </w:r>
    </w:p>
    <w:p w:rsidR="002A3C3F" w:rsidRDefault="002A3C3F" w:rsidP="002A3C3F">
      <w:pPr>
        <w:pStyle w:val="Odsekzoznamu"/>
        <w:spacing w:after="160" w:line="259" w:lineRule="auto"/>
        <w:jc w:val="both"/>
        <w:rPr>
          <w:rFonts w:ascii="Times New Roman" w:hAnsi="Times New Roman" w:cs="Times New Roman"/>
        </w:rPr>
      </w:pPr>
    </w:p>
    <w:p w:rsidR="002A3C3F" w:rsidRPr="006D57D2" w:rsidRDefault="002A3C3F" w:rsidP="002A3C3F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 xml:space="preserve">V § 27b odsek 3 znie: </w:t>
      </w:r>
    </w:p>
    <w:p w:rsidR="002A3C3F" w:rsidRPr="006D57D2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 xml:space="preserve">„(3) </w:t>
      </w:r>
      <w:r>
        <w:rPr>
          <w:rFonts w:ascii="Times New Roman" w:hAnsi="Times New Roman" w:cs="Times New Roman"/>
        </w:rPr>
        <w:t xml:space="preserve">Škodlivým obsahom sa rozumie </w:t>
      </w:r>
      <w:r w:rsidRPr="006D57D2">
        <w:rPr>
          <w:rFonts w:ascii="Times New Roman" w:hAnsi="Times New Roman" w:cs="Times New Roman"/>
        </w:rPr>
        <w:t>činnosť, údaj alebo programový prostriedok</w:t>
      </w:r>
      <w:r>
        <w:rPr>
          <w:rFonts w:ascii="Times New Roman" w:hAnsi="Times New Roman" w:cs="Times New Roman"/>
        </w:rPr>
        <w:t>, ktorý</w:t>
      </w:r>
      <w:r w:rsidRPr="006D57D2">
        <w:rPr>
          <w:rFonts w:ascii="Times New Roman" w:hAnsi="Times New Roman" w:cs="Times New Roman"/>
        </w:rPr>
        <w:t xml:space="preserve"> má alebo môže mať za následok poškodenie alebo ohrozenie bezpečnostných, zahraničnopolitických alebo hospodárskych záujmov Slovenskej republiky a je formou hybridnej hrozby.“.</w:t>
      </w:r>
    </w:p>
    <w:p w:rsidR="002A3C3F" w:rsidRPr="006D57D2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</w:p>
    <w:p w:rsidR="002A3C3F" w:rsidRPr="007C0188" w:rsidRDefault="002A3C3F" w:rsidP="002A3C3F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 xml:space="preserve">V § 27b ods. 4 sa na konci pripájajú tieto vety: </w:t>
      </w:r>
      <w:r w:rsidRPr="007570AD">
        <w:rPr>
          <w:rFonts w:ascii="Times New Roman" w:hAnsi="Times New Roman" w:cs="Times New Roman"/>
        </w:rPr>
        <w:t>„Úrad vykonáva blokovanie v rozsahu nevyhnutnom na dosiahnutie cieľa a spôsobom primeraným vo vzťahu k následkom na majetku, právach a právom chránených záujmoch iných osôb.</w:t>
      </w:r>
      <w:r w:rsidRPr="007C0188">
        <w:rPr>
          <w:rFonts w:ascii="Times New Roman" w:hAnsi="Times New Roman" w:cs="Times New Roman"/>
        </w:rPr>
        <w:t xml:space="preserve"> Rozhodnutie o blokovaní možno vydať s platnosťou najdlhšie na deväť kalendárnych mesiacov.“.</w:t>
      </w:r>
    </w:p>
    <w:p w:rsidR="002A3C3F" w:rsidRPr="006D57D2" w:rsidRDefault="002A3C3F" w:rsidP="002A3C3F">
      <w:pPr>
        <w:pStyle w:val="Odsekzoznamu"/>
        <w:spacing w:after="160" w:line="259" w:lineRule="auto"/>
        <w:jc w:val="both"/>
        <w:rPr>
          <w:rFonts w:ascii="Times New Roman" w:hAnsi="Times New Roman" w:cs="Times New Roman"/>
        </w:rPr>
      </w:pPr>
    </w:p>
    <w:p w:rsidR="002A3C3F" w:rsidRPr="006D57D2" w:rsidRDefault="002A3C3F" w:rsidP="002A3C3F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>V § 27b ods. 7 sa vypúšťa posledná veta.</w:t>
      </w:r>
    </w:p>
    <w:p w:rsidR="002A3C3F" w:rsidRPr="006D57D2" w:rsidRDefault="002A3C3F" w:rsidP="002A3C3F">
      <w:pPr>
        <w:pStyle w:val="Odsekzoznamu"/>
        <w:spacing w:after="160" w:line="259" w:lineRule="auto"/>
        <w:jc w:val="both"/>
        <w:rPr>
          <w:rFonts w:ascii="Times New Roman" w:hAnsi="Times New Roman" w:cs="Times New Roman"/>
        </w:rPr>
      </w:pPr>
    </w:p>
    <w:p w:rsidR="002A3C3F" w:rsidRPr="006D57D2" w:rsidRDefault="002A3C3F" w:rsidP="002A3C3F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 xml:space="preserve">V § 27b ods. 8 sa vypúšťajú </w:t>
      </w:r>
      <w:r w:rsidRPr="00530231">
        <w:rPr>
          <w:rFonts w:ascii="Times New Roman" w:hAnsi="Times New Roman" w:cs="Times New Roman"/>
        </w:rPr>
        <w:t>slová „a škodlivé</w:t>
      </w:r>
      <w:r w:rsidRPr="006D57D2">
        <w:rPr>
          <w:rFonts w:ascii="Times New Roman" w:hAnsi="Times New Roman" w:cs="Times New Roman"/>
        </w:rPr>
        <w:t xml:space="preserve"> aktivity“</w:t>
      </w:r>
      <w:r>
        <w:rPr>
          <w:rFonts w:ascii="Times New Roman" w:hAnsi="Times New Roman" w:cs="Times New Roman"/>
        </w:rPr>
        <w:t xml:space="preserve"> a slovo „ktoré“ sa nahrádza slovom „ktorý“</w:t>
      </w:r>
      <w:r w:rsidRPr="006D57D2">
        <w:rPr>
          <w:rFonts w:ascii="Times New Roman" w:hAnsi="Times New Roman" w:cs="Times New Roman"/>
        </w:rPr>
        <w:t>.</w:t>
      </w:r>
    </w:p>
    <w:p w:rsidR="002A3C3F" w:rsidRPr="006D57D2" w:rsidRDefault="002A3C3F" w:rsidP="002A3C3F">
      <w:pPr>
        <w:pStyle w:val="Odsekzoznamu"/>
        <w:jc w:val="both"/>
        <w:rPr>
          <w:rFonts w:ascii="Times New Roman" w:hAnsi="Times New Roman" w:cs="Times New Roman"/>
        </w:rPr>
      </w:pPr>
    </w:p>
    <w:p w:rsidR="002A3C3F" w:rsidRPr="006D57D2" w:rsidRDefault="002A3C3F" w:rsidP="002A3C3F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 xml:space="preserve">V § 27b odsek 9 znie: </w:t>
      </w:r>
    </w:p>
    <w:p w:rsidR="002A3C3F" w:rsidRPr="006D57D2" w:rsidRDefault="002A3C3F" w:rsidP="002A3C3F">
      <w:pPr>
        <w:pStyle w:val="Odsekzoznamu"/>
        <w:spacing w:after="0" w:line="240" w:lineRule="auto"/>
        <w:ind w:left="810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lastRenderedPageBreak/>
        <w:t>„(9) Úrad zverejní rozhodnutie o blokovaní a informáciu o zrušení blokovan</w:t>
      </w:r>
      <w:r>
        <w:rPr>
          <w:rFonts w:ascii="Times New Roman" w:hAnsi="Times New Roman" w:cs="Times New Roman"/>
        </w:rPr>
        <w:t>ia</w:t>
      </w:r>
      <w:r w:rsidRPr="006D57D2">
        <w:rPr>
          <w:rFonts w:ascii="Times New Roman" w:hAnsi="Times New Roman" w:cs="Times New Roman"/>
        </w:rPr>
        <w:t xml:space="preserve"> na svojom webovom sídle.“.</w:t>
      </w:r>
    </w:p>
    <w:p w:rsidR="002A3C3F" w:rsidRPr="006D57D2" w:rsidRDefault="002A3C3F" w:rsidP="002A3C3F">
      <w:pPr>
        <w:pStyle w:val="Odsekzoznamu"/>
        <w:spacing w:after="0" w:line="240" w:lineRule="auto"/>
        <w:ind w:left="810"/>
        <w:jc w:val="both"/>
        <w:rPr>
          <w:rFonts w:ascii="Times New Roman" w:hAnsi="Times New Roman" w:cs="Times New Roman"/>
        </w:rPr>
      </w:pPr>
    </w:p>
    <w:p w:rsidR="002A3C3F" w:rsidRPr="006D57D2" w:rsidRDefault="002A3C3F" w:rsidP="002A3C3F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6D57D2">
        <w:rPr>
          <w:rFonts w:ascii="Times New Roman" w:hAnsi="Times New Roman" w:cs="Times New Roman"/>
        </w:rPr>
        <w:t>27b sa dopĺňa odsekom 10, ktorý znie:</w:t>
      </w:r>
    </w:p>
    <w:p w:rsidR="002A3C3F" w:rsidRPr="006D57D2" w:rsidRDefault="002A3C3F" w:rsidP="002A3C3F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  <w:r w:rsidRPr="006D57D2">
        <w:rPr>
          <w:rFonts w:ascii="Times New Roman" w:hAnsi="Times New Roman" w:cs="Times New Roman"/>
        </w:rPr>
        <w:t>„(10) Náklady spojené s výkonom blokovania a zodpovednosť za škodu spôsobenú blokovaním znáša úrad.“.</w:t>
      </w:r>
    </w:p>
    <w:p w:rsidR="002A3C3F" w:rsidRPr="006D57D2" w:rsidRDefault="002A3C3F" w:rsidP="002A3C3F">
      <w:pPr>
        <w:jc w:val="both"/>
      </w:pPr>
    </w:p>
    <w:p w:rsidR="002A3C3F" w:rsidRDefault="002A3C3F" w:rsidP="002A3C3F">
      <w:pPr>
        <w:jc w:val="center"/>
        <w:rPr>
          <w:b/>
          <w:color w:val="000000" w:themeColor="text1"/>
        </w:rPr>
      </w:pPr>
    </w:p>
    <w:p w:rsidR="002A3C3F" w:rsidRPr="006D57D2" w:rsidRDefault="002A3C3F" w:rsidP="002A3C3F">
      <w:pPr>
        <w:jc w:val="center"/>
        <w:rPr>
          <w:b/>
          <w:color w:val="000000" w:themeColor="text1"/>
        </w:rPr>
      </w:pPr>
      <w:r w:rsidRPr="006D57D2">
        <w:rPr>
          <w:b/>
          <w:color w:val="000000" w:themeColor="text1"/>
        </w:rPr>
        <w:t>Čl. II</w:t>
      </w:r>
    </w:p>
    <w:p w:rsidR="002A3C3F" w:rsidRPr="006D57D2" w:rsidRDefault="002A3C3F" w:rsidP="002A3C3F">
      <w:pPr>
        <w:keepNext/>
        <w:keepLines/>
        <w:spacing w:before="240" w:after="240"/>
        <w:jc w:val="both"/>
        <w:rPr>
          <w:color w:val="000000" w:themeColor="text1"/>
        </w:rPr>
      </w:pPr>
      <w:r w:rsidRPr="006D57D2">
        <w:rPr>
          <w:color w:val="000000" w:themeColor="text1"/>
        </w:rPr>
        <w:t xml:space="preserve">Tento zákon nadobúda účinnosť 1. </w:t>
      </w:r>
      <w:r>
        <w:rPr>
          <w:color w:val="000000" w:themeColor="text1"/>
        </w:rPr>
        <w:t>apríla</w:t>
      </w:r>
      <w:r w:rsidRPr="006D57D2">
        <w:rPr>
          <w:color w:val="000000" w:themeColor="text1"/>
        </w:rPr>
        <w:t xml:space="preserve"> 202</w:t>
      </w:r>
      <w:r>
        <w:rPr>
          <w:color w:val="000000" w:themeColor="text1"/>
        </w:rPr>
        <w:t>3.</w:t>
      </w:r>
    </w:p>
    <w:p w:rsidR="00A279A7" w:rsidRPr="00593E71" w:rsidRDefault="00A279A7" w:rsidP="00A279A7"/>
    <w:sectPr w:rsidR="00A279A7" w:rsidRPr="00593E71" w:rsidSect="003F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C4B6D5" w16cid:durableId="2367DF26"/>
  <w16cid:commentId w16cid:paraId="5C11F36D" w16cid:durableId="2367DF27"/>
  <w16cid:commentId w16cid:paraId="1B3800F9" w16cid:durableId="2367F647"/>
  <w16cid:commentId w16cid:paraId="37B47251" w16cid:durableId="2367DF28"/>
  <w16cid:commentId w16cid:paraId="20925F79" w16cid:durableId="2367DF29"/>
  <w16cid:commentId w16cid:paraId="4EACEEA7" w16cid:durableId="2367F5E5"/>
  <w16cid:commentId w16cid:paraId="2A657AD4" w16cid:durableId="2367DF2A"/>
  <w16cid:commentId w16cid:paraId="1225D0A3" w16cid:durableId="2367DF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0C" w:rsidRDefault="005B490C" w:rsidP="00FB74E2">
      <w:r>
        <w:separator/>
      </w:r>
    </w:p>
  </w:endnote>
  <w:endnote w:type="continuationSeparator" w:id="0">
    <w:p w:rsidR="005B490C" w:rsidRDefault="005B490C" w:rsidP="00FB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8" w:rsidRDefault="008869C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665806"/>
      <w:docPartObj>
        <w:docPartGallery w:val="Page Numbers (Bottom of Page)"/>
        <w:docPartUnique/>
      </w:docPartObj>
    </w:sdtPr>
    <w:sdtEndPr/>
    <w:sdtContent>
      <w:p w:rsidR="0061091B" w:rsidRDefault="0061091B" w:rsidP="00FB74E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3F9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8" w:rsidRDefault="008869C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0C" w:rsidRDefault="005B490C" w:rsidP="00FB74E2">
      <w:r>
        <w:separator/>
      </w:r>
    </w:p>
  </w:footnote>
  <w:footnote w:type="continuationSeparator" w:id="0">
    <w:p w:rsidR="005B490C" w:rsidRDefault="005B490C" w:rsidP="00FB7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8" w:rsidRDefault="008869C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8" w:rsidRDefault="008869C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8" w:rsidRDefault="008869C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27F"/>
    <w:multiLevelType w:val="hybridMultilevel"/>
    <w:tmpl w:val="E54E5FB6"/>
    <w:lvl w:ilvl="0" w:tplc="041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6807"/>
    <w:multiLevelType w:val="hybridMultilevel"/>
    <w:tmpl w:val="9C62EF32"/>
    <w:lvl w:ilvl="0" w:tplc="B8EAA2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F69A2480">
      <w:start w:val="16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B8EAA2BA">
      <w:start w:val="1"/>
      <w:numFmt w:val="decimal"/>
      <w:lvlText w:val="(%4)"/>
      <w:lvlJc w:val="left"/>
      <w:pPr>
        <w:ind w:left="11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504A7F"/>
    <w:multiLevelType w:val="hybridMultilevel"/>
    <w:tmpl w:val="48A68E38"/>
    <w:lvl w:ilvl="0" w:tplc="041B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219048D8"/>
    <w:multiLevelType w:val="hybridMultilevel"/>
    <w:tmpl w:val="AC6892DC"/>
    <w:lvl w:ilvl="0" w:tplc="0F42B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D065BE"/>
    <w:multiLevelType w:val="hybridMultilevel"/>
    <w:tmpl w:val="0064538E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E3455F"/>
    <w:multiLevelType w:val="hybridMultilevel"/>
    <w:tmpl w:val="FF8084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A51BA2"/>
    <w:multiLevelType w:val="hybridMultilevel"/>
    <w:tmpl w:val="B56A49EE"/>
    <w:lvl w:ilvl="0" w:tplc="B8EAA2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2F7F38"/>
    <w:multiLevelType w:val="hybridMultilevel"/>
    <w:tmpl w:val="359E41AC"/>
    <w:lvl w:ilvl="0" w:tplc="B21EE0F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6627E"/>
    <w:multiLevelType w:val="hybridMultilevel"/>
    <w:tmpl w:val="875A2F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90CF1"/>
    <w:multiLevelType w:val="hybridMultilevel"/>
    <w:tmpl w:val="6B26ED3C"/>
    <w:lvl w:ilvl="0" w:tplc="E808155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A768C"/>
    <w:multiLevelType w:val="hybridMultilevel"/>
    <w:tmpl w:val="368AD71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DAB59A5"/>
    <w:multiLevelType w:val="hybridMultilevel"/>
    <w:tmpl w:val="65AE2BA8"/>
    <w:lvl w:ilvl="0" w:tplc="B8EAA2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B8EAA2BA">
      <w:start w:val="1"/>
      <w:numFmt w:val="decimal"/>
      <w:lvlText w:val="(%4)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7C483C"/>
    <w:multiLevelType w:val="hybridMultilevel"/>
    <w:tmpl w:val="3886CDA2"/>
    <w:lvl w:ilvl="0" w:tplc="54141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51CD6"/>
    <w:multiLevelType w:val="hybridMultilevel"/>
    <w:tmpl w:val="DA3811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254FE"/>
    <w:multiLevelType w:val="hybridMultilevel"/>
    <w:tmpl w:val="6046E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B44ED"/>
    <w:multiLevelType w:val="hybridMultilevel"/>
    <w:tmpl w:val="1376D9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3529FA"/>
    <w:multiLevelType w:val="hybridMultilevel"/>
    <w:tmpl w:val="A9E8DDDC"/>
    <w:lvl w:ilvl="0" w:tplc="E808155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BD5E14"/>
    <w:multiLevelType w:val="multilevel"/>
    <w:tmpl w:val="53AC7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4B6A4D"/>
    <w:multiLevelType w:val="hybridMultilevel"/>
    <w:tmpl w:val="C4EAE294"/>
    <w:lvl w:ilvl="0" w:tplc="B8EAA2B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B8EAA2BA">
      <w:start w:val="1"/>
      <w:numFmt w:val="decimal"/>
      <w:lvlText w:val="(%4)"/>
      <w:lvlJc w:val="left"/>
      <w:pPr>
        <w:ind w:left="11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0694407"/>
    <w:multiLevelType w:val="hybridMultilevel"/>
    <w:tmpl w:val="34E6E5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C6447"/>
    <w:multiLevelType w:val="hybridMultilevel"/>
    <w:tmpl w:val="6DE8B6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8"/>
  </w:num>
  <w:num w:numId="5">
    <w:abstractNumId w:val="13"/>
  </w:num>
  <w:num w:numId="6">
    <w:abstractNumId w:val="20"/>
  </w:num>
  <w:num w:numId="7">
    <w:abstractNumId w:val="11"/>
  </w:num>
  <w:num w:numId="8">
    <w:abstractNumId w:val="10"/>
  </w:num>
  <w:num w:numId="9">
    <w:abstractNumId w:val="6"/>
  </w:num>
  <w:num w:numId="10">
    <w:abstractNumId w:val="1"/>
  </w:num>
  <w:num w:numId="11">
    <w:abstractNumId w:val="18"/>
  </w:num>
  <w:num w:numId="12">
    <w:abstractNumId w:val="15"/>
  </w:num>
  <w:num w:numId="13">
    <w:abstractNumId w:val="4"/>
  </w:num>
  <w:num w:numId="14">
    <w:abstractNumId w:val="9"/>
  </w:num>
  <w:num w:numId="15">
    <w:abstractNumId w:val="14"/>
  </w:num>
  <w:num w:numId="16">
    <w:abstractNumId w:val="5"/>
  </w:num>
  <w:num w:numId="17">
    <w:abstractNumId w:val="2"/>
  </w:num>
  <w:num w:numId="18">
    <w:abstractNumId w:val="3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17"/>
    <w:rsid w:val="000075DB"/>
    <w:rsid w:val="00027DF0"/>
    <w:rsid w:val="0003376E"/>
    <w:rsid w:val="000664C7"/>
    <w:rsid w:val="0008551F"/>
    <w:rsid w:val="000905D9"/>
    <w:rsid w:val="000A1B6A"/>
    <w:rsid w:val="000A251A"/>
    <w:rsid w:val="000C01D3"/>
    <w:rsid w:val="00110543"/>
    <w:rsid w:val="00131C63"/>
    <w:rsid w:val="00141476"/>
    <w:rsid w:val="00164274"/>
    <w:rsid w:val="00176DFA"/>
    <w:rsid w:val="0018078A"/>
    <w:rsid w:val="001A0217"/>
    <w:rsid w:val="001A1B46"/>
    <w:rsid w:val="001C377C"/>
    <w:rsid w:val="001C63F9"/>
    <w:rsid w:val="001D0B89"/>
    <w:rsid w:val="001F2C05"/>
    <w:rsid w:val="002049B9"/>
    <w:rsid w:val="00223ACB"/>
    <w:rsid w:val="00242525"/>
    <w:rsid w:val="00261E51"/>
    <w:rsid w:val="00276A9C"/>
    <w:rsid w:val="002A3C3F"/>
    <w:rsid w:val="002B1068"/>
    <w:rsid w:val="002C4FFA"/>
    <w:rsid w:val="002D4A8E"/>
    <w:rsid w:val="002E2663"/>
    <w:rsid w:val="00313EEF"/>
    <w:rsid w:val="00321F6C"/>
    <w:rsid w:val="00333ACB"/>
    <w:rsid w:val="00344D71"/>
    <w:rsid w:val="003539C7"/>
    <w:rsid w:val="00356D38"/>
    <w:rsid w:val="00362A18"/>
    <w:rsid w:val="00372681"/>
    <w:rsid w:val="00373A52"/>
    <w:rsid w:val="003A7BF6"/>
    <w:rsid w:val="003B4A49"/>
    <w:rsid w:val="003C3020"/>
    <w:rsid w:val="003D1DEA"/>
    <w:rsid w:val="003F01A9"/>
    <w:rsid w:val="00451AEA"/>
    <w:rsid w:val="00456FA5"/>
    <w:rsid w:val="00467F8F"/>
    <w:rsid w:val="004C6EB2"/>
    <w:rsid w:val="00532BA0"/>
    <w:rsid w:val="005366BC"/>
    <w:rsid w:val="00576551"/>
    <w:rsid w:val="00576F3F"/>
    <w:rsid w:val="00595122"/>
    <w:rsid w:val="005A50CE"/>
    <w:rsid w:val="005B490C"/>
    <w:rsid w:val="006031C0"/>
    <w:rsid w:val="0061091B"/>
    <w:rsid w:val="00685607"/>
    <w:rsid w:val="00694924"/>
    <w:rsid w:val="006C54F8"/>
    <w:rsid w:val="006D7387"/>
    <w:rsid w:val="006E2783"/>
    <w:rsid w:val="00703708"/>
    <w:rsid w:val="00727A13"/>
    <w:rsid w:val="00737634"/>
    <w:rsid w:val="00755AA9"/>
    <w:rsid w:val="007818EE"/>
    <w:rsid w:val="007B26E8"/>
    <w:rsid w:val="007C64DA"/>
    <w:rsid w:val="007F3323"/>
    <w:rsid w:val="007F7EB3"/>
    <w:rsid w:val="0080170A"/>
    <w:rsid w:val="00821923"/>
    <w:rsid w:val="008251AF"/>
    <w:rsid w:val="00857F1E"/>
    <w:rsid w:val="00882FB9"/>
    <w:rsid w:val="008869C8"/>
    <w:rsid w:val="008A4737"/>
    <w:rsid w:val="008A5787"/>
    <w:rsid w:val="008B727B"/>
    <w:rsid w:val="008C4B91"/>
    <w:rsid w:val="008D20B3"/>
    <w:rsid w:val="009112BE"/>
    <w:rsid w:val="00913380"/>
    <w:rsid w:val="00924123"/>
    <w:rsid w:val="009415C8"/>
    <w:rsid w:val="00951B39"/>
    <w:rsid w:val="00956EF1"/>
    <w:rsid w:val="00992F78"/>
    <w:rsid w:val="009D3380"/>
    <w:rsid w:val="00A279A7"/>
    <w:rsid w:val="00A350F3"/>
    <w:rsid w:val="00A730C7"/>
    <w:rsid w:val="00A97884"/>
    <w:rsid w:val="00AA16E6"/>
    <w:rsid w:val="00AD07A2"/>
    <w:rsid w:val="00B1070D"/>
    <w:rsid w:val="00B1114A"/>
    <w:rsid w:val="00B13F16"/>
    <w:rsid w:val="00B32EC0"/>
    <w:rsid w:val="00B357F2"/>
    <w:rsid w:val="00B409D1"/>
    <w:rsid w:val="00B71FE1"/>
    <w:rsid w:val="00B8266F"/>
    <w:rsid w:val="00B91F48"/>
    <w:rsid w:val="00B923A7"/>
    <w:rsid w:val="00BC1C1D"/>
    <w:rsid w:val="00BC2E3E"/>
    <w:rsid w:val="00BD70FF"/>
    <w:rsid w:val="00C05577"/>
    <w:rsid w:val="00C061D4"/>
    <w:rsid w:val="00C33040"/>
    <w:rsid w:val="00C53E45"/>
    <w:rsid w:val="00C708B0"/>
    <w:rsid w:val="00C75213"/>
    <w:rsid w:val="00C76B21"/>
    <w:rsid w:val="00CA7B5B"/>
    <w:rsid w:val="00CB1877"/>
    <w:rsid w:val="00CB1EED"/>
    <w:rsid w:val="00CC3508"/>
    <w:rsid w:val="00CC3768"/>
    <w:rsid w:val="00D05A86"/>
    <w:rsid w:val="00D468EA"/>
    <w:rsid w:val="00D64067"/>
    <w:rsid w:val="00D825D0"/>
    <w:rsid w:val="00D82825"/>
    <w:rsid w:val="00DD457A"/>
    <w:rsid w:val="00DD7BE7"/>
    <w:rsid w:val="00DE67EE"/>
    <w:rsid w:val="00DE71FB"/>
    <w:rsid w:val="00E01F6D"/>
    <w:rsid w:val="00E13557"/>
    <w:rsid w:val="00E42BDA"/>
    <w:rsid w:val="00E70CEC"/>
    <w:rsid w:val="00E815B4"/>
    <w:rsid w:val="00E845D1"/>
    <w:rsid w:val="00EB5D4A"/>
    <w:rsid w:val="00EC0DAD"/>
    <w:rsid w:val="00F06708"/>
    <w:rsid w:val="00F23BB5"/>
    <w:rsid w:val="00F43BF6"/>
    <w:rsid w:val="00F56E2A"/>
    <w:rsid w:val="00F61F87"/>
    <w:rsid w:val="00F81D84"/>
    <w:rsid w:val="00F906F0"/>
    <w:rsid w:val="00FB4E77"/>
    <w:rsid w:val="00FB74E2"/>
    <w:rsid w:val="00FC2A15"/>
    <w:rsid w:val="00FD6881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A702679-912E-4F64-A689-EA665763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021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A0217"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1A02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y"/>
    <w:link w:val="ZkladntextChar"/>
    <w:uiPriority w:val="1"/>
    <w:qFormat/>
    <w:rsid w:val="001A0217"/>
    <w:pPr>
      <w:widowControl w:val="0"/>
      <w:ind w:left="125"/>
    </w:pPr>
    <w:rPr>
      <w:rFonts w:ascii="Bookman Old Style" w:eastAsia="Bookman Old Style" w:hAnsi="Bookman Old Style" w:cstheme="minorBidi"/>
      <w:sz w:val="20"/>
      <w:szCs w:val="20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1A0217"/>
    <w:rPr>
      <w:rFonts w:ascii="Bookman Old Style" w:eastAsia="Bookman Old Style" w:hAnsi="Bookman Old Style"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1A0217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A02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A02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A021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xapple-converted-space">
    <w:name w:val="x_apple-converted-space"/>
    <w:basedOn w:val="Predvolenpsmoodseku"/>
    <w:rsid w:val="001A0217"/>
  </w:style>
  <w:style w:type="paragraph" w:styleId="Textbubliny">
    <w:name w:val="Balloon Text"/>
    <w:basedOn w:val="Normlny"/>
    <w:link w:val="TextbublinyChar"/>
    <w:uiPriority w:val="99"/>
    <w:semiHidden/>
    <w:unhideWhenUsed/>
    <w:rsid w:val="001A0217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217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BD70FF"/>
  </w:style>
  <w:style w:type="paragraph" w:styleId="Hlavika">
    <w:name w:val="header"/>
    <w:basedOn w:val="Normlny"/>
    <w:link w:val="HlavikaChar"/>
    <w:uiPriority w:val="99"/>
    <w:unhideWhenUsed/>
    <w:rsid w:val="00FB74E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74E2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74E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FB74E2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25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25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8A5787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rsid w:val="00A279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279A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A279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4AD6-17F8-452B-9B48-4CF02394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UNMS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Dianiskova</dc:creator>
  <cp:lastModifiedBy>Semanco Martin</cp:lastModifiedBy>
  <cp:revision>3</cp:revision>
  <cp:lastPrinted>2021-02-24T10:30:00Z</cp:lastPrinted>
  <dcterms:created xsi:type="dcterms:W3CDTF">2022-11-03T09:05:00Z</dcterms:created>
  <dcterms:modified xsi:type="dcterms:W3CDTF">2022-11-04T11:21:00Z</dcterms:modified>
</cp:coreProperties>
</file>