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704410">
        <w:t>CRD-1868</w:t>
      </w:r>
      <w:r w:rsidR="00704410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3F78FF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E646A">
        <w:t>8</w:t>
      </w:r>
      <w:r w:rsidR="00552BE1" w:rsidRPr="00404450">
        <w:t xml:space="preserve">. </w:t>
      </w:r>
      <w:r w:rsidR="005E646A">
        <w:t xml:space="preserve">októbra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704410">
        <w:t xml:space="preserve">zákona, ktorým sa menia a dopĺňajú niektoré zákony v súvislosti s rozvojom automatizovaných vozidiel </w:t>
      </w:r>
      <w:r w:rsidR="00704410">
        <w:rPr>
          <w:b/>
        </w:rPr>
        <w:t>(tlač 1106a)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704410">
        <w:t xml:space="preserve">zákona, ktorým sa menia a dopĺňajú niektoré zákony v súvislosti s rozvojom automatizovaných vozidiel </w:t>
      </w:r>
      <w:r w:rsidR="00704410">
        <w:rPr>
          <w:b/>
        </w:rPr>
        <w:t>(tlač 1106a)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04410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3F78FF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CD9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2022-10-13T08:09:00Z</dcterms:created>
  <dcterms:modified xsi:type="dcterms:W3CDTF">2022-10-17T13:33:00Z</dcterms:modified>
</cp:coreProperties>
</file>