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</w:t>
      </w:r>
      <w:r w:rsidR="0081340F">
        <w:t>106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EC279A">
        <w:t>88</w:t>
      </w:r>
      <w:r w:rsidR="0041648B">
        <w:t>5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</w:p>
    <w:p w:rsidR="00EC279A" w:rsidP="00D33352">
      <w:pPr>
        <w:ind w:left="4248" w:right="-567"/>
        <w:rPr>
          <w:b/>
        </w:rPr>
      </w:pPr>
      <w:r w:rsidR="00021B8A">
        <w:rPr>
          <w:b/>
        </w:rPr>
        <w:t xml:space="preserve">     384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 w:rsidR="00FE3174">
        <w:rPr>
          <w:b/>
        </w:rPr>
        <w:t>8</w:t>
      </w:r>
      <w:r w:rsidR="00077165">
        <w:rPr>
          <w:b/>
        </w:rPr>
        <w:t xml:space="preserve">. </w:t>
      </w:r>
      <w:r w:rsidR="00FE3174">
        <w:rPr>
          <w:b/>
        </w:rPr>
        <w:t>októbra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41648B" w:rsidR="0041648B">
        <w:t xml:space="preserve">vládneho návrhu zákona, ktorým sa mení a dopĺňa zákon č. 431/2002 Z. z. o účtovníctve v znení neskorších predpisov a ktorým sa mení a dopĺňa zákon č. 513/1991 Zb. Obchodný zákonník v znení neskorších predpisov </w:t>
      </w:r>
      <w:r w:rsidRPr="002A4C1C" w:rsidR="0041648B">
        <w:rPr>
          <w:b/>
        </w:rPr>
        <w:t>(tlač 1123a)</w:t>
      </w:r>
      <w:r w:rsidRPr="00AD5317" w:rsidR="00EC279A">
        <w:t xml:space="preserve"> </w:t>
      </w:r>
      <w:r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AD343E" w:rsidP="009F464E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41648B" w:rsidR="0041648B">
        <w:t xml:space="preserve">vládneho návrhu zákona, ktorým sa mení a dopĺňa zákon č. 431/2002 Z. z. o účtovníctve v znení neskorších predpisov a ktorým sa mení a dopĺňa zákon č. 513/1991 Zb. Obchodný zákonník v znení neskorších predpisov </w:t>
      </w:r>
      <w:r w:rsidRPr="002A4C1C" w:rsidR="0041648B">
        <w:rPr>
          <w:b/>
        </w:rPr>
        <w:t>(tlač 1123a)</w:t>
      </w: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1648B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B600A9">
        <w:t>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B600A9">
        <w:rPr>
          <w:b/>
        </w:rPr>
        <w:t>Annu</w:t>
      </w:r>
      <w:r w:rsidR="00EC279A">
        <w:rPr>
          <w:b/>
        </w:rPr>
        <w:t xml:space="preserve"> Miern</w:t>
      </w:r>
      <w:r w:rsidR="00B600A9">
        <w:rPr>
          <w:b/>
        </w:rPr>
        <w:t>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EC279A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 w:rsidR="00EC279A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EC279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98</cp:revision>
  <cp:lastPrinted>2022-09-12T12:06:00Z</cp:lastPrinted>
  <dcterms:created xsi:type="dcterms:W3CDTF">2002-11-28T08:42:00Z</dcterms:created>
  <dcterms:modified xsi:type="dcterms:W3CDTF">2022-10-18T08:53:00Z</dcterms:modified>
</cp:coreProperties>
</file>