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E42" w:rsidRPr="007739C1" w:rsidRDefault="00720E42" w:rsidP="00720E42">
      <w:pPr>
        <w:pStyle w:val="Nadpis1"/>
        <w:spacing w:line="240" w:lineRule="auto"/>
        <w:ind w:firstLine="540"/>
        <w:rPr>
          <w:b w:val="0"/>
          <w:bCs/>
          <w:i/>
          <w:iCs/>
        </w:rPr>
      </w:pPr>
      <w:r w:rsidRPr="007739C1">
        <w:rPr>
          <w:b w:val="0"/>
          <w:bCs/>
          <w:i/>
          <w:iCs/>
        </w:rPr>
        <w:t xml:space="preserve">                Výbor</w:t>
      </w:r>
    </w:p>
    <w:p w:rsidR="00720E42" w:rsidRPr="007739C1" w:rsidRDefault="00720E42" w:rsidP="00720E42">
      <w:pPr>
        <w:jc w:val="both"/>
        <w:rPr>
          <w:i/>
        </w:rPr>
      </w:pPr>
      <w:r w:rsidRPr="007739C1">
        <w:rPr>
          <w:i/>
        </w:rPr>
        <w:t xml:space="preserve"> Národnej rady Slovenskej republiky</w:t>
      </w:r>
    </w:p>
    <w:p w:rsidR="00720E42" w:rsidRDefault="00720E42" w:rsidP="00720E42">
      <w:pPr>
        <w:jc w:val="both"/>
        <w:rPr>
          <w:i/>
        </w:rPr>
      </w:pPr>
      <w:r w:rsidRPr="007739C1">
        <w:rPr>
          <w:i/>
        </w:rPr>
        <w:t xml:space="preserve">      pre hospodárske záležitosti</w:t>
      </w:r>
    </w:p>
    <w:p w:rsidR="007739C1" w:rsidRPr="007739C1" w:rsidRDefault="007739C1" w:rsidP="00720E42">
      <w:pPr>
        <w:jc w:val="both"/>
        <w:rPr>
          <w:i/>
        </w:rPr>
      </w:pPr>
    </w:p>
    <w:p w:rsidR="00720E42" w:rsidRPr="00B152E7" w:rsidRDefault="00720E42" w:rsidP="00720E42">
      <w:pPr>
        <w:ind w:firstLine="567"/>
        <w:jc w:val="both"/>
      </w:pPr>
      <w:r w:rsidRPr="00B152E7">
        <w:t xml:space="preserve">                                             </w:t>
      </w:r>
      <w:r w:rsidR="00BA4FC8" w:rsidRPr="00B152E7">
        <w:t xml:space="preserve">                              </w:t>
      </w:r>
      <w:r w:rsidR="00992331" w:rsidRPr="00B152E7">
        <w:tab/>
      </w:r>
      <w:r w:rsidR="00C04DB1">
        <w:t>124</w:t>
      </w:r>
      <w:r w:rsidRPr="00B152E7">
        <w:t>. schôdza výboru</w:t>
      </w:r>
    </w:p>
    <w:p w:rsidR="00FD0CC5" w:rsidRPr="00332472" w:rsidRDefault="00720E42" w:rsidP="00332472">
      <w:pPr>
        <w:pStyle w:val="Zarkazkladnhotextu"/>
        <w:rPr>
          <w:rFonts w:ascii="Times New Roman" w:hAnsi="Times New Roman"/>
          <w:iCs/>
          <w:color w:val="auto"/>
          <w:lang w:val="sk-SK"/>
        </w:rPr>
      </w:pPr>
      <w:r w:rsidRPr="00B152E7">
        <w:rPr>
          <w:rFonts w:ascii="Times New Roman" w:hAnsi="Times New Roman"/>
          <w:color w:val="auto"/>
          <w:lang w:val="sk-SK"/>
        </w:rPr>
        <w:t xml:space="preserve">                                                             </w:t>
      </w:r>
      <w:r w:rsidR="00BA601B" w:rsidRPr="00B152E7">
        <w:rPr>
          <w:rFonts w:ascii="Times New Roman" w:hAnsi="Times New Roman"/>
          <w:color w:val="auto"/>
          <w:lang w:val="sk-SK"/>
        </w:rPr>
        <w:t xml:space="preserve">             </w:t>
      </w:r>
      <w:r w:rsidR="00992331" w:rsidRPr="00B152E7">
        <w:rPr>
          <w:rFonts w:ascii="Times New Roman" w:hAnsi="Times New Roman"/>
          <w:color w:val="auto"/>
          <w:lang w:val="sk-SK"/>
        </w:rPr>
        <w:tab/>
      </w:r>
      <w:r w:rsidR="00BA601B" w:rsidRPr="00B152E7">
        <w:rPr>
          <w:rFonts w:ascii="Times New Roman" w:hAnsi="Times New Roman"/>
          <w:color w:val="auto"/>
          <w:lang w:val="sk-SK"/>
        </w:rPr>
        <w:t xml:space="preserve">Číslo: CRD </w:t>
      </w:r>
      <w:r w:rsidR="009A5D96">
        <w:rPr>
          <w:rFonts w:ascii="Times New Roman" w:hAnsi="Times New Roman"/>
          <w:color w:val="auto"/>
          <w:lang w:val="sk-SK"/>
        </w:rPr>
        <w:t>–</w:t>
      </w:r>
      <w:r w:rsidR="00BA601B" w:rsidRPr="00B152E7">
        <w:rPr>
          <w:rFonts w:ascii="Times New Roman" w:hAnsi="Times New Roman"/>
          <w:color w:val="auto"/>
          <w:lang w:val="sk-SK"/>
        </w:rPr>
        <w:t xml:space="preserve"> </w:t>
      </w:r>
      <w:r w:rsidR="002236BC">
        <w:rPr>
          <w:rFonts w:ascii="Times New Roman" w:hAnsi="Times New Roman"/>
          <w:color w:val="auto"/>
          <w:lang w:val="sk-SK"/>
        </w:rPr>
        <w:t>1883</w:t>
      </w:r>
      <w:r w:rsidR="009A5D96">
        <w:rPr>
          <w:rFonts w:ascii="Times New Roman" w:hAnsi="Times New Roman"/>
          <w:color w:val="auto"/>
          <w:lang w:val="sk-SK"/>
        </w:rPr>
        <w:t>/</w:t>
      </w:r>
      <w:r w:rsidR="00947CCF">
        <w:rPr>
          <w:rFonts w:ascii="Times New Roman" w:hAnsi="Times New Roman"/>
          <w:iCs/>
          <w:color w:val="auto"/>
          <w:lang w:val="sk-SK"/>
        </w:rPr>
        <w:t>2022</w:t>
      </w:r>
      <w:r w:rsidRPr="00B152E7">
        <w:rPr>
          <w:rFonts w:ascii="Times New Roman" w:hAnsi="Times New Roman"/>
          <w:iCs/>
          <w:color w:val="auto"/>
          <w:lang w:val="sk-SK"/>
        </w:rPr>
        <w:t xml:space="preserve"> - VHZ </w:t>
      </w:r>
    </w:p>
    <w:p w:rsidR="001B7B13" w:rsidRDefault="001B7B13" w:rsidP="00720E42">
      <w:pPr>
        <w:jc w:val="center"/>
        <w:rPr>
          <w:b/>
          <w:sz w:val="32"/>
          <w:szCs w:val="28"/>
        </w:rPr>
      </w:pPr>
    </w:p>
    <w:p w:rsidR="00720E42" w:rsidRPr="00B152E7" w:rsidRDefault="00EC3B51" w:rsidP="00720E42">
      <w:pPr>
        <w:jc w:val="center"/>
        <w:rPr>
          <w:b/>
          <w:sz w:val="32"/>
          <w:szCs w:val="28"/>
        </w:rPr>
      </w:pPr>
      <w:r>
        <w:rPr>
          <w:b/>
          <w:sz w:val="32"/>
          <w:szCs w:val="28"/>
        </w:rPr>
        <w:t>348</w:t>
      </w:r>
    </w:p>
    <w:p w:rsidR="00720E42" w:rsidRPr="00B152E7" w:rsidRDefault="00720E42" w:rsidP="00720E42">
      <w:pPr>
        <w:pStyle w:val="Nadpis2"/>
        <w:spacing w:line="240" w:lineRule="auto"/>
        <w:rPr>
          <w:rFonts w:ascii="Times New Roman" w:hAnsi="Times New Roman"/>
          <w:b/>
          <w:color w:val="auto"/>
          <w:lang w:val="sk-SK"/>
        </w:rPr>
      </w:pPr>
      <w:r w:rsidRPr="00B152E7">
        <w:rPr>
          <w:rFonts w:ascii="Times New Roman" w:hAnsi="Times New Roman"/>
          <w:b/>
          <w:color w:val="auto"/>
          <w:lang w:val="sk-SK"/>
        </w:rPr>
        <w:t>U z n e s e n i e</w:t>
      </w:r>
    </w:p>
    <w:p w:rsidR="00720E42" w:rsidRPr="00B152E7" w:rsidRDefault="00720E42" w:rsidP="00720E42">
      <w:pPr>
        <w:jc w:val="center"/>
        <w:rPr>
          <w:b/>
        </w:rPr>
      </w:pPr>
      <w:r w:rsidRPr="00B152E7">
        <w:rPr>
          <w:b/>
        </w:rPr>
        <w:t>Výboru Národnej rady Slovenskej republiky</w:t>
      </w:r>
    </w:p>
    <w:p w:rsidR="00720E42" w:rsidRPr="00B152E7" w:rsidRDefault="00720E42" w:rsidP="00720E42">
      <w:pPr>
        <w:jc w:val="center"/>
        <w:rPr>
          <w:b/>
        </w:rPr>
      </w:pPr>
      <w:r w:rsidRPr="00B152E7">
        <w:rPr>
          <w:b/>
        </w:rPr>
        <w:t>pre hospodárske záležitosti</w:t>
      </w:r>
    </w:p>
    <w:p w:rsidR="0057126D" w:rsidRPr="00B152E7" w:rsidRDefault="00901424" w:rsidP="00110DFC">
      <w:pPr>
        <w:jc w:val="center"/>
      </w:pPr>
      <w:r w:rsidRPr="00B152E7">
        <w:t>z</w:t>
      </w:r>
      <w:r w:rsidR="00C04DB1">
        <w:t>o</w:t>
      </w:r>
      <w:r w:rsidR="00674FC7">
        <w:t> </w:t>
      </w:r>
      <w:r w:rsidR="00C04DB1">
        <w:t>17</w:t>
      </w:r>
      <w:r w:rsidR="00720E42" w:rsidRPr="00B152E7">
        <w:t xml:space="preserve">. </w:t>
      </w:r>
      <w:r w:rsidR="00C04DB1">
        <w:t xml:space="preserve">októbra </w:t>
      </w:r>
      <w:r w:rsidR="00925048">
        <w:t>2022</w:t>
      </w:r>
    </w:p>
    <w:p w:rsidR="00B66697" w:rsidRPr="00B152E7" w:rsidRDefault="00B66697" w:rsidP="00901424">
      <w:pPr>
        <w:pStyle w:val="Zarkazkladnhotextu"/>
        <w:ind w:firstLine="360"/>
        <w:rPr>
          <w:rFonts w:ascii="Times New Roman" w:hAnsi="Times New Roman"/>
          <w:color w:val="auto"/>
          <w:lang w:val="sk-SK"/>
        </w:rPr>
      </w:pPr>
    </w:p>
    <w:p w:rsidR="00901424" w:rsidRPr="00933C9B" w:rsidRDefault="00720E42" w:rsidP="00901424">
      <w:pPr>
        <w:pStyle w:val="Zarkazkladnhotextu"/>
        <w:ind w:firstLine="360"/>
        <w:rPr>
          <w:b/>
          <w:color w:val="auto"/>
        </w:rPr>
      </w:pPr>
      <w:r w:rsidRPr="00B152E7">
        <w:rPr>
          <w:rFonts w:ascii="Times New Roman" w:hAnsi="Times New Roman"/>
          <w:color w:val="auto"/>
          <w:lang w:val="sk-SK"/>
        </w:rPr>
        <w:t>k</w:t>
      </w:r>
      <w:r w:rsidR="00215D21">
        <w:rPr>
          <w:rFonts w:ascii="Times New Roman" w:hAnsi="Times New Roman"/>
          <w:color w:val="auto"/>
          <w:lang w:val="sk-SK"/>
        </w:rPr>
        <w:t> </w:t>
      </w:r>
      <w:proofErr w:type="spellStart"/>
      <w:r w:rsidR="00925048" w:rsidRPr="00925048">
        <w:rPr>
          <w:color w:val="auto"/>
        </w:rPr>
        <w:t>vládnemu</w:t>
      </w:r>
      <w:proofErr w:type="spellEnd"/>
      <w:r w:rsidR="00925048" w:rsidRPr="00925048">
        <w:rPr>
          <w:color w:val="auto"/>
        </w:rPr>
        <w:t xml:space="preserve"> návrhu </w:t>
      </w:r>
      <w:r w:rsidR="002236BC" w:rsidRPr="002236BC">
        <w:rPr>
          <w:color w:val="auto"/>
        </w:rPr>
        <w:t xml:space="preserve">zákona, </w:t>
      </w:r>
      <w:proofErr w:type="spellStart"/>
      <w:r w:rsidR="002236BC" w:rsidRPr="002236BC">
        <w:rPr>
          <w:color w:val="auto"/>
        </w:rPr>
        <w:t>ktorým</w:t>
      </w:r>
      <w:proofErr w:type="spellEnd"/>
      <w:r w:rsidR="002236BC" w:rsidRPr="002236BC">
        <w:rPr>
          <w:color w:val="auto"/>
        </w:rPr>
        <w:t xml:space="preserve"> </w:t>
      </w:r>
      <w:proofErr w:type="spellStart"/>
      <w:r w:rsidR="002236BC" w:rsidRPr="002236BC">
        <w:rPr>
          <w:color w:val="auto"/>
        </w:rPr>
        <w:t>sa</w:t>
      </w:r>
      <w:proofErr w:type="spellEnd"/>
      <w:r w:rsidR="002236BC" w:rsidRPr="002236BC">
        <w:rPr>
          <w:color w:val="auto"/>
        </w:rPr>
        <w:t xml:space="preserve"> </w:t>
      </w:r>
      <w:proofErr w:type="spellStart"/>
      <w:r w:rsidR="002236BC" w:rsidRPr="002236BC">
        <w:rPr>
          <w:color w:val="auto"/>
        </w:rPr>
        <w:t>mení</w:t>
      </w:r>
      <w:proofErr w:type="spellEnd"/>
      <w:r w:rsidR="002236BC" w:rsidRPr="002236BC">
        <w:rPr>
          <w:color w:val="auto"/>
        </w:rPr>
        <w:t xml:space="preserve"> a </w:t>
      </w:r>
      <w:proofErr w:type="spellStart"/>
      <w:r w:rsidR="002236BC" w:rsidRPr="002236BC">
        <w:rPr>
          <w:color w:val="auto"/>
        </w:rPr>
        <w:t>dopĺňa</w:t>
      </w:r>
      <w:proofErr w:type="spellEnd"/>
      <w:r w:rsidR="002236BC" w:rsidRPr="002236BC">
        <w:rPr>
          <w:color w:val="auto"/>
        </w:rPr>
        <w:t xml:space="preserve"> zákon č. </w:t>
      </w:r>
      <w:proofErr w:type="gramStart"/>
      <w:r w:rsidR="002236BC" w:rsidRPr="002236BC">
        <w:rPr>
          <w:color w:val="auto"/>
        </w:rPr>
        <w:t>595/2003 Z. z. o dani</w:t>
      </w:r>
      <w:proofErr w:type="gramEnd"/>
      <w:r w:rsidR="002236BC" w:rsidRPr="002236BC">
        <w:rPr>
          <w:color w:val="auto"/>
        </w:rPr>
        <w:t xml:space="preserve"> z </w:t>
      </w:r>
      <w:proofErr w:type="spellStart"/>
      <w:r w:rsidR="002236BC" w:rsidRPr="002236BC">
        <w:rPr>
          <w:color w:val="auto"/>
        </w:rPr>
        <w:t>príjmov</w:t>
      </w:r>
      <w:proofErr w:type="spellEnd"/>
      <w:r w:rsidR="002236BC" w:rsidRPr="002236BC">
        <w:rPr>
          <w:color w:val="auto"/>
        </w:rPr>
        <w:t xml:space="preserve"> v </w:t>
      </w:r>
      <w:proofErr w:type="spellStart"/>
      <w:r w:rsidR="002236BC" w:rsidRPr="002236BC">
        <w:rPr>
          <w:color w:val="auto"/>
        </w:rPr>
        <w:t>znení</w:t>
      </w:r>
      <w:proofErr w:type="spellEnd"/>
      <w:r w:rsidR="002236BC" w:rsidRPr="002236BC">
        <w:rPr>
          <w:color w:val="auto"/>
        </w:rPr>
        <w:t xml:space="preserve"> </w:t>
      </w:r>
      <w:proofErr w:type="spellStart"/>
      <w:r w:rsidR="002236BC" w:rsidRPr="002236BC">
        <w:rPr>
          <w:color w:val="auto"/>
        </w:rPr>
        <w:t>neskorších</w:t>
      </w:r>
      <w:proofErr w:type="spellEnd"/>
      <w:r w:rsidR="002236BC" w:rsidRPr="002236BC">
        <w:rPr>
          <w:color w:val="auto"/>
        </w:rPr>
        <w:t xml:space="preserve"> </w:t>
      </w:r>
      <w:proofErr w:type="spellStart"/>
      <w:r w:rsidR="002236BC" w:rsidRPr="002236BC">
        <w:rPr>
          <w:color w:val="auto"/>
        </w:rPr>
        <w:t>predpisov</w:t>
      </w:r>
      <w:proofErr w:type="spellEnd"/>
      <w:r w:rsidR="002236BC" w:rsidRPr="002236BC">
        <w:rPr>
          <w:color w:val="auto"/>
        </w:rPr>
        <w:t xml:space="preserve"> a </w:t>
      </w:r>
      <w:proofErr w:type="spellStart"/>
      <w:r w:rsidR="002236BC" w:rsidRPr="002236BC">
        <w:rPr>
          <w:color w:val="auto"/>
        </w:rPr>
        <w:t>ktorým</w:t>
      </w:r>
      <w:proofErr w:type="spellEnd"/>
      <w:r w:rsidR="002236BC" w:rsidRPr="002236BC">
        <w:rPr>
          <w:color w:val="auto"/>
        </w:rPr>
        <w:t xml:space="preserve"> </w:t>
      </w:r>
      <w:proofErr w:type="spellStart"/>
      <w:r w:rsidR="002236BC" w:rsidRPr="002236BC">
        <w:rPr>
          <w:color w:val="auto"/>
        </w:rPr>
        <w:t>sa</w:t>
      </w:r>
      <w:proofErr w:type="spellEnd"/>
      <w:r w:rsidR="002236BC" w:rsidRPr="002236BC">
        <w:rPr>
          <w:color w:val="auto"/>
        </w:rPr>
        <w:t xml:space="preserve"> </w:t>
      </w:r>
      <w:proofErr w:type="spellStart"/>
      <w:r w:rsidR="002236BC" w:rsidRPr="002236BC">
        <w:rPr>
          <w:color w:val="auto"/>
        </w:rPr>
        <w:t>mení</w:t>
      </w:r>
      <w:proofErr w:type="spellEnd"/>
      <w:r w:rsidR="002236BC" w:rsidRPr="002236BC">
        <w:rPr>
          <w:color w:val="auto"/>
        </w:rPr>
        <w:t xml:space="preserve"> a </w:t>
      </w:r>
      <w:proofErr w:type="spellStart"/>
      <w:r w:rsidR="002236BC" w:rsidRPr="002236BC">
        <w:rPr>
          <w:color w:val="auto"/>
        </w:rPr>
        <w:t>dopĺňa</w:t>
      </w:r>
      <w:proofErr w:type="spellEnd"/>
      <w:r w:rsidR="002236BC" w:rsidRPr="002236BC">
        <w:rPr>
          <w:color w:val="auto"/>
        </w:rPr>
        <w:t xml:space="preserve"> zákon č. 563/2009 Z. z. o </w:t>
      </w:r>
      <w:proofErr w:type="spellStart"/>
      <w:r w:rsidR="002236BC" w:rsidRPr="002236BC">
        <w:rPr>
          <w:color w:val="auto"/>
        </w:rPr>
        <w:t>správe</w:t>
      </w:r>
      <w:proofErr w:type="spellEnd"/>
      <w:r w:rsidR="002236BC" w:rsidRPr="002236BC">
        <w:rPr>
          <w:color w:val="auto"/>
        </w:rPr>
        <w:t xml:space="preserve"> daní (daňový </w:t>
      </w:r>
      <w:proofErr w:type="spellStart"/>
      <w:r w:rsidR="002236BC" w:rsidRPr="002236BC">
        <w:rPr>
          <w:color w:val="auto"/>
        </w:rPr>
        <w:t>poriadok</w:t>
      </w:r>
      <w:proofErr w:type="spellEnd"/>
      <w:r w:rsidR="002236BC" w:rsidRPr="002236BC">
        <w:rPr>
          <w:color w:val="auto"/>
        </w:rPr>
        <w:t xml:space="preserve">) a o </w:t>
      </w:r>
      <w:proofErr w:type="spellStart"/>
      <w:r w:rsidR="002236BC" w:rsidRPr="002236BC">
        <w:rPr>
          <w:color w:val="auto"/>
        </w:rPr>
        <w:t>zmene</w:t>
      </w:r>
      <w:proofErr w:type="spellEnd"/>
      <w:r w:rsidR="002236BC" w:rsidRPr="002236BC">
        <w:rPr>
          <w:color w:val="auto"/>
        </w:rPr>
        <w:t xml:space="preserve"> a </w:t>
      </w:r>
      <w:proofErr w:type="spellStart"/>
      <w:r w:rsidR="002236BC" w:rsidRPr="002236BC">
        <w:rPr>
          <w:color w:val="auto"/>
        </w:rPr>
        <w:t>doplnení</w:t>
      </w:r>
      <w:proofErr w:type="spellEnd"/>
      <w:r w:rsidR="002236BC" w:rsidRPr="002236BC">
        <w:rPr>
          <w:color w:val="auto"/>
        </w:rPr>
        <w:t xml:space="preserve"> </w:t>
      </w:r>
      <w:proofErr w:type="spellStart"/>
      <w:r w:rsidR="002236BC" w:rsidRPr="002236BC">
        <w:rPr>
          <w:color w:val="auto"/>
        </w:rPr>
        <w:t>niektorých</w:t>
      </w:r>
      <w:proofErr w:type="spellEnd"/>
      <w:r w:rsidR="002236BC" w:rsidRPr="002236BC">
        <w:rPr>
          <w:color w:val="auto"/>
        </w:rPr>
        <w:t xml:space="preserve"> </w:t>
      </w:r>
      <w:proofErr w:type="spellStart"/>
      <w:r w:rsidR="002236BC" w:rsidRPr="002236BC">
        <w:rPr>
          <w:color w:val="auto"/>
        </w:rPr>
        <w:t>zákonov</w:t>
      </w:r>
      <w:proofErr w:type="spellEnd"/>
      <w:r w:rsidR="002236BC" w:rsidRPr="002236BC">
        <w:rPr>
          <w:color w:val="auto"/>
        </w:rPr>
        <w:t xml:space="preserve"> v </w:t>
      </w:r>
      <w:proofErr w:type="spellStart"/>
      <w:r w:rsidR="002236BC" w:rsidRPr="002236BC">
        <w:rPr>
          <w:color w:val="auto"/>
        </w:rPr>
        <w:t>znení</w:t>
      </w:r>
      <w:proofErr w:type="spellEnd"/>
      <w:r w:rsidR="002236BC" w:rsidRPr="002236BC">
        <w:rPr>
          <w:color w:val="auto"/>
        </w:rPr>
        <w:t xml:space="preserve"> </w:t>
      </w:r>
      <w:proofErr w:type="spellStart"/>
      <w:r w:rsidR="002236BC" w:rsidRPr="002236BC">
        <w:rPr>
          <w:color w:val="auto"/>
        </w:rPr>
        <w:t>neskorších</w:t>
      </w:r>
      <w:proofErr w:type="spellEnd"/>
      <w:r w:rsidR="002236BC" w:rsidRPr="002236BC">
        <w:rPr>
          <w:color w:val="auto"/>
        </w:rPr>
        <w:t xml:space="preserve"> </w:t>
      </w:r>
      <w:proofErr w:type="spellStart"/>
      <w:r w:rsidR="002236BC" w:rsidRPr="002236BC">
        <w:rPr>
          <w:color w:val="auto"/>
        </w:rPr>
        <w:t>predpisov</w:t>
      </w:r>
      <w:proofErr w:type="spellEnd"/>
      <w:r w:rsidR="002236BC" w:rsidRPr="002236BC">
        <w:rPr>
          <w:color w:val="auto"/>
        </w:rPr>
        <w:t xml:space="preserve"> </w:t>
      </w:r>
      <w:r w:rsidR="002236BC" w:rsidRPr="002236BC">
        <w:rPr>
          <w:b/>
          <w:color w:val="auto"/>
        </w:rPr>
        <w:t>(tlač 1121)</w:t>
      </w:r>
    </w:p>
    <w:p w:rsidR="002E7E17" w:rsidRPr="002E7E17" w:rsidRDefault="002E7E17" w:rsidP="00901424">
      <w:pPr>
        <w:pStyle w:val="Zarkazkladnhotextu"/>
        <w:ind w:firstLine="360"/>
        <w:rPr>
          <w:rFonts w:ascii="Times New Roman" w:hAnsi="Times New Roman"/>
          <w:b/>
          <w:bCs/>
          <w:color w:val="auto"/>
          <w:lang w:val="sk-SK"/>
        </w:rPr>
      </w:pPr>
    </w:p>
    <w:p w:rsidR="00720E42" w:rsidRPr="00B152E7" w:rsidRDefault="00720E42" w:rsidP="00720E42">
      <w:pPr>
        <w:pStyle w:val="Zarkazkladnhotextu"/>
        <w:ind w:firstLine="360"/>
        <w:rPr>
          <w:rFonts w:ascii="Times New Roman" w:hAnsi="Times New Roman"/>
          <w:b/>
          <w:bCs/>
          <w:color w:val="auto"/>
          <w:lang w:val="sk-SK"/>
        </w:rPr>
      </w:pPr>
      <w:r w:rsidRPr="00B152E7">
        <w:rPr>
          <w:rFonts w:ascii="Times New Roman" w:hAnsi="Times New Roman"/>
          <w:b/>
          <w:bCs/>
          <w:color w:val="auto"/>
          <w:lang w:val="sk-SK"/>
        </w:rPr>
        <w:t xml:space="preserve">Výbor Národnej rady Slovenskej republiky </w:t>
      </w:r>
    </w:p>
    <w:p w:rsidR="00720E42" w:rsidRPr="00B152E7" w:rsidRDefault="00720E42" w:rsidP="00720E42">
      <w:pPr>
        <w:pStyle w:val="Zarkazkladnhotextu2"/>
        <w:ind w:firstLine="360"/>
        <w:rPr>
          <w:rFonts w:ascii="Times New Roman" w:hAnsi="Times New Roman"/>
          <w:b/>
          <w:color w:val="auto"/>
          <w:lang w:val="sk-SK"/>
        </w:rPr>
      </w:pPr>
      <w:r w:rsidRPr="00B152E7">
        <w:rPr>
          <w:rFonts w:ascii="Times New Roman" w:hAnsi="Times New Roman"/>
          <w:b/>
          <w:color w:val="auto"/>
          <w:lang w:val="sk-SK"/>
        </w:rPr>
        <w:t>pre hospodárske záležitosti</w:t>
      </w:r>
    </w:p>
    <w:p w:rsidR="00720E42" w:rsidRPr="00B152E7" w:rsidRDefault="00720E42" w:rsidP="00720E42">
      <w:pPr>
        <w:pStyle w:val="Zarkazkladnhotextu2"/>
        <w:ind w:firstLine="360"/>
        <w:rPr>
          <w:rFonts w:ascii="Times New Roman" w:hAnsi="Times New Roman"/>
          <w:b/>
          <w:color w:val="auto"/>
          <w:lang w:val="sk-SK"/>
        </w:rPr>
      </w:pPr>
    </w:p>
    <w:p w:rsidR="00720E42" w:rsidRPr="00B152E7" w:rsidRDefault="00720E42" w:rsidP="00720E42">
      <w:pPr>
        <w:pStyle w:val="Zarkazkladnhotextu2"/>
        <w:numPr>
          <w:ilvl w:val="0"/>
          <w:numId w:val="1"/>
        </w:numPr>
        <w:rPr>
          <w:rFonts w:ascii="Times New Roman" w:hAnsi="Times New Roman"/>
          <w:b/>
          <w:color w:val="auto"/>
          <w:lang w:val="sk-SK"/>
        </w:rPr>
      </w:pPr>
      <w:r w:rsidRPr="00B152E7">
        <w:rPr>
          <w:rFonts w:ascii="Times New Roman" w:hAnsi="Times New Roman"/>
          <w:b/>
          <w:color w:val="auto"/>
          <w:lang w:val="sk-SK"/>
        </w:rPr>
        <w:t xml:space="preserve">s ú h l a s í </w:t>
      </w:r>
    </w:p>
    <w:p w:rsidR="00992331" w:rsidRPr="00B152E7" w:rsidRDefault="00992331" w:rsidP="00992331">
      <w:pPr>
        <w:pStyle w:val="Zarkazkladnhotextu"/>
        <w:ind w:firstLine="708"/>
        <w:rPr>
          <w:rFonts w:ascii="Times New Roman" w:hAnsi="Times New Roman"/>
          <w:color w:val="auto"/>
          <w:lang w:val="sk-SK"/>
        </w:rPr>
      </w:pPr>
    </w:p>
    <w:p w:rsidR="0057126D" w:rsidRPr="002236BC" w:rsidRDefault="00720E42" w:rsidP="00064EA6">
      <w:pPr>
        <w:pStyle w:val="Zarkazkladnhotextu"/>
        <w:ind w:firstLine="708"/>
        <w:rPr>
          <w:b/>
          <w:color w:val="auto"/>
        </w:rPr>
      </w:pPr>
      <w:r w:rsidRPr="00B152E7">
        <w:rPr>
          <w:rFonts w:ascii="Times New Roman" w:hAnsi="Times New Roman"/>
          <w:color w:val="auto"/>
          <w:lang w:val="sk-SK"/>
        </w:rPr>
        <w:t xml:space="preserve">s </w:t>
      </w:r>
      <w:proofErr w:type="spellStart"/>
      <w:r w:rsidR="00925048" w:rsidRPr="00925048">
        <w:rPr>
          <w:color w:val="auto"/>
        </w:rPr>
        <w:t>vládnyn</w:t>
      </w:r>
      <w:proofErr w:type="spellEnd"/>
      <w:r w:rsidR="00925048" w:rsidRPr="00925048">
        <w:rPr>
          <w:color w:val="auto"/>
        </w:rPr>
        <w:t xml:space="preserve"> </w:t>
      </w:r>
      <w:proofErr w:type="spellStart"/>
      <w:r w:rsidR="00925048" w:rsidRPr="00925048">
        <w:rPr>
          <w:color w:val="auto"/>
        </w:rPr>
        <w:t>návrhom</w:t>
      </w:r>
      <w:proofErr w:type="spellEnd"/>
      <w:r w:rsidR="00925048" w:rsidRPr="00925048">
        <w:rPr>
          <w:color w:val="auto"/>
        </w:rPr>
        <w:t xml:space="preserve"> </w:t>
      </w:r>
      <w:r w:rsidR="002236BC" w:rsidRPr="002236BC">
        <w:rPr>
          <w:color w:val="auto"/>
        </w:rPr>
        <w:t xml:space="preserve">zákona, </w:t>
      </w:r>
      <w:proofErr w:type="spellStart"/>
      <w:r w:rsidR="002236BC" w:rsidRPr="002236BC">
        <w:rPr>
          <w:color w:val="auto"/>
        </w:rPr>
        <w:t>ktorým</w:t>
      </w:r>
      <w:proofErr w:type="spellEnd"/>
      <w:r w:rsidR="002236BC" w:rsidRPr="002236BC">
        <w:rPr>
          <w:color w:val="auto"/>
        </w:rPr>
        <w:t xml:space="preserve"> </w:t>
      </w:r>
      <w:proofErr w:type="spellStart"/>
      <w:r w:rsidR="002236BC" w:rsidRPr="002236BC">
        <w:rPr>
          <w:color w:val="auto"/>
        </w:rPr>
        <w:t>sa</w:t>
      </w:r>
      <w:proofErr w:type="spellEnd"/>
      <w:r w:rsidR="002236BC" w:rsidRPr="002236BC">
        <w:rPr>
          <w:color w:val="auto"/>
        </w:rPr>
        <w:t xml:space="preserve"> </w:t>
      </w:r>
      <w:proofErr w:type="spellStart"/>
      <w:r w:rsidR="002236BC" w:rsidRPr="002236BC">
        <w:rPr>
          <w:color w:val="auto"/>
        </w:rPr>
        <w:t>mení</w:t>
      </w:r>
      <w:proofErr w:type="spellEnd"/>
      <w:r w:rsidR="002236BC" w:rsidRPr="002236BC">
        <w:rPr>
          <w:color w:val="auto"/>
        </w:rPr>
        <w:t xml:space="preserve"> a </w:t>
      </w:r>
      <w:proofErr w:type="spellStart"/>
      <w:r w:rsidR="002236BC" w:rsidRPr="002236BC">
        <w:rPr>
          <w:color w:val="auto"/>
        </w:rPr>
        <w:t>dopĺňa</w:t>
      </w:r>
      <w:proofErr w:type="spellEnd"/>
      <w:r w:rsidR="002236BC" w:rsidRPr="002236BC">
        <w:rPr>
          <w:color w:val="auto"/>
        </w:rPr>
        <w:t xml:space="preserve"> zákon č. </w:t>
      </w:r>
      <w:proofErr w:type="gramStart"/>
      <w:r w:rsidR="002236BC" w:rsidRPr="002236BC">
        <w:rPr>
          <w:color w:val="auto"/>
        </w:rPr>
        <w:t>595/2003 Z. z. o dani</w:t>
      </w:r>
      <w:proofErr w:type="gramEnd"/>
      <w:r w:rsidR="002236BC" w:rsidRPr="002236BC">
        <w:rPr>
          <w:color w:val="auto"/>
        </w:rPr>
        <w:t xml:space="preserve"> z </w:t>
      </w:r>
      <w:proofErr w:type="spellStart"/>
      <w:r w:rsidR="002236BC" w:rsidRPr="002236BC">
        <w:rPr>
          <w:color w:val="auto"/>
        </w:rPr>
        <w:t>príjmov</w:t>
      </w:r>
      <w:proofErr w:type="spellEnd"/>
      <w:r w:rsidR="002236BC" w:rsidRPr="002236BC">
        <w:rPr>
          <w:color w:val="auto"/>
        </w:rPr>
        <w:t xml:space="preserve"> v </w:t>
      </w:r>
      <w:proofErr w:type="spellStart"/>
      <w:r w:rsidR="002236BC" w:rsidRPr="002236BC">
        <w:rPr>
          <w:color w:val="auto"/>
        </w:rPr>
        <w:t>znení</w:t>
      </w:r>
      <w:proofErr w:type="spellEnd"/>
      <w:r w:rsidR="002236BC" w:rsidRPr="002236BC">
        <w:rPr>
          <w:color w:val="auto"/>
        </w:rPr>
        <w:t xml:space="preserve"> </w:t>
      </w:r>
      <w:proofErr w:type="spellStart"/>
      <w:r w:rsidR="002236BC" w:rsidRPr="002236BC">
        <w:rPr>
          <w:color w:val="auto"/>
        </w:rPr>
        <w:t>neskorších</w:t>
      </w:r>
      <w:proofErr w:type="spellEnd"/>
      <w:r w:rsidR="002236BC" w:rsidRPr="002236BC">
        <w:rPr>
          <w:color w:val="auto"/>
        </w:rPr>
        <w:t xml:space="preserve"> </w:t>
      </w:r>
      <w:proofErr w:type="spellStart"/>
      <w:r w:rsidR="002236BC" w:rsidRPr="002236BC">
        <w:rPr>
          <w:color w:val="auto"/>
        </w:rPr>
        <w:t>predpisov</w:t>
      </w:r>
      <w:proofErr w:type="spellEnd"/>
      <w:r w:rsidR="002236BC" w:rsidRPr="002236BC">
        <w:rPr>
          <w:color w:val="auto"/>
        </w:rPr>
        <w:t xml:space="preserve"> a </w:t>
      </w:r>
      <w:proofErr w:type="spellStart"/>
      <w:r w:rsidR="002236BC" w:rsidRPr="002236BC">
        <w:rPr>
          <w:color w:val="auto"/>
        </w:rPr>
        <w:t>ktorým</w:t>
      </w:r>
      <w:proofErr w:type="spellEnd"/>
      <w:r w:rsidR="002236BC" w:rsidRPr="002236BC">
        <w:rPr>
          <w:color w:val="auto"/>
        </w:rPr>
        <w:t xml:space="preserve"> </w:t>
      </w:r>
      <w:proofErr w:type="spellStart"/>
      <w:r w:rsidR="002236BC" w:rsidRPr="002236BC">
        <w:rPr>
          <w:color w:val="auto"/>
        </w:rPr>
        <w:t>sa</w:t>
      </w:r>
      <w:proofErr w:type="spellEnd"/>
      <w:r w:rsidR="002236BC" w:rsidRPr="002236BC">
        <w:rPr>
          <w:color w:val="auto"/>
        </w:rPr>
        <w:t xml:space="preserve"> </w:t>
      </w:r>
      <w:proofErr w:type="spellStart"/>
      <w:r w:rsidR="002236BC" w:rsidRPr="002236BC">
        <w:rPr>
          <w:color w:val="auto"/>
        </w:rPr>
        <w:t>mení</w:t>
      </w:r>
      <w:proofErr w:type="spellEnd"/>
      <w:r w:rsidR="002236BC" w:rsidRPr="002236BC">
        <w:rPr>
          <w:color w:val="auto"/>
        </w:rPr>
        <w:t xml:space="preserve"> a </w:t>
      </w:r>
      <w:proofErr w:type="spellStart"/>
      <w:r w:rsidR="002236BC" w:rsidRPr="002236BC">
        <w:rPr>
          <w:color w:val="auto"/>
        </w:rPr>
        <w:t>dopĺňa</w:t>
      </w:r>
      <w:proofErr w:type="spellEnd"/>
      <w:r w:rsidR="002236BC" w:rsidRPr="002236BC">
        <w:rPr>
          <w:color w:val="auto"/>
        </w:rPr>
        <w:t xml:space="preserve"> zákon č. 563/2009 Z. z. o </w:t>
      </w:r>
      <w:proofErr w:type="spellStart"/>
      <w:r w:rsidR="002236BC" w:rsidRPr="002236BC">
        <w:rPr>
          <w:color w:val="auto"/>
        </w:rPr>
        <w:t>správe</w:t>
      </w:r>
      <w:proofErr w:type="spellEnd"/>
      <w:r w:rsidR="002236BC" w:rsidRPr="002236BC">
        <w:rPr>
          <w:color w:val="auto"/>
        </w:rPr>
        <w:t xml:space="preserve"> daní (daňový </w:t>
      </w:r>
      <w:proofErr w:type="spellStart"/>
      <w:r w:rsidR="002236BC" w:rsidRPr="002236BC">
        <w:rPr>
          <w:color w:val="auto"/>
        </w:rPr>
        <w:t>poriadok</w:t>
      </w:r>
      <w:proofErr w:type="spellEnd"/>
      <w:r w:rsidR="002236BC" w:rsidRPr="002236BC">
        <w:rPr>
          <w:color w:val="auto"/>
        </w:rPr>
        <w:t xml:space="preserve">) a o </w:t>
      </w:r>
      <w:proofErr w:type="spellStart"/>
      <w:r w:rsidR="002236BC" w:rsidRPr="002236BC">
        <w:rPr>
          <w:color w:val="auto"/>
        </w:rPr>
        <w:t>zmene</w:t>
      </w:r>
      <w:proofErr w:type="spellEnd"/>
      <w:r w:rsidR="002236BC" w:rsidRPr="002236BC">
        <w:rPr>
          <w:color w:val="auto"/>
        </w:rPr>
        <w:t xml:space="preserve"> a </w:t>
      </w:r>
      <w:proofErr w:type="spellStart"/>
      <w:r w:rsidR="002236BC" w:rsidRPr="002236BC">
        <w:rPr>
          <w:color w:val="auto"/>
        </w:rPr>
        <w:t>doplnení</w:t>
      </w:r>
      <w:proofErr w:type="spellEnd"/>
      <w:r w:rsidR="002236BC" w:rsidRPr="002236BC">
        <w:rPr>
          <w:color w:val="auto"/>
        </w:rPr>
        <w:t xml:space="preserve"> </w:t>
      </w:r>
      <w:proofErr w:type="spellStart"/>
      <w:r w:rsidR="002236BC" w:rsidRPr="002236BC">
        <w:rPr>
          <w:color w:val="auto"/>
        </w:rPr>
        <w:t>niektorých</w:t>
      </w:r>
      <w:proofErr w:type="spellEnd"/>
      <w:r w:rsidR="002236BC" w:rsidRPr="002236BC">
        <w:rPr>
          <w:color w:val="auto"/>
        </w:rPr>
        <w:t xml:space="preserve"> </w:t>
      </w:r>
      <w:proofErr w:type="spellStart"/>
      <w:r w:rsidR="002236BC" w:rsidRPr="002236BC">
        <w:rPr>
          <w:color w:val="auto"/>
        </w:rPr>
        <w:t>zákonov</w:t>
      </w:r>
      <w:proofErr w:type="spellEnd"/>
      <w:r w:rsidR="002236BC" w:rsidRPr="002236BC">
        <w:rPr>
          <w:color w:val="auto"/>
        </w:rPr>
        <w:t xml:space="preserve"> v </w:t>
      </w:r>
      <w:proofErr w:type="spellStart"/>
      <w:r w:rsidR="002236BC" w:rsidRPr="002236BC">
        <w:rPr>
          <w:color w:val="auto"/>
        </w:rPr>
        <w:t>znení</w:t>
      </w:r>
      <w:proofErr w:type="spellEnd"/>
      <w:r w:rsidR="002236BC" w:rsidRPr="002236BC">
        <w:rPr>
          <w:color w:val="auto"/>
        </w:rPr>
        <w:t xml:space="preserve"> </w:t>
      </w:r>
      <w:proofErr w:type="spellStart"/>
      <w:r w:rsidR="002236BC" w:rsidRPr="002236BC">
        <w:rPr>
          <w:color w:val="auto"/>
        </w:rPr>
        <w:t>neskorších</w:t>
      </w:r>
      <w:proofErr w:type="spellEnd"/>
      <w:r w:rsidR="002236BC" w:rsidRPr="002236BC">
        <w:rPr>
          <w:color w:val="auto"/>
        </w:rPr>
        <w:t xml:space="preserve"> </w:t>
      </w:r>
      <w:proofErr w:type="spellStart"/>
      <w:r w:rsidR="002236BC" w:rsidRPr="002236BC">
        <w:rPr>
          <w:color w:val="auto"/>
        </w:rPr>
        <w:t>predpisov</w:t>
      </w:r>
      <w:proofErr w:type="spellEnd"/>
      <w:r w:rsidR="002236BC" w:rsidRPr="002236BC">
        <w:rPr>
          <w:color w:val="auto"/>
        </w:rPr>
        <w:t xml:space="preserve"> </w:t>
      </w:r>
      <w:r w:rsidR="002236BC" w:rsidRPr="002236BC">
        <w:rPr>
          <w:b/>
          <w:color w:val="auto"/>
        </w:rPr>
        <w:t>(tlač 1121)</w:t>
      </w:r>
      <w:r w:rsidR="00064EA6" w:rsidRPr="002236BC">
        <w:rPr>
          <w:b/>
          <w:color w:val="auto"/>
        </w:rPr>
        <w:t>;</w:t>
      </w:r>
    </w:p>
    <w:p w:rsidR="00064EA6" w:rsidRPr="00B152E7" w:rsidRDefault="00064EA6" w:rsidP="00064EA6">
      <w:pPr>
        <w:pStyle w:val="Zarkazkladnhotextu"/>
        <w:ind w:firstLine="708"/>
      </w:pPr>
    </w:p>
    <w:p w:rsidR="00720E42" w:rsidRPr="00B152E7" w:rsidRDefault="00720E42" w:rsidP="00720E42">
      <w:pPr>
        <w:pStyle w:val="Nadpis4"/>
        <w:numPr>
          <w:ilvl w:val="0"/>
          <w:numId w:val="2"/>
        </w:numPr>
        <w:rPr>
          <w:rFonts w:ascii="Times New Roman" w:hAnsi="Times New Roman"/>
          <w:color w:val="auto"/>
          <w:lang w:val="sk-SK"/>
        </w:rPr>
      </w:pPr>
      <w:r w:rsidRPr="00B152E7">
        <w:rPr>
          <w:rFonts w:ascii="Times New Roman" w:hAnsi="Times New Roman"/>
          <w:color w:val="auto"/>
          <w:lang w:val="sk-SK"/>
        </w:rPr>
        <w:t>o d p o r ú č a</w:t>
      </w:r>
    </w:p>
    <w:p w:rsidR="00720E42" w:rsidRPr="00B152E7" w:rsidRDefault="00720E42" w:rsidP="00720E42">
      <w:pPr>
        <w:pStyle w:val="Nadpis1"/>
        <w:spacing w:line="240" w:lineRule="auto"/>
        <w:ind w:firstLine="360"/>
      </w:pPr>
      <w:r w:rsidRPr="00B152E7">
        <w:t xml:space="preserve">     </w:t>
      </w:r>
    </w:p>
    <w:p w:rsidR="00720E42" w:rsidRPr="00B152E7" w:rsidRDefault="00720E42" w:rsidP="00720E42">
      <w:pPr>
        <w:pStyle w:val="Nadpis1"/>
        <w:spacing w:line="240" w:lineRule="auto"/>
        <w:ind w:firstLine="708"/>
      </w:pPr>
      <w:r w:rsidRPr="00B152E7">
        <w:t>Národnej rade Slovenskej republiky</w:t>
      </w:r>
    </w:p>
    <w:p w:rsidR="00720E42" w:rsidRPr="00B152E7" w:rsidRDefault="00720E42" w:rsidP="00720E42">
      <w:pPr>
        <w:pStyle w:val="Zarkazkladnhotextu"/>
        <w:ind w:firstLine="360"/>
        <w:rPr>
          <w:rFonts w:ascii="Times New Roman" w:hAnsi="Times New Roman"/>
          <w:color w:val="auto"/>
          <w:lang w:val="sk-SK"/>
        </w:rPr>
      </w:pPr>
      <w:r w:rsidRPr="00B152E7">
        <w:rPr>
          <w:rFonts w:ascii="Times New Roman" w:hAnsi="Times New Roman"/>
          <w:color w:val="auto"/>
          <w:lang w:val="sk-SK"/>
        </w:rPr>
        <w:t xml:space="preserve">     </w:t>
      </w:r>
    </w:p>
    <w:p w:rsidR="00332472" w:rsidRPr="00A46160" w:rsidRDefault="00925048" w:rsidP="00332472">
      <w:pPr>
        <w:pStyle w:val="Zarkazkladnhotextu2"/>
        <w:ind w:firstLine="709"/>
        <w:rPr>
          <w:rFonts w:ascii="Times New Roman" w:hAnsi="Times New Roman"/>
          <w:color w:val="000000"/>
          <w:lang w:val="sk-SK"/>
        </w:rPr>
      </w:pPr>
      <w:proofErr w:type="spellStart"/>
      <w:r w:rsidRPr="00925048">
        <w:rPr>
          <w:color w:val="auto"/>
        </w:rPr>
        <w:t>vládny</w:t>
      </w:r>
      <w:proofErr w:type="spellEnd"/>
      <w:r w:rsidRPr="00925048">
        <w:rPr>
          <w:color w:val="auto"/>
        </w:rPr>
        <w:t xml:space="preserve"> </w:t>
      </w:r>
      <w:r w:rsidRPr="00C04DB1">
        <w:rPr>
          <w:color w:val="auto"/>
        </w:rPr>
        <w:t xml:space="preserve">návrh </w:t>
      </w:r>
      <w:r w:rsidR="002236BC" w:rsidRPr="002236BC">
        <w:rPr>
          <w:color w:val="auto"/>
        </w:rPr>
        <w:t xml:space="preserve">zákona, </w:t>
      </w:r>
      <w:proofErr w:type="spellStart"/>
      <w:r w:rsidR="002236BC" w:rsidRPr="002236BC">
        <w:rPr>
          <w:color w:val="auto"/>
        </w:rPr>
        <w:t>ktorým</w:t>
      </w:r>
      <w:proofErr w:type="spellEnd"/>
      <w:r w:rsidR="002236BC" w:rsidRPr="002236BC">
        <w:rPr>
          <w:color w:val="auto"/>
        </w:rPr>
        <w:t xml:space="preserve"> </w:t>
      </w:r>
      <w:proofErr w:type="spellStart"/>
      <w:r w:rsidR="002236BC" w:rsidRPr="002236BC">
        <w:rPr>
          <w:color w:val="auto"/>
        </w:rPr>
        <w:t>sa</w:t>
      </w:r>
      <w:proofErr w:type="spellEnd"/>
      <w:r w:rsidR="002236BC" w:rsidRPr="002236BC">
        <w:rPr>
          <w:color w:val="auto"/>
        </w:rPr>
        <w:t xml:space="preserve"> </w:t>
      </w:r>
      <w:proofErr w:type="spellStart"/>
      <w:r w:rsidR="002236BC" w:rsidRPr="002236BC">
        <w:rPr>
          <w:color w:val="auto"/>
        </w:rPr>
        <w:t>mení</w:t>
      </w:r>
      <w:proofErr w:type="spellEnd"/>
      <w:r w:rsidR="002236BC" w:rsidRPr="002236BC">
        <w:rPr>
          <w:color w:val="auto"/>
        </w:rPr>
        <w:t xml:space="preserve"> a </w:t>
      </w:r>
      <w:proofErr w:type="spellStart"/>
      <w:r w:rsidR="002236BC" w:rsidRPr="002236BC">
        <w:rPr>
          <w:color w:val="auto"/>
        </w:rPr>
        <w:t>dopĺňa</w:t>
      </w:r>
      <w:proofErr w:type="spellEnd"/>
      <w:r w:rsidR="002236BC" w:rsidRPr="002236BC">
        <w:rPr>
          <w:color w:val="auto"/>
        </w:rPr>
        <w:t xml:space="preserve"> zákon č. </w:t>
      </w:r>
      <w:proofErr w:type="gramStart"/>
      <w:r w:rsidR="002236BC" w:rsidRPr="002236BC">
        <w:rPr>
          <w:color w:val="auto"/>
        </w:rPr>
        <w:t>595/2003 Z. z. o dani</w:t>
      </w:r>
      <w:proofErr w:type="gramEnd"/>
      <w:r w:rsidR="002236BC" w:rsidRPr="002236BC">
        <w:rPr>
          <w:color w:val="auto"/>
        </w:rPr>
        <w:t xml:space="preserve"> z </w:t>
      </w:r>
      <w:proofErr w:type="spellStart"/>
      <w:r w:rsidR="002236BC" w:rsidRPr="002236BC">
        <w:rPr>
          <w:color w:val="auto"/>
        </w:rPr>
        <w:t>príjmov</w:t>
      </w:r>
      <w:proofErr w:type="spellEnd"/>
      <w:r w:rsidR="002236BC" w:rsidRPr="002236BC">
        <w:rPr>
          <w:color w:val="auto"/>
        </w:rPr>
        <w:t xml:space="preserve"> v </w:t>
      </w:r>
      <w:proofErr w:type="spellStart"/>
      <w:r w:rsidR="002236BC" w:rsidRPr="002236BC">
        <w:rPr>
          <w:color w:val="auto"/>
        </w:rPr>
        <w:t>znení</w:t>
      </w:r>
      <w:proofErr w:type="spellEnd"/>
      <w:r w:rsidR="002236BC" w:rsidRPr="002236BC">
        <w:rPr>
          <w:color w:val="auto"/>
        </w:rPr>
        <w:t xml:space="preserve"> </w:t>
      </w:r>
      <w:proofErr w:type="spellStart"/>
      <w:r w:rsidR="002236BC" w:rsidRPr="002236BC">
        <w:rPr>
          <w:color w:val="auto"/>
        </w:rPr>
        <w:t>neskorších</w:t>
      </w:r>
      <w:proofErr w:type="spellEnd"/>
      <w:r w:rsidR="002236BC" w:rsidRPr="002236BC">
        <w:rPr>
          <w:color w:val="auto"/>
        </w:rPr>
        <w:t xml:space="preserve"> </w:t>
      </w:r>
      <w:proofErr w:type="spellStart"/>
      <w:r w:rsidR="002236BC" w:rsidRPr="002236BC">
        <w:rPr>
          <w:color w:val="auto"/>
        </w:rPr>
        <w:t>predpisov</w:t>
      </w:r>
      <w:proofErr w:type="spellEnd"/>
      <w:r w:rsidR="002236BC" w:rsidRPr="002236BC">
        <w:rPr>
          <w:color w:val="auto"/>
        </w:rPr>
        <w:t xml:space="preserve"> a </w:t>
      </w:r>
      <w:proofErr w:type="spellStart"/>
      <w:r w:rsidR="002236BC" w:rsidRPr="002236BC">
        <w:rPr>
          <w:color w:val="auto"/>
        </w:rPr>
        <w:t>ktorým</w:t>
      </w:r>
      <w:proofErr w:type="spellEnd"/>
      <w:r w:rsidR="002236BC" w:rsidRPr="002236BC">
        <w:rPr>
          <w:color w:val="auto"/>
        </w:rPr>
        <w:t xml:space="preserve"> </w:t>
      </w:r>
      <w:proofErr w:type="spellStart"/>
      <w:r w:rsidR="002236BC" w:rsidRPr="002236BC">
        <w:rPr>
          <w:color w:val="auto"/>
        </w:rPr>
        <w:t>sa</w:t>
      </w:r>
      <w:proofErr w:type="spellEnd"/>
      <w:r w:rsidR="002236BC" w:rsidRPr="002236BC">
        <w:rPr>
          <w:color w:val="auto"/>
        </w:rPr>
        <w:t xml:space="preserve"> </w:t>
      </w:r>
      <w:proofErr w:type="spellStart"/>
      <w:r w:rsidR="002236BC" w:rsidRPr="002236BC">
        <w:rPr>
          <w:color w:val="auto"/>
        </w:rPr>
        <w:t>mení</w:t>
      </w:r>
      <w:proofErr w:type="spellEnd"/>
      <w:r w:rsidR="002236BC" w:rsidRPr="002236BC">
        <w:rPr>
          <w:color w:val="auto"/>
        </w:rPr>
        <w:t xml:space="preserve"> a </w:t>
      </w:r>
      <w:proofErr w:type="spellStart"/>
      <w:r w:rsidR="002236BC" w:rsidRPr="002236BC">
        <w:rPr>
          <w:color w:val="auto"/>
        </w:rPr>
        <w:t>dopĺňa</w:t>
      </w:r>
      <w:proofErr w:type="spellEnd"/>
      <w:r w:rsidR="002236BC" w:rsidRPr="002236BC">
        <w:rPr>
          <w:color w:val="auto"/>
        </w:rPr>
        <w:t xml:space="preserve"> zákon č. 563/2009 Z. z. o </w:t>
      </w:r>
      <w:proofErr w:type="spellStart"/>
      <w:r w:rsidR="002236BC" w:rsidRPr="002236BC">
        <w:rPr>
          <w:color w:val="auto"/>
        </w:rPr>
        <w:t>správe</w:t>
      </w:r>
      <w:proofErr w:type="spellEnd"/>
      <w:r w:rsidR="002236BC" w:rsidRPr="002236BC">
        <w:rPr>
          <w:color w:val="auto"/>
        </w:rPr>
        <w:t xml:space="preserve"> daní (daňový </w:t>
      </w:r>
      <w:proofErr w:type="spellStart"/>
      <w:r w:rsidR="002236BC" w:rsidRPr="002236BC">
        <w:rPr>
          <w:color w:val="auto"/>
        </w:rPr>
        <w:t>poriadok</w:t>
      </w:r>
      <w:proofErr w:type="spellEnd"/>
      <w:r w:rsidR="002236BC" w:rsidRPr="002236BC">
        <w:rPr>
          <w:color w:val="auto"/>
        </w:rPr>
        <w:t xml:space="preserve">) a o </w:t>
      </w:r>
      <w:proofErr w:type="spellStart"/>
      <w:r w:rsidR="002236BC" w:rsidRPr="002236BC">
        <w:rPr>
          <w:color w:val="auto"/>
        </w:rPr>
        <w:t>zmene</w:t>
      </w:r>
      <w:proofErr w:type="spellEnd"/>
      <w:r w:rsidR="002236BC" w:rsidRPr="002236BC">
        <w:rPr>
          <w:color w:val="auto"/>
        </w:rPr>
        <w:t xml:space="preserve"> a </w:t>
      </w:r>
      <w:proofErr w:type="spellStart"/>
      <w:r w:rsidR="002236BC" w:rsidRPr="002236BC">
        <w:rPr>
          <w:color w:val="auto"/>
        </w:rPr>
        <w:t>doplnení</w:t>
      </w:r>
      <w:proofErr w:type="spellEnd"/>
      <w:r w:rsidR="002236BC" w:rsidRPr="002236BC">
        <w:rPr>
          <w:color w:val="auto"/>
        </w:rPr>
        <w:t xml:space="preserve"> </w:t>
      </w:r>
      <w:proofErr w:type="spellStart"/>
      <w:r w:rsidR="002236BC" w:rsidRPr="002236BC">
        <w:rPr>
          <w:color w:val="auto"/>
        </w:rPr>
        <w:t>niektorých</w:t>
      </w:r>
      <w:proofErr w:type="spellEnd"/>
      <w:r w:rsidR="002236BC" w:rsidRPr="002236BC">
        <w:rPr>
          <w:color w:val="auto"/>
        </w:rPr>
        <w:t xml:space="preserve"> </w:t>
      </w:r>
      <w:proofErr w:type="spellStart"/>
      <w:r w:rsidR="002236BC" w:rsidRPr="002236BC">
        <w:rPr>
          <w:color w:val="auto"/>
        </w:rPr>
        <w:t>zákonov</w:t>
      </w:r>
      <w:proofErr w:type="spellEnd"/>
      <w:r w:rsidR="002236BC" w:rsidRPr="002236BC">
        <w:rPr>
          <w:color w:val="auto"/>
        </w:rPr>
        <w:t xml:space="preserve"> v </w:t>
      </w:r>
      <w:proofErr w:type="spellStart"/>
      <w:r w:rsidR="002236BC" w:rsidRPr="002236BC">
        <w:rPr>
          <w:color w:val="auto"/>
        </w:rPr>
        <w:t>znení</w:t>
      </w:r>
      <w:proofErr w:type="spellEnd"/>
      <w:r w:rsidR="002236BC" w:rsidRPr="002236BC">
        <w:rPr>
          <w:color w:val="auto"/>
        </w:rPr>
        <w:t xml:space="preserve"> </w:t>
      </w:r>
      <w:proofErr w:type="spellStart"/>
      <w:r w:rsidR="002236BC" w:rsidRPr="002236BC">
        <w:rPr>
          <w:color w:val="auto"/>
        </w:rPr>
        <w:t>neskorších</w:t>
      </w:r>
      <w:proofErr w:type="spellEnd"/>
      <w:r w:rsidR="002236BC" w:rsidRPr="002236BC">
        <w:rPr>
          <w:color w:val="auto"/>
        </w:rPr>
        <w:t xml:space="preserve"> </w:t>
      </w:r>
      <w:proofErr w:type="spellStart"/>
      <w:r w:rsidR="002236BC" w:rsidRPr="002236BC">
        <w:rPr>
          <w:color w:val="auto"/>
        </w:rPr>
        <w:t>predpisov</w:t>
      </w:r>
      <w:proofErr w:type="spellEnd"/>
      <w:r w:rsidR="002236BC" w:rsidRPr="002236BC">
        <w:rPr>
          <w:color w:val="auto"/>
        </w:rPr>
        <w:t xml:space="preserve"> </w:t>
      </w:r>
      <w:r w:rsidR="002236BC" w:rsidRPr="002236BC">
        <w:rPr>
          <w:b/>
          <w:color w:val="auto"/>
        </w:rPr>
        <w:t>(tlač 1121)</w:t>
      </w:r>
      <w:r w:rsidR="00437810" w:rsidRPr="00947CCF">
        <w:rPr>
          <w:b/>
          <w:color w:val="auto"/>
        </w:rPr>
        <w:t xml:space="preserve"> </w:t>
      </w:r>
      <w:proofErr w:type="spellStart"/>
      <w:r w:rsidR="00720E42" w:rsidRPr="00B152E7">
        <w:rPr>
          <w:rFonts w:ascii="Times New Roman" w:hAnsi="Times New Roman"/>
          <w:color w:val="auto"/>
        </w:rPr>
        <w:t>s</w:t>
      </w:r>
      <w:r w:rsidR="00720E42" w:rsidRPr="00B152E7">
        <w:rPr>
          <w:rFonts w:ascii="Times New Roman" w:hAnsi="Times New Roman"/>
          <w:bCs/>
          <w:color w:val="auto"/>
        </w:rPr>
        <w:t>chváliť</w:t>
      </w:r>
      <w:r w:rsidR="00CA15E4">
        <w:rPr>
          <w:rFonts w:ascii="AT*Toronto CE" w:hAnsi="AT*Toronto CE"/>
          <w:bCs/>
          <w:color w:val="000000"/>
        </w:rPr>
        <w:t>s</w:t>
      </w:r>
      <w:proofErr w:type="spellEnd"/>
      <w:r w:rsidR="00CA15E4">
        <w:rPr>
          <w:rFonts w:ascii="AT*Toronto CE" w:hAnsi="AT*Toronto CE"/>
          <w:bCs/>
          <w:color w:val="000000"/>
        </w:rPr>
        <w:t> </w:t>
      </w:r>
      <w:proofErr w:type="spellStart"/>
      <w:r w:rsidR="00CA15E4">
        <w:rPr>
          <w:rFonts w:ascii="AT*Toronto CE" w:hAnsi="AT*Toronto CE"/>
          <w:bCs/>
          <w:color w:val="000000"/>
        </w:rPr>
        <w:t>pozmeňujúcim</w:t>
      </w:r>
      <w:r w:rsidR="00E56C3B">
        <w:rPr>
          <w:rFonts w:ascii="AT*Toronto CE" w:hAnsi="AT*Toronto CE"/>
          <w:bCs/>
          <w:color w:val="000000"/>
        </w:rPr>
        <w:t>i</w:t>
      </w:r>
      <w:proofErr w:type="spellEnd"/>
      <w:r w:rsidR="00CA15E4">
        <w:rPr>
          <w:rFonts w:ascii="AT*Toronto CE" w:hAnsi="AT*Toronto CE"/>
          <w:bCs/>
          <w:color w:val="000000"/>
        </w:rPr>
        <w:t xml:space="preserve"> a </w:t>
      </w:r>
      <w:proofErr w:type="spellStart"/>
      <w:r w:rsidR="00CA15E4">
        <w:rPr>
          <w:rFonts w:ascii="AT*Toronto CE" w:hAnsi="AT*Toronto CE"/>
          <w:bCs/>
          <w:color w:val="000000"/>
        </w:rPr>
        <w:t>doplňujúcim</w:t>
      </w:r>
      <w:r w:rsidR="00E56C3B">
        <w:rPr>
          <w:rFonts w:ascii="AT*Toronto CE" w:hAnsi="AT*Toronto CE"/>
          <w:bCs/>
          <w:color w:val="000000"/>
        </w:rPr>
        <w:t>i</w:t>
      </w:r>
      <w:proofErr w:type="spellEnd"/>
      <w:r w:rsidR="00CA15E4">
        <w:rPr>
          <w:rFonts w:ascii="AT*Toronto CE" w:hAnsi="AT*Toronto CE"/>
          <w:bCs/>
          <w:color w:val="000000"/>
        </w:rPr>
        <w:t xml:space="preserve"> </w:t>
      </w:r>
      <w:proofErr w:type="spellStart"/>
      <w:r w:rsidR="00CA15E4">
        <w:rPr>
          <w:rFonts w:ascii="AT*Toronto CE" w:hAnsi="AT*Toronto CE"/>
          <w:bCs/>
          <w:color w:val="000000"/>
        </w:rPr>
        <w:t>návrhm</w:t>
      </w:r>
      <w:r w:rsidR="00E56C3B">
        <w:rPr>
          <w:rFonts w:ascii="AT*Toronto CE" w:hAnsi="AT*Toronto CE"/>
          <w:bCs/>
          <w:color w:val="000000"/>
        </w:rPr>
        <w:t>i</w:t>
      </w:r>
      <w:proofErr w:type="spellEnd"/>
      <w:r w:rsidR="00E56C3B">
        <w:rPr>
          <w:rFonts w:ascii="AT*Toronto CE" w:hAnsi="AT*Toronto CE"/>
          <w:bCs/>
          <w:color w:val="000000"/>
        </w:rPr>
        <w:t xml:space="preserve"> uvedenými v </w:t>
      </w:r>
      <w:proofErr w:type="spellStart"/>
      <w:r w:rsidR="00E56C3B">
        <w:rPr>
          <w:rFonts w:ascii="AT*Toronto CE" w:hAnsi="AT*Toronto CE"/>
          <w:bCs/>
          <w:color w:val="000000"/>
        </w:rPr>
        <w:t>prílohe</w:t>
      </w:r>
      <w:proofErr w:type="spellEnd"/>
      <w:r w:rsidR="00322AD5">
        <w:rPr>
          <w:rFonts w:ascii="Times New Roman" w:hAnsi="Times New Roman"/>
          <w:bCs/>
          <w:color w:val="auto"/>
        </w:rPr>
        <w:t>;</w:t>
      </w:r>
      <w:r w:rsidR="00332472" w:rsidRPr="00332472">
        <w:rPr>
          <w:rFonts w:ascii="AT*Toronto CE" w:hAnsi="AT*Toronto CE"/>
          <w:bCs/>
          <w:color w:val="000000"/>
        </w:rPr>
        <w:t xml:space="preserve"> </w:t>
      </w:r>
    </w:p>
    <w:p w:rsidR="00720E42" w:rsidRDefault="00720E42" w:rsidP="00332472">
      <w:pPr>
        <w:jc w:val="both"/>
      </w:pPr>
    </w:p>
    <w:p w:rsidR="00720E42" w:rsidRPr="00B152E7" w:rsidRDefault="00720E42" w:rsidP="00720E42">
      <w:pPr>
        <w:pStyle w:val="Nadpis4"/>
        <w:numPr>
          <w:ilvl w:val="0"/>
          <w:numId w:val="2"/>
        </w:numPr>
        <w:rPr>
          <w:rFonts w:ascii="Times New Roman" w:hAnsi="Times New Roman"/>
          <w:color w:val="auto"/>
          <w:lang w:val="sk-SK"/>
        </w:rPr>
      </w:pPr>
      <w:r w:rsidRPr="00B152E7">
        <w:rPr>
          <w:rFonts w:ascii="Times New Roman" w:hAnsi="Times New Roman"/>
          <w:color w:val="auto"/>
          <w:lang w:val="sk-SK"/>
        </w:rPr>
        <w:t>u k l a d á</w:t>
      </w:r>
    </w:p>
    <w:p w:rsidR="00992331" w:rsidRPr="00B152E7" w:rsidRDefault="00992331" w:rsidP="00992331">
      <w:pPr>
        <w:ind w:left="720"/>
        <w:jc w:val="both"/>
      </w:pPr>
    </w:p>
    <w:p w:rsidR="00720E42" w:rsidRDefault="002F4226" w:rsidP="00992331">
      <w:pPr>
        <w:ind w:firstLine="709"/>
        <w:jc w:val="both"/>
      </w:pPr>
      <w:r>
        <w:t>predsedovi</w:t>
      </w:r>
      <w:r w:rsidR="00720E42" w:rsidRPr="00B152E7">
        <w:t xml:space="preserve"> výboru predložiť stanovisko výboru k uvedenému návrhu zákona predsedovi gestorského </w:t>
      </w:r>
      <w:r w:rsidR="00933C9B">
        <w:t xml:space="preserve">Výboru Národnej rady Slovenskej republiky pre </w:t>
      </w:r>
      <w:r w:rsidR="00C04DB1">
        <w:t>financie a rozpočet</w:t>
      </w:r>
      <w:r w:rsidR="00933C9B">
        <w:t>.</w:t>
      </w:r>
    </w:p>
    <w:p w:rsidR="00885282" w:rsidRDefault="00885282" w:rsidP="00992331">
      <w:pPr>
        <w:ind w:firstLine="709"/>
        <w:jc w:val="both"/>
      </w:pPr>
    </w:p>
    <w:p w:rsidR="00925048" w:rsidRDefault="00925048" w:rsidP="00992331">
      <w:pPr>
        <w:ind w:firstLine="709"/>
        <w:jc w:val="both"/>
      </w:pPr>
    </w:p>
    <w:p w:rsidR="002B637A" w:rsidRDefault="002B637A" w:rsidP="002B637A">
      <w:pPr>
        <w:tabs>
          <w:tab w:val="left" w:pos="-1985"/>
          <w:tab w:val="left" w:pos="709"/>
          <w:tab w:val="left" w:pos="1077"/>
        </w:tabs>
        <w:jc w:val="both"/>
      </w:pPr>
    </w:p>
    <w:p w:rsidR="002B637A" w:rsidRDefault="002B637A" w:rsidP="002B637A">
      <w:pPr>
        <w:tabs>
          <w:tab w:val="left" w:pos="-1985"/>
          <w:tab w:val="left" w:pos="709"/>
          <w:tab w:val="left" w:pos="1077"/>
        </w:tabs>
        <w:jc w:val="both"/>
      </w:pPr>
      <w:r>
        <w:t xml:space="preserve">                                                                                              Peter </w:t>
      </w:r>
      <w:r>
        <w:rPr>
          <w:b/>
          <w:bCs/>
        </w:rPr>
        <w:t xml:space="preserve">K r e m s k ý, </w:t>
      </w:r>
      <w:proofErr w:type="spellStart"/>
      <w:r>
        <w:rPr>
          <w:b/>
          <w:bCs/>
        </w:rPr>
        <w:t>v.r</w:t>
      </w:r>
      <w:proofErr w:type="spellEnd"/>
      <w:r>
        <w:rPr>
          <w:b/>
          <w:bCs/>
        </w:rPr>
        <w:t xml:space="preserve">.  </w:t>
      </w:r>
    </w:p>
    <w:p w:rsidR="002B637A" w:rsidRDefault="00A87F9F" w:rsidP="002B637A">
      <w:pPr>
        <w:tabs>
          <w:tab w:val="left" w:pos="-1985"/>
          <w:tab w:val="left" w:pos="709"/>
          <w:tab w:val="left" w:pos="1077"/>
        </w:tabs>
        <w:jc w:val="both"/>
      </w:pPr>
      <w:r>
        <w:t xml:space="preserve"> </w:t>
      </w:r>
      <w:r w:rsidR="000F03E9">
        <w:t xml:space="preserve">   </w:t>
      </w:r>
      <w:r w:rsidR="002B637A">
        <w:t xml:space="preserve">Peter </w:t>
      </w:r>
      <w:r w:rsidR="002B637A">
        <w:rPr>
          <w:b/>
        </w:rPr>
        <w:t xml:space="preserve">L i b a </w:t>
      </w:r>
      <w:r w:rsidR="002B637A">
        <w:tab/>
      </w:r>
      <w:r w:rsidR="002B637A">
        <w:tab/>
      </w:r>
      <w:r w:rsidR="002B637A">
        <w:tab/>
      </w:r>
      <w:r w:rsidR="002B637A">
        <w:tab/>
      </w:r>
      <w:r w:rsidR="002B637A">
        <w:tab/>
        <w:t xml:space="preserve">         </w:t>
      </w:r>
      <w:r>
        <w:t xml:space="preserve">       </w:t>
      </w:r>
      <w:r w:rsidR="002B637A">
        <w:t xml:space="preserve">  predseda výboru</w:t>
      </w:r>
    </w:p>
    <w:p w:rsidR="002B637A" w:rsidRDefault="002B637A" w:rsidP="002B637A">
      <w:pPr>
        <w:tabs>
          <w:tab w:val="left" w:pos="-1985"/>
          <w:tab w:val="left" w:pos="709"/>
          <w:tab w:val="left" w:pos="1077"/>
        </w:tabs>
        <w:jc w:val="both"/>
        <w:rPr>
          <w:b/>
        </w:rPr>
      </w:pPr>
      <w:r>
        <w:rPr>
          <w:bCs/>
        </w:rPr>
        <w:t xml:space="preserve">Maroš </w:t>
      </w:r>
      <w:r>
        <w:rPr>
          <w:b/>
          <w:bCs/>
        </w:rPr>
        <w:t>K o n d r ó t</w:t>
      </w:r>
    </w:p>
    <w:p w:rsidR="002B637A" w:rsidRDefault="002B637A" w:rsidP="002B637A">
      <w:pPr>
        <w:tabs>
          <w:tab w:val="left" w:pos="-1985"/>
          <w:tab w:val="left" w:pos="709"/>
          <w:tab w:val="left" w:pos="1077"/>
        </w:tabs>
        <w:jc w:val="both"/>
      </w:pPr>
      <w:r>
        <w:t>overovatelia výboru</w:t>
      </w:r>
    </w:p>
    <w:p w:rsidR="009A5D96" w:rsidRDefault="009A5D96" w:rsidP="00D04222">
      <w:pPr>
        <w:tabs>
          <w:tab w:val="left" w:pos="-1985"/>
          <w:tab w:val="left" w:pos="709"/>
          <w:tab w:val="left" w:pos="1077"/>
        </w:tabs>
        <w:jc w:val="both"/>
        <w:rPr>
          <w:bCs/>
          <w:i/>
          <w:iCs/>
        </w:rPr>
      </w:pPr>
    </w:p>
    <w:p w:rsidR="00E56C3B" w:rsidRDefault="00E56C3B" w:rsidP="00E56C3B">
      <w:pPr>
        <w:tabs>
          <w:tab w:val="left" w:pos="-1985"/>
          <w:tab w:val="left" w:pos="709"/>
          <w:tab w:val="left" w:pos="1077"/>
        </w:tabs>
        <w:jc w:val="both"/>
        <w:rPr>
          <w:bCs/>
          <w:i/>
          <w:iCs/>
        </w:rPr>
      </w:pPr>
      <w:r>
        <w:rPr>
          <w:bCs/>
          <w:i/>
          <w:iCs/>
        </w:rPr>
        <w:lastRenderedPageBreak/>
        <w:tab/>
      </w:r>
      <w:r>
        <w:rPr>
          <w:bCs/>
          <w:i/>
          <w:iCs/>
        </w:rPr>
        <w:tab/>
        <w:t>Výbor</w:t>
      </w:r>
    </w:p>
    <w:p w:rsidR="00E56C3B" w:rsidRDefault="00E56C3B" w:rsidP="00E56C3B">
      <w:pPr>
        <w:jc w:val="both"/>
        <w:rPr>
          <w:i/>
        </w:rPr>
      </w:pPr>
      <w:r>
        <w:rPr>
          <w:i/>
        </w:rPr>
        <w:t xml:space="preserve"> Národnej rady Slovenskej republiky</w:t>
      </w:r>
    </w:p>
    <w:p w:rsidR="00E56C3B" w:rsidRDefault="00E56C3B" w:rsidP="00E56C3B">
      <w:pPr>
        <w:jc w:val="both"/>
      </w:pPr>
      <w:r>
        <w:rPr>
          <w:i/>
        </w:rPr>
        <w:t xml:space="preserve">      pre hospodárske záležitosti </w:t>
      </w:r>
      <w:r>
        <w:t xml:space="preserve">            </w:t>
      </w:r>
      <w:r>
        <w:tab/>
      </w:r>
      <w:r>
        <w:tab/>
      </w:r>
    </w:p>
    <w:p w:rsidR="00E56C3B" w:rsidRDefault="00E56C3B" w:rsidP="00E56C3B">
      <w:pPr>
        <w:jc w:val="both"/>
      </w:pPr>
      <w:r>
        <w:tab/>
      </w:r>
      <w:r>
        <w:tab/>
      </w:r>
    </w:p>
    <w:p w:rsidR="00E56C3B" w:rsidRDefault="00E56C3B" w:rsidP="00E56C3B">
      <w:pPr>
        <w:ind w:left="5672" w:firstLine="709"/>
        <w:jc w:val="both"/>
      </w:pPr>
      <w:r>
        <w:t xml:space="preserve"> 124. schôdza výboru</w:t>
      </w:r>
    </w:p>
    <w:p w:rsidR="00E56C3B" w:rsidRDefault="00E56C3B" w:rsidP="00E56C3B">
      <w:pPr>
        <w:jc w:val="both"/>
        <w:rPr>
          <w:bCs/>
        </w:rPr>
      </w:pPr>
      <w:r>
        <w:t xml:space="preserve">                                                                                             </w:t>
      </w:r>
      <w:r>
        <w:tab/>
      </w:r>
      <w:r>
        <w:tab/>
        <w:t xml:space="preserve"> </w:t>
      </w:r>
      <w:r>
        <w:rPr>
          <w:bCs/>
        </w:rPr>
        <w:t>Príloha k uzneseniu č. 3</w:t>
      </w:r>
      <w:r>
        <w:rPr>
          <w:bCs/>
        </w:rPr>
        <w:t>48</w:t>
      </w:r>
    </w:p>
    <w:p w:rsidR="00E56C3B" w:rsidRDefault="00E56C3B" w:rsidP="00E56C3B">
      <w:pPr>
        <w:pStyle w:val="Zarkazkladnhotextu"/>
        <w:rPr>
          <w:rFonts w:ascii="Times New Roman" w:hAnsi="Times New Roman"/>
          <w:iCs/>
          <w:color w:val="auto"/>
          <w:lang w:val="sk-SK"/>
        </w:rPr>
      </w:pPr>
      <w:r>
        <w:rPr>
          <w:rFonts w:ascii="Times New Roman" w:hAnsi="Times New Roman"/>
          <w:iCs/>
          <w:color w:val="auto"/>
          <w:lang w:val="sk-SK"/>
        </w:rPr>
        <w:t xml:space="preserve">  </w:t>
      </w:r>
    </w:p>
    <w:p w:rsidR="00E56C3B" w:rsidRDefault="00E56C3B" w:rsidP="00E56C3B">
      <w:pPr>
        <w:jc w:val="center"/>
        <w:rPr>
          <w:b/>
          <w:sz w:val="32"/>
          <w:szCs w:val="28"/>
        </w:rPr>
      </w:pPr>
    </w:p>
    <w:p w:rsidR="00E56C3B" w:rsidRDefault="00E56C3B" w:rsidP="00E56C3B">
      <w:pPr>
        <w:pStyle w:val="Nadpis5"/>
        <w:spacing w:line="240" w:lineRule="auto"/>
      </w:pPr>
      <w:r>
        <w:t>Z m e n y  a  d o p l n k y</w:t>
      </w:r>
    </w:p>
    <w:p w:rsidR="00E56C3B" w:rsidRDefault="00E56C3B" w:rsidP="00E56C3B"/>
    <w:p w:rsidR="00E56C3B" w:rsidRDefault="00E56C3B" w:rsidP="00E56C3B">
      <w:pPr>
        <w:pStyle w:val="Zarkazkladnhotextu"/>
        <w:pBdr>
          <w:bottom w:val="single" w:sz="12" w:space="1" w:color="auto"/>
        </w:pBdr>
        <w:ind w:firstLine="0"/>
        <w:rPr>
          <w:b/>
          <w:color w:val="auto"/>
        </w:rPr>
      </w:pPr>
      <w:r w:rsidRPr="00B152E7">
        <w:rPr>
          <w:rFonts w:ascii="Times New Roman" w:hAnsi="Times New Roman"/>
          <w:color w:val="auto"/>
          <w:lang w:val="sk-SK"/>
        </w:rPr>
        <w:t>k</w:t>
      </w:r>
      <w:r>
        <w:rPr>
          <w:rFonts w:ascii="Times New Roman" w:hAnsi="Times New Roman"/>
          <w:color w:val="auto"/>
          <w:lang w:val="sk-SK"/>
        </w:rPr>
        <w:t> </w:t>
      </w:r>
      <w:proofErr w:type="spellStart"/>
      <w:r w:rsidRPr="00925048">
        <w:rPr>
          <w:color w:val="auto"/>
        </w:rPr>
        <w:t>vládnemu</w:t>
      </w:r>
      <w:proofErr w:type="spellEnd"/>
      <w:r w:rsidRPr="00925048">
        <w:rPr>
          <w:color w:val="auto"/>
        </w:rPr>
        <w:t xml:space="preserve"> návrhu </w:t>
      </w:r>
      <w:r w:rsidRPr="002236BC">
        <w:rPr>
          <w:color w:val="auto"/>
        </w:rPr>
        <w:t xml:space="preserve">zákona, </w:t>
      </w:r>
      <w:proofErr w:type="spellStart"/>
      <w:r w:rsidRPr="002236BC">
        <w:rPr>
          <w:color w:val="auto"/>
        </w:rPr>
        <w:t>ktorým</w:t>
      </w:r>
      <w:proofErr w:type="spellEnd"/>
      <w:r w:rsidRPr="002236BC">
        <w:rPr>
          <w:color w:val="auto"/>
        </w:rPr>
        <w:t xml:space="preserve"> </w:t>
      </w:r>
      <w:proofErr w:type="spellStart"/>
      <w:r w:rsidRPr="002236BC">
        <w:rPr>
          <w:color w:val="auto"/>
        </w:rPr>
        <w:t>sa</w:t>
      </w:r>
      <w:proofErr w:type="spellEnd"/>
      <w:r w:rsidRPr="002236BC">
        <w:rPr>
          <w:color w:val="auto"/>
        </w:rPr>
        <w:t xml:space="preserve"> </w:t>
      </w:r>
      <w:proofErr w:type="spellStart"/>
      <w:r w:rsidRPr="002236BC">
        <w:rPr>
          <w:color w:val="auto"/>
        </w:rPr>
        <w:t>mení</w:t>
      </w:r>
      <w:proofErr w:type="spellEnd"/>
      <w:r w:rsidRPr="002236BC">
        <w:rPr>
          <w:color w:val="auto"/>
        </w:rPr>
        <w:t xml:space="preserve"> a </w:t>
      </w:r>
      <w:proofErr w:type="spellStart"/>
      <w:r w:rsidRPr="002236BC">
        <w:rPr>
          <w:color w:val="auto"/>
        </w:rPr>
        <w:t>dopĺňa</w:t>
      </w:r>
      <w:proofErr w:type="spellEnd"/>
      <w:r w:rsidRPr="002236BC">
        <w:rPr>
          <w:color w:val="auto"/>
        </w:rPr>
        <w:t xml:space="preserve"> zákon č. </w:t>
      </w:r>
      <w:proofErr w:type="gramStart"/>
      <w:r w:rsidRPr="002236BC">
        <w:rPr>
          <w:color w:val="auto"/>
        </w:rPr>
        <w:t>595/2003 Z. z. o dani</w:t>
      </w:r>
      <w:proofErr w:type="gramEnd"/>
      <w:r w:rsidRPr="002236BC">
        <w:rPr>
          <w:color w:val="auto"/>
        </w:rPr>
        <w:t xml:space="preserve"> z </w:t>
      </w:r>
      <w:proofErr w:type="spellStart"/>
      <w:r w:rsidRPr="002236BC">
        <w:rPr>
          <w:color w:val="auto"/>
        </w:rPr>
        <w:t>príjmov</w:t>
      </w:r>
      <w:proofErr w:type="spellEnd"/>
      <w:r w:rsidRPr="002236BC">
        <w:rPr>
          <w:color w:val="auto"/>
        </w:rPr>
        <w:t xml:space="preserve"> v </w:t>
      </w:r>
      <w:proofErr w:type="spellStart"/>
      <w:r w:rsidRPr="002236BC">
        <w:rPr>
          <w:color w:val="auto"/>
        </w:rPr>
        <w:t>znení</w:t>
      </w:r>
      <w:proofErr w:type="spellEnd"/>
      <w:r w:rsidRPr="002236BC">
        <w:rPr>
          <w:color w:val="auto"/>
        </w:rPr>
        <w:t xml:space="preserve"> </w:t>
      </w:r>
      <w:proofErr w:type="spellStart"/>
      <w:r w:rsidRPr="002236BC">
        <w:rPr>
          <w:color w:val="auto"/>
        </w:rPr>
        <w:t>neskorších</w:t>
      </w:r>
      <w:proofErr w:type="spellEnd"/>
      <w:r w:rsidRPr="002236BC">
        <w:rPr>
          <w:color w:val="auto"/>
        </w:rPr>
        <w:t xml:space="preserve"> </w:t>
      </w:r>
      <w:proofErr w:type="spellStart"/>
      <w:r w:rsidRPr="002236BC">
        <w:rPr>
          <w:color w:val="auto"/>
        </w:rPr>
        <w:t>predpisov</w:t>
      </w:r>
      <w:proofErr w:type="spellEnd"/>
      <w:r w:rsidRPr="002236BC">
        <w:rPr>
          <w:color w:val="auto"/>
        </w:rPr>
        <w:t xml:space="preserve"> a </w:t>
      </w:r>
      <w:proofErr w:type="spellStart"/>
      <w:r w:rsidRPr="002236BC">
        <w:rPr>
          <w:color w:val="auto"/>
        </w:rPr>
        <w:t>ktorým</w:t>
      </w:r>
      <w:proofErr w:type="spellEnd"/>
      <w:r w:rsidRPr="002236BC">
        <w:rPr>
          <w:color w:val="auto"/>
        </w:rPr>
        <w:t xml:space="preserve"> </w:t>
      </w:r>
      <w:proofErr w:type="spellStart"/>
      <w:r w:rsidRPr="002236BC">
        <w:rPr>
          <w:color w:val="auto"/>
        </w:rPr>
        <w:t>sa</w:t>
      </w:r>
      <w:proofErr w:type="spellEnd"/>
      <w:r w:rsidRPr="002236BC">
        <w:rPr>
          <w:color w:val="auto"/>
        </w:rPr>
        <w:t xml:space="preserve"> </w:t>
      </w:r>
      <w:proofErr w:type="spellStart"/>
      <w:r w:rsidRPr="002236BC">
        <w:rPr>
          <w:color w:val="auto"/>
        </w:rPr>
        <w:t>mení</w:t>
      </w:r>
      <w:proofErr w:type="spellEnd"/>
      <w:r w:rsidRPr="002236BC">
        <w:rPr>
          <w:color w:val="auto"/>
        </w:rPr>
        <w:t xml:space="preserve"> a </w:t>
      </w:r>
      <w:proofErr w:type="spellStart"/>
      <w:r w:rsidRPr="002236BC">
        <w:rPr>
          <w:color w:val="auto"/>
        </w:rPr>
        <w:t>dopĺňa</w:t>
      </w:r>
      <w:proofErr w:type="spellEnd"/>
      <w:r w:rsidRPr="002236BC">
        <w:rPr>
          <w:color w:val="auto"/>
        </w:rPr>
        <w:t xml:space="preserve"> zákon č. 563/2009 Z. z. o </w:t>
      </w:r>
      <w:proofErr w:type="spellStart"/>
      <w:r w:rsidRPr="002236BC">
        <w:rPr>
          <w:color w:val="auto"/>
        </w:rPr>
        <w:t>správe</w:t>
      </w:r>
      <w:proofErr w:type="spellEnd"/>
      <w:r w:rsidRPr="002236BC">
        <w:rPr>
          <w:color w:val="auto"/>
        </w:rPr>
        <w:t xml:space="preserve"> daní (daňový </w:t>
      </w:r>
      <w:proofErr w:type="spellStart"/>
      <w:r w:rsidRPr="002236BC">
        <w:rPr>
          <w:color w:val="auto"/>
        </w:rPr>
        <w:t>poriadok</w:t>
      </w:r>
      <w:proofErr w:type="spellEnd"/>
      <w:r w:rsidRPr="002236BC">
        <w:rPr>
          <w:color w:val="auto"/>
        </w:rPr>
        <w:t xml:space="preserve">) a o </w:t>
      </w:r>
      <w:proofErr w:type="spellStart"/>
      <w:r w:rsidRPr="002236BC">
        <w:rPr>
          <w:color w:val="auto"/>
        </w:rPr>
        <w:t>zmene</w:t>
      </w:r>
      <w:proofErr w:type="spellEnd"/>
      <w:r w:rsidRPr="002236BC">
        <w:rPr>
          <w:color w:val="auto"/>
        </w:rPr>
        <w:t xml:space="preserve"> a </w:t>
      </w:r>
      <w:proofErr w:type="spellStart"/>
      <w:r w:rsidRPr="002236BC">
        <w:rPr>
          <w:color w:val="auto"/>
        </w:rPr>
        <w:t>doplnení</w:t>
      </w:r>
      <w:proofErr w:type="spellEnd"/>
      <w:r w:rsidRPr="002236BC">
        <w:rPr>
          <w:color w:val="auto"/>
        </w:rPr>
        <w:t xml:space="preserve"> </w:t>
      </w:r>
      <w:proofErr w:type="spellStart"/>
      <w:r w:rsidRPr="002236BC">
        <w:rPr>
          <w:color w:val="auto"/>
        </w:rPr>
        <w:t>niektorých</w:t>
      </w:r>
      <w:proofErr w:type="spellEnd"/>
      <w:r w:rsidRPr="002236BC">
        <w:rPr>
          <w:color w:val="auto"/>
        </w:rPr>
        <w:t xml:space="preserve"> </w:t>
      </w:r>
      <w:proofErr w:type="spellStart"/>
      <w:r w:rsidRPr="002236BC">
        <w:rPr>
          <w:color w:val="auto"/>
        </w:rPr>
        <w:t>zákonov</w:t>
      </w:r>
      <w:proofErr w:type="spellEnd"/>
      <w:r w:rsidRPr="002236BC">
        <w:rPr>
          <w:color w:val="auto"/>
        </w:rPr>
        <w:t xml:space="preserve"> v </w:t>
      </w:r>
      <w:proofErr w:type="spellStart"/>
      <w:r w:rsidRPr="002236BC">
        <w:rPr>
          <w:color w:val="auto"/>
        </w:rPr>
        <w:t>znení</w:t>
      </w:r>
      <w:proofErr w:type="spellEnd"/>
      <w:r w:rsidRPr="002236BC">
        <w:rPr>
          <w:color w:val="auto"/>
        </w:rPr>
        <w:t xml:space="preserve"> </w:t>
      </w:r>
      <w:proofErr w:type="spellStart"/>
      <w:r w:rsidRPr="002236BC">
        <w:rPr>
          <w:color w:val="auto"/>
        </w:rPr>
        <w:t>neskorších</w:t>
      </w:r>
      <w:proofErr w:type="spellEnd"/>
      <w:r w:rsidRPr="002236BC">
        <w:rPr>
          <w:color w:val="auto"/>
        </w:rPr>
        <w:t xml:space="preserve"> </w:t>
      </w:r>
      <w:proofErr w:type="spellStart"/>
      <w:r w:rsidRPr="002236BC">
        <w:rPr>
          <w:color w:val="auto"/>
        </w:rPr>
        <w:t>predpisov</w:t>
      </w:r>
      <w:proofErr w:type="spellEnd"/>
      <w:r w:rsidRPr="002236BC">
        <w:rPr>
          <w:color w:val="auto"/>
        </w:rPr>
        <w:t xml:space="preserve"> </w:t>
      </w:r>
      <w:r w:rsidRPr="002236BC">
        <w:rPr>
          <w:b/>
          <w:color w:val="auto"/>
        </w:rPr>
        <w:t>(tlač 1121)</w:t>
      </w:r>
    </w:p>
    <w:p w:rsidR="00E56C3B" w:rsidRPr="00933C9B" w:rsidRDefault="00E56C3B" w:rsidP="00E56C3B">
      <w:pPr>
        <w:pStyle w:val="Zarkazkladnhotextu"/>
        <w:ind w:firstLine="0"/>
        <w:rPr>
          <w:b/>
          <w:color w:val="auto"/>
        </w:rPr>
      </w:pPr>
    </w:p>
    <w:p w:rsidR="00E56C3B" w:rsidRPr="00841F5F" w:rsidRDefault="00E56C3B" w:rsidP="00E56C3B">
      <w:pPr>
        <w:rPr>
          <w:rFonts w:eastAsia="Calibri"/>
        </w:rPr>
      </w:pPr>
    </w:p>
    <w:p w:rsidR="00E56C3B" w:rsidRDefault="00E56C3B" w:rsidP="00E56C3B">
      <w:pPr>
        <w:pStyle w:val="Odsekzoznamu"/>
        <w:numPr>
          <w:ilvl w:val="0"/>
          <w:numId w:val="34"/>
        </w:numPr>
        <w:ind w:left="284" w:hanging="284"/>
        <w:contextualSpacing/>
        <w:rPr>
          <w:rFonts w:eastAsia="Calibri"/>
          <w:b/>
        </w:rPr>
      </w:pPr>
      <w:r>
        <w:rPr>
          <w:rFonts w:eastAsia="Calibri"/>
          <w:b/>
        </w:rPr>
        <w:t>K čl. I, nový bod 4</w:t>
      </w:r>
    </w:p>
    <w:p w:rsidR="00E56C3B" w:rsidRPr="00964F07" w:rsidRDefault="00E56C3B" w:rsidP="00E56C3B">
      <w:pPr>
        <w:ind w:left="284"/>
        <w:rPr>
          <w:rFonts w:eastAsia="Calibri"/>
        </w:rPr>
      </w:pPr>
      <w:r w:rsidRPr="00964F07">
        <w:rPr>
          <w:rFonts w:eastAsia="Calibri"/>
        </w:rPr>
        <w:t>Za doterajší bod 3 sa vkladá nový bod 4, ktorý znie:</w:t>
      </w:r>
    </w:p>
    <w:p w:rsidR="00E56C3B" w:rsidRDefault="00E56C3B" w:rsidP="00E56C3B">
      <w:pPr>
        <w:ind w:left="284"/>
        <w:jc w:val="both"/>
      </w:pPr>
      <w:r w:rsidRPr="00964F07">
        <w:rPr>
          <w:rFonts w:eastAsia="Calibri"/>
        </w:rPr>
        <w:t xml:space="preserve">„4. </w:t>
      </w:r>
      <w:r w:rsidRPr="003A3B68">
        <w:t xml:space="preserve">V § </w:t>
      </w:r>
      <w:r>
        <w:t>16</w:t>
      </w:r>
      <w:r w:rsidRPr="003A3B68">
        <w:t xml:space="preserve"> ods. </w:t>
      </w:r>
      <w:r>
        <w:t>1</w:t>
      </w:r>
      <w:r w:rsidRPr="003A3B68">
        <w:t xml:space="preserve"> písm. </w:t>
      </w:r>
      <w:r>
        <w:t>e</w:t>
      </w:r>
      <w:r w:rsidRPr="003A3B68">
        <w:t>)</w:t>
      </w:r>
      <w:r>
        <w:t xml:space="preserve"> treťom bode </w:t>
      </w:r>
      <w:r w:rsidRPr="003A3B68">
        <w:t>sa za s</w:t>
      </w:r>
      <w:r>
        <w:t>lová</w:t>
      </w:r>
      <w:r w:rsidRPr="003A3B68">
        <w:t xml:space="preserve"> „</w:t>
      </w:r>
      <w:r>
        <w:t>z ich vyplatenia (vrátenia),"</w:t>
      </w:r>
      <w:r w:rsidRPr="003A3B68">
        <w:t xml:space="preserve"> vkladajú slová „</w:t>
      </w:r>
      <w:r>
        <w:t>z výnosov z dlhopisov okrem výnosov zo štátnych dlhopisov a štátnych pokladničných poukážok</w:t>
      </w:r>
      <w:r w:rsidRPr="003A3B68">
        <w:t>,“</w:t>
      </w:r>
      <w:r>
        <w:t xml:space="preserve"> a na konci sa vypúšťajú slová „okrem výnosov z dlhopisov a pokladničných poukážok“</w:t>
      </w:r>
      <w:r w:rsidRPr="003A3B68">
        <w:t>.</w:t>
      </w:r>
      <w:r>
        <w:t>“.</w:t>
      </w:r>
    </w:p>
    <w:p w:rsidR="00E56C3B" w:rsidRDefault="00E56C3B" w:rsidP="00E56C3B">
      <w:pPr>
        <w:pStyle w:val="Odsekzoznamu"/>
        <w:rPr>
          <w:rFonts w:eastAsia="Calibri"/>
          <w:b/>
        </w:rPr>
      </w:pPr>
    </w:p>
    <w:p w:rsidR="00E56C3B" w:rsidRDefault="00E56C3B" w:rsidP="00E56C3B">
      <w:pPr>
        <w:jc w:val="both"/>
      </w:pPr>
      <w:r>
        <w:t>Doterajšie body 4 a nasledujúce sa primerane prečíslujú.</w:t>
      </w:r>
    </w:p>
    <w:p w:rsidR="00E56C3B" w:rsidRDefault="00E56C3B" w:rsidP="00E56C3B">
      <w:pPr>
        <w:pStyle w:val="Odsekzoznamu"/>
        <w:jc w:val="both"/>
      </w:pPr>
    </w:p>
    <w:p w:rsidR="00E56C3B" w:rsidRDefault="00E56C3B" w:rsidP="00E56C3B">
      <w:pPr>
        <w:jc w:val="both"/>
      </w:pPr>
      <w:r>
        <w:t xml:space="preserve">Nový bod 4 nadobúda účinnosť 1. januára 2023, čo sa premietne do ustanovenia o účinnosti zákona pri spracúvaní čistopisu schváleného znenia. </w:t>
      </w:r>
    </w:p>
    <w:p w:rsidR="00E56C3B" w:rsidRDefault="00E56C3B" w:rsidP="00E56C3B">
      <w:pPr>
        <w:pStyle w:val="Odsekzoznamu"/>
        <w:jc w:val="both"/>
      </w:pPr>
    </w:p>
    <w:p w:rsidR="00E56C3B" w:rsidRDefault="00E56C3B" w:rsidP="00E56C3B">
      <w:pPr>
        <w:pStyle w:val="Odsekzoznamu"/>
        <w:jc w:val="both"/>
      </w:pPr>
    </w:p>
    <w:p w:rsidR="00E56C3B" w:rsidRPr="00964F07" w:rsidRDefault="00E56C3B" w:rsidP="00E56C3B">
      <w:pPr>
        <w:ind w:left="4253"/>
        <w:jc w:val="both"/>
        <w:rPr>
          <w:b/>
        </w:rPr>
      </w:pPr>
      <w:r w:rsidRPr="00964F07">
        <w:rPr>
          <w:b/>
        </w:rPr>
        <w:t>Odôvodnenie</w:t>
      </w:r>
    </w:p>
    <w:p w:rsidR="00E56C3B" w:rsidRDefault="00E56C3B" w:rsidP="00E56C3B">
      <w:pPr>
        <w:ind w:left="4253"/>
        <w:jc w:val="both"/>
      </w:pPr>
      <w:r>
        <w:t>Úprava sa navrhuje z dôvodu zamedzenia obchádzania zdanenia výnosov z komerčných, predovšetkým podnikových dlhopisov, ktoré domáci emitenti emitovali na zahraničných trhoch. Výnosy z komerčných dlhopisov, ktoré plynú daňovníkovi s obmedzenou daňovou povinnosťou budú mať zdroj príjmov na území SR a budú podliehať zdaneniu v SR. Výnimkou, kedy aj napriek zaradeniu tohto druhu príjmu medzi príjmy zo zdroja na území SR nepríde k zdaneniu, bude situácia výplaty úrokového výnosu z dlhopisov plynúceho daňovníkom členských štátov EÚ medzi prepojenými osobami (vlastníctvo aspoň 25 % podielu na základnom imaní po dobu aspoň 24 mesiacov) a tiež výplaty úrokového výnosu rezidentom štátov, s ktorými má SR uzatvorenú zmluvu o zamedzení dvojitého zdanenia s nulovým zdanením podľa tejto zmluvy.</w:t>
      </w:r>
    </w:p>
    <w:p w:rsidR="00E56C3B" w:rsidRDefault="00E56C3B" w:rsidP="00E56C3B">
      <w:pPr>
        <w:ind w:left="4253"/>
        <w:jc w:val="both"/>
      </w:pPr>
    </w:p>
    <w:p w:rsidR="00E56C3B" w:rsidRDefault="00E56C3B" w:rsidP="00E56C3B">
      <w:pPr>
        <w:ind w:left="4253"/>
        <w:jc w:val="both"/>
      </w:pPr>
    </w:p>
    <w:p w:rsidR="00E56C3B" w:rsidRDefault="00E56C3B" w:rsidP="00E56C3B">
      <w:pPr>
        <w:pStyle w:val="Odsekzoznamu"/>
        <w:numPr>
          <w:ilvl w:val="0"/>
          <w:numId w:val="34"/>
        </w:numPr>
        <w:ind w:left="284" w:hanging="284"/>
        <w:contextualSpacing/>
        <w:rPr>
          <w:rFonts w:eastAsia="Calibri"/>
          <w:b/>
        </w:rPr>
      </w:pPr>
      <w:r>
        <w:rPr>
          <w:rFonts w:eastAsia="Calibri"/>
          <w:b/>
        </w:rPr>
        <w:lastRenderedPageBreak/>
        <w:t>K čl. I, doterajší bod 12</w:t>
      </w:r>
    </w:p>
    <w:p w:rsidR="00E56C3B" w:rsidRPr="00A61B63" w:rsidRDefault="00E56C3B" w:rsidP="00E56C3B">
      <w:pPr>
        <w:pStyle w:val="Odsekzoznamu"/>
        <w:ind w:left="284"/>
        <w:rPr>
          <w:rFonts w:eastAsia="Calibri"/>
        </w:rPr>
      </w:pPr>
      <w:r w:rsidRPr="00A61B63">
        <w:rPr>
          <w:rFonts w:eastAsia="Calibri"/>
        </w:rPr>
        <w:t>V doterajšom bode 12 v § 17k ods. 4 písmeno f) znie:</w:t>
      </w:r>
    </w:p>
    <w:p w:rsidR="00E56C3B" w:rsidRPr="00A61B63" w:rsidRDefault="00E56C3B" w:rsidP="00E56C3B">
      <w:pPr>
        <w:pStyle w:val="Odsekzoznamu"/>
        <w:ind w:left="284"/>
        <w:jc w:val="both"/>
        <w:rPr>
          <w:rFonts w:eastAsia="Calibri"/>
        </w:rPr>
      </w:pPr>
      <w:r w:rsidRPr="00A61B63">
        <w:rPr>
          <w:rFonts w:eastAsia="Calibri"/>
        </w:rPr>
        <w:t>„f) sumy vypočítané na základe výnosu z finančných prostriedkov určené v súlade s princípom nezávislého vzťahu podľa § 18 ods. 1,“.</w:t>
      </w:r>
    </w:p>
    <w:p w:rsidR="00E56C3B" w:rsidRPr="00A61B63" w:rsidRDefault="00E56C3B" w:rsidP="00E56C3B">
      <w:pPr>
        <w:pStyle w:val="Odsekzoznamu"/>
        <w:ind w:left="284"/>
        <w:rPr>
          <w:rFonts w:eastAsia="Calibri"/>
        </w:rPr>
      </w:pPr>
    </w:p>
    <w:p w:rsidR="00E56C3B" w:rsidRPr="00A61B63" w:rsidRDefault="00E56C3B" w:rsidP="00E56C3B">
      <w:pPr>
        <w:ind w:left="4253"/>
        <w:jc w:val="both"/>
        <w:rPr>
          <w:b/>
        </w:rPr>
      </w:pPr>
      <w:r w:rsidRPr="00A61B63">
        <w:rPr>
          <w:b/>
        </w:rPr>
        <w:t>Odôvodnenie</w:t>
      </w:r>
    </w:p>
    <w:p w:rsidR="00E56C3B" w:rsidRPr="00A61B63" w:rsidRDefault="00E56C3B" w:rsidP="00E56C3B">
      <w:pPr>
        <w:ind w:left="4253"/>
        <w:jc w:val="both"/>
      </w:pPr>
      <w:r w:rsidRPr="00A61B63">
        <w:t>Ide o legislatívno-technické spresnenie textu.</w:t>
      </w:r>
    </w:p>
    <w:p w:rsidR="00E56C3B" w:rsidRPr="00A61B63" w:rsidRDefault="00E56C3B" w:rsidP="00E56C3B">
      <w:pPr>
        <w:pStyle w:val="Odsekzoznamu"/>
        <w:ind w:left="284"/>
        <w:rPr>
          <w:rFonts w:eastAsia="Calibri"/>
        </w:rPr>
      </w:pPr>
    </w:p>
    <w:p w:rsidR="00E56C3B" w:rsidRPr="00841F5F" w:rsidRDefault="00E56C3B" w:rsidP="00E56C3B">
      <w:pPr>
        <w:pStyle w:val="Odsekzoznamu"/>
        <w:numPr>
          <w:ilvl w:val="0"/>
          <w:numId w:val="34"/>
        </w:numPr>
        <w:ind w:left="284" w:hanging="284"/>
        <w:contextualSpacing/>
        <w:rPr>
          <w:rFonts w:eastAsia="Calibri"/>
          <w:b/>
        </w:rPr>
      </w:pPr>
      <w:r w:rsidRPr="00841F5F">
        <w:rPr>
          <w:rFonts w:eastAsia="Calibri"/>
          <w:b/>
        </w:rPr>
        <w:t>K čl. I, doterajší bod 30</w:t>
      </w:r>
    </w:p>
    <w:p w:rsidR="00E56C3B" w:rsidRPr="00841F5F" w:rsidRDefault="00E56C3B" w:rsidP="00E56C3B">
      <w:pPr>
        <w:pStyle w:val="Odsekzoznamu"/>
        <w:ind w:left="0"/>
        <w:rPr>
          <w:rFonts w:eastAsia="Calibri"/>
        </w:rPr>
      </w:pPr>
      <w:r w:rsidRPr="00841F5F">
        <w:rPr>
          <w:rFonts w:eastAsia="Calibri"/>
        </w:rPr>
        <w:t>Doterajší bod 30 znie:</w:t>
      </w:r>
    </w:p>
    <w:p w:rsidR="00E56C3B" w:rsidRPr="00841F5F" w:rsidRDefault="00E56C3B" w:rsidP="00E56C3B">
      <w:pPr>
        <w:pStyle w:val="Odsekzoznamu"/>
        <w:ind w:left="0"/>
        <w:rPr>
          <w:rFonts w:eastAsia="Calibri"/>
        </w:rPr>
      </w:pPr>
      <w:r w:rsidRPr="00841F5F">
        <w:rPr>
          <w:rFonts w:eastAsia="Calibri"/>
        </w:rPr>
        <w:t>„30. § 33 vrátane nadpisu znie:</w:t>
      </w:r>
    </w:p>
    <w:p w:rsidR="00E56C3B" w:rsidRPr="00841F5F" w:rsidRDefault="00E56C3B" w:rsidP="00E56C3B">
      <w:pPr>
        <w:pStyle w:val="Odsekzoznamu"/>
        <w:ind w:left="0"/>
        <w:rPr>
          <w:rFonts w:eastAsia="Calibri"/>
        </w:rPr>
      </w:pPr>
    </w:p>
    <w:p w:rsidR="00E56C3B" w:rsidRPr="00841F5F" w:rsidRDefault="00E56C3B" w:rsidP="00E56C3B">
      <w:pPr>
        <w:pStyle w:val="Odsekzoznamu"/>
        <w:ind w:left="0"/>
        <w:jc w:val="center"/>
        <w:rPr>
          <w:rFonts w:eastAsia="Calibri"/>
        </w:rPr>
      </w:pPr>
      <w:r w:rsidRPr="00841F5F">
        <w:rPr>
          <w:rFonts w:eastAsia="Calibri"/>
        </w:rPr>
        <w:t>„§ 33</w:t>
      </w:r>
    </w:p>
    <w:p w:rsidR="00E56C3B" w:rsidRPr="00841F5F" w:rsidRDefault="00E56C3B" w:rsidP="00E56C3B">
      <w:pPr>
        <w:pStyle w:val="Odsekzoznamu"/>
        <w:ind w:left="0"/>
        <w:jc w:val="center"/>
        <w:rPr>
          <w:rFonts w:eastAsia="Calibri"/>
        </w:rPr>
      </w:pPr>
      <w:r w:rsidRPr="00841F5F">
        <w:rPr>
          <w:rFonts w:eastAsia="Calibri"/>
        </w:rPr>
        <w:t>Daňový bonus</w:t>
      </w:r>
    </w:p>
    <w:p w:rsidR="00E56C3B" w:rsidRPr="00841F5F" w:rsidRDefault="00E56C3B" w:rsidP="00E56C3B">
      <w:pPr>
        <w:pStyle w:val="Odsekzoznamu"/>
        <w:numPr>
          <w:ilvl w:val="0"/>
          <w:numId w:val="35"/>
        </w:numPr>
        <w:shd w:val="clear" w:color="auto" w:fill="FFFFFF"/>
        <w:ind w:left="426" w:hanging="426"/>
        <w:contextualSpacing/>
        <w:jc w:val="both"/>
        <w:rPr>
          <w:iCs/>
        </w:rPr>
      </w:pPr>
      <w:r w:rsidRPr="00841F5F">
        <w:rPr>
          <w:iCs/>
        </w:rPr>
        <w:t>Daňovník, ktorý v zdaňovacom období dosiahol zdaniteľné príjmy podľa § 5 alebo § 6 ods. 1 a 2, si môže uplatniť daňový bonus na každé vyživované dieťa žijúce v domácnosti s daňovníkom,</w:t>
      </w:r>
      <w:r w:rsidRPr="00841F5F">
        <w:rPr>
          <w:iCs/>
          <w:vertAlign w:val="superscript"/>
        </w:rPr>
        <w:t>57</w:t>
      </w:r>
      <w:r w:rsidRPr="00841F5F">
        <w:rPr>
          <w:iCs/>
        </w:rPr>
        <w:t>) pričom prechodný pobyt dieťaťa mimo domácnosti</w:t>
      </w:r>
      <w:r w:rsidRPr="00841F5F">
        <w:rPr>
          <w:iCs/>
          <w:vertAlign w:val="superscript"/>
        </w:rPr>
        <w:t>57</w:t>
      </w:r>
      <w:r w:rsidRPr="00841F5F">
        <w:rPr>
          <w:iCs/>
        </w:rPr>
        <w:t xml:space="preserve">) nemá vplyv na uplatnenie tohto daňového bonusu. </w:t>
      </w:r>
      <w:r w:rsidRPr="00A003A3">
        <w:rPr>
          <w:iCs/>
        </w:rPr>
        <w:t xml:space="preserve">Ak § 52zzp ods. 3 až 5 neustanovuje inak, </w:t>
      </w:r>
      <w:r>
        <w:rPr>
          <w:iCs/>
        </w:rPr>
        <w:t>s</w:t>
      </w:r>
      <w:r w:rsidRPr="00841F5F">
        <w:rPr>
          <w:iCs/>
        </w:rPr>
        <w:t>uma daňového bonusu, o ktorú sa znižuje daň, je</w:t>
      </w:r>
    </w:p>
    <w:p w:rsidR="00E56C3B" w:rsidRPr="00841F5F" w:rsidRDefault="00E56C3B" w:rsidP="00E56C3B">
      <w:pPr>
        <w:pStyle w:val="Odsekzoznamu"/>
        <w:numPr>
          <w:ilvl w:val="0"/>
          <w:numId w:val="36"/>
        </w:numPr>
        <w:shd w:val="clear" w:color="auto" w:fill="FFFFFF"/>
        <w:ind w:left="426" w:firstLine="0"/>
        <w:contextualSpacing/>
        <w:jc w:val="both"/>
        <w:rPr>
          <w:iCs/>
        </w:rPr>
      </w:pPr>
      <w:r w:rsidRPr="00841F5F">
        <w:rPr>
          <w:iCs/>
        </w:rPr>
        <w:t>50 eur mesačne, ak vyživované dieťa dovŕšilo 15 rokov veku, alebo</w:t>
      </w:r>
    </w:p>
    <w:p w:rsidR="00E56C3B" w:rsidRPr="00841F5F" w:rsidRDefault="00E56C3B" w:rsidP="00E56C3B">
      <w:pPr>
        <w:pStyle w:val="Odsekzoznamu"/>
        <w:numPr>
          <w:ilvl w:val="0"/>
          <w:numId w:val="36"/>
        </w:numPr>
        <w:shd w:val="clear" w:color="auto" w:fill="FFFFFF"/>
        <w:ind w:left="709" w:hanging="283"/>
        <w:contextualSpacing/>
        <w:jc w:val="both"/>
        <w:rPr>
          <w:iCs/>
        </w:rPr>
      </w:pPr>
      <w:r w:rsidRPr="00841F5F">
        <w:rPr>
          <w:iCs/>
        </w:rPr>
        <w:t>100 eur mesačne, ak vyživované dieťa nedovŕšilo 15 rokov veku, a to poslednýkrát za kalendárny mesiac, v ktorom dieťa dovŕši 15 rokov veku; to neplatí, ak sa na vyživované dieťa poskytuje dotácia na podporu výchovy k stravovacím návykom dieťaťa podľa osobitného predpisu.</w:t>
      </w:r>
      <w:r w:rsidRPr="00841F5F">
        <w:rPr>
          <w:iCs/>
          <w:vertAlign w:val="superscript"/>
        </w:rPr>
        <w:t>126a</w:t>
      </w:r>
      <w:r w:rsidRPr="00841F5F">
        <w:rPr>
          <w:iCs/>
        </w:rPr>
        <w:t>)</w:t>
      </w:r>
    </w:p>
    <w:p w:rsidR="00E56C3B" w:rsidRPr="00841F5F" w:rsidRDefault="00E56C3B" w:rsidP="00E56C3B">
      <w:pPr>
        <w:pStyle w:val="Odsekzoznamu"/>
        <w:numPr>
          <w:ilvl w:val="0"/>
          <w:numId w:val="35"/>
        </w:numPr>
        <w:shd w:val="clear" w:color="auto" w:fill="FFFFFF"/>
        <w:ind w:left="426" w:hanging="426"/>
        <w:contextualSpacing/>
        <w:jc w:val="both"/>
      </w:pPr>
      <w:r w:rsidRPr="00841F5F">
        <w:t>Za vyživované dieťa daňovníka, a to vlastné, osvojené, dieťa prevzaté do starostlivosti nahrádzajúcej starostlivosť rodičov na základe rozhodnutia príslušného orgánu a dieťa druhého z manželov, sa považuje nezaopatrené dieťa podľa osobitného predpisu.</w:t>
      </w:r>
      <w:hyperlink r:id="rId6" w:anchor="poznamky.poznamka-125" w:tooltip="Odkaz na predpis alebo ustanovenie" w:history="1">
        <w:r w:rsidRPr="00841F5F">
          <w:rPr>
            <w:iCs/>
            <w:vertAlign w:val="superscript"/>
          </w:rPr>
          <w:t>125</w:t>
        </w:r>
        <w:r w:rsidRPr="00841F5F">
          <w:rPr>
            <w:iCs/>
          </w:rPr>
          <w:t>)</w:t>
        </w:r>
      </w:hyperlink>
      <w:r w:rsidRPr="00841F5F">
        <w:t> Za vyživované dieťa daňovníka sa považuje aj plnoleté nezaopatrené dieťa podľa osobitného predpisu.</w:t>
      </w:r>
      <w:hyperlink r:id="rId7" w:anchor="poznamky.poznamka-125a" w:tooltip="Odkaz na predpis alebo ustanovenie" w:history="1">
        <w:r w:rsidRPr="00841F5F">
          <w:rPr>
            <w:iCs/>
            <w:vertAlign w:val="superscript"/>
          </w:rPr>
          <w:t>125a</w:t>
        </w:r>
        <w:r w:rsidRPr="00841F5F">
          <w:rPr>
            <w:iCs/>
          </w:rPr>
          <w:t>)</w:t>
        </w:r>
      </w:hyperlink>
    </w:p>
    <w:p w:rsidR="00E56C3B" w:rsidRPr="00841F5F" w:rsidRDefault="00E56C3B" w:rsidP="00E56C3B">
      <w:pPr>
        <w:pStyle w:val="Odsekzoznamu"/>
        <w:numPr>
          <w:ilvl w:val="0"/>
          <w:numId w:val="35"/>
        </w:numPr>
        <w:shd w:val="clear" w:color="auto" w:fill="FFFFFF"/>
        <w:ind w:left="426" w:hanging="426"/>
        <w:contextualSpacing/>
        <w:jc w:val="both"/>
      </w:pPr>
      <w:r w:rsidRPr="00841F5F">
        <w:t>Daňovník, ktorý je rodič dieťaťa alebo u ktorého ide vo vzťahu k dieťaťu o starostlivosť nahrádzajúcu starostlivosť rodičov na základe rozhodnutia príslušného orgánu, ak dieťa s ním žije v domácnosti,</w:t>
      </w:r>
      <w:hyperlink r:id="rId8" w:anchor="poznamky.poznamka-57" w:tooltip="Odkaz na predpis alebo ustanovenie" w:history="1">
        <w:r w:rsidRPr="00841F5F">
          <w:rPr>
            <w:iCs/>
            <w:vertAlign w:val="superscript"/>
          </w:rPr>
          <w:t>57</w:t>
        </w:r>
        <w:r w:rsidRPr="00841F5F">
          <w:rPr>
            <w:iCs/>
          </w:rPr>
          <w:t>)</w:t>
        </w:r>
      </w:hyperlink>
      <w:r w:rsidRPr="00841F5F">
        <w:t> môže si uplatniť daňový bonus po uplynutí zdaňovacieho obdobia, ak manžel (manželka) tohto dieťaťa nemá za toto zdaňovacie obdobie zdaniteľné príjmy presahujúce sumu podľa </w:t>
      </w:r>
      <w:hyperlink r:id="rId9" w:anchor="paragraf-11.odsek-2.pismeno-a" w:tooltip="Odkaz na predpis alebo ustanovenie" w:history="1">
        <w:r w:rsidRPr="00841F5F">
          <w:rPr>
            <w:iCs/>
          </w:rPr>
          <w:t>§ 11 ods. 2 písm. a)</w:t>
        </w:r>
      </w:hyperlink>
      <w:r w:rsidRPr="00841F5F">
        <w:t>.</w:t>
      </w:r>
    </w:p>
    <w:p w:rsidR="00E56C3B" w:rsidRPr="00841F5F" w:rsidRDefault="00E56C3B" w:rsidP="00E56C3B">
      <w:pPr>
        <w:pStyle w:val="Odsekzoznamu"/>
        <w:numPr>
          <w:ilvl w:val="0"/>
          <w:numId w:val="35"/>
        </w:numPr>
        <w:shd w:val="clear" w:color="auto" w:fill="FFFFFF"/>
        <w:ind w:left="426" w:hanging="426"/>
        <w:contextualSpacing/>
        <w:jc w:val="both"/>
      </w:pPr>
      <w:r w:rsidRPr="00841F5F">
        <w:t>Ak dieťa (deti) uvedené v odseku 2 vyživujú v domácnosti</w:t>
      </w:r>
      <w:hyperlink r:id="rId10" w:anchor="poznamky.poznamka-57" w:tooltip="Odkaz na predpis alebo ustanovenie" w:history="1">
        <w:r w:rsidRPr="00841F5F">
          <w:rPr>
            <w:iCs/>
            <w:vertAlign w:val="superscript"/>
          </w:rPr>
          <w:t>57</w:t>
        </w:r>
        <w:r w:rsidRPr="00841F5F">
          <w:rPr>
            <w:iCs/>
          </w:rPr>
          <w:t>)</w:t>
        </w:r>
      </w:hyperlink>
      <w:r w:rsidRPr="00841F5F">
        <w:t> viacerí daňovníci, môže si daňový bonus uplatniť len jeden z nich. Pri použití ustanovenia odseku 5 môže uplatniť pomernú časť daňového bonusu po časť zdaňovacieho obdobia jeden z daňovníkov na všetky vyživované deti a po zostávajúcu časť druhý z daňovníkov. Ak podmienky na uplatnenie daňového bonusu spĺňa viac daňovníkov a ak sa nedohodnú inak, daňový bonus na všetky vyživované deti sa uplatňuje alebo sa prizná v poradí matka, otec, iná oprávnená osoba.</w:t>
      </w:r>
    </w:p>
    <w:p w:rsidR="00E56C3B" w:rsidRPr="00841F5F" w:rsidRDefault="00E56C3B" w:rsidP="00E56C3B">
      <w:pPr>
        <w:pStyle w:val="Odsekzoznamu"/>
        <w:numPr>
          <w:ilvl w:val="0"/>
          <w:numId w:val="35"/>
        </w:numPr>
        <w:shd w:val="clear" w:color="auto" w:fill="FFFFFF"/>
        <w:ind w:left="426" w:hanging="426"/>
        <w:contextualSpacing/>
        <w:jc w:val="both"/>
      </w:pPr>
      <w:r w:rsidRPr="00841F5F">
        <w:t>Daňovníkovi, ktorý vyživuje dieťa len jeden alebo niekoľko kalendárnych mesiacov v zdaňovacom období, možno znížiť daň alebo preddavky na daň z príjmov podľa </w:t>
      </w:r>
      <w:hyperlink r:id="rId11" w:anchor="paragraf-5" w:tooltip="Odkaz na predpis alebo ustanovenie" w:history="1">
        <w:r w:rsidRPr="00841F5F">
          <w:rPr>
            <w:iCs/>
          </w:rPr>
          <w:t>§ 5</w:t>
        </w:r>
      </w:hyperlink>
      <w:r w:rsidRPr="00841F5F">
        <w:t> len o sumu daňového bonusu podľa odsekov 1 a 6 za každý kalendárny mesiac, na začiatku ktorého boli splnené podmienky na jeho uplatnenie. Daňový bonus možno uplatniť už v kalendárnom mesiaci, v ktorom sa dieťa narodilo alebo v ktorom sa začína sústavná príprava dieťaťa na budúce povolanie, alebo v ktorom bolo osvojené alebo prevzaté do starostlivosti nahrádzajúcej starostlivosť rodičov na základe rozhodnutia príslušného orgánu.</w:t>
      </w:r>
    </w:p>
    <w:p w:rsidR="00E56C3B" w:rsidRPr="00841F5F" w:rsidRDefault="00E56C3B" w:rsidP="00E56C3B">
      <w:pPr>
        <w:pStyle w:val="Odsekzoznamu"/>
        <w:numPr>
          <w:ilvl w:val="0"/>
          <w:numId w:val="35"/>
        </w:numPr>
        <w:shd w:val="clear" w:color="auto" w:fill="FFFFFF"/>
        <w:ind w:left="426" w:hanging="426"/>
        <w:contextualSpacing/>
        <w:jc w:val="both"/>
      </w:pPr>
      <w:r w:rsidRPr="00841F5F">
        <w:lastRenderedPageBreak/>
        <w:t>Nárok na daňový bonus podľa odseku 1 možno uplatniť najviac do výšky ustanoveného percenta základu dane (čiastkového základu dane) z príjmov podľa </w:t>
      </w:r>
      <w:hyperlink r:id="rId12" w:anchor="paragraf-5" w:tooltip="Odkaz na predpis alebo ustanovenie" w:history="1">
        <w:r w:rsidRPr="00841F5F">
          <w:rPr>
            <w:iCs/>
          </w:rPr>
          <w:t>§ 5</w:t>
        </w:r>
      </w:hyperlink>
      <w:r w:rsidRPr="00841F5F">
        <w:t> alebo do výšky ustanoveného percenta základu dane (čiastkového základu dane) z príjmov podľa </w:t>
      </w:r>
      <w:hyperlink r:id="rId13" w:anchor="paragraf-6.odsek-1" w:tooltip="Odkaz na predpis alebo ustanovenie" w:history="1">
        <w:r w:rsidRPr="00841F5F">
          <w:rPr>
            <w:iCs/>
          </w:rPr>
          <w:t>§ 6 ods. 1</w:t>
        </w:r>
      </w:hyperlink>
      <w:r w:rsidRPr="00841F5F">
        <w:t> a </w:t>
      </w:r>
      <w:hyperlink r:id="rId14" w:anchor="paragraf-6.odsek-2" w:tooltip="Odkaz na predpis alebo ustanovenie" w:history="1">
        <w:r w:rsidRPr="00841F5F">
          <w:rPr>
            <w:iCs/>
          </w:rPr>
          <w:t>2</w:t>
        </w:r>
      </w:hyperlink>
      <w:r w:rsidRPr="00841F5F">
        <w:t>, alebo ich úhrnu, takto:</w:t>
      </w:r>
    </w:p>
    <w:p w:rsidR="00E56C3B" w:rsidRPr="00841F5F" w:rsidRDefault="00E56C3B" w:rsidP="00E56C3B">
      <w:pPr>
        <w:shd w:val="clear" w:color="auto" w:fill="FFFFFF"/>
        <w:jc w:val="both"/>
      </w:pPr>
    </w:p>
    <w:tbl>
      <w:tblPr>
        <w:tblStyle w:val="Mriekatabuky"/>
        <w:tblW w:w="0" w:type="auto"/>
        <w:tblInd w:w="720" w:type="dxa"/>
        <w:tblLook w:val="04A0" w:firstRow="1" w:lastRow="0" w:firstColumn="1" w:lastColumn="0" w:noHBand="0" w:noVBand="1"/>
      </w:tblPr>
      <w:tblGrid>
        <w:gridCol w:w="1603"/>
        <w:gridCol w:w="2410"/>
      </w:tblGrid>
      <w:tr w:rsidR="00E56C3B" w:rsidRPr="00841F5F" w:rsidTr="00FE54D4">
        <w:tc>
          <w:tcPr>
            <w:tcW w:w="1603" w:type="dxa"/>
            <w:vAlign w:val="center"/>
          </w:tcPr>
          <w:p w:rsidR="00E56C3B" w:rsidRPr="00841F5F" w:rsidRDefault="00E56C3B" w:rsidP="00FE54D4">
            <w:pPr>
              <w:pStyle w:val="Odsekzoznamu"/>
              <w:ind w:left="0"/>
              <w:jc w:val="center"/>
              <w:rPr>
                <w:b/>
              </w:rPr>
            </w:pPr>
            <w:r w:rsidRPr="00841F5F">
              <w:rPr>
                <w:b/>
              </w:rPr>
              <w:t>Počet vyživovaných detí</w:t>
            </w:r>
          </w:p>
        </w:tc>
        <w:tc>
          <w:tcPr>
            <w:tcW w:w="2410" w:type="dxa"/>
            <w:tcBorders>
              <w:right w:val="single" w:sz="4" w:space="0" w:color="auto"/>
            </w:tcBorders>
            <w:vAlign w:val="center"/>
          </w:tcPr>
          <w:p w:rsidR="00E56C3B" w:rsidRPr="00841F5F" w:rsidRDefault="00E56C3B" w:rsidP="00FE54D4">
            <w:pPr>
              <w:pStyle w:val="Odsekzoznamu"/>
              <w:ind w:left="0"/>
              <w:jc w:val="center"/>
              <w:rPr>
                <w:b/>
              </w:rPr>
            </w:pPr>
            <w:r w:rsidRPr="00841F5F">
              <w:rPr>
                <w:b/>
              </w:rPr>
              <w:t>Percentuálny limit  základu dane (čiastkového základu dane)</w:t>
            </w:r>
          </w:p>
        </w:tc>
      </w:tr>
      <w:tr w:rsidR="00E56C3B" w:rsidRPr="00841F5F" w:rsidTr="00FE54D4">
        <w:tc>
          <w:tcPr>
            <w:tcW w:w="1603" w:type="dxa"/>
            <w:vAlign w:val="center"/>
          </w:tcPr>
          <w:p w:rsidR="00E56C3B" w:rsidRPr="00841F5F" w:rsidRDefault="00E56C3B" w:rsidP="00FE54D4">
            <w:pPr>
              <w:pStyle w:val="Odsekzoznamu"/>
              <w:ind w:left="0"/>
              <w:jc w:val="center"/>
            </w:pPr>
            <w:r w:rsidRPr="00841F5F">
              <w:t>1</w:t>
            </w:r>
          </w:p>
        </w:tc>
        <w:tc>
          <w:tcPr>
            <w:tcW w:w="2410" w:type="dxa"/>
            <w:tcBorders>
              <w:right w:val="single" w:sz="4" w:space="0" w:color="auto"/>
            </w:tcBorders>
            <w:vAlign w:val="center"/>
          </w:tcPr>
          <w:p w:rsidR="00E56C3B" w:rsidRPr="00841F5F" w:rsidRDefault="00E56C3B" w:rsidP="00FE54D4">
            <w:pPr>
              <w:pStyle w:val="Odsekzoznamu"/>
              <w:ind w:left="0"/>
              <w:jc w:val="center"/>
            </w:pPr>
            <w:r w:rsidRPr="00841F5F">
              <w:t>20 %</w:t>
            </w:r>
          </w:p>
        </w:tc>
      </w:tr>
      <w:tr w:rsidR="00E56C3B" w:rsidRPr="00841F5F" w:rsidTr="00FE54D4">
        <w:tc>
          <w:tcPr>
            <w:tcW w:w="1603" w:type="dxa"/>
            <w:vAlign w:val="center"/>
          </w:tcPr>
          <w:p w:rsidR="00E56C3B" w:rsidRPr="00841F5F" w:rsidRDefault="00E56C3B" w:rsidP="00FE54D4">
            <w:pPr>
              <w:pStyle w:val="Odsekzoznamu"/>
              <w:ind w:left="0"/>
              <w:jc w:val="center"/>
            </w:pPr>
            <w:r w:rsidRPr="00841F5F">
              <w:t>2</w:t>
            </w:r>
          </w:p>
        </w:tc>
        <w:tc>
          <w:tcPr>
            <w:tcW w:w="2410" w:type="dxa"/>
            <w:tcBorders>
              <w:right w:val="single" w:sz="4" w:space="0" w:color="auto"/>
            </w:tcBorders>
            <w:vAlign w:val="center"/>
          </w:tcPr>
          <w:p w:rsidR="00E56C3B" w:rsidRPr="00841F5F" w:rsidRDefault="00E56C3B" w:rsidP="00FE54D4">
            <w:pPr>
              <w:pStyle w:val="Odsekzoznamu"/>
              <w:ind w:left="0"/>
              <w:jc w:val="center"/>
            </w:pPr>
            <w:r w:rsidRPr="00841F5F">
              <w:t>27 %</w:t>
            </w:r>
          </w:p>
        </w:tc>
      </w:tr>
      <w:tr w:rsidR="00E56C3B" w:rsidRPr="00841F5F" w:rsidTr="00FE54D4">
        <w:tc>
          <w:tcPr>
            <w:tcW w:w="1603" w:type="dxa"/>
            <w:vAlign w:val="center"/>
          </w:tcPr>
          <w:p w:rsidR="00E56C3B" w:rsidRPr="00841F5F" w:rsidRDefault="00E56C3B" w:rsidP="00FE54D4">
            <w:pPr>
              <w:pStyle w:val="Odsekzoznamu"/>
              <w:ind w:left="0"/>
              <w:jc w:val="center"/>
            </w:pPr>
            <w:r w:rsidRPr="00841F5F">
              <w:t>3</w:t>
            </w:r>
          </w:p>
        </w:tc>
        <w:tc>
          <w:tcPr>
            <w:tcW w:w="2410" w:type="dxa"/>
            <w:tcBorders>
              <w:right w:val="single" w:sz="4" w:space="0" w:color="auto"/>
            </w:tcBorders>
            <w:vAlign w:val="center"/>
          </w:tcPr>
          <w:p w:rsidR="00E56C3B" w:rsidRPr="00841F5F" w:rsidRDefault="00E56C3B" w:rsidP="00FE54D4">
            <w:pPr>
              <w:pStyle w:val="Odsekzoznamu"/>
              <w:ind w:left="0"/>
              <w:jc w:val="center"/>
            </w:pPr>
            <w:r w:rsidRPr="00841F5F">
              <w:t>34 %</w:t>
            </w:r>
          </w:p>
        </w:tc>
      </w:tr>
      <w:tr w:rsidR="00E56C3B" w:rsidRPr="00841F5F" w:rsidTr="00FE54D4">
        <w:tc>
          <w:tcPr>
            <w:tcW w:w="1603" w:type="dxa"/>
            <w:vAlign w:val="center"/>
          </w:tcPr>
          <w:p w:rsidR="00E56C3B" w:rsidRPr="00841F5F" w:rsidRDefault="00E56C3B" w:rsidP="00FE54D4">
            <w:pPr>
              <w:pStyle w:val="Odsekzoznamu"/>
              <w:ind w:left="0"/>
              <w:jc w:val="center"/>
            </w:pPr>
            <w:r w:rsidRPr="00841F5F">
              <w:t>4</w:t>
            </w:r>
          </w:p>
        </w:tc>
        <w:tc>
          <w:tcPr>
            <w:tcW w:w="2410" w:type="dxa"/>
            <w:tcBorders>
              <w:right w:val="single" w:sz="4" w:space="0" w:color="auto"/>
            </w:tcBorders>
            <w:vAlign w:val="center"/>
          </w:tcPr>
          <w:p w:rsidR="00E56C3B" w:rsidRPr="00841F5F" w:rsidRDefault="00E56C3B" w:rsidP="00FE54D4">
            <w:pPr>
              <w:pStyle w:val="Odsekzoznamu"/>
              <w:ind w:left="0"/>
              <w:jc w:val="center"/>
            </w:pPr>
            <w:r w:rsidRPr="00841F5F">
              <w:t>41 %</w:t>
            </w:r>
          </w:p>
        </w:tc>
      </w:tr>
      <w:tr w:rsidR="00E56C3B" w:rsidRPr="00841F5F" w:rsidTr="00FE54D4">
        <w:tc>
          <w:tcPr>
            <w:tcW w:w="1603" w:type="dxa"/>
            <w:vAlign w:val="center"/>
          </w:tcPr>
          <w:p w:rsidR="00E56C3B" w:rsidRPr="00841F5F" w:rsidRDefault="00E56C3B" w:rsidP="00FE54D4">
            <w:pPr>
              <w:pStyle w:val="Odsekzoznamu"/>
              <w:ind w:left="0"/>
              <w:jc w:val="center"/>
            </w:pPr>
            <w:r w:rsidRPr="00841F5F">
              <w:t>5</w:t>
            </w:r>
          </w:p>
        </w:tc>
        <w:tc>
          <w:tcPr>
            <w:tcW w:w="2410" w:type="dxa"/>
            <w:tcBorders>
              <w:right w:val="single" w:sz="4" w:space="0" w:color="auto"/>
            </w:tcBorders>
            <w:vAlign w:val="center"/>
          </w:tcPr>
          <w:p w:rsidR="00E56C3B" w:rsidRPr="00841F5F" w:rsidRDefault="00E56C3B" w:rsidP="00FE54D4">
            <w:pPr>
              <w:pStyle w:val="Odsekzoznamu"/>
              <w:ind w:left="0"/>
              <w:jc w:val="center"/>
            </w:pPr>
            <w:r w:rsidRPr="00841F5F">
              <w:t>48 %</w:t>
            </w:r>
          </w:p>
        </w:tc>
      </w:tr>
      <w:tr w:rsidR="00E56C3B" w:rsidRPr="00841F5F" w:rsidTr="00FE54D4">
        <w:tc>
          <w:tcPr>
            <w:tcW w:w="1603" w:type="dxa"/>
            <w:vAlign w:val="center"/>
          </w:tcPr>
          <w:p w:rsidR="00E56C3B" w:rsidRPr="00841F5F" w:rsidRDefault="00E56C3B" w:rsidP="00FE54D4">
            <w:pPr>
              <w:pStyle w:val="Odsekzoznamu"/>
              <w:ind w:left="0"/>
              <w:jc w:val="center"/>
            </w:pPr>
            <w:r w:rsidRPr="00841F5F">
              <w:t>6 a viac</w:t>
            </w:r>
          </w:p>
        </w:tc>
        <w:tc>
          <w:tcPr>
            <w:tcW w:w="2410" w:type="dxa"/>
            <w:tcBorders>
              <w:right w:val="single" w:sz="4" w:space="0" w:color="auto"/>
            </w:tcBorders>
            <w:vAlign w:val="center"/>
          </w:tcPr>
          <w:p w:rsidR="00E56C3B" w:rsidRPr="00841F5F" w:rsidRDefault="00E56C3B" w:rsidP="00FE54D4">
            <w:pPr>
              <w:pStyle w:val="Odsekzoznamu"/>
              <w:ind w:left="0"/>
              <w:jc w:val="center"/>
            </w:pPr>
            <w:r w:rsidRPr="00841F5F">
              <w:t>55 %</w:t>
            </w:r>
          </w:p>
        </w:tc>
      </w:tr>
    </w:tbl>
    <w:p w:rsidR="00E56C3B" w:rsidRPr="00841F5F" w:rsidRDefault="00E56C3B" w:rsidP="00E56C3B">
      <w:pPr>
        <w:shd w:val="clear" w:color="auto" w:fill="FFFFFF"/>
        <w:jc w:val="both"/>
      </w:pPr>
    </w:p>
    <w:p w:rsidR="00E56C3B" w:rsidRPr="00841F5F" w:rsidRDefault="00E56C3B" w:rsidP="00E56C3B">
      <w:pPr>
        <w:pStyle w:val="Odsekzoznamu"/>
        <w:numPr>
          <w:ilvl w:val="0"/>
          <w:numId w:val="35"/>
        </w:numPr>
        <w:shd w:val="clear" w:color="auto" w:fill="FFFFFF"/>
        <w:ind w:left="426" w:hanging="426"/>
        <w:contextualSpacing/>
        <w:jc w:val="both"/>
      </w:pPr>
      <w:r w:rsidRPr="00841F5F">
        <w:t>Daňový bonus možno uplatniť najviac do výšky dane vypočítanej za príslušné zdaňovacie obdobie podľa tohto zákona. Ak suma dane vypočítaná za príslušné zdaňovacie obdobie je nižšia ako suma uplatňovaného daňového bonusu, daňovník, ktorý podáva daňové priznanie, požiada miestne príslušného správcu dane o vyplatenie sumy vo výške rozdielu medzi sumou daňového bonusu a sumou dane vypočítanou za príslušné zdaňovacie obdobie, pričom pri vrátení tejto sumy správca dane postupuje ako pri vrátení daňového preplatku;</w:t>
      </w:r>
      <w:hyperlink r:id="rId15" w:anchor="poznamky.poznamka-126" w:tooltip="Odkaz na predpis alebo ustanovenie" w:history="1">
        <w:r w:rsidRPr="00841F5F">
          <w:rPr>
            <w:iCs/>
            <w:vertAlign w:val="superscript"/>
          </w:rPr>
          <w:t>126</w:t>
        </w:r>
        <w:r w:rsidRPr="00841F5F">
          <w:rPr>
            <w:iCs/>
          </w:rPr>
          <w:t>)</w:t>
        </w:r>
      </w:hyperlink>
      <w:r w:rsidRPr="00841F5F">
        <w:t> ak ide o daňovníka, ktorý má zdaniteľné príjmy podľa </w:t>
      </w:r>
      <w:hyperlink r:id="rId16" w:anchor="paragraf-5" w:tooltip="Odkaz na predpis alebo ustanovenie" w:history="1">
        <w:r w:rsidRPr="00841F5F">
          <w:rPr>
            <w:iCs/>
          </w:rPr>
          <w:t>§ 5</w:t>
        </w:r>
      </w:hyperlink>
      <w:r w:rsidRPr="00841F5F">
        <w:t> alebo ktorému sa vykonalo ročné zúčtovanie, uplatní sa postup podľa </w:t>
      </w:r>
      <w:hyperlink r:id="rId17" w:anchor="paragraf-35.odsek-5" w:tooltip="Odkaz na predpis alebo ustanovenie" w:history="1">
        <w:r w:rsidRPr="00841F5F">
          <w:rPr>
            <w:iCs/>
          </w:rPr>
          <w:t>§ 35 ods. 5</w:t>
        </w:r>
      </w:hyperlink>
      <w:r w:rsidRPr="00841F5F">
        <w:t> a </w:t>
      </w:r>
      <w:hyperlink r:id="rId18" w:anchor="paragraf-35.odsek-7" w:tooltip="Odkaz na predpis alebo ustanovenie" w:history="1">
        <w:r w:rsidRPr="00841F5F">
          <w:rPr>
            <w:iCs/>
          </w:rPr>
          <w:t>7</w:t>
        </w:r>
      </w:hyperlink>
      <w:r w:rsidRPr="00841F5F">
        <w:t> alebo </w:t>
      </w:r>
      <w:hyperlink r:id="rId19" w:anchor="paragraf-36.odsek-5" w:tooltip="Odkaz na predpis alebo ustanovenie" w:history="1">
        <w:r w:rsidRPr="00841F5F">
          <w:rPr>
            <w:iCs/>
          </w:rPr>
          <w:t>§ 36 ods. 5</w:t>
        </w:r>
      </w:hyperlink>
      <w:r w:rsidRPr="00841F5F">
        <w:t>, alebo </w:t>
      </w:r>
      <w:hyperlink r:id="rId20" w:anchor="paragraf-38" w:tooltip="Odkaz na predpis alebo ustanovenie" w:history="1">
        <w:r w:rsidRPr="00841F5F">
          <w:rPr>
            <w:iCs/>
          </w:rPr>
          <w:t>§ 38</w:t>
        </w:r>
      </w:hyperlink>
      <w:r w:rsidRPr="00841F5F">
        <w:t>.</w:t>
      </w:r>
    </w:p>
    <w:p w:rsidR="00E56C3B" w:rsidRDefault="00E56C3B" w:rsidP="00E56C3B">
      <w:pPr>
        <w:pStyle w:val="Odsekzoznamu"/>
        <w:numPr>
          <w:ilvl w:val="0"/>
          <w:numId w:val="35"/>
        </w:numPr>
        <w:shd w:val="clear" w:color="auto" w:fill="FFFFFF"/>
        <w:ind w:left="426" w:hanging="426"/>
        <w:contextualSpacing/>
        <w:jc w:val="both"/>
      </w:pPr>
      <w:r w:rsidRPr="00C6322F">
        <w:t>Ak podmienky na uplatnenie daňového bonusu spĺňa viac daňovníkov a daňovník uplatňujúci si nárok na daňový bonus nemá základ dane (čiastkový základ dane) z príjmov podľa § 5 alebo základ dane (čiastkový základu dane) z príjmov podľa § 6 ods. 1 a 2 alebo ich úhrn na uplatnenie celého nároku daňového bonusu na vyživované dieťa (deti) podľa odseku 1, môže si pri podaní daňového priznania navýšiť základ dane (čiastkový základ dane) z príjmov podľa § 5 alebo základ dane (čiastkový základ dane) z príjmov podľa § 6 ods. 1 a 2 alebo ich úhrn na účely výpočtu výšky nároku na daňový bonus podľa odsekov 1 a 6 o základ dane z príjmov (čiastkový základ dane) podľa § 5 alebo základ dane (čiastkový základ dane) z príjmov podľa § 6 ods. 1 a 2 alebo ich úhrn druhej oprávnenej osoby vyživujúcej dieťa (deti) v domácnosti a z takto navýšeného základu dane (čiastkového základu dane) z príjmov podľa § 5 alebo základu dane (čiastkového základu dane) z príjmov podľa § 6 ods. 1 a 2 alebo ich úhrn</w:t>
      </w:r>
      <w:r>
        <w:t>u</w:t>
      </w:r>
      <w:r w:rsidRPr="00C6322F">
        <w:t xml:space="preserve"> si uplatniť nárok na daňový bonus vo výške podľa odsekov 1 a 6.</w:t>
      </w:r>
      <w:r w:rsidRPr="00C6322F">
        <w:rPr>
          <w:rFonts w:ascii="Arial Narrow" w:hAnsi="Arial Narrow"/>
        </w:rPr>
        <w:t xml:space="preserve"> </w:t>
      </w:r>
      <w:r w:rsidRPr="00C6322F">
        <w:t>Ak druhá oprávnená osoba splnila podmienky na uplatnenie daňového bonusu len časť roka, základ dane (čiastkový základ dane) z príjmov podľa § 5 alebo základ dane (čiastkový základu dane) z príjmov podľa § 6 ods. 1 a 2 alebo ich úhrn daňovníka uplatňujúceho si nárok na daňový bonus sa na účely výpočtu výšky nároku na daňový bonus podľa odsekov 1a 6  navýši len  o pomernú časť základu dane (čiastkového základu dane) z príjmov podľa § 5 alebo pomernú časť základu dane (čiastkového základu dane) z príjmov podľa § 6 ods. 1 a 2 alebo pomernú časť ich úhrnu druhej oprávnenej osoby vyživujúcej dieťa (deti) v domácnosti podľa počtu mesiacov, na začiatku ktorých druhá oprávnená osoba splnila podmienky na uplatnenie daňového bonusu.</w:t>
      </w:r>
    </w:p>
    <w:p w:rsidR="00E56C3B" w:rsidRPr="00B416C6" w:rsidRDefault="00E56C3B" w:rsidP="00E56C3B">
      <w:pPr>
        <w:pStyle w:val="Odsekzoznamu"/>
        <w:numPr>
          <w:ilvl w:val="0"/>
          <w:numId w:val="35"/>
        </w:numPr>
        <w:shd w:val="clear" w:color="auto" w:fill="FFFFFF"/>
        <w:ind w:left="426" w:hanging="426"/>
        <w:contextualSpacing/>
        <w:jc w:val="both"/>
      </w:pPr>
      <w:r w:rsidRPr="00841F5F">
        <w:t xml:space="preserve">Daňový bonus podľa odsekov 1 </w:t>
      </w:r>
      <w:r w:rsidRPr="00B416C6">
        <w:t xml:space="preserve">až </w:t>
      </w:r>
      <w:r>
        <w:t>8, 10 a 11</w:t>
      </w:r>
      <w:r w:rsidRPr="00841F5F">
        <w:t xml:space="preserve"> si môže uplatniť aj daňovník s obmedzenou daňovou povinnosťou, ak úhrn jeho zdaniteľných príjmov zo zdrojov na území Slovenskej republiky (</w:t>
      </w:r>
      <w:hyperlink r:id="rId21" w:anchor="paragraf-16" w:tooltip="Odkaz na predpis alebo ustanovenie" w:history="1">
        <w:r w:rsidRPr="00841F5F">
          <w:rPr>
            <w:iCs/>
          </w:rPr>
          <w:t>§ 16</w:t>
        </w:r>
      </w:hyperlink>
      <w:r w:rsidRPr="00841F5F">
        <w:t xml:space="preserve">) v príslušnom zdaňovacom období tvorí najmenej 90 % zo všetkých príjmov tohto daňovníka, ktoré mu plynú zo zdrojov na území Slovenskej republiky a zo </w:t>
      </w:r>
      <w:r w:rsidRPr="00841F5F">
        <w:lastRenderedPageBreak/>
        <w:t xml:space="preserve">zdrojov v </w:t>
      </w:r>
      <w:r w:rsidRPr="00B416C6">
        <w:t xml:space="preserve">zahraničí. Ak daňovník podľa prvej vety uplatňuje postup podľa odseku </w:t>
      </w:r>
      <w:r>
        <w:t>8</w:t>
      </w:r>
      <w:r w:rsidRPr="00B416C6">
        <w:t xml:space="preserve">, musí aj druhá oprávnená osoba, ktorá je daňovníkom s obmedzenou daňovou povinnosťou a s daňovníkom vyživuje dieťa (deti) v domácnosti dosahovať v príslušnom zdaňovacom období úhrn zdaniteľných príjmov zo zdrojov na území Slovenskej republiky (§ 16) vo výške najmenej 90 % zo všetkých jej príjmov, ktoré </w:t>
      </w:r>
      <w:r>
        <w:t>jej</w:t>
      </w:r>
      <w:r w:rsidRPr="00B416C6">
        <w:t xml:space="preserve"> plynú zo zdrojov na území Slovenskej republiky a zo zdrojov v zahraničí. </w:t>
      </w:r>
    </w:p>
    <w:p w:rsidR="00E56C3B" w:rsidRPr="00C6322F" w:rsidRDefault="00E56C3B" w:rsidP="00E56C3B">
      <w:pPr>
        <w:pStyle w:val="Odsekzoznamu"/>
        <w:numPr>
          <w:ilvl w:val="0"/>
          <w:numId w:val="35"/>
        </w:numPr>
        <w:shd w:val="clear" w:color="auto" w:fill="FFFFFF"/>
        <w:ind w:left="426" w:hanging="426"/>
        <w:contextualSpacing/>
        <w:jc w:val="both"/>
      </w:pPr>
      <w:r w:rsidRPr="00C6322F">
        <w:t>Ak dôjde v priebehu zdaňovacieho obdobia k zmene počtu vyživovaných detí, na ktoré sa uplatňuje daňový bonus, výška nároku na daňový bonus sa uplatní ako úhrn nárokov na daňový bonus vypočítaných podľa odseku 6 v pomernej výške zodpovedajúcej počtu mesiacov, v ktorých daňovník vyživoval príslušný počet detí, na ktoré si uplatňuje daňový bonus.</w:t>
      </w:r>
    </w:p>
    <w:p w:rsidR="00E56C3B" w:rsidRDefault="00E56C3B" w:rsidP="00E56C3B">
      <w:pPr>
        <w:pStyle w:val="Odsekzoznamu"/>
        <w:numPr>
          <w:ilvl w:val="0"/>
          <w:numId w:val="35"/>
        </w:numPr>
        <w:shd w:val="clear" w:color="auto" w:fill="FFFFFF"/>
        <w:ind w:left="426" w:hanging="426"/>
        <w:contextualSpacing/>
        <w:jc w:val="both"/>
      </w:pPr>
      <w:r>
        <w:t xml:space="preserve"> </w:t>
      </w:r>
      <w:r w:rsidRPr="00C6322F">
        <w:t>Ak bol daňovníkovi v priebehu zdaňovacieho obdobia zamestnávateľom priznaný vyšší nárok na daňový bonus podľa tohto zákona ako mu vznikne pri prepočítaní po skončení zdaňovacieho obdobia, nestráca nárok na už priznaný daňový bonus</w:t>
      </w:r>
      <w:r>
        <w:t>.“.“.</w:t>
      </w:r>
    </w:p>
    <w:p w:rsidR="00E56C3B" w:rsidRDefault="00E56C3B" w:rsidP="00E56C3B">
      <w:pPr>
        <w:shd w:val="clear" w:color="auto" w:fill="FFFFFF"/>
        <w:jc w:val="both"/>
      </w:pPr>
    </w:p>
    <w:p w:rsidR="00E56C3B" w:rsidRDefault="00E56C3B" w:rsidP="00E56C3B">
      <w:pPr>
        <w:ind w:left="4253"/>
        <w:jc w:val="both"/>
        <w:rPr>
          <w:b/>
        </w:rPr>
      </w:pPr>
      <w:r>
        <w:rPr>
          <w:b/>
        </w:rPr>
        <w:t>Od</w:t>
      </w:r>
      <w:r w:rsidRPr="00F322B8">
        <w:rPr>
          <w:b/>
        </w:rPr>
        <w:t>ôvodnenie</w:t>
      </w:r>
    </w:p>
    <w:p w:rsidR="00E56C3B" w:rsidRDefault="00E56C3B" w:rsidP="00E56C3B">
      <w:pPr>
        <w:ind w:left="4253"/>
        <w:jc w:val="both"/>
      </w:pPr>
      <w:r>
        <w:t xml:space="preserve">Z dôvodu právnej istoty daňovníkov v nadväznosti na viaceré úpravy podmienok pre uplatnenie daňového bonusu na vyživované dieťa (deti) od 1. januára 2023 sa  navrhuje uviesť celé znenie § 33. </w:t>
      </w:r>
    </w:p>
    <w:p w:rsidR="00E56C3B" w:rsidRPr="00A003A3" w:rsidRDefault="00E56C3B" w:rsidP="00E56C3B">
      <w:pPr>
        <w:ind w:left="4253"/>
        <w:jc w:val="both"/>
      </w:pPr>
      <w:r w:rsidRPr="00A003A3">
        <w:t>V súlade s prechodným ustanovením § 52zzp ods. 6 sa § 33 ods. 1 účinný od 1. januára 2023 prvýkrát použije až pri uplatňovaní nároku na daňový bonus za kalendárny mesiac január 2025. Sumu daňového bonusu, ktorú si daňovník môže uplatniť od 1. januára 2023 do 31. decembra 2024 upravuje prechodné ustanovenie § 52zzp ods. 4. V nadväznosti na uvedené, ak v období od 1. januára 2023 do 31. decembra 2024 ustanovenia zákona o dani z príjmov (napríklad § 33 ods. 5, 6 a 10 a § 35 ods. 2) odkazujú na § 33 ods. 1, je potrebné namiesto § 33 ods. 1 uplatniť § 52zzp ods. 4.</w:t>
      </w:r>
    </w:p>
    <w:p w:rsidR="00E56C3B" w:rsidRDefault="00E56C3B" w:rsidP="00E56C3B">
      <w:pPr>
        <w:ind w:left="4253"/>
        <w:jc w:val="both"/>
      </w:pPr>
      <w:r w:rsidRPr="00845EB7">
        <w:t>Navrhovanou úpravou</w:t>
      </w:r>
      <w:r>
        <w:t xml:space="preserve"> v odseku 8</w:t>
      </w:r>
      <w:r w:rsidRPr="00845EB7">
        <w:t xml:space="preserve"> sa umožní oprávnenej osobe douplatňovať celý nárok na daňový bonus na vyživované dieťa (deti) v prípade, ak jej nepostačuje základ dane (čiastkový základ dane) z príjmov podľa § 5 alebo základ dane (čiastkový základ dane) z príjmov podľa § 6 ods. 1 a 2 alebo ich úhrn na uplatnenie celej výšky daňového bonusu </w:t>
      </w:r>
      <w:r>
        <w:t>u</w:t>
      </w:r>
      <w:r w:rsidRPr="00845EB7">
        <w:t>stanovenej v odseku 1 písm. a) a b). Táto oprávnená osoba si pre účely uplatnenia daňového bonusu môže sčítavať svoj základ dane (čiastkový základ dane) z príjmov podľa § 5 alebo základ dane (čiastkový základ dane) z príjmov podľa § 6 ods. 1 a 2 alebo ich úhrn spolu so základom dane (čiastkovým základom dane) druh</w:t>
      </w:r>
      <w:r>
        <w:t>ej</w:t>
      </w:r>
      <w:r w:rsidRPr="00845EB7">
        <w:t xml:space="preserve"> </w:t>
      </w:r>
      <w:r>
        <w:t xml:space="preserve">oprávnenej </w:t>
      </w:r>
      <w:r w:rsidRPr="00845EB7">
        <w:t>osob</w:t>
      </w:r>
      <w:r>
        <w:t>y</w:t>
      </w:r>
      <w:r w:rsidRPr="00845EB7">
        <w:t xml:space="preserve">, ktorá žije v domácnosti s vyživovaným dieťaťom, </w:t>
      </w:r>
      <w:r w:rsidRPr="00845EB7">
        <w:lastRenderedPageBreak/>
        <w:t>pričom toto navýšenie vykoná sama výlučne cez daňové priznanie. Ak druhá oprávnená osoba, ktorej základ dane (čiastkový základ dane) sa má pripočítať k základu dane (čiastkového základu dane) oprávnenej osoby, ktorá si uplatňuje daňový bonus, spĺňa podmienky pre uplatnenie daňového bonusu len časť zdaňovacieho obdobia, je možné pripočítať u oprávnenej osoby, ktorá si uplatňuje nárok na daňový bonus</w:t>
      </w:r>
      <w:r>
        <w:t>,</w:t>
      </w:r>
      <w:r w:rsidRPr="00845EB7">
        <w:t xml:space="preserve"> len pomernú časť základu dane druhej oprávnenej osoby zodpovedajúcu pomernej časti pripadajúcej k  počtu mesiacov, na začiatku ktorých táto druhá oprávnená osoby splnila podmienky na uplatnenie daňového bonusu.</w:t>
      </w:r>
    </w:p>
    <w:p w:rsidR="00E56C3B" w:rsidRPr="00B416C6" w:rsidRDefault="00E56C3B" w:rsidP="00E56C3B">
      <w:pPr>
        <w:ind w:left="4253"/>
        <w:jc w:val="both"/>
      </w:pPr>
      <w:r w:rsidRPr="00B416C6">
        <w:t xml:space="preserve">Podľa odseku </w:t>
      </w:r>
      <w:r>
        <w:t>9</w:t>
      </w:r>
      <w:r w:rsidRPr="00B416C6">
        <w:t xml:space="preserve">, ak si daňovník s obmedzenou daňovou povinnosťou uplatňuje nárok na daňový bonus a výška jeho základu dane  uvedená v odseku </w:t>
      </w:r>
      <w:r>
        <w:t>8</w:t>
      </w:r>
      <w:r w:rsidRPr="00B416C6">
        <w:t xml:space="preserve"> nepostačuje na uplatnenie celého nároku daňového bonusu, môže si rovnako pre účely daňového bonusu pripočítať aj základ dane druhej oprávnenej osoby, ktorá s ním vyživuje dieťa (deti) ale len v prípade, ak aj táto druhá oprávnená osoba splnila podmienku uvedenú v odseku </w:t>
      </w:r>
      <w:r>
        <w:t>9</w:t>
      </w:r>
      <w:r w:rsidRPr="00B416C6">
        <w:t xml:space="preserve"> prvej vety, </w:t>
      </w:r>
      <w:proofErr w:type="spellStart"/>
      <w:r w:rsidRPr="00B416C6">
        <w:t>t.j</w:t>
      </w:r>
      <w:proofErr w:type="spellEnd"/>
      <w:r w:rsidRPr="00B416C6">
        <w:t>. úhrn jej zdaniteľných príjmov zo zdrojov na území Slovenskej republiky v príslušnom zdaňovacom období tvorí najmenej 90 % zo všetkých príjmov tohto daňovníka, ktoré mu plynú zo zdrojov na území Slovenskej republiky a zo zdrojov v zahraničí.</w:t>
      </w:r>
    </w:p>
    <w:p w:rsidR="00E56C3B" w:rsidRPr="00845EB7" w:rsidRDefault="00E56C3B" w:rsidP="00E56C3B">
      <w:pPr>
        <w:ind w:left="4253"/>
        <w:jc w:val="both"/>
      </w:pPr>
      <w:r w:rsidRPr="00845EB7">
        <w:t>V navrhovanej úprave odseku 1</w:t>
      </w:r>
      <w:r>
        <w:t>0</w:t>
      </w:r>
      <w:r w:rsidRPr="00845EB7">
        <w:t xml:space="preserve"> sa uvádza postup výpočtu v prípadoch, ak v priebehu zdaňovacieho obdobia sa mení počet vyživovaných deti pre účely uplatnenia daňového bonusu. </w:t>
      </w:r>
    </w:p>
    <w:p w:rsidR="00E56C3B" w:rsidRPr="00845EB7" w:rsidRDefault="00E56C3B" w:rsidP="00E56C3B">
      <w:pPr>
        <w:ind w:left="4253"/>
        <w:jc w:val="both"/>
      </w:pPr>
      <w:r w:rsidRPr="00845EB7">
        <w:t>V odseku 1</w:t>
      </w:r>
      <w:r>
        <w:t>1</w:t>
      </w:r>
      <w:r w:rsidRPr="00845EB7">
        <w:t xml:space="preserve"> sa navrhuje spresnenie prípadov, keď daňovníkovi (zamestnancovi) zamestnávateľ v priebehu roka priznal vyšší nárok na daňový bonus ako mu vyšiel po skončení zdaňovacieho obdobia pri vykonanom ročnom zúčtovaní alebo podaní daňového priznania, podľa ktorého sa nárok na už priznaný daňový bonus nestráca.</w:t>
      </w:r>
    </w:p>
    <w:p w:rsidR="00E56C3B" w:rsidRDefault="00E56C3B" w:rsidP="00E56C3B">
      <w:pPr>
        <w:ind w:left="4253"/>
        <w:jc w:val="both"/>
      </w:pPr>
    </w:p>
    <w:p w:rsidR="00E56C3B" w:rsidRDefault="00E56C3B" w:rsidP="00E56C3B">
      <w:pPr>
        <w:pStyle w:val="Odsekzoznamu"/>
        <w:numPr>
          <w:ilvl w:val="0"/>
          <w:numId w:val="34"/>
        </w:numPr>
        <w:ind w:left="284" w:hanging="284"/>
        <w:contextualSpacing/>
        <w:rPr>
          <w:rFonts w:eastAsia="Calibri"/>
          <w:b/>
        </w:rPr>
      </w:pPr>
      <w:r>
        <w:rPr>
          <w:rFonts w:eastAsia="Calibri"/>
          <w:b/>
        </w:rPr>
        <w:t>K čl. I, doterajší bod 31</w:t>
      </w:r>
    </w:p>
    <w:p w:rsidR="00E56C3B" w:rsidRDefault="00E56C3B" w:rsidP="00E56C3B">
      <w:pPr>
        <w:pStyle w:val="Odsekzoznamu"/>
        <w:ind w:left="284"/>
        <w:rPr>
          <w:rFonts w:eastAsia="Calibri"/>
        </w:rPr>
      </w:pPr>
      <w:r>
        <w:rPr>
          <w:rFonts w:eastAsia="Calibri"/>
        </w:rPr>
        <w:t>Doterajší bod 31 sa vypúšťa.</w:t>
      </w:r>
    </w:p>
    <w:p w:rsidR="00E56C3B" w:rsidRDefault="00E56C3B" w:rsidP="00E56C3B">
      <w:pPr>
        <w:pStyle w:val="Odsekzoznamu"/>
        <w:ind w:left="284"/>
        <w:rPr>
          <w:rFonts w:eastAsia="Calibri"/>
        </w:rPr>
      </w:pPr>
    </w:p>
    <w:p w:rsidR="00E56C3B" w:rsidRDefault="00E56C3B" w:rsidP="00E56C3B">
      <w:pPr>
        <w:pStyle w:val="Odsekzoznamu"/>
        <w:ind w:left="284"/>
        <w:rPr>
          <w:rFonts w:eastAsia="Calibri"/>
        </w:rPr>
      </w:pPr>
      <w:r>
        <w:rPr>
          <w:rFonts w:eastAsia="Calibri"/>
        </w:rPr>
        <w:t>Doterajšie body 32 a nasledujúce sa primerane prečíslujú.</w:t>
      </w:r>
    </w:p>
    <w:p w:rsidR="00E56C3B" w:rsidRDefault="00E56C3B" w:rsidP="00E56C3B">
      <w:pPr>
        <w:pStyle w:val="Odsekzoznamu"/>
        <w:ind w:left="284"/>
        <w:rPr>
          <w:rFonts w:eastAsia="Calibri"/>
        </w:rPr>
      </w:pPr>
    </w:p>
    <w:p w:rsidR="00E56C3B" w:rsidRDefault="00E56C3B" w:rsidP="00E56C3B">
      <w:pPr>
        <w:ind w:left="4253"/>
        <w:jc w:val="both"/>
        <w:rPr>
          <w:b/>
        </w:rPr>
      </w:pPr>
      <w:r>
        <w:rPr>
          <w:b/>
        </w:rPr>
        <w:t>Od</w:t>
      </w:r>
      <w:r w:rsidRPr="00F322B8">
        <w:rPr>
          <w:b/>
        </w:rPr>
        <w:t>ôvodnenie</w:t>
      </w:r>
    </w:p>
    <w:p w:rsidR="00E56C3B" w:rsidRDefault="00E56C3B" w:rsidP="00E56C3B">
      <w:pPr>
        <w:ind w:left="4253"/>
        <w:jc w:val="both"/>
      </w:pPr>
      <w:r>
        <w:t>Ide o legislatívno-technickú úpravu v nadväznosti na uvedenie celého nového znenia § 33.</w:t>
      </w:r>
    </w:p>
    <w:p w:rsidR="00E56C3B" w:rsidRPr="0034329E" w:rsidRDefault="00E56C3B" w:rsidP="00E56C3B">
      <w:pPr>
        <w:ind w:left="4253"/>
        <w:jc w:val="both"/>
      </w:pPr>
    </w:p>
    <w:p w:rsidR="00E56C3B" w:rsidRDefault="00E56C3B" w:rsidP="00E56C3B">
      <w:pPr>
        <w:pStyle w:val="Odsekzoznamu"/>
        <w:numPr>
          <w:ilvl w:val="0"/>
          <w:numId w:val="34"/>
        </w:numPr>
        <w:ind w:left="284" w:hanging="284"/>
        <w:contextualSpacing/>
        <w:rPr>
          <w:rFonts w:eastAsia="Calibri"/>
          <w:b/>
        </w:rPr>
      </w:pPr>
      <w:r>
        <w:rPr>
          <w:rFonts w:eastAsia="Calibri"/>
          <w:b/>
        </w:rPr>
        <w:lastRenderedPageBreak/>
        <w:t>K čl. I, nový bod</w:t>
      </w:r>
    </w:p>
    <w:p w:rsidR="00E56C3B" w:rsidRDefault="00E56C3B" w:rsidP="00E56C3B">
      <w:pPr>
        <w:pStyle w:val="Odsekzoznamu"/>
        <w:ind w:left="284"/>
        <w:rPr>
          <w:rFonts w:eastAsia="Calibri"/>
        </w:rPr>
      </w:pPr>
      <w:r w:rsidRPr="003A3B68">
        <w:rPr>
          <w:rFonts w:eastAsia="Calibri"/>
        </w:rPr>
        <w:t>Za doterajší bod 31 sa vkladá nový bod 32, ktorý znie:</w:t>
      </w:r>
    </w:p>
    <w:p w:rsidR="00E56C3B" w:rsidRDefault="00E56C3B" w:rsidP="00E56C3B">
      <w:pPr>
        <w:ind w:left="851" w:hanging="567"/>
        <w:jc w:val="both"/>
      </w:pPr>
      <w:r>
        <w:rPr>
          <w:rFonts w:eastAsia="Calibri"/>
        </w:rPr>
        <w:t xml:space="preserve">„32. </w:t>
      </w:r>
      <w:r w:rsidRPr="003A3B68">
        <w:t>V § 39 ods. 9 písm. b) sa za slov</w:t>
      </w:r>
      <w:r>
        <w:t>á</w:t>
      </w:r>
      <w:r w:rsidRPr="003A3B68">
        <w:t xml:space="preserve"> „daňový bonus,“ vkladajú slová „meno, priezvisko a rodné číslo osoby, na ktorú zamestnanec uplatňuje daňový bonus,“.</w:t>
      </w:r>
      <w:r>
        <w:t>“.</w:t>
      </w:r>
    </w:p>
    <w:p w:rsidR="00E56C3B" w:rsidRDefault="00E56C3B" w:rsidP="00E56C3B">
      <w:pPr>
        <w:ind w:left="851" w:hanging="567"/>
        <w:jc w:val="both"/>
      </w:pPr>
    </w:p>
    <w:p w:rsidR="00E56C3B" w:rsidRDefault="00E56C3B" w:rsidP="00E56C3B">
      <w:pPr>
        <w:pStyle w:val="Odsekzoznamu"/>
        <w:ind w:left="0"/>
        <w:rPr>
          <w:rFonts w:eastAsia="Calibri"/>
        </w:rPr>
      </w:pPr>
      <w:r w:rsidRPr="00584E4C">
        <w:rPr>
          <w:rFonts w:eastAsia="Calibri"/>
        </w:rPr>
        <w:t>Doterajšie body 3</w:t>
      </w:r>
      <w:r>
        <w:rPr>
          <w:rFonts w:eastAsia="Calibri"/>
        </w:rPr>
        <w:t>2</w:t>
      </w:r>
      <w:r w:rsidRPr="00584E4C">
        <w:rPr>
          <w:rFonts w:eastAsia="Calibri"/>
        </w:rPr>
        <w:t xml:space="preserve"> a nasledujúce sa primerane prečíslujú.</w:t>
      </w:r>
    </w:p>
    <w:p w:rsidR="00E56C3B" w:rsidRDefault="00E56C3B" w:rsidP="00E56C3B">
      <w:pPr>
        <w:pStyle w:val="Odsekzoznamu"/>
        <w:ind w:left="0"/>
        <w:rPr>
          <w:rFonts w:eastAsia="Calibri"/>
        </w:rPr>
      </w:pPr>
    </w:p>
    <w:p w:rsidR="00E56C3B" w:rsidRDefault="00E56C3B" w:rsidP="00E56C3B">
      <w:pPr>
        <w:jc w:val="both"/>
      </w:pPr>
      <w:r>
        <w:t xml:space="preserve">Nový bod 32 nadobúda účinnosť 1. januára 2023, čo sa premietne do ustanovenia o účinnosti zákona pri spracúvaní čistopisu schváleného znenia. </w:t>
      </w:r>
    </w:p>
    <w:p w:rsidR="00E56C3B" w:rsidRPr="003A3B68" w:rsidRDefault="00E56C3B" w:rsidP="00E56C3B">
      <w:pPr>
        <w:ind w:left="851" w:hanging="567"/>
        <w:jc w:val="both"/>
        <w:rPr>
          <w:sz w:val="22"/>
          <w:szCs w:val="22"/>
        </w:rPr>
      </w:pPr>
    </w:p>
    <w:p w:rsidR="00E56C3B" w:rsidRPr="003A3B68" w:rsidRDefault="00E56C3B" w:rsidP="00E56C3B"/>
    <w:p w:rsidR="00E56C3B" w:rsidRDefault="00E56C3B" w:rsidP="00E56C3B">
      <w:pPr>
        <w:ind w:left="4253"/>
        <w:jc w:val="both"/>
        <w:rPr>
          <w:b/>
        </w:rPr>
      </w:pPr>
      <w:r>
        <w:rPr>
          <w:b/>
        </w:rPr>
        <w:t>Od</w:t>
      </w:r>
      <w:r w:rsidRPr="00F322B8">
        <w:rPr>
          <w:b/>
        </w:rPr>
        <w:t>ôvodnenie</w:t>
      </w:r>
    </w:p>
    <w:p w:rsidR="00E56C3B" w:rsidRPr="00584E4C" w:rsidRDefault="00E56C3B" w:rsidP="00E56C3B">
      <w:pPr>
        <w:ind w:left="4253"/>
        <w:jc w:val="both"/>
      </w:pPr>
      <w:r w:rsidRPr="00584E4C">
        <w:t xml:space="preserve">Z aplikačnej praxe vyplýva, že na účely kontroly správnosti pri uplatňovaní nároku na daňový bonus je pre správcu dane nepostačujúce uvádzať v hlásení (časť IV. a V.) len číselný údaj o počte detí a úhrnnom počte kalendárnych mesiacov, počas ktorých si tento nárok zamestnanec uplatňoval. Vzhľadom na rôznorodosť situácií, ktoré pri uplatňovaní daňového bonusu počas zdaňovacieho obdobia môžu nastať a s cieľom vylúčiť prípady „dvojitého“ vyplatenia daňového bonusu, do hlásenia (časť IV. a V.) sa dopĺňa povinnosť uvádzať aj údaj o mene, priezvisku a rodnom čísle osoby, na ktorú si zamestnanec uplatňuje nárok na daňový bonus. </w:t>
      </w:r>
    </w:p>
    <w:p w:rsidR="00E56C3B" w:rsidRPr="003A3B68" w:rsidRDefault="00E56C3B" w:rsidP="00E56C3B">
      <w:pPr>
        <w:pStyle w:val="Odsekzoznamu"/>
        <w:ind w:left="284"/>
        <w:rPr>
          <w:rFonts w:eastAsia="Calibri"/>
        </w:rPr>
      </w:pPr>
    </w:p>
    <w:p w:rsidR="00E56C3B" w:rsidRDefault="00E56C3B" w:rsidP="00E56C3B">
      <w:pPr>
        <w:pStyle w:val="Odsekzoznamu"/>
        <w:numPr>
          <w:ilvl w:val="0"/>
          <w:numId w:val="34"/>
        </w:numPr>
        <w:ind w:left="284" w:hanging="284"/>
        <w:contextualSpacing/>
        <w:rPr>
          <w:rFonts w:eastAsia="Calibri"/>
          <w:b/>
        </w:rPr>
      </w:pPr>
      <w:r>
        <w:rPr>
          <w:rFonts w:eastAsia="Calibri"/>
          <w:b/>
        </w:rPr>
        <w:t>K čl. I, doterajší bod 32</w:t>
      </w:r>
    </w:p>
    <w:p w:rsidR="00E56C3B" w:rsidRPr="00813337" w:rsidRDefault="00E56C3B" w:rsidP="00E56C3B">
      <w:pPr>
        <w:pStyle w:val="Odsekzoznamu"/>
        <w:ind w:left="284"/>
        <w:rPr>
          <w:rFonts w:eastAsia="Calibri"/>
        </w:rPr>
      </w:pPr>
      <w:r>
        <w:rPr>
          <w:rFonts w:eastAsia="Calibri"/>
        </w:rPr>
        <w:t>Doterajší bod 32</w:t>
      </w:r>
      <w:r w:rsidRPr="00813337">
        <w:rPr>
          <w:rFonts w:eastAsia="Calibri"/>
        </w:rPr>
        <w:t xml:space="preserve"> znie:</w:t>
      </w:r>
    </w:p>
    <w:p w:rsidR="00E56C3B" w:rsidRDefault="00E56C3B" w:rsidP="00E56C3B">
      <w:pPr>
        <w:ind w:left="284"/>
        <w:jc w:val="both"/>
        <w:rPr>
          <w:rFonts w:eastAsia="Calibri"/>
        </w:rPr>
      </w:pPr>
      <w:r w:rsidRPr="00813337">
        <w:rPr>
          <w:rFonts w:eastAsia="Calibri"/>
        </w:rPr>
        <w:t>„</w:t>
      </w:r>
      <w:r>
        <w:rPr>
          <w:rFonts w:eastAsia="Calibri"/>
        </w:rPr>
        <w:t>32. V § 43 ods. 2 sa slová „§ 49a ods. 5“ nahrádzajú slovami „tohto zákona“ a za slová „z poskytnutých úverov a pôžičiek“ sa vkladá čiarka a slová „</w:t>
      </w:r>
      <w:r>
        <w:t>výnosy z dlhopisov,</w:t>
      </w:r>
      <w:r w:rsidRPr="008626D3">
        <w:t xml:space="preserve"> </w:t>
      </w:r>
      <w:r>
        <w:t>ak plynú daňovníkovi s obmedzenou daňovou povinnosťou podľa § 2 písm. e) tretieho bodu okrem výnosov zo štátnych dlhopisov a štátnych pokladničných poukážok,</w:t>
      </w:r>
      <w:r>
        <w:rPr>
          <w:rFonts w:eastAsia="Calibri"/>
        </w:rPr>
        <w:t xml:space="preserve">“. “. </w:t>
      </w:r>
    </w:p>
    <w:p w:rsidR="00E56C3B" w:rsidRDefault="00E56C3B" w:rsidP="00E56C3B">
      <w:pPr>
        <w:jc w:val="both"/>
        <w:rPr>
          <w:rFonts w:eastAsia="Calibri"/>
        </w:rPr>
      </w:pPr>
    </w:p>
    <w:p w:rsidR="00E56C3B" w:rsidRPr="00A61B63" w:rsidRDefault="00E56C3B" w:rsidP="00E56C3B">
      <w:pPr>
        <w:ind w:left="4253"/>
        <w:jc w:val="both"/>
        <w:rPr>
          <w:b/>
        </w:rPr>
      </w:pPr>
      <w:r w:rsidRPr="00A61B63">
        <w:rPr>
          <w:b/>
        </w:rPr>
        <w:t>Odôvodnenie</w:t>
      </w:r>
      <w:r>
        <w:rPr>
          <w:b/>
        </w:rPr>
        <w:t xml:space="preserve"> </w:t>
      </w:r>
    </w:p>
    <w:p w:rsidR="00E56C3B" w:rsidRDefault="00E56C3B" w:rsidP="00E56C3B">
      <w:pPr>
        <w:ind w:left="4253"/>
        <w:jc w:val="both"/>
      </w:pPr>
      <w:r>
        <w:t xml:space="preserve">V nadväznosti na zmenu v § 16 ods. 1 písm. e) tretieho bodu zákona ide o určenie spôsobu zdanenia výnosov z komerčných dlhopisov zrážkou u daňovníka – právnickej osoby s obmedzenou daňovou povinnosťou. Ak ide o daňovníka – fyzickú osobu s obmedzenou daňovou povinnosťou, zdanenie jeho výnosov z dlhopisov zrážkou je upravené v § 43 ods. 3 písm. n) zákona. </w:t>
      </w:r>
    </w:p>
    <w:p w:rsidR="00E56C3B" w:rsidRPr="00A61B63" w:rsidRDefault="00E56C3B" w:rsidP="00E56C3B">
      <w:pPr>
        <w:ind w:left="4253"/>
        <w:jc w:val="both"/>
      </w:pPr>
    </w:p>
    <w:p w:rsidR="00E56C3B" w:rsidRDefault="00E56C3B" w:rsidP="00E56C3B">
      <w:pPr>
        <w:pStyle w:val="Odsekzoznamu"/>
        <w:numPr>
          <w:ilvl w:val="0"/>
          <w:numId w:val="34"/>
        </w:numPr>
        <w:ind w:left="284" w:hanging="284"/>
        <w:contextualSpacing/>
        <w:rPr>
          <w:rFonts w:eastAsia="Calibri"/>
          <w:b/>
        </w:rPr>
      </w:pPr>
      <w:r>
        <w:rPr>
          <w:rFonts w:eastAsia="Calibri"/>
          <w:b/>
        </w:rPr>
        <w:t>K čl. I, nový bod 33</w:t>
      </w:r>
    </w:p>
    <w:p w:rsidR="00E56C3B" w:rsidRDefault="00E56C3B" w:rsidP="00E56C3B">
      <w:pPr>
        <w:ind w:left="284"/>
        <w:rPr>
          <w:rFonts w:eastAsia="Calibri"/>
        </w:rPr>
      </w:pPr>
      <w:r w:rsidRPr="00A47D80">
        <w:rPr>
          <w:rFonts w:eastAsia="Calibri"/>
        </w:rPr>
        <w:t>Za doterajší bod 3</w:t>
      </w:r>
      <w:r>
        <w:rPr>
          <w:rFonts w:eastAsia="Calibri"/>
        </w:rPr>
        <w:t>2</w:t>
      </w:r>
      <w:r w:rsidRPr="00A47D80">
        <w:rPr>
          <w:rFonts w:eastAsia="Calibri"/>
        </w:rPr>
        <w:t xml:space="preserve"> sa vkladá nový bod 3</w:t>
      </w:r>
      <w:r>
        <w:rPr>
          <w:rFonts w:eastAsia="Calibri"/>
        </w:rPr>
        <w:t>3</w:t>
      </w:r>
      <w:r w:rsidRPr="00A47D80">
        <w:rPr>
          <w:rFonts w:eastAsia="Calibri"/>
        </w:rPr>
        <w:t>, ktorý znie:</w:t>
      </w:r>
    </w:p>
    <w:p w:rsidR="00E56C3B" w:rsidRDefault="00E56C3B" w:rsidP="00E56C3B">
      <w:pPr>
        <w:ind w:left="284"/>
        <w:jc w:val="both"/>
      </w:pPr>
      <w:r>
        <w:t xml:space="preserve">„33. </w:t>
      </w:r>
      <w:r w:rsidRPr="00A47D80">
        <w:t xml:space="preserve">V § 43 </w:t>
      </w:r>
      <w:r>
        <w:t xml:space="preserve">sa </w:t>
      </w:r>
      <w:r w:rsidRPr="00A47D80">
        <w:t>ods</w:t>
      </w:r>
      <w:r>
        <w:t>ek</w:t>
      </w:r>
      <w:r w:rsidRPr="00A47D80">
        <w:t xml:space="preserve"> 6 dopĺňa písmeno</w:t>
      </w:r>
      <w:r>
        <w:t>m</w:t>
      </w:r>
      <w:r w:rsidRPr="00A47D80">
        <w:t xml:space="preserve"> d), ktoré znie</w:t>
      </w:r>
      <w:r>
        <w:t>:</w:t>
      </w:r>
    </w:p>
    <w:p w:rsidR="00E56C3B" w:rsidRDefault="00E56C3B" w:rsidP="00E56C3B">
      <w:pPr>
        <w:ind w:left="284"/>
        <w:jc w:val="both"/>
      </w:pPr>
      <w:r w:rsidRPr="00A47D80">
        <w:t>„</w:t>
      </w:r>
      <w:r>
        <w:t xml:space="preserve">d) </w:t>
      </w:r>
      <w:r w:rsidRPr="00A47D80">
        <w:t>výnosov z dlhopisov podľa § 16 ods. 1 písm. e)  tretieho bodu u daňovníka s obmedzenou daňovou povinnosťou podľa § 2 písm. e) tretieho bodu.“</w:t>
      </w:r>
      <w:r>
        <w:t>.“.</w:t>
      </w:r>
    </w:p>
    <w:p w:rsidR="00E56C3B" w:rsidRDefault="00E56C3B" w:rsidP="00E56C3B">
      <w:pPr>
        <w:ind w:left="284"/>
        <w:jc w:val="both"/>
      </w:pPr>
    </w:p>
    <w:p w:rsidR="00E56C3B" w:rsidRDefault="00E56C3B" w:rsidP="00E56C3B">
      <w:pPr>
        <w:pStyle w:val="Odsekzoznamu"/>
        <w:ind w:left="0"/>
        <w:rPr>
          <w:rFonts w:eastAsia="Calibri"/>
        </w:rPr>
      </w:pPr>
      <w:r w:rsidRPr="00584E4C">
        <w:rPr>
          <w:rFonts w:eastAsia="Calibri"/>
        </w:rPr>
        <w:t>Doterajšie body 3</w:t>
      </w:r>
      <w:r>
        <w:rPr>
          <w:rFonts w:eastAsia="Calibri"/>
        </w:rPr>
        <w:t>3</w:t>
      </w:r>
      <w:r w:rsidRPr="00584E4C">
        <w:rPr>
          <w:rFonts w:eastAsia="Calibri"/>
        </w:rPr>
        <w:t xml:space="preserve"> a nasledujúce sa primerane prečíslujú.</w:t>
      </w:r>
    </w:p>
    <w:p w:rsidR="00E56C3B" w:rsidRDefault="00E56C3B" w:rsidP="00E56C3B">
      <w:pPr>
        <w:pStyle w:val="Odsekzoznamu"/>
        <w:ind w:left="0"/>
        <w:rPr>
          <w:rFonts w:eastAsia="Calibri"/>
        </w:rPr>
      </w:pPr>
    </w:p>
    <w:p w:rsidR="00E56C3B" w:rsidRDefault="00E56C3B" w:rsidP="00E56C3B">
      <w:pPr>
        <w:jc w:val="both"/>
      </w:pPr>
      <w:r>
        <w:t xml:space="preserve">Nový bod 33 nadobúda účinnosť 1. januára 2023, čo sa premietne do ustanovenia o účinnosti zákona pri spracúvaní čistopisu schváleného znenia. </w:t>
      </w:r>
    </w:p>
    <w:p w:rsidR="00E56C3B" w:rsidRDefault="00E56C3B" w:rsidP="00E56C3B">
      <w:pPr>
        <w:ind w:left="284"/>
        <w:jc w:val="both"/>
      </w:pPr>
    </w:p>
    <w:p w:rsidR="00E56C3B" w:rsidRDefault="00E56C3B" w:rsidP="00E56C3B">
      <w:pPr>
        <w:ind w:left="4253"/>
        <w:jc w:val="both"/>
        <w:rPr>
          <w:b/>
        </w:rPr>
      </w:pPr>
    </w:p>
    <w:p w:rsidR="00E56C3B" w:rsidRPr="00A61B63" w:rsidRDefault="00E56C3B" w:rsidP="00E56C3B">
      <w:pPr>
        <w:ind w:left="4253"/>
        <w:jc w:val="both"/>
        <w:rPr>
          <w:b/>
        </w:rPr>
      </w:pPr>
      <w:r w:rsidRPr="00A61B63">
        <w:rPr>
          <w:b/>
        </w:rPr>
        <w:t>Odôvodnenie</w:t>
      </w:r>
      <w:r>
        <w:rPr>
          <w:b/>
        </w:rPr>
        <w:t xml:space="preserve"> </w:t>
      </w:r>
    </w:p>
    <w:p w:rsidR="00E56C3B" w:rsidRPr="00B936C0" w:rsidRDefault="00E56C3B" w:rsidP="00E56C3B">
      <w:pPr>
        <w:ind w:left="4253"/>
        <w:jc w:val="both"/>
      </w:pPr>
      <w:r w:rsidRPr="00B936C0">
        <w:t>Pre daňovníka s obmedzenou daňovou povinnosťou – právnickú osobu sa zavádza možnosť považovať daň vybranú zrážkou z výnosov z dlhopisov za preddavok, čím sa zabezpečí rovnaké zaobchádzanie v porovnaní s tuzemskými právnickými osobami.</w:t>
      </w:r>
    </w:p>
    <w:p w:rsidR="00E56C3B" w:rsidRDefault="00E56C3B" w:rsidP="00E56C3B">
      <w:pPr>
        <w:pStyle w:val="Odsekzoznamu"/>
        <w:ind w:left="284"/>
        <w:rPr>
          <w:rFonts w:eastAsia="Calibri"/>
          <w:b/>
        </w:rPr>
      </w:pPr>
    </w:p>
    <w:p w:rsidR="00E56C3B" w:rsidRDefault="00E56C3B" w:rsidP="00E56C3B">
      <w:pPr>
        <w:pStyle w:val="Odsekzoznamu"/>
        <w:numPr>
          <w:ilvl w:val="0"/>
          <w:numId w:val="34"/>
        </w:numPr>
        <w:overflowPunct w:val="0"/>
        <w:spacing w:line="360" w:lineRule="auto"/>
        <w:ind w:left="284" w:hanging="284"/>
        <w:contextualSpacing/>
        <w:jc w:val="both"/>
        <w:rPr>
          <w:b/>
        </w:rPr>
      </w:pPr>
      <w:r>
        <w:rPr>
          <w:b/>
        </w:rPr>
        <w:t xml:space="preserve">K čl. I, 35. bodu </w:t>
      </w:r>
    </w:p>
    <w:p w:rsidR="00E56C3B" w:rsidRDefault="00E56C3B" w:rsidP="00E56C3B">
      <w:pPr>
        <w:pStyle w:val="Odsekzoznamu"/>
        <w:overflowPunct w:val="0"/>
        <w:spacing w:line="360" w:lineRule="auto"/>
        <w:ind w:left="0"/>
        <w:jc w:val="both"/>
      </w:pPr>
      <w:r>
        <w:t xml:space="preserve">V čl. I, 35. bode (§ 49a ods. 2) sa na konci pripája veta, ktorá znie: </w:t>
      </w:r>
    </w:p>
    <w:p w:rsidR="00E56C3B" w:rsidRDefault="00E56C3B" w:rsidP="00E56C3B">
      <w:pPr>
        <w:ind w:left="3750" w:hanging="3827"/>
      </w:pPr>
      <w:r>
        <w:t>„Poznámka pod čiarou k odkazu 136ah sa vypúšťa“.</w:t>
      </w:r>
    </w:p>
    <w:p w:rsidR="00E56C3B" w:rsidRDefault="00E56C3B" w:rsidP="00E56C3B">
      <w:pPr>
        <w:ind w:left="3750" w:hanging="3827"/>
      </w:pPr>
    </w:p>
    <w:p w:rsidR="00E56C3B" w:rsidRPr="00A16A4D" w:rsidRDefault="00E56C3B" w:rsidP="00E56C3B">
      <w:pPr>
        <w:ind w:left="3750"/>
      </w:pPr>
      <w:r>
        <w:t>Pozmeňujúci návrh legislatívno-technickej povahy vypúšťa znenie poznámky pod čiarou v súvislosti s vypustením odkazu na predmetnú poznámku v novelizovanom znení § 49a ods. 2.</w:t>
      </w:r>
    </w:p>
    <w:p w:rsidR="00E56C3B" w:rsidRDefault="00E56C3B" w:rsidP="00E56C3B">
      <w:pPr>
        <w:pStyle w:val="Odsekzoznamu"/>
        <w:ind w:left="284"/>
        <w:rPr>
          <w:rFonts w:eastAsia="Calibri"/>
          <w:b/>
        </w:rPr>
      </w:pPr>
    </w:p>
    <w:p w:rsidR="00E56C3B" w:rsidRPr="00A47D80" w:rsidRDefault="00E56C3B" w:rsidP="00E56C3B">
      <w:pPr>
        <w:pStyle w:val="Odsekzoznamu"/>
        <w:ind w:left="284"/>
        <w:rPr>
          <w:rFonts w:eastAsia="Calibri"/>
          <w:b/>
        </w:rPr>
      </w:pPr>
    </w:p>
    <w:p w:rsidR="00E56C3B" w:rsidRDefault="00E56C3B" w:rsidP="00E56C3B">
      <w:pPr>
        <w:pStyle w:val="Odsekzoznamu"/>
        <w:numPr>
          <w:ilvl w:val="0"/>
          <w:numId w:val="34"/>
        </w:numPr>
        <w:ind w:left="284" w:hanging="284"/>
        <w:contextualSpacing/>
        <w:rPr>
          <w:rFonts w:eastAsia="Calibri"/>
          <w:b/>
        </w:rPr>
      </w:pPr>
      <w:r>
        <w:rPr>
          <w:rFonts w:eastAsia="Calibri"/>
          <w:b/>
        </w:rPr>
        <w:t>K čl. I, doterajší bod 40</w:t>
      </w:r>
    </w:p>
    <w:p w:rsidR="00E56C3B" w:rsidRPr="00A61B63" w:rsidRDefault="00E56C3B" w:rsidP="00E56C3B">
      <w:pPr>
        <w:pStyle w:val="Odsekzoznamu"/>
        <w:ind w:left="284"/>
        <w:rPr>
          <w:rFonts w:eastAsia="Calibri"/>
        </w:rPr>
      </w:pPr>
      <w:r w:rsidRPr="00A61B63">
        <w:rPr>
          <w:rFonts w:eastAsia="Calibri"/>
        </w:rPr>
        <w:t>V doterajšom bode 40 v § 52zzp odseky 1 a 2 znejú:</w:t>
      </w:r>
    </w:p>
    <w:p w:rsidR="00E56C3B" w:rsidRPr="00A61B63" w:rsidRDefault="00E56C3B" w:rsidP="00E56C3B">
      <w:pPr>
        <w:ind w:left="567" w:hanging="567"/>
        <w:jc w:val="both"/>
        <w:rPr>
          <w:lang w:eastAsia="cs-CZ"/>
        </w:rPr>
      </w:pPr>
      <w:r w:rsidRPr="00A61B63">
        <w:rPr>
          <w:rFonts w:eastAsia="Calibri"/>
        </w:rPr>
        <w:t xml:space="preserve">„(1) </w:t>
      </w:r>
      <w:r w:rsidRPr="00A61B63">
        <w:t>Úpravy základu dane podľa § 17 ods. 2 písm. d),</w:t>
      </w:r>
      <w:r w:rsidRPr="00A61B63">
        <w:rPr>
          <w:lang w:eastAsia="cs-CZ"/>
        </w:rPr>
        <w:t xml:space="preserve"> ktoré vyplývajú z </w:t>
      </w:r>
      <w:r w:rsidRPr="00A61B63">
        <w:t>osobitného predpisu,</w:t>
      </w:r>
      <w:r w:rsidRPr="00A61B63">
        <w:rPr>
          <w:vertAlign w:val="superscript"/>
        </w:rPr>
        <w:t>157</w:t>
      </w:r>
      <w:r w:rsidRPr="00A61B63">
        <w:t>) poisťovňou, pobočkou poisťovne iného členského štátu a pobočkou zahraničnej poisťovne sa zahrnú do základu dane rovnomerne počnúc zdaňovacím obdobím, ktoré začína najskôr 1. januára 2023, najneskôr však do konca  druhého zdaňovacieho obdobia, ktoré nasleduje po zdaňovacom období, ktoré začalo najskôr 1. januára 2023.</w:t>
      </w:r>
      <w:r w:rsidRPr="00A61B63">
        <w:rPr>
          <w:lang w:eastAsia="cs-CZ"/>
        </w:rPr>
        <w:t xml:space="preserve"> Pri zrušení </w:t>
      </w:r>
      <w:r w:rsidRPr="00A61B63">
        <w:t>technických rezerv vytvorených  k 31. decembru 2022 podľa § 20 ods. 8 v znení účinnom do 31. decembra 2022</w:t>
      </w:r>
      <w:r w:rsidRPr="00A61B63">
        <w:rPr>
          <w:lang w:eastAsia="cs-CZ"/>
        </w:rPr>
        <w:t xml:space="preserve"> poisťovňou, pobočkou poisťovne iného členského štátu a pobočkou zahraničnej poisťovne </w:t>
      </w:r>
      <w:r w:rsidRPr="00A61B63">
        <w:t>sa  neuplatní § 17 ods. 15 prvá veta.</w:t>
      </w:r>
    </w:p>
    <w:p w:rsidR="00E56C3B" w:rsidRPr="00A61B63" w:rsidRDefault="00E56C3B" w:rsidP="00E56C3B">
      <w:pPr>
        <w:ind w:left="567" w:hanging="425"/>
        <w:jc w:val="both"/>
        <w:rPr>
          <w:rFonts w:eastAsia="Calibri"/>
        </w:rPr>
      </w:pPr>
      <w:r w:rsidRPr="00A61B63">
        <w:rPr>
          <w:rFonts w:eastAsia="Calibri"/>
        </w:rPr>
        <w:t>(2) Ustanovenie § 33 ods. 9 v znení účinnom od 1. januára 2023 sa prvýkrát použij</w:t>
      </w:r>
      <w:r>
        <w:rPr>
          <w:rFonts w:eastAsia="Calibri"/>
        </w:rPr>
        <w:t>e</w:t>
      </w:r>
      <w:r w:rsidRPr="00A61B63">
        <w:rPr>
          <w:rFonts w:eastAsia="Calibri"/>
        </w:rPr>
        <w:t xml:space="preserve"> pri vykonaní </w:t>
      </w:r>
      <w:r w:rsidRPr="00A61B63">
        <w:rPr>
          <w:lang w:eastAsia="cs-CZ"/>
        </w:rPr>
        <w:t>ročného</w:t>
      </w:r>
      <w:r w:rsidRPr="00A61B63">
        <w:rPr>
          <w:rFonts w:eastAsia="Calibri"/>
        </w:rPr>
        <w:t xml:space="preserve"> zúčtovania alebo podaní daňového priznania za zdaňovacie obdobie 2023.“.</w:t>
      </w:r>
    </w:p>
    <w:p w:rsidR="00E56C3B" w:rsidRDefault="00E56C3B" w:rsidP="00E56C3B">
      <w:pPr>
        <w:pStyle w:val="Odsekzoznamu"/>
        <w:ind w:left="284"/>
        <w:rPr>
          <w:rFonts w:eastAsia="Calibri"/>
          <w:color w:val="FF0000"/>
        </w:rPr>
      </w:pPr>
    </w:p>
    <w:p w:rsidR="00E56C3B" w:rsidRDefault="00E56C3B" w:rsidP="00E56C3B">
      <w:pPr>
        <w:overflowPunct w:val="0"/>
        <w:jc w:val="both"/>
      </w:pPr>
      <w:r>
        <w:t>Poznámka pod čiarou k odkazu 157 znie:</w:t>
      </w:r>
    </w:p>
    <w:p w:rsidR="00E56C3B" w:rsidRDefault="00E56C3B" w:rsidP="00E56C3B">
      <w:pPr>
        <w:overflowPunct w:val="0"/>
        <w:ind w:left="426" w:hanging="426"/>
        <w:jc w:val="both"/>
        <w:rPr>
          <w:rFonts w:ascii="Calibri" w:hAnsi="Calibri" w:cs="Calibri"/>
          <w:sz w:val="22"/>
          <w:szCs w:val="22"/>
        </w:rPr>
      </w:pPr>
      <w:r>
        <w:t>„</w:t>
      </w:r>
      <w:r>
        <w:rPr>
          <w:vertAlign w:val="superscript"/>
        </w:rPr>
        <w:t>157</w:t>
      </w:r>
      <w:r>
        <w:t>) Medzinárodný štandard finančného výkazníctva 9 a 17 Prílohy k nariadeniu Komisie (ES) č. 1126/2008 z 3. novembra 2008, ktorým sa v súlade s nariadením Európskeho parlamentu a Rady (ES) č. 1606/2002 prijímajú určité medzinárodné účtovné štandardy (Ú. v. EÚ L 320, 29. 11. 2008) v platnom znení.“.</w:t>
      </w:r>
    </w:p>
    <w:p w:rsidR="00E56C3B" w:rsidRPr="00A11B98" w:rsidRDefault="00E56C3B" w:rsidP="00E56C3B">
      <w:pPr>
        <w:pStyle w:val="Odsekzoznamu"/>
        <w:ind w:left="284"/>
        <w:rPr>
          <w:rFonts w:eastAsia="Calibri"/>
          <w:color w:val="FF0000"/>
        </w:rPr>
      </w:pPr>
    </w:p>
    <w:p w:rsidR="00E56C3B" w:rsidRPr="00A61B63" w:rsidRDefault="00E56C3B" w:rsidP="00E56C3B">
      <w:pPr>
        <w:ind w:left="4253"/>
        <w:jc w:val="both"/>
        <w:rPr>
          <w:b/>
        </w:rPr>
      </w:pPr>
      <w:r w:rsidRPr="00A61B63">
        <w:rPr>
          <w:b/>
        </w:rPr>
        <w:t>Odôvodnenie</w:t>
      </w:r>
    </w:p>
    <w:p w:rsidR="00E56C3B" w:rsidRDefault="00E56C3B" w:rsidP="00E56C3B">
      <w:pPr>
        <w:ind w:left="4253"/>
        <w:jc w:val="both"/>
      </w:pPr>
      <w:r>
        <w:t xml:space="preserve">V odseku 1 ide o legislatívno-technické upresnenie ustanovenia vyplývajúce zo stanoviska </w:t>
      </w:r>
      <w:r>
        <w:lastRenderedPageBreak/>
        <w:t>Odboru legislatívy a aproximácie práva Kancelárie Národnej rady SR.</w:t>
      </w:r>
    </w:p>
    <w:p w:rsidR="00E56C3B" w:rsidRPr="00A61B63" w:rsidRDefault="00E56C3B" w:rsidP="00E56C3B">
      <w:pPr>
        <w:ind w:left="4253"/>
        <w:jc w:val="both"/>
      </w:pPr>
      <w:r>
        <w:t>V odseku 2 i</w:t>
      </w:r>
      <w:r w:rsidRPr="00A61B63">
        <w:t>de o legislatívno-technickú úpravu a to vypustenie § 32 ods. 5 a § 38 ods. 3 z prechodného ustanovenia, z dôvodu, že nie sú predmetom predloženého návrhu zákona.</w:t>
      </w:r>
    </w:p>
    <w:p w:rsidR="00E56C3B" w:rsidRDefault="00E56C3B" w:rsidP="00E56C3B">
      <w:pPr>
        <w:pStyle w:val="Odsekzoznamu"/>
        <w:ind w:left="284"/>
        <w:rPr>
          <w:rFonts w:eastAsia="Calibri"/>
        </w:rPr>
      </w:pPr>
    </w:p>
    <w:p w:rsidR="00E56C3B" w:rsidRDefault="00E56C3B" w:rsidP="00E56C3B">
      <w:pPr>
        <w:pStyle w:val="Odsekzoznamu"/>
        <w:numPr>
          <w:ilvl w:val="0"/>
          <w:numId w:val="34"/>
        </w:numPr>
        <w:ind w:left="284" w:hanging="284"/>
        <w:contextualSpacing/>
        <w:rPr>
          <w:rFonts w:eastAsia="Calibri"/>
          <w:b/>
        </w:rPr>
      </w:pPr>
      <w:r w:rsidRPr="00841F5F">
        <w:rPr>
          <w:rFonts w:eastAsia="Calibri"/>
          <w:b/>
        </w:rPr>
        <w:t xml:space="preserve">K čl. I, doterajší bod </w:t>
      </w:r>
      <w:r>
        <w:rPr>
          <w:rFonts w:eastAsia="Calibri"/>
          <w:b/>
        </w:rPr>
        <w:t>4</w:t>
      </w:r>
      <w:r w:rsidRPr="00841F5F">
        <w:rPr>
          <w:rFonts w:eastAsia="Calibri"/>
          <w:b/>
        </w:rPr>
        <w:t>0</w:t>
      </w:r>
    </w:p>
    <w:p w:rsidR="00E56C3B" w:rsidRDefault="00E56C3B" w:rsidP="00E56C3B">
      <w:pPr>
        <w:pStyle w:val="Odsekzoznamu"/>
        <w:ind w:left="0"/>
        <w:rPr>
          <w:rFonts w:eastAsia="Calibri"/>
        </w:rPr>
      </w:pPr>
      <w:r w:rsidRPr="00D3662A">
        <w:rPr>
          <w:rFonts w:eastAsia="Calibri"/>
        </w:rPr>
        <w:t xml:space="preserve">V doterajšom bode 40 sa § 52zzp dopĺňa odsekmi 3 až </w:t>
      </w:r>
      <w:r>
        <w:rPr>
          <w:rFonts w:eastAsia="Calibri"/>
        </w:rPr>
        <w:t>8</w:t>
      </w:r>
      <w:r w:rsidRPr="00D3662A">
        <w:rPr>
          <w:rFonts w:eastAsia="Calibri"/>
        </w:rPr>
        <w:t>, ktoré znejú:</w:t>
      </w:r>
    </w:p>
    <w:p w:rsidR="00E56C3B" w:rsidRDefault="00E56C3B" w:rsidP="00E56C3B">
      <w:pPr>
        <w:pStyle w:val="Odsekzoznamu"/>
        <w:ind w:left="426" w:hanging="426"/>
        <w:jc w:val="both"/>
        <w:rPr>
          <w:rFonts w:eastAsia="Calibri"/>
        </w:rPr>
      </w:pPr>
      <w:r>
        <w:rPr>
          <w:rFonts w:eastAsia="Calibri"/>
        </w:rPr>
        <w:t>„(3) Pri uplatnení daňového bonusu na vyživované dieťa postupuje daňovník od 1. januára 2023 do 31. decembra 2024 podľa odsekov 4 a 5 a § 33 ods. 2 až 12.</w:t>
      </w:r>
    </w:p>
    <w:p w:rsidR="00E56C3B" w:rsidRPr="00CC7000" w:rsidRDefault="00E56C3B" w:rsidP="00E56C3B">
      <w:pPr>
        <w:pStyle w:val="Odsekzoznamu"/>
        <w:ind w:left="426" w:hanging="426"/>
        <w:jc w:val="both"/>
        <w:rPr>
          <w:iCs/>
        </w:rPr>
      </w:pPr>
      <w:r w:rsidRPr="00CC7000">
        <w:rPr>
          <w:rFonts w:eastAsia="Calibri"/>
        </w:rPr>
        <w:t>(</w:t>
      </w:r>
      <w:r>
        <w:rPr>
          <w:rFonts w:eastAsia="Calibri"/>
        </w:rPr>
        <w:t>4</w:t>
      </w:r>
      <w:r w:rsidRPr="00CC7000">
        <w:rPr>
          <w:rFonts w:eastAsia="Calibri"/>
        </w:rPr>
        <w:t xml:space="preserve">) </w:t>
      </w:r>
      <w:r w:rsidRPr="00CC7000">
        <w:rPr>
          <w:iCs/>
        </w:rPr>
        <w:t xml:space="preserve">Daňovník, ktorý v zdaňovacom období dosiahol zdaniteľné príjmy podľa § 5 alebo § 6 ods. 1 a 2, si </w:t>
      </w:r>
      <w:r w:rsidRPr="00CC7000">
        <w:rPr>
          <w:rFonts w:eastAsia="Calibri"/>
        </w:rPr>
        <w:t>môže</w:t>
      </w:r>
      <w:r w:rsidRPr="00CC7000">
        <w:rPr>
          <w:iCs/>
        </w:rPr>
        <w:t xml:space="preserve"> uplatniť daňový bonus na každé vyživované dieťa žijúce v domácnosti s daňovníkom,</w:t>
      </w:r>
      <w:r w:rsidRPr="00CC7000">
        <w:rPr>
          <w:iCs/>
          <w:vertAlign w:val="superscript"/>
        </w:rPr>
        <w:t>57</w:t>
      </w:r>
      <w:r w:rsidRPr="00CC7000">
        <w:rPr>
          <w:iCs/>
        </w:rPr>
        <w:t>) pričom prechodný pobyt dieťaťa mimo domácnosti</w:t>
      </w:r>
      <w:r w:rsidRPr="00CC7000">
        <w:rPr>
          <w:iCs/>
          <w:vertAlign w:val="superscript"/>
        </w:rPr>
        <w:t>57</w:t>
      </w:r>
      <w:r w:rsidRPr="00CC7000">
        <w:rPr>
          <w:iCs/>
        </w:rPr>
        <w:t>) nemá vplyv na uplatnenie tohto daňového bonusu. Suma daňového bonusu, o ktorú sa znižuje daň, je</w:t>
      </w:r>
    </w:p>
    <w:p w:rsidR="00E56C3B" w:rsidRPr="00841F5F" w:rsidRDefault="00E56C3B" w:rsidP="00E56C3B">
      <w:pPr>
        <w:pStyle w:val="Odsekzoznamu"/>
        <w:numPr>
          <w:ilvl w:val="0"/>
          <w:numId w:val="36"/>
        </w:numPr>
        <w:shd w:val="clear" w:color="auto" w:fill="FFFFFF"/>
        <w:ind w:left="426" w:firstLine="0"/>
        <w:contextualSpacing/>
        <w:jc w:val="both"/>
        <w:rPr>
          <w:iCs/>
        </w:rPr>
      </w:pPr>
      <w:r w:rsidRPr="00841F5F">
        <w:rPr>
          <w:iCs/>
        </w:rPr>
        <w:t>50 eur mesačne, ak vyživované dieťa dovŕšilo 1</w:t>
      </w:r>
      <w:r>
        <w:rPr>
          <w:iCs/>
        </w:rPr>
        <w:t>8</w:t>
      </w:r>
      <w:r w:rsidRPr="00841F5F">
        <w:rPr>
          <w:iCs/>
        </w:rPr>
        <w:t xml:space="preserve"> rokov veku, alebo</w:t>
      </w:r>
    </w:p>
    <w:p w:rsidR="00E56C3B" w:rsidRDefault="00E56C3B" w:rsidP="00E56C3B">
      <w:pPr>
        <w:pStyle w:val="Odsekzoznamu"/>
        <w:numPr>
          <w:ilvl w:val="0"/>
          <w:numId w:val="36"/>
        </w:numPr>
        <w:shd w:val="clear" w:color="auto" w:fill="FFFFFF"/>
        <w:ind w:left="709" w:hanging="283"/>
        <w:contextualSpacing/>
        <w:jc w:val="both"/>
        <w:rPr>
          <w:iCs/>
        </w:rPr>
      </w:pPr>
      <w:r w:rsidRPr="00841F5F">
        <w:rPr>
          <w:iCs/>
        </w:rPr>
        <w:t>1</w:t>
      </w:r>
      <w:r>
        <w:rPr>
          <w:iCs/>
        </w:rPr>
        <w:t>4</w:t>
      </w:r>
      <w:r w:rsidRPr="00841F5F">
        <w:rPr>
          <w:iCs/>
        </w:rPr>
        <w:t>0 eur mesačne, ak vyživované dieťa nedovŕšilo 1</w:t>
      </w:r>
      <w:r>
        <w:rPr>
          <w:iCs/>
        </w:rPr>
        <w:t>8</w:t>
      </w:r>
      <w:r w:rsidRPr="00841F5F">
        <w:rPr>
          <w:iCs/>
        </w:rPr>
        <w:t xml:space="preserve"> rokov veku, a to poslednýkrát za kalendárny mesiac, v ktorom dieťa dovŕši 1</w:t>
      </w:r>
      <w:r>
        <w:rPr>
          <w:iCs/>
        </w:rPr>
        <w:t>8</w:t>
      </w:r>
      <w:r w:rsidRPr="00841F5F">
        <w:rPr>
          <w:iCs/>
        </w:rPr>
        <w:t>rokov veku; to neplatí, ak sa na vyživované dieťa poskytuje dotácia na podporu výchovy k stravovacím návykom dieťaťa podľa osobitného predpisu.</w:t>
      </w:r>
      <w:r w:rsidRPr="00841F5F">
        <w:rPr>
          <w:iCs/>
          <w:vertAlign w:val="superscript"/>
        </w:rPr>
        <w:t>126a</w:t>
      </w:r>
      <w:r w:rsidRPr="00841F5F">
        <w:rPr>
          <w:iCs/>
        </w:rPr>
        <w:t>)</w:t>
      </w:r>
    </w:p>
    <w:p w:rsidR="00E56C3B" w:rsidRDefault="00E56C3B" w:rsidP="00E56C3B">
      <w:pPr>
        <w:pStyle w:val="Odsekzoznamu"/>
        <w:ind w:left="426" w:hanging="426"/>
        <w:jc w:val="both"/>
        <w:rPr>
          <w:iCs/>
        </w:rPr>
      </w:pPr>
      <w:r>
        <w:rPr>
          <w:iCs/>
        </w:rPr>
        <w:t>(5) Nárok na daňový bonus podľa odseku 4 si daňovník môže uplatniť prvýkrát za kalendárny mesiac január 2023 a poslednýkrát za kalendárny mesiac december 2024.</w:t>
      </w:r>
    </w:p>
    <w:p w:rsidR="00E56C3B" w:rsidRDefault="00E56C3B" w:rsidP="00E56C3B">
      <w:pPr>
        <w:pStyle w:val="Odsekzoznamu"/>
        <w:ind w:left="426" w:hanging="426"/>
        <w:jc w:val="both"/>
        <w:rPr>
          <w:rFonts w:eastAsia="Calibri"/>
        </w:rPr>
      </w:pPr>
      <w:r>
        <w:rPr>
          <w:iCs/>
        </w:rPr>
        <w:t xml:space="preserve">(6) </w:t>
      </w:r>
      <w:r>
        <w:rPr>
          <w:rFonts w:eastAsia="Calibri"/>
        </w:rPr>
        <w:t>Nárok na daňový bonus podľa § 33 ods. 1 v znení účinnom od 1. januára 2023 si daňovník môže uplatniť prvýkrát za kalendárny mesiac január 2025.</w:t>
      </w:r>
    </w:p>
    <w:p w:rsidR="00E56C3B" w:rsidRDefault="00E56C3B" w:rsidP="00E56C3B">
      <w:pPr>
        <w:pStyle w:val="Odsekzoznamu"/>
        <w:ind w:left="426" w:hanging="426"/>
        <w:jc w:val="both"/>
        <w:rPr>
          <w:iCs/>
        </w:rPr>
      </w:pPr>
      <w:r>
        <w:rPr>
          <w:iCs/>
        </w:rPr>
        <w:t>(7) Ustanovenia § 52zd ods. 7 prvej vety a druhej vety a § 52zzo sa od 1. januára 2023 neuplatňujú.</w:t>
      </w:r>
    </w:p>
    <w:p w:rsidR="00E56C3B" w:rsidRPr="005E4A42" w:rsidRDefault="00E56C3B" w:rsidP="00E56C3B">
      <w:pPr>
        <w:pStyle w:val="Odsekzoznamu"/>
        <w:ind w:left="426" w:hanging="426"/>
        <w:jc w:val="both"/>
        <w:rPr>
          <w:iCs/>
        </w:rPr>
      </w:pPr>
      <w:r>
        <w:rPr>
          <w:iCs/>
        </w:rPr>
        <w:t xml:space="preserve">(8) </w:t>
      </w:r>
      <w:r w:rsidRPr="005E4A42">
        <w:rPr>
          <w:iCs/>
        </w:rPr>
        <w:t xml:space="preserve">Ustanovenie § 39 ods. 9 písm. b) v znení účinnom od 1. januára 2023 sa prvýkrát použije pri podaní hlásenia po 31. decembri 2022.“. </w:t>
      </w:r>
    </w:p>
    <w:p w:rsidR="00E56C3B" w:rsidRDefault="00E56C3B" w:rsidP="00E56C3B">
      <w:pPr>
        <w:pStyle w:val="Odsekzoznamu"/>
        <w:ind w:left="426" w:hanging="426"/>
        <w:jc w:val="both"/>
        <w:rPr>
          <w:iCs/>
        </w:rPr>
      </w:pPr>
    </w:p>
    <w:p w:rsidR="00E56C3B" w:rsidRDefault="00E56C3B" w:rsidP="00E56C3B">
      <w:pPr>
        <w:ind w:left="4253"/>
        <w:jc w:val="both"/>
        <w:rPr>
          <w:b/>
        </w:rPr>
      </w:pPr>
      <w:r>
        <w:rPr>
          <w:b/>
        </w:rPr>
        <w:t>Od</w:t>
      </w:r>
      <w:r w:rsidRPr="00F322B8">
        <w:rPr>
          <w:b/>
        </w:rPr>
        <w:t>ôvodnenie</w:t>
      </w:r>
    </w:p>
    <w:p w:rsidR="00E56C3B" w:rsidRDefault="00E56C3B" w:rsidP="00E56C3B">
      <w:pPr>
        <w:ind w:left="4253"/>
        <w:jc w:val="both"/>
      </w:pPr>
      <w:r w:rsidRPr="00AA2D9C">
        <w:t>Na prechodné obdobie dvoch rokov sa na vyživované deti do 18 rokov navrhuje zvýšenie daňového bonusu vo výške 140 eur mesačne na dieťa. Posledný krát si daňovník môže uplatniť daňový bonus vo výške 140 eur na dieťa za kalendárny mesiac, v ktorom dieťa dovŕši 18 rokov veku. Zvýšenie daňového bonusu vo výške 140 eur je možné uplatniť pri splnení podmienok podľa odsekov 4 a 5 a § 33 ods. 2 až 12 za kalendárne mesiace január 2023 až december 2024.</w:t>
      </w:r>
    </w:p>
    <w:p w:rsidR="00E56C3B" w:rsidRDefault="00E56C3B" w:rsidP="00E56C3B">
      <w:pPr>
        <w:ind w:left="4253"/>
        <w:jc w:val="both"/>
      </w:pPr>
      <w:r>
        <w:t>Uvádzanie nových údajov v hlásení podľa § 39 ods. 9 sa navrhuje prvýkrát použiť pri hlásení, ktoré bude podávané po 31. 12. 2022.</w:t>
      </w:r>
    </w:p>
    <w:p w:rsidR="00E56C3B" w:rsidRDefault="00E56C3B" w:rsidP="00E56C3B">
      <w:pPr>
        <w:ind w:left="4253"/>
        <w:jc w:val="both"/>
      </w:pPr>
    </w:p>
    <w:p w:rsidR="00E56C3B" w:rsidRDefault="00E56C3B" w:rsidP="00E56C3B">
      <w:pPr>
        <w:pStyle w:val="Odsekzoznamu"/>
        <w:numPr>
          <w:ilvl w:val="0"/>
          <w:numId w:val="34"/>
        </w:numPr>
        <w:ind w:left="284" w:hanging="284"/>
        <w:contextualSpacing/>
        <w:rPr>
          <w:b/>
          <w:bCs/>
        </w:rPr>
      </w:pPr>
      <w:r>
        <w:rPr>
          <w:b/>
          <w:bCs/>
        </w:rPr>
        <w:t>K čl. II, nový bod 4</w:t>
      </w:r>
    </w:p>
    <w:p w:rsidR="00E56C3B" w:rsidRDefault="00E56C3B" w:rsidP="00E56C3B">
      <w:pPr>
        <w:jc w:val="both"/>
      </w:pPr>
      <w:r>
        <w:t>Za doterajší bod  3 sa vkladá nový bod 4, ktorý znie:</w:t>
      </w:r>
    </w:p>
    <w:p w:rsidR="00E56C3B" w:rsidRDefault="00E56C3B" w:rsidP="00E56C3B">
      <w:pPr>
        <w:jc w:val="both"/>
      </w:pPr>
      <w:r>
        <w:t>„4. V § 53d ods. 6 sa slovo „nespoľahlivý“  nahrádza slovami „menej spoľahlivý“.</w:t>
      </w:r>
    </w:p>
    <w:p w:rsidR="00E56C3B" w:rsidRDefault="00E56C3B" w:rsidP="00E56C3B">
      <w:pPr>
        <w:jc w:val="both"/>
      </w:pPr>
    </w:p>
    <w:p w:rsidR="00E56C3B" w:rsidRDefault="00E56C3B" w:rsidP="00E56C3B">
      <w:pPr>
        <w:jc w:val="both"/>
      </w:pPr>
      <w:r>
        <w:t>Doterajšie body 4 a nasledujúce sa primerane prečíslujú.</w:t>
      </w:r>
    </w:p>
    <w:p w:rsidR="00E56C3B" w:rsidRDefault="00E56C3B" w:rsidP="00E56C3B">
      <w:pPr>
        <w:jc w:val="both"/>
      </w:pPr>
    </w:p>
    <w:p w:rsidR="00E56C3B" w:rsidRDefault="00E56C3B" w:rsidP="00E56C3B">
      <w:pPr>
        <w:jc w:val="both"/>
      </w:pPr>
      <w:r>
        <w:t>Nový bod 4 nadobúda účinnosť od 1. januára 2023, čo sa premietne do článku o účinnosti zákona pri spracúvaní čistopisu schváleného znenia.</w:t>
      </w:r>
    </w:p>
    <w:p w:rsidR="00E56C3B" w:rsidRDefault="00E56C3B" w:rsidP="00E56C3B">
      <w:pPr>
        <w:jc w:val="both"/>
      </w:pPr>
    </w:p>
    <w:p w:rsidR="00E56C3B" w:rsidRDefault="00E56C3B" w:rsidP="00E56C3B">
      <w:pPr>
        <w:ind w:left="4253"/>
        <w:jc w:val="both"/>
        <w:rPr>
          <w:b/>
        </w:rPr>
      </w:pPr>
      <w:r w:rsidRPr="00937386">
        <w:rPr>
          <w:b/>
        </w:rPr>
        <w:t>Odôvodnenie</w:t>
      </w:r>
    </w:p>
    <w:p w:rsidR="00E56C3B" w:rsidRDefault="00E56C3B" w:rsidP="00E56C3B">
      <w:pPr>
        <w:ind w:left="4253"/>
        <w:jc w:val="both"/>
      </w:pPr>
      <w:r>
        <w:t xml:space="preserve">Navrhovanou úpravou sa podporí motivačná funkcia indexu namiesto </w:t>
      </w:r>
      <w:proofErr w:type="spellStart"/>
      <w:r>
        <w:t>defamačnej</w:t>
      </w:r>
      <w:proofErr w:type="spellEnd"/>
      <w:r>
        <w:t>.</w:t>
      </w:r>
    </w:p>
    <w:p w:rsidR="00E56C3B" w:rsidRDefault="00E56C3B" w:rsidP="00E56C3B">
      <w:pPr>
        <w:ind w:left="4253"/>
        <w:jc w:val="both"/>
      </w:pPr>
    </w:p>
    <w:p w:rsidR="00E56C3B" w:rsidRPr="00AA2D9C" w:rsidRDefault="00E56C3B" w:rsidP="00E56C3B">
      <w:pPr>
        <w:ind w:left="4253"/>
        <w:jc w:val="both"/>
      </w:pPr>
    </w:p>
    <w:p w:rsidR="00E56C3B" w:rsidRDefault="00E56C3B" w:rsidP="00E56C3B">
      <w:pPr>
        <w:pStyle w:val="Odsekzoznamu"/>
        <w:numPr>
          <w:ilvl w:val="0"/>
          <w:numId w:val="34"/>
        </w:numPr>
        <w:ind w:left="284" w:hanging="284"/>
        <w:contextualSpacing/>
        <w:rPr>
          <w:b/>
          <w:bCs/>
        </w:rPr>
      </w:pPr>
      <w:r>
        <w:rPr>
          <w:b/>
          <w:bCs/>
        </w:rPr>
        <w:t>K čl. II, doterajší bod 8</w:t>
      </w:r>
    </w:p>
    <w:p w:rsidR="00E56C3B" w:rsidRDefault="00E56C3B" w:rsidP="00E56C3B">
      <w:pPr>
        <w:jc w:val="both"/>
      </w:pPr>
      <w:r>
        <w:t xml:space="preserve">V doterajšom bode 8 v § 155 ods. 4 sa za slovom „neuloží“ vypúšťajú čiarka a slová „ale upozorní daňový subjekt na splnenie tejto povinnosti a poučí ho o následkoch ďalšieho porušenia tejto povinnosti.“. </w:t>
      </w:r>
    </w:p>
    <w:p w:rsidR="00E56C3B" w:rsidRDefault="00E56C3B" w:rsidP="00E56C3B">
      <w:pPr>
        <w:jc w:val="both"/>
      </w:pPr>
    </w:p>
    <w:p w:rsidR="00E56C3B" w:rsidRPr="00937386" w:rsidRDefault="00E56C3B" w:rsidP="00E56C3B">
      <w:pPr>
        <w:jc w:val="both"/>
        <w:rPr>
          <w:b/>
        </w:rPr>
      </w:pPr>
      <w:r>
        <w:t xml:space="preserve">                                                                      </w:t>
      </w:r>
      <w:r w:rsidRPr="00937386">
        <w:rPr>
          <w:b/>
        </w:rPr>
        <w:t>Odôvodnenie</w:t>
      </w:r>
      <w:r>
        <w:rPr>
          <w:b/>
        </w:rPr>
        <w:t xml:space="preserve"> </w:t>
      </w:r>
    </w:p>
    <w:p w:rsidR="00E56C3B" w:rsidRDefault="00E56C3B" w:rsidP="00E56C3B">
      <w:pPr>
        <w:ind w:left="4253"/>
        <w:jc w:val="both"/>
      </w:pPr>
      <w:r>
        <w:t>Navrhuje sa vypustiť zasielanie upovedomenia a upozornenia, nakoľko takéto povinnosti vyplývajú správcovi dane z iných ustanovení daňového poriadku napríklad § 3 úzka súčinnosť, resp. § 15 povinnosť vyzvať na podanie daňového priznania.</w:t>
      </w:r>
    </w:p>
    <w:p w:rsidR="00E56C3B" w:rsidRPr="00841F5F" w:rsidRDefault="00E56C3B" w:rsidP="00E56C3B">
      <w:pPr>
        <w:pStyle w:val="Odsekzoznamu"/>
        <w:ind w:left="426" w:hanging="426"/>
        <w:jc w:val="both"/>
        <w:rPr>
          <w:iCs/>
        </w:rPr>
      </w:pPr>
    </w:p>
    <w:p w:rsidR="00E56C3B" w:rsidRDefault="00E56C3B" w:rsidP="00E56C3B">
      <w:pPr>
        <w:pStyle w:val="Odsekzoznamu"/>
        <w:ind w:left="0"/>
        <w:jc w:val="both"/>
        <w:rPr>
          <w:rFonts w:eastAsia="Calibri"/>
        </w:rPr>
      </w:pPr>
    </w:p>
    <w:p w:rsidR="00E56C3B" w:rsidRDefault="00E56C3B" w:rsidP="00E56C3B">
      <w:pPr>
        <w:pStyle w:val="Odsekzoznamu"/>
        <w:numPr>
          <w:ilvl w:val="0"/>
          <w:numId w:val="34"/>
        </w:numPr>
        <w:ind w:left="284" w:hanging="284"/>
        <w:contextualSpacing/>
        <w:rPr>
          <w:rFonts w:eastAsia="Calibri"/>
          <w:b/>
        </w:rPr>
      </w:pPr>
      <w:r w:rsidRPr="00873FF0">
        <w:rPr>
          <w:rFonts w:eastAsia="Calibri"/>
          <w:b/>
        </w:rPr>
        <w:t>Za doterajší Čl. II sa vkladá nový Čl. III, ktorý znie:</w:t>
      </w:r>
    </w:p>
    <w:p w:rsidR="00E56C3B" w:rsidRDefault="00E56C3B" w:rsidP="00E56C3B">
      <w:pPr>
        <w:rPr>
          <w:rFonts w:eastAsia="Calibri"/>
          <w:b/>
        </w:rPr>
      </w:pPr>
    </w:p>
    <w:p w:rsidR="00E56C3B" w:rsidRPr="00873FF0" w:rsidRDefault="00E56C3B" w:rsidP="00E56C3B">
      <w:pPr>
        <w:jc w:val="center"/>
        <w:rPr>
          <w:rFonts w:eastAsia="Calibri"/>
        </w:rPr>
      </w:pPr>
      <w:r w:rsidRPr="00873FF0">
        <w:rPr>
          <w:rFonts w:eastAsia="Calibri"/>
        </w:rPr>
        <w:t>„Čl. III</w:t>
      </w:r>
    </w:p>
    <w:p w:rsidR="00E56C3B" w:rsidRPr="00873FF0" w:rsidRDefault="00E56C3B" w:rsidP="00E56C3B">
      <w:pPr>
        <w:jc w:val="both"/>
        <w:rPr>
          <w:rFonts w:eastAsia="Calibri"/>
          <w:b/>
        </w:rPr>
      </w:pPr>
    </w:p>
    <w:p w:rsidR="00E56C3B" w:rsidRDefault="00E56C3B" w:rsidP="00E56C3B">
      <w:pPr>
        <w:pStyle w:val="Odsekzoznamu"/>
        <w:ind w:left="284"/>
      </w:pPr>
    </w:p>
    <w:p w:rsidR="00E56C3B" w:rsidRDefault="00E56C3B" w:rsidP="00E56C3B">
      <w:pPr>
        <w:shd w:val="clear" w:color="auto" w:fill="FFFFFF"/>
        <w:jc w:val="both"/>
      </w:pPr>
      <w:r>
        <w:t>Zákon č. 232/2022 Z. z. o financovaní voľného času dieťaťa a o zmene a doplnení niektorých zákonov sa mení takto:</w:t>
      </w:r>
    </w:p>
    <w:p w:rsidR="00E56C3B" w:rsidRDefault="00E56C3B" w:rsidP="00E56C3B">
      <w:pPr>
        <w:shd w:val="clear" w:color="auto" w:fill="FFFFFF"/>
        <w:jc w:val="both"/>
      </w:pPr>
    </w:p>
    <w:p w:rsidR="00E56C3B" w:rsidRDefault="00E56C3B" w:rsidP="00E56C3B">
      <w:pPr>
        <w:pStyle w:val="Odsekzoznamu"/>
        <w:numPr>
          <w:ilvl w:val="0"/>
          <w:numId w:val="37"/>
        </w:numPr>
        <w:shd w:val="clear" w:color="auto" w:fill="FFFFFF"/>
        <w:ind w:left="284" w:hanging="284"/>
        <w:contextualSpacing/>
        <w:jc w:val="both"/>
      </w:pPr>
      <w:r>
        <w:t>V Čl. II sa vypúšťajú body 1 až 3.</w:t>
      </w:r>
    </w:p>
    <w:p w:rsidR="00E56C3B" w:rsidRDefault="00E56C3B" w:rsidP="00E56C3B">
      <w:pPr>
        <w:pStyle w:val="Odsekzoznamu"/>
        <w:shd w:val="clear" w:color="auto" w:fill="FFFFFF"/>
        <w:ind w:left="284"/>
        <w:jc w:val="both"/>
      </w:pPr>
    </w:p>
    <w:p w:rsidR="00E56C3B" w:rsidRDefault="00E56C3B" w:rsidP="00E56C3B">
      <w:pPr>
        <w:pStyle w:val="Odsekzoznamu"/>
        <w:numPr>
          <w:ilvl w:val="0"/>
          <w:numId w:val="37"/>
        </w:numPr>
        <w:shd w:val="clear" w:color="auto" w:fill="FFFFFF"/>
        <w:ind w:left="284" w:hanging="284"/>
        <w:contextualSpacing/>
        <w:jc w:val="both"/>
      </w:pPr>
      <w:r>
        <w:t>V Čl. XI sa vypúšťajú slová „bodov 1 až 3 a“</w:t>
      </w:r>
    </w:p>
    <w:p w:rsidR="00E56C3B" w:rsidRDefault="00E56C3B" w:rsidP="00E56C3B">
      <w:pPr>
        <w:pStyle w:val="Odsekzoznamu"/>
      </w:pPr>
    </w:p>
    <w:p w:rsidR="00E56C3B" w:rsidRDefault="00E56C3B" w:rsidP="00E56C3B">
      <w:pPr>
        <w:jc w:val="both"/>
      </w:pPr>
      <w:r>
        <w:t xml:space="preserve">Nový čl. III nadobúda účinnosť 1. januára 2023, čo sa premietne v článku o účinnosti zákona pri spracúvaní čistopisu schváleného znenia. </w:t>
      </w:r>
    </w:p>
    <w:p w:rsidR="00E56C3B" w:rsidRDefault="00E56C3B" w:rsidP="00E56C3B">
      <w:pPr>
        <w:shd w:val="clear" w:color="auto" w:fill="FFFFFF"/>
        <w:jc w:val="both"/>
      </w:pPr>
    </w:p>
    <w:p w:rsidR="00E56C3B" w:rsidRDefault="00E56C3B" w:rsidP="00E56C3B">
      <w:pPr>
        <w:jc w:val="both"/>
      </w:pPr>
      <w:r w:rsidRPr="00DB5875">
        <w:t xml:space="preserve">Doterajší čl. III sa </w:t>
      </w:r>
      <w:r>
        <w:t>primerane prečísluje</w:t>
      </w:r>
      <w:r w:rsidRPr="00DB5875">
        <w:t>.</w:t>
      </w:r>
    </w:p>
    <w:p w:rsidR="00E56C3B" w:rsidRDefault="00E56C3B" w:rsidP="00E56C3B">
      <w:pPr>
        <w:jc w:val="both"/>
      </w:pPr>
    </w:p>
    <w:p w:rsidR="00E56C3B" w:rsidRPr="00DB5875" w:rsidRDefault="00E56C3B" w:rsidP="00E56C3B">
      <w:pPr>
        <w:jc w:val="both"/>
      </w:pPr>
      <w:r>
        <w:t xml:space="preserve">V nadväznosti na vloženie nového čl. III sa vykoná legislatívno-technická úprava názvu zákona. </w:t>
      </w:r>
    </w:p>
    <w:p w:rsidR="00E56C3B" w:rsidRPr="00841F5F" w:rsidRDefault="00E56C3B" w:rsidP="00E56C3B">
      <w:pPr>
        <w:pStyle w:val="Odsekzoznamu"/>
        <w:ind w:left="426"/>
        <w:jc w:val="both"/>
        <w:rPr>
          <w:rFonts w:eastAsia="Calibri"/>
        </w:rPr>
      </w:pPr>
    </w:p>
    <w:p w:rsidR="00E56C3B" w:rsidRDefault="00E56C3B" w:rsidP="00E56C3B">
      <w:pPr>
        <w:ind w:left="4253"/>
        <w:jc w:val="both"/>
        <w:rPr>
          <w:b/>
        </w:rPr>
      </w:pPr>
      <w:r>
        <w:rPr>
          <w:b/>
        </w:rPr>
        <w:t>Od</w:t>
      </w:r>
      <w:r w:rsidRPr="00F322B8">
        <w:rPr>
          <w:b/>
        </w:rPr>
        <w:t>ôvodnenie</w:t>
      </w:r>
    </w:p>
    <w:p w:rsidR="00E56C3B" w:rsidRPr="00164C6C" w:rsidRDefault="00E56C3B" w:rsidP="00E56C3B">
      <w:pPr>
        <w:ind w:left="4253"/>
        <w:jc w:val="both"/>
      </w:pPr>
      <w:r w:rsidRPr="00164C6C">
        <w:t xml:space="preserve">Ide o legislatívno-technickú úpravu v nadväznosti na </w:t>
      </w:r>
      <w:r>
        <w:t xml:space="preserve">navrhovanú </w:t>
      </w:r>
      <w:r w:rsidRPr="00164C6C">
        <w:t>úpravu § 33 v čl. I</w:t>
      </w:r>
      <w:r>
        <w:t> predloženého vládneho návrhu zákona.</w:t>
      </w:r>
    </w:p>
    <w:p w:rsidR="00E56C3B" w:rsidRPr="00841F5F" w:rsidRDefault="00E56C3B" w:rsidP="00E56C3B"/>
    <w:p w:rsidR="00925048" w:rsidRDefault="00925048" w:rsidP="00D04222">
      <w:pPr>
        <w:tabs>
          <w:tab w:val="left" w:pos="-1985"/>
          <w:tab w:val="left" w:pos="709"/>
          <w:tab w:val="left" w:pos="1077"/>
        </w:tabs>
        <w:jc w:val="both"/>
        <w:rPr>
          <w:bCs/>
          <w:iCs/>
        </w:rPr>
      </w:pPr>
    </w:p>
    <w:p w:rsidR="00925048" w:rsidRDefault="00925048" w:rsidP="00D04222">
      <w:pPr>
        <w:tabs>
          <w:tab w:val="left" w:pos="-1985"/>
          <w:tab w:val="left" w:pos="709"/>
          <w:tab w:val="left" w:pos="1077"/>
        </w:tabs>
        <w:jc w:val="both"/>
        <w:rPr>
          <w:bCs/>
          <w:i/>
          <w:iCs/>
        </w:rPr>
      </w:pPr>
      <w:bookmarkStart w:id="0" w:name="_GoBack"/>
      <w:bookmarkEnd w:id="0"/>
    </w:p>
    <w:sectPr w:rsidR="009250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43" w:usb2="00000009" w:usb3="00000000" w:csb0="000001FF" w:csb1="00000000"/>
  </w:font>
  <w:font w:name="Calibri">
    <w:altName w:val="Arial"/>
    <w:panose1 w:val="020F0502020204030204"/>
    <w:charset w:val="EE"/>
    <w:family w:val="swiss"/>
    <w:pitch w:val="variable"/>
    <w:sig w:usb0="E00002FF" w:usb1="4000ACFF" w:usb2="00000001" w:usb3="00000000" w:csb0="0000019F"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AT*Toronto CE">
    <w:altName w:val="Times New Roman"/>
    <w:panose1 w:val="00000000000000000000"/>
    <w:charset w:val="EE"/>
    <w:family w:val="auto"/>
    <w:notTrueType/>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275"/>
    <w:multiLevelType w:val="hybridMultilevel"/>
    <w:tmpl w:val="2D7AF60A"/>
    <w:lvl w:ilvl="0" w:tplc="92CE8E74">
      <w:start w:val="1"/>
      <w:numFmt w:val="decimal"/>
      <w:lvlText w:val="%1."/>
      <w:lvlJc w:val="left"/>
      <w:pPr>
        <w:ind w:left="4046" w:hanging="360"/>
      </w:pPr>
      <w:rPr>
        <w:b/>
      </w:rPr>
    </w:lvl>
    <w:lvl w:ilvl="1" w:tplc="041B0019">
      <w:start w:val="1"/>
      <w:numFmt w:val="lowerLetter"/>
      <w:lvlText w:val="%2."/>
      <w:lvlJc w:val="left"/>
      <w:pPr>
        <w:ind w:left="4766" w:hanging="360"/>
      </w:pPr>
    </w:lvl>
    <w:lvl w:ilvl="2" w:tplc="041B001B">
      <w:start w:val="1"/>
      <w:numFmt w:val="lowerRoman"/>
      <w:lvlText w:val="%3."/>
      <w:lvlJc w:val="right"/>
      <w:pPr>
        <w:ind w:left="5486" w:hanging="180"/>
      </w:pPr>
    </w:lvl>
    <w:lvl w:ilvl="3" w:tplc="041B000F">
      <w:start w:val="1"/>
      <w:numFmt w:val="decimal"/>
      <w:lvlText w:val="%4."/>
      <w:lvlJc w:val="left"/>
      <w:pPr>
        <w:ind w:left="6206" w:hanging="360"/>
      </w:pPr>
    </w:lvl>
    <w:lvl w:ilvl="4" w:tplc="041B0019">
      <w:start w:val="1"/>
      <w:numFmt w:val="lowerLetter"/>
      <w:lvlText w:val="%5."/>
      <w:lvlJc w:val="left"/>
      <w:pPr>
        <w:ind w:left="6926" w:hanging="360"/>
      </w:pPr>
    </w:lvl>
    <w:lvl w:ilvl="5" w:tplc="041B001B">
      <w:start w:val="1"/>
      <w:numFmt w:val="lowerRoman"/>
      <w:lvlText w:val="%6."/>
      <w:lvlJc w:val="right"/>
      <w:pPr>
        <w:ind w:left="7646" w:hanging="180"/>
      </w:pPr>
    </w:lvl>
    <w:lvl w:ilvl="6" w:tplc="041B000F">
      <w:start w:val="1"/>
      <w:numFmt w:val="decimal"/>
      <w:lvlText w:val="%7."/>
      <w:lvlJc w:val="left"/>
      <w:pPr>
        <w:ind w:left="8366" w:hanging="360"/>
      </w:pPr>
    </w:lvl>
    <w:lvl w:ilvl="7" w:tplc="041B0019">
      <w:start w:val="1"/>
      <w:numFmt w:val="lowerLetter"/>
      <w:lvlText w:val="%8."/>
      <w:lvlJc w:val="left"/>
      <w:pPr>
        <w:ind w:left="9086" w:hanging="360"/>
      </w:pPr>
    </w:lvl>
    <w:lvl w:ilvl="8" w:tplc="041B001B">
      <w:start w:val="1"/>
      <w:numFmt w:val="lowerRoman"/>
      <w:lvlText w:val="%9."/>
      <w:lvlJc w:val="right"/>
      <w:pPr>
        <w:ind w:left="9806" w:hanging="180"/>
      </w:pPr>
    </w:lvl>
  </w:abstractNum>
  <w:abstractNum w:abstractNumId="1" w15:restartNumberingAfterBreak="0">
    <w:nsid w:val="15C26431"/>
    <w:multiLevelType w:val="hybridMultilevel"/>
    <w:tmpl w:val="F12833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1740CF5"/>
    <w:multiLevelType w:val="hybridMultilevel"/>
    <w:tmpl w:val="B70264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42E2DEE"/>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24FB75CC"/>
    <w:multiLevelType w:val="hybridMultilevel"/>
    <w:tmpl w:val="CC7A099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93D4E30"/>
    <w:multiLevelType w:val="hybridMultilevel"/>
    <w:tmpl w:val="31F880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AC3A92"/>
    <w:multiLevelType w:val="hybridMultilevel"/>
    <w:tmpl w:val="51F0DBD6"/>
    <w:lvl w:ilvl="0" w:tplc="041B000F">
      <w:start w:val="1"/>
      <w:numFmt w:val="decimal"/>
      <w:lvlText w:val="%1."/>
      <w:lvlJc w:val="left"/>
      <w:pPr>
        <w:ind w:left="107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7" w15:restartNumberingAfterBreak="0">
    <w:nsid w:val="2E594B39"/>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2F8007E2"/>
    <w:multiLevelType w:val="hybridMultilevel"/>
    <w:tmpl w:val="D5C44810"/>
    <w:lvl w:ilvl="0" w:tplc="F652429C">
      <w:start w:val="1"/>
      <w:numFmt w:val="decimal"/>
      <w:lvlText w:val="%1."/>
      <w:lvlJc w:val="left"/>
      <w:pPr>
        <w:ind w:left="436" w:hanging="360"/>
      </w:pPr>
      <w:rPr>
        <w:rFonts w:ascii="Times New Roman" w:hAnsi="Times New Roman" w:cs="Times New Roman" w:hint="default"/>
        <w:b w:val="0"/>
        <w:i w:val="0"/>
        <w:sz w:val="24"/>
      </w:rPr>
    </w:lvl>
    <w:lvl w:ilvl="1" w:tplc="041B0019" w:tentative="1">
      <w:start w:val="1"/>
      <w:numFmt w:val="lowerLetter"/>
      <w:lvlText w:val="%2."/>
      <w:lvlJc w:val="left"/>
      <w:pPr>
        <w:ind w:left="1156" w:hanging="360"/>
      </w:pPr>
      <w:rPr>
        <w:rFonts w:cs="Times New Roman"/>
      </w:rPr>
    </w:lvl>
    <w:lvl w:ilvl="2" w:tplc="041B001B" w:tentative="1">
      <w:start w:val="1"/>
      <w:numFmt w:val="lowerRoman"/>
      <w:lvlText w:val="%3."/>
      <w:lvlJc w:val="right"/>
      <w:pPr>
        <w:ind w:left="1876" w:hanging="180"/>
      </w:pPr>
      <w:rPr>
        <w:rFonts w:cs="Times New Roman"/>
      </w:rPr>
    </w:lvl>
    <w:lvl w:ilvl="3" w:tplc="041B000F" w:tentative="1">
      <w:start w:val="1"/>
      <w:numFmt w:val="decimal"/>
      <w:lvlText w:val="%4."/>
      <w:lvlJc w:val="left"/>
      <w:pPr>
        <w:ind w:left="2596" w:hanging="360"/>
      </w:pPr>
      <w:rPr>
        <w:rFonts w:cs="Times New Roman"/>
      </w:rPr>
    </w:lvl>
    <w:lvl w:ilvl="4" w:tplc="041B0019" w:tentative="1">
      <w:start w:val="1"/>
      <w:numFmt w:val="lowerLetter"/>
      <w:lvlText w:val="%5."/>
      <w:lvlJc w:val="left"/>
      <w:pPr>
        <w:ind w:left="3316" w:hanging="360"/>
      </w:pPr>
      <w:rPr>
        <w:rFonts w:cs="Times New Roman"/>
      </w:rPr>
    </w:lvl>
    <w:lvl w:ilvl="5" w:tplc="041B001B" w:tentative="1">
      <w:start w:val="1"/>
      <w:numFmt w:val="lowerRoman"/>
      <w:lvlText w:val="%6."/>
      <w:lvlJc w:val="right"/>
      <w:pPr>
        <w:ind w:left="4036" w:hanging="180"/>
      </w:pPr>
      <w:rPr>
        <w:rFonts w:cs="Times New Roman"/>
      </w:rPr>
    </w:lvl>
    <w:lvl w:ilvl="6" w:tplc="041B000F" w:tentative="1">
      <w:start w:val="1"/>
      <w:numFmt w:val="decimal"/>
      <w:lvlText w:val="%7."/>
      <w:lvlJc w:val="left"/>
      <w:pPr>
        <w:ind w:left="4756" w:hanging="360"/>
      </w:pPr>
      <w:rPr>
        <w:rFonts w:cs="Times New Roman"/>
      </w:rPr>
    </w:lvl>
    <w:lvl w:ilvl="7" w:tplc="041B0019" w:tentative="1">
      <w:start w:val="1"/>
      <w:numFmt w:val="lowerLetter"/>
      <w:lvlText w:val="%8."/>
      <w:lvlJc w:val="left"/>
      <w:pPr>
        <w:ind w:left="5476" w:hanging="360"/>
      </w:pPr>
      <w:rPr>
        <w:rFonts w:cs="Times New Roman"/>
      </w:rPr>
    </w:lvl>
    <w:lvl w:ilvl="8" w:tplc="041B001B" w:tentative="1">
      <w:start w:val="1"/>
      <w:numFmt w:val="lowerRoman"/>
      <w:lvlText w:val="%9."/>
      <w:lvlJc w:val="right"/>
      <w:pPr>
        <w:ind w:left="6196" w:hanging="180"/>
      </w:pPr>
      <w:rPr>
        <w:rFonts w:cs="Times New Roman"/>
      </w:rPr>
    </w:lvl>
  </w:abstractNum>
  <w:abstractNum w:abstractNumId="9" w15:restartNumberingAfterBreak="0">
    <w:nsid w:val="32895FFC"/>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32E36C9D"/>
    <w:multiLevelType w:val="hybridMultilevel"/>
    <w:tmpl w:val="D35854B6"/>
    <w:lvl w:ilvl="0" w:tplc="E9088774">
      <w:start w:val="1"/>
      <w:numFmt w:val="decimal"/>
      <w:lvlText w:val="%1."/>
      <w:lvlJc w:val="left"/>
      <w:pPr>
        <w:ind w:left="927" w:hanging="360"/>
      </w:pPr>
      <w:rPr>
        <w:rFonts w:hint="default"/>
      </w:rPr>
    </w:lvl>
    <w:lvl w:ilvl="1" w:tplc="041B0019" w:tentative="1">
      <w:start w:val="1"/>
      <w:numFmt w:val="lowerLetter"/>
      <w:lvlText w:val="%2."/>
      <w:lvlJc w:val="left"/>
      <w:pPr>
        <w:ind w:left="1868" w:hanging="360"/>
      </w:p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1" w15:restartNumberingAfterBreak="0">
    <w:nsid w:val="35AD706E"/>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36121A53"/>
    <w:multiLevelType w:val="hybridMultilevel"/>
    <w:tmpl w:val="FFFC3470"/>
    <w:lvl w:ilvl="0" w:tplc="A90A6EC0">
      <w:start w:val="1"/>
      <w:numFmt w:val="decimal"/>
      <w:lvlText w:val="%1."/>
      <w:lvlJc w:val="left"/>
      <w:pPr>
        <w:ind w:left="360" w:hanging="360"/>
      </w:pPr>
      <w:rPr>
        <w:rFonts w:cs="Times New Roman" w:hint="default"/>
        <w:b/>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9745E67"/>
    <w:multiLevelType w:val="hybridMultilevel"/>
    <w:tmpl w:val="B8C86B72"/>
    <w:lvl w:ilvl="0" w:tplc="9344FD4C">
      <w:start w:val="1"/>
      <w:numFmt w:val="decimal"/>
      <w:pStyle w:val="tl1"/>
      <w:lvlText w:val="%1."/>
      <w:lvlJc w:val="left"/>
      <w:pPr>
        <w:tabs>
          <w:tab w:val="num" w:pos="0"/>
        </w:tabs>
        <w:ind w:left="454" w:hanging="454"/>
      </w:pPr>
      <w:rPr>
        <w:rFonts w:cs="Times New Roman"/>
      </w:rPr>
    </w:lvl>
    <w:lvl w:ilvl="1" w:tplc="8F6A68DA">
      <w:start w:val="1"/>
      <w:numFmt w:val="lowerLetter"/>
      <w:pStyle w:val="tl3"/>
      <w:lvlText w:val="%2)"/>
      <w:lvlJc w:val="left"/>
      <w:pPr>
        <w:tabs>
          <w:tab w:val="num" w:pos="1440"/>
        </w:tabs>
        <w:ind w:left="1440" w:hanging="360"/>
      </w:pPr>
      <w:rPr>
        <w:rFonts w:cs="Times New Roman"/>
      </w:rPr>
    </w:lvl>
    <w:lvl w:ilvl="2" w:tplc="F3EE8A00">
      <w:start w:val="2"/>
      <w:numFmt w:val="bullet"/>
      <w:lvlText w:val="-"/>
      <w:lvlJc w:val="left"/>
      <w:pPr>
        <w:tabs>
          <w:tab w:val="num" w:pos="2340"/>
        </w:tabs>
        <w:ind w:left="2340" w:hanging="360"/>
      </w:pPr>
      <w:rPr>
        <w:rFonts w:ascii="Times New Roman" w:eastAsia="Times New Roman" w:hAnsi="Times New Roman" w:cs="Times New Roman" w:hint="default"/>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4" w15:restartNumberingAfterBreak="0">
    <w:nsid w:val="3B8D6307"/>
    <w:multiLevelType w:val="hybridMultilevel"/>
    <w:tmpl w:val="B3DEC1DC"/>
    <w:lvl w:ilvl="0" w:tplc="5CF0E93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E4B0C36"/>
    <w:multiLevelType w:val="hybridMultilevel"/>
    <w:tmpl w:val="63A8A5AC"/>
    <w:lvl w:ilvl="0" w:tplc="B518F916">
      <w:start w:val="1"/>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6" w15:restartNumberingAfterBreak="0">
    <w:nsid w:val="40B116B6"/>
    <w:multiLevelType w:val="hybridMultilevel"/>
    <w:tmpl w:val="ED1C0F1A"/>
    <w:lvl w:ilvl="0" w:tplc="B6209CB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9E10D1C"/>
    <w:multiLevelType w:val="hybridMultilevel"/>
    <w:tmpl w:val="B756EA9E"/>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4A556CAF"/>
    <w:multiLevelType w:val="hybridMultilevel"/>
    <w:tmpl w:val="F9E2FC44"/>
    <w:lvl w:ilvl="0" w:tplc="829CFA8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D2E177D"/>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0E76328"/>
    <w:multiLevelType w:val="hybridMultilevel"/>
    <w:tmpl w:val="7FEE2F1C"/>
    <w:lvl w:ilvl="0" w:tplc="939E8D08">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2670515"/>
    <w:multiLevelType w:val="hybridMultilevel"/>
    <w:tmpl w:val="9E0A811C"/>
    <w:lvl w:ilvl="0" w:tplc="78585A08">
      <w:start w:val="1"/>
      <w:numFmt w:val="decimal"/>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5DC34264"/>
    <w:multiLevelType w:val="hybridMultilevel"/>
    <w:tmpl w:val="94C4B654"/>
    <w:lvl w:ilvl="0" w:tplc="04050015">
      <w:start w:val="2"/>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3" w15:restartNumberingAfterBreak="0">
    <w:nsid w:val="659E2640"/>
    <w:multiLevelType w:val="hybridMultilevel"/>
    <w:tmpl w:val="3F7CE2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65806BC"/>
    <w:multiLevelType w:val="hybridMultilevel"/>
    <w:tmpl w:val="29AE6CF0"/>
    <w:lvl w:ilvl="0" w:tplc="575CE7FA">
      <w:start w:val="2"/>
      <w:numFmt w:val="bullet"/>
      <w:lvlText w:val="-"/>
      <w:lvlJc w:val="left"/>
      <w:pPr>
        <w:ind w:left="1068" w:hanging="360"/>
      </w:pPr>
      <w:rPr>
        <w:rFonts w:ascii="Calibri" w:eastAsiaTheme="minorHAns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5" w15:restartNumberingAfterBreak="0">
    <w:nsid w:val="672370EB"/>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6" w15:restartNumberingAfterBreak="0">
    <w:nsid w:val="6D151E19"/>
    <w:multiLevelType w:val="hybridMultilevel"/>
    <w:tmpl w:val="145A1A52"/>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F6D7D3A"/>
    <w:multiLevelType w:val="hybridMultilevel"/>
    <w:tmpl w:val="853834E8"/>
    <w:lvl w:ilvl="0" w:tplc="26BA31F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70622F81"/>
    <w:multiLevelType w:val="hybridMultilevel"/>
    <w:tmpl w:val="804EB1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21C7863"/>
    <w:multiLevelType w:val="hybridMultilevel"/>
    <w:tmpl w:val="F9F86998"/>
    <w:lvl w:ilvl="0" w:tplc="88267B8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8642F0"/>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746A5B51"/>
    <w:multiLevelType w:val="hybridMultilevel"/>
    <w:tmpl w:val="3A820376"/>
    <w:lvl w:ilvl="0" w:tplc="10083FF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B0F4F7F"/>
    <w:multiLevelType w:val="hybridMultilevel"/>
    <w:tmpl w:val="61DEF222"/>
    <w:lvl w:ilvl="0" w:tplc="AA04E3A6">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7CD6778A"/>
    <w:multiLevelType w:val="hybridMultilevel"/>
    <w:tmpl w:val="B7A846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4D23E1"/>
    <w:multiLevelType w:val="hybridMultilevel"/>
    <w:tmpl w:val="CA803CB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740024"/>
    <w:multiLevelType w:val="hybridMultilevel"/>
    <w:tmpl w:val="0CAA4910"/>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F8B46DC"/>
    <w:multiLevelType w:val="hybridMultilevel"/>
    <w:tmpl w:val="CF1E2C08"/>
    <w:lvl w:ilvl="0" w:tplc="C8248138">
      <w:start w:val="1"/>
      <w:numFmt w:val="decimal"/>
      <w:lvlText w:val="%1."/>
      <w:lvlJc w:val="left"/>
      <w:pPr>
        <w:ind w:left="1428" w:hanging="360"/>
      </w:pPr>
      <w:rPr>
        <w:rFonts w:cs="Times New Roman" w:hint="default"/>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8"/>
  </w:num>
  <w:num w:numId="5">
    <w:abstractNumId w:val="5"/>
  </w:num>
  <w:num w:numId="6">
    <w:abstractNumId w:val="1"/>
  </w:num>
  <w:num w:numId="7">
    <w:abstractNumId w:val="26"/>
  </w:num>
  <w:num w:numId="8">
    <w:abstractNumId w:val="34"/>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5"/>
  </w:num>
  <w:num w:numId="12">
    <w:abstractNumId w:val="19"/>
  </w:num>
  <w:num w:numId="13">
    <w:abstractNumId w:val="3"/>
  </w:num>
  <w:num w:numId="14">
    <w:abstractNumId w:val="9"/>
  </w:num>
  <w:num w:numId="15">
    <w:abstractNumId w:val="30"/>
  </w:num>
  <w:num w:numId="16">
    <w:abstractNumId w:val="11"/>
  </w:num>
  <w:num w:numId="17">
    <w:abstractNumId w:val="24"/>
  </w:num>
  <w:num w:numId="18">
    <w:abstractNumId w:val="3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2"/>
  </w:num>
  <w:num w:numId="23">
    <w:abstractNumId w:val="2"/>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8"/>
  </w:num>
  <w:num w:numId="36">
    <w:abstractNumId w:val="27"/>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42"/>
    <w:rsid w:val="00010648"/>
    <w:rsid w:val="00012701"/>
    <w:rsid w:val="00017312"/>
    <w:rsid w:val="0003368B"/>
    <w:rsid w:val="00057C90"/>
    <w:rsid w:val="00064EA6"/>
    <w:rsid w:val="0006619D"/>
    <w:rsid w:val="000678E9"/>
    <w:rsid w:val="000743AE"/>
    <w:rsid w:val="000A08EA"/>
    <w:rsid w:val="000B7B4B"/>
    <w:rsid w:val="000C7B41"/>
    <w:rsid w:val="000D6ACE"/>
    <w:rsid w:val="000F03E9"/>
    <w:rsid w:val="00110DFC"/>
    <w:rsid w:val="001129EA"/>
    <w:rsid w:val="001133B1"/>
    <w:rsid w:val="00113CAC"/>
    <w:rsid w:val="00134327"/>
    <w:rsid w:val="00162230"/>
    <w:rsid w:val="00164821"/>
    <w:rsid w:val="001733AF"/>
    <w:rsid w:val="001A5797"/>
    <w:rsid w:val="001B3E1D"/>
    <w:rsid w:val="001B7B13"/>
    <w:rsid w:val="001C4B1B"/>
    <w:rsid w:val="001D435E"/>
    <w:rsid w:val="001E4E84"/>
    <w:rsid w:val="001F3E9C"/>
    <w:rsid w:val="00215D21"/>
    <w:rsid w:val="002236BC"/>
    <w:rsid w:val="002300C8"/>
    <w:rsid w:val="00233CA7"/>
    <w:rsid w:val="002623F4"/>
    <w:rsid w:val="002655C7"/>
    <w:rsid w:val="002901FA"/>
    <w:rsid w:val="002B637A"/>
    <w:rsid w:val="002E4760"/>
    <w:rsid w:val="002E7596"/>
    <w:rsid w:val="002E7E17"/>
    <w:rsid w:val="002F4226"/>
    <w:rsid w:val="00306C1C"/>
    <w:rsid w:val="00322AD5"/>
    <w:rsid w:val="00332472"/>
    <w:rsid w:val="00344BCE"/>
    <w:rsid w:val="0035162D"/>
    <w:rsid w:val="00353C60"/>
    <w:rsid w:val="00357D74"/>
    <w:rsid w:val="0037271A"/>
    <w:rsid w:val="003847E8"/>
    <w:rsid w:val="00395AC3"/>
    <w:rsid w:val="00396086"/>
    <w:rsid w:val="003B14DF"/>
    <w:rsid w:val="003C78C9"/>
    <w:rsid w:val="003F1276"/>
    <w:rsid w:val="00401F57"/>
    <w:rsid w:val="00403133"/>
    <w:rsid w:val="00406D6E"/>
    <w:rsid w:val="00437810"/>
    <w:rsid w:val="0045719B"/>
    <w:rsid w:val="00461F6F"/>
    <w:rsid w:val="004844C8"/>
    <w:rsid w:val="00496636"/>
    <w:rsid w:val="004E7EF1"/>
    <w:rsid w:val="00533D0E"/>
    <w:rsid w:val="00534559"/>
    <w:rsid w:val="00551B94"/>
    <w:rsid w:val="005549F1"/>
    <w:rsid w:val="00561CDD"/>
    <w:rsid w:val="0057126D"/>
    <w:rsid w:val="00576C70"/>
    <w:rsid w:val="0058601C"/>
    <w:rsid w:val="005931E3"/>
    <w:rsid w:val="005A7D28"/>
    <w:rsid w:val="005D0EBD"/>
    <w:rsid w:val="00613C95"/>
    <w:rsid w:val="0062474B"/>
    <w:rsid w:val="00674FC7"/>
    <w:rsid w:val="006757C1"/>
    <w:rsid w:val="006B273B"/>
    <w:rsid w:val="006B6D45"/>
    <w:rsid w:val="006E1DB4"/>
    <w:rsid w:val="00714DCE"/>
    <w:rsid w:val="00720E42"/>
    <w:rsid w:val="007739C1"/>
    <w:rsid w:val="00774C11"/>
    <w:rsid w:val="007A42AF"/>
    <w:rsid w:val="007A5662"/>
    <w:rsid w:val="007B0CFB"/>
    <w:rsid w:val="007B2469"/>
    <w:rsid w:val="007E029F"/>
    <w:rsid w:val="007E0475"/>
    <w:rsid w:val="008018F6"/>
    <w:rsid w:val="008248B5"/>
    <w:rsid w:val="00826B85"/>
    <w:rsid w:val="00844F66"/>
    <w:rsid w:val="00856F62"/>
    <w:rsid w:val="0087694C"/>
    <w:rsid w:val="00885282"/>
    <w:rsid w:val="00891BB1"/>
    <w:rsid w:val="00894CD4"/>
    <w:rsid w:val="00900583"/>
    <w:rsid w:val="00901424"/>
    <w:rsid w:val="0091556C"/>
    <w:rsid w:val="00925048"/>
    <w:rsid w:val="00933C9B"/>
    <w:rsid w:val="00946264"/>
    <w:rsid w:val="00947CCF"/>
    <w:rsid w:val="00976F71"/>
    <w:rsid w:val="00977D3D"/>
    <w:rsid w:val="00992331"/>
    <w:rsid w:val="009A5D96"/>
    <w:rsid w:val="009B2D46"/>
    <w:rsid w:val="009C0B1C"/>
    <w:rsid w:val="009C2138"/>
    <w:rsid w:val="009E3B1B"/>
    <w:rsid w:val="009E424B"/>
    <w:rsid w:val="00A070FA"/>
    <w:rsid w:val="00A16A4D"/>
    <w:rsid w:val="00A17047"/>
    <w:rsid w:val="00A17570"/>
    <w:rsid w:val="00A20FB1"/>
    <w:rsid w:val="00A23279"/>
    <w:rsid w:val="00A87F9F"/>
    <w:rsid w:val="00AF4FEC"/>
    <w:rsid w:val="00B152E7"/>
    <w:rsid w:val="00B17D7C"/>
    <w:rsid w:val="00B2425A"/>
    <w:rsid w:val="00B31F10"/>
    <w:rsid w:val="00B368C4"/>
    <w:rsid w:val="00B570F0"/>
    <w:rsid w:val="00B619D0"/>
    <w:rsid w:val="00B66697"/>
    <w:rsid w:val="00B932BD"/>
    <w:rsid w:val="00BA4FC8"/>
    <w:rsid w:val="00BA601B"/>
    <w:rsid w:val="00BC2B04"/>
    <w:rsid w:val="00BF09B1"/>
    <w:rsid w:val="00BF51B3"/>
    <w:rsid w:val="00BF7858"/>
    <w:rsid w:val="00C04DB1"/>
    <w:rsid w:val="00C46E57"/>
    <w:rsid w:val="00CA0B08"/>
    <w:rsid w:val="00CA15E4"/>
    <w:rsid w:val="00CB677A"/>
    <w:rsid w:val="00CD41A7"/>
    <w:rsid w:val="00D04222"/>
    <w:rsid w:val="00D23896"/>
    <w:rsid w:val="00D25960"/>
    <w:rsid w:val="00D27EF9"/>
    <w:rsid w:val="00D605B9"/>
    <w:rsid w:val="00D93682"/>
    <w:rsid w:val="00D97E5E"/>
    <w:rsid w:val="00DA687F"/>
    <w:rsid w:val="00DB3C0A"/>
    <w:rsid w:val="00DC3358"/>
    <w:rsid w:val="00DD473F"/>
    <w:rsid w:val="00DF25F7"/>
    <w:rsid w:val="00E56C3B"/>
    <w:rsid w:val="00E92710"/>
    <w:rsid w:val="00EB0740"/>
    <w:rsid w:val="00EC3B51"/>
    <w:rsid w:val="00EE7C3E"/>
    <w:rsid w:val="00EF66C7"/>
    <w:rsid w:val="00F12013"/>
    <w:rsid w:val="00F61EB4"/>
    <w:rsid w:val="00F8266D"/>
    <w:rsid w:val="00F85664"/>
    <w:rsid w:val="00FA303E"/>
    <w:rsid w:val="00FB33A5"/>
    <w:rsid w:val="00FC5461"/>
    <w:rsid w:val="00FD0CC5"/>
    <w:rsid w:val="00FD7105"/>
    <w:rsid w:val="00FE2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D235"/>
  <w15:docId w15:val="{EE4E3BF5-10D2-4042-9E9C-1B3D03FD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0E4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20E42"/>
    <w:pPr>
      <w:keepNext/>
      <w:spacing w:line="240" w:lineRule="atLeast"/>
      <w:jc w:val="both"/>
      <w:outlineLvl w:val="0"/>
    </w:pPr>
    <w:rPr>
      <w:b/>
    </w:rPr>
  </w:style>
  <w:style w:type="paragraph" w:styleId="Nadpis2">
    <w:name w:val="heading 2"/>
    <w:basedOn w:val="Normlny"/>
    <w:next w:val="Normlny"/>
    <w:link w:val="Nadpis2Char"/>
    <w:uiPriority w:val="9"/>
    <w:semiHidden/>
    <w:unhideWhenUsed/>
    <w:qFormat/>
    <w:rsid w:val="00720E42"/>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semiHidden/>
    <w:unhideWhenUsed/>
    <w:qFormat/>
    <w:rsid w:val="00720E42"/>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semiHidden/>
    <w:unhideWhenUsed/>
    <w:qFormat/>
    <w:rsid w:val="00720E42"/>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20E42"/>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uiPriority w:val="9"/>
    <w:semiHidden/>
    <w:rsid w:val="00720E42"/>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uiPriority w:val="9"/>
    <w:semiHidden/>
    <w:rsid w:val="00720E42"/>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uiPriority w:val="9"/>
    <w:semiHidden/>
    <w:rsid w:val="00720E42"/>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uiPriority w:val="99"/>
    <w:unhideWhenUsed/>
    <w:rsid w:val="00720E42"/>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rsid w:val="00720E42"/>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uiPriority w:val="99"/>
    <w:semiHidden/>
    <w:unhideWhenUsed/>
    <w:rsid w:val="00720E42"/>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semiHidden/>
    <w:rsid w:val="00720E42"/>
    <w:rPr>
      <w:rFonts w:ascii="AT*Toronto" w:eastAsia="Times New Roman" w:hAnsi="AT*Toronto" w:cs="Times New Roman"/>
      <w:color w:val="0000FF"/>
      <w:sz w:val="24"/>
      <w:szCs w:val="20"/>
      <w:lang w:val="cs-CZ" w:eastAsia="sk-SK"/>
    </w:r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
    <w:basedOn w:val="Normlny"/>
    <w:link w:val="OdsekzoznamuChar"/>
    <w:uiPriority w:val="34"/>
    <w:qFormat/>
    <w:rsid w:val="00720E42"/>
    <w:pPr>
      <w:ind w:left="708"/>
    </w:pPr>
    <w:rPr>
      <w:noProof/>
    </w:rPr>
  </w:style>
  <w:style w:type="character" w:styleId="Zvraznenie">
    <w:name w:val="Emphasis"/>
    <w:basedOn w:val="Predvolenpsmoodseku"/>
    <w:uiPriority w:val="20"/>
    <w:qFormat/>
    <w:rsid w:val="005549F1"/>
    <w:rPr>
      <w:rFonts w:cs="Times New Roman"/>
      <w:i/>
      <w:iCs/>
    </w:rPr>
  </w:style>
  <w:style w:type="paragraph" w:styleId="Textbubliny">
    <w:name w:val="Balloon Text"/>
    <w:basedOn w:val="Normlny"/>
    <w:link w:val="TextbublinyChar"/>
    <w:uiPriority w:val="99"/>
    <w:semiHidden/>
    <w:unhideWhenUsed/>
    <w:rsid w:val="00946264"/>
    <w:rPr>
      <w:rFonts w:ascii="Tahoma" w:hAnsi="Tahoma" w:cs="Tahoma"/>
      <w:sz w:val="16"/>
      <w:szCs w:val="16"/>
    </w:rPr>
  </w:style>
  <w:style w:type="character" w:customStyle="1" w:styleId="TextbublinyChar">
    <w:name w:val="Text bubliny Char"/>
    <w:basedOn w:val="Predvolenpsmoodseku"/>
    <w:link w:val="Textbubliny"/>
    <w:uiPriority w:val="99"/>
    <w:semiHidden/>
    <w:rsid w:val="00946264"/>
    <w:rPr>
      <w:rFonts w:ascii="Tahoma" w:eastAsia="Times New Roman" w:hAnsi="Tahoma" w:cs="Tahoma"/>
      <w:sz w:val="16"/>
      <w:szCs w:val="16"/>
      <w:lang w:eastAsia="sk-SK"/>
    </w:rPr>
  </w:style>
  <w:style w:type="paragraph" w:styleId="Hlavika">
    <w:name w:val="header"/>
    <w:basedOn w:val="Normlny"/>
    <w:link w:val="HlavikaChar"/>
    <w:uiPriority w:val="99"/>
    <w:unhideWhenUsed/>
    <w:rsid w:val="007A42AF"/>
    <w:pPr>
      <w:tabs>
        <w:tab w:val="center" w:pos="4536"/>
        <w:tab w:val="right" w:pos="9072"/>
      </w:tabs>
      <w:spacing w:after="200" w:line="276" w:lineRule="auto"/>
    </w:pPr>
    <w:rPr>
      <w:rFonts w:ascii="Calibri" w:hAnsi="Calibri"/>
      <w:sz w:val="22"/>
      <w:szCs w:val="22"/>
      <w:lang w:eastAsia="en-US"/>
    </w:rPr>
  </w:style>
  <w:style w:type="character" w:customStyle="1" w:styleId="HlavikaChar">
    <w:name w:val="Hlavička Char"/>
    <w:basedOn w:val="Predvolenpsmoodseku"/>
    <w:link w:val="Hlavika"/>
    <w:uiPriority w:val="99"/>
    <w:rsid w:val="007A42AF"/>
    <w:rPr>
      <w:rFonts w:ascii="Calibri" w:eastAsia="Times New Roman" w:hAnsi="Calibri" w:cs="Times New Roman"/>
    </w:rPr>
  </w:style>
  <w:style w:type="paragraph" w:styleId="Textkomentra">
    <w:name w:val="annotation text"/>
    <w:basedOn w:val="Normlny"/>
    <w:link w:val="TextkomentraChar"/>
    <w:uiPriority w:val="99"/>
    <w:unhideWhenUsed/>
    <w:rsid w:val="00FE2CD7"/>
    <w:rPr>
      <w:sz w:val="20"/>
      <w:szCs w:val="20"/>
    </w:rPr>
  </w:style>
  <w:style w:type="character" w:customStyle="1" w:styleId="TextkomentraChar">
    <w:name w:val="Text komentára Char"/>
    <w:basedOn w:val="Predvolenpsmoodseku"/>
    <w:link w:val="Textkomentra"/>
    <w:uiPriority w:val="99"/>
    <w:rsid w:val="00FE2CD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E2CD7"/>
    <w:rPr>
      <w:b/>
      <w:bCs/>
    </w:rPr>
  </w:style>
  <w:style w:type="character" w:customStyle="1" w:styleId="PredmetkomentraChar">
    <w:name w:val="Predmet komentára Char"/>
    <w:basedOn w:val="TextkomentraChar"/>
    <w:link w:val="Predmetkomentra"/>
    <w:uiPriority w:val="99"/>
    <w:semiHidden/>
    <w:rsid w:val="00FE2CD7"/>
    <w:rPr>
      <w:rFonts w:ascii="Times New Roman" w:eastAsia="Times New Roman" w:hAnsi="Times New Roman" w:cs="Times New Roman"/>
      <w:b/>
      <w:bCs/>
      <w:sz w:val="20"/>
      <w:szCs w:val="20"/>
      <w:lang w:eastAsia="sk-SK"/>
    </w:rPr>
  </w:style>
  <w:style w:type="paragraph" w:styleId="Bezriadkovania">
    <w:name w:val="No Spacing"/>
    <w:uiPriority w:val="1"/>
    <w:qFormat/>
    <w:rsid w:val="00FE2CD7"/>
    <w:pPr>
      <w:spacing w:after="0" w:line="240" w:lineRule="auto"/>
    </w:pPr>
    <w:rPr>
      <w:rFonts w:ascii="Calibri" w:eastAsia="Calibri" w:hAnsi="Calibri" w:cs="Times New Roman"/>
    </w:rPr>
  </w:style>
  <w:style w:type="paragraph" w:styleId="Zkladntext">
    <w:name w:val="Body Text"/>
    <w:basedOn w:val="Normlny"/>
    <w:link w:val="ZkladntextChar"/>
    <w:uiPriority w:val="99"/>
    <w:semiHidden/>
    <w:unhideWhenUsed/>
    <w:rsid w:val="00357D74"/>
    <w:pPr>
      <w:spacing w:after="120"/>
    </w:pPr>
  </w:style>
  <w:style w:type="character" w:customStyle="1" w:styleId="ZkladntextChar">
    <w:name w:val="Základný text Char"/>
    <w:basedOn w:val="Predvolenpsmoodseku"/>
    <w:link w:val="Zkladntext"/>
    <w:uiPriority w:val="99"/>
    <w:rsid w:val="00357D7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605B9"/>
    <w:pPr>
      <w:tabs>
        <w:tab w:val="center" w:pos="4536"/>
        <w:tab w:val="right" w:pos="9072"/>
      </w:tabs>
    </w:pPr>
  </w:style>
  <w:style w:type="character" w:customStyle="1" w:styleId="PtaChar">
    <w:name w:val="Päta Char"/>
    <w:basedOn w:val="Predvolenpsmoodseku"/>
    <w:link w:val="Pta"/>
    <w:uiPriority w:val="99"/>
    <w:rsid w:val="00D605B9"/>
    <w:rPr>
      <w:rFonts w:ascii="Times New Roman" w:eastAsia="Times New Roman" w:hAnsi="Times New Roman" w:cs="Times New Roman"/>
      <w:sz w:val="24"/>
      <w:szCs w:val="24"/>
      <w:lang w:eastAsia="sk-SK"/>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basedOn w:val="Predvolenpsmoodseku"/>
    <w:link w:val="Odsekzoznamu"/>
    <w:uiPriority w:val="34"/>
    <w:qFormat/>
    <w:locked/>
    <w:rsid w:val="009E3B1B"/>
    <w:rPr>
      <w:rFonts w:ascii="Times New Roman" w:eastAsia="Times New Roman" w:hAnsi="Times New Roman" w:cs="Times New Roman"/>
      <w:noProof/>
      <w:sz w:val="24"/>
      <w:szCs w:val="24"/>
      <w:lang w:eastAsia="sk-SK"/>
    </w:rPr>
  </w:style>
  <w:style w:type="character" w:customStyle="1" w:styleId="ZkladntextChar1">
    <w:name w:val="Základný text Char1"/>
    <w:basedOn w:val="Predvolenpsmoodseku"/>
    <w:uiPriority w:val="99"/>
    <w:semiHidden/>
    <w:locked/>
    <w:rsid w:val="009E3B1B"/>
    <w:rPr>
      <w:rFonts w:ascii="Times New Roman" w:eastAsia="Times New Roman" w:hAnsi="Times New Roman" w:cs="Times New Roman"/>
      <w:sz w:val="24"/>
      <w:szCs w:val="20"/>
      <w:lang w:eastAsia="sk-SK"/>
    </w:rPr>
  </w:style>
  <w:style w:type="character" w:customStyle="1" w:styleId="tl1Char">
    <w:name w:val="Štýl1 Char"/>
    <w:link w:val="tl1"/>
    <w:locked/>
    <w:rsid w:val="009E3B1B"/>
    <w:rPr>
      <w:rFonts w:ascii="Times New Roman" w:hAnsi="Times New Roman" w:cs="Times New Roman"/>
      <w:sz w:val="24"/>
      <w:szCs w:val="24"/>
    </w:rPr>
  </w:style>
  <w:style w:type="paragraph" w:customStyle="1" w:styleId="tl1">
    <w:name w:val="Štýl1"/>
    <w:basedOn w:val="Normlny"/>
    <w:link w:val="tl1Char"/>
    <w:rsid w:val="009E3B1B"/>
    <w:pPr>
      <w:numPr>
        <w:numId w:val="20"/>
      </w:numPr>
      <w:tabs>
        <w:tab w:val="left" w:pos="454"/>
      </w:tabs>
      <w:jc w:val="both"/>
    </w:pPr>
    <w:rPr>
      <w:rFonts w:eastAsiaTheme="minorHAnsi"/>
      <w:lang w:eastAsia="en-US"/>
    </w:rPr>
  </w:style>
  <w:style w:type="paragraph" w:customStyle="1" w:styleId="tl3">
    <w:name w:val="Štýl3"/>
    <w:basedOn w:val="Normlny"/>
    <w:rsid w:val="009E3B1B"/>
    <w:pPr>
      <w:numPr>
        <w:ilvl w:val="1"/>
        <w:numId w:val="20"/>
      </w:numPr>
      <w:tabs>
        <w:tab w:val="num" w:pos="-360"/>
      </w:tabs>
      <w:ind w:left="738" w:hanging="284"/>
      <w:jc w:val="both"/>
    </w:pPr>
  </w:style>
  <w:style w:type="character" w:styleId="Siln">
    <w:name w:val="Strong"/>
    <w:basedOn w:val="Predvolenpsmoodseku"/>
    <w:uiPriority w:val="22"/>
    <w:qFormat/>
    <w:rsid w:val="00F85664"/>
    <w:rPr>
      <w:b/>
      <w:bCs/>
    </w:rPr>
  </w:style>
  <w:style w:type="character" w:customStyle="1" w:styleId="InternetLink">
    <w:name w:val="Internet Link"/>
    <w:rsid w:val="00F85664"/>
    <w:rPr>
      <w:color w:val="000080"/>
      <w:u w:val="single"/>
    </w:rPr>
  </w:style>
  <w:style w:type="paragraph" w:styleId="Obyajntext">
    <w:name w:val="Plain Text"/>
    <w:basedOn w:val="Normlny"/>
    <w:link w:val="ObyajntextChar"/>
    <w:uiPriority w:val="99"/>
    <w:semiHidden/>
    <w:unhideWhenUsed/>
    <w:rsid w:val="001E4E84"/>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1E4E84"/>
    <w:rPr>
      <w:rFonts w:ascii="Calibri" w:hAnsi="Calibri"/>
      <w:szCs w:val="21"/>
    </w:rPr>
  </w:style>
  <w:style w:type="paragraph" w:customStyle="1" w:styleId="p1">
    <w:name w:val="p1"/>
    <w:basedOn w:val="Normlny"/>
    <w:rsid w:val="001D435E"/>
    <w:pPr>
      <w:ind w:firstLine="426"/>
      <w:jc w:val="both"/>
    </w:pPr>
    <w:rPr>
      <w:sz w:val="18"/>
      <w:szCs w:val="18"/>
      <w:lang w:eastAsia="en-US"/>
    </w:rPr>
  </w:style>
  <w:style w:type="character" w:styleId="Hypertextovprepojenie">
    <w:name w:val="Hyperlink"/>
    <w:basedOn w:val="Predvolenpsmoodseku"/>
    <w:uiPriority w:val="99"/>
    <w:semiHidden/>
    <w:unhideWhenUsed/>
    <w:rsid w:val="00EE7C3E"/>
    <w:rPr>
      <w:color w:val="0000FF"/>
      <w:u w:val="single"/>
    </w:rPr>
  </w:style>
  <w:style w:type="table" w:styleId="Mriekatabuky">
    <w:name w:val="Table Grid"/>
    <w:basedOn w:val="Normlnatabuka"/>
    <w:uiPriority w:val="39"/>
    <w:rsid w:val="00E56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77900">
      <w:bodyDiv w:val="1"/>
      <w:marLeft w:val="0"/>
      <w:marRight w:val="0"/>
      <w:marTop w:val="0"/>
      <w:marBottom w:val="0"/>
      <w:divBdr>
        <w:top w:val="none" w:sz="0" w:space="0" w:color="auto"/>
        <w:left w:val="none" w:sz="0" w:space="0" w:color="auto"/>
        <w:bottom w:val="none" w:sz="0" w:space="0" w:color="auto"/>
        <w:right w:val="none" w:sz="0" w:space="0" w:color="auto"/>
      </w:divBdr>
    </w:div>
    <w:div w:id="775751813">
      <w:bodyDiv w:val="1"/>
      <w:marLeft w:val="0"/>
      <w:marRight w:val="0"/>
      <w:marTop w:val="0"/>
      <w:marBottom w:val="0"/>
      <w:divBdr>
        <w:top w:val="none" w:sz="0" w:space="0" w:color="auto"/>
        <w:left w:val="none" w:sz="0" w:space="0" w:color="auto"/>
        <w:bottom w:val="none" w:sz="0" w:space="0" w:color="auto"/>
        <w:right w:val="none" w:sz="0" w:space="0" w:color="auto"/>
      </w:divBdr>
    </w:div>
    <w:div w:id="1237278309">
      <w:bodyDiv w:val="1"/>
      <w:marLeft w:val="0"/>
      <w:marRight w:val="0"/>
      <w:marTop w:val="0"/>
      <w:marBottom w:val="0"/>
      <w:divBdr>
        <w:top w:val="none" w:sz="0" w:space="0" w:color="auto"/>
        <w:left w:val="none" w:sz="0" w:space="0" w:color="auto"/>
        <w:bottom w:val="none" w:sz="0" w:space="0" w:color="auto"/>
        <w:right w:val="none" w:sz="0" w:space="0" w:color="auto"/>
      </w:divBdr>
    </w:div>
    <w:div w:id="1300961652">
      <w:bodyDiv w:val="1"/>
      <w:marLeft w:val="0"/>
      <w:marRight w:val="0"/>
      <w:marTop w:val="0"/>
      <w:marBottom w:val="0"/>
      <w:divBdr>
        <w:top w:val="none" w:sz="0" w:space="0" w:color="auto"/>
        <w:left w:val="none" w:sz="0" w:space="0" w:color="auto"/>
        <w:bottom w:val="none" w:sz="0" w:space="0" w:color="auto"/>
        <w:right w:val="none" w:sz="0" w:space="0" w:color="auto"/>
      </w:divBdr>
    </w:div>
    <w:div w:id="1409423394">
      <w:bodyDiv w:val="1"/>
      <w:marLeft w:val="0"/>
      <w:marRight w:val="0"/>
      <w:marTop w:val="0"/>
      <w:marBottom w:val="0"/>
      <w:divBdr>
        <w:top w:val="none" w:sz="0" w:space="0" w:color="auto"/>
        <w:left w:val="none" w:sz="0" w:space="0" w:color="auto"/>
        <w:bottom w:val="none" w:sz="0" w:space="0" w:color="auto"/>
        <w:right w:val="none" w:sz="0" w:space="0" w:color="auto"/>
      </w:divBdr>
    </w:div>
    <w:div w:id="1701276237">
      <w:bodyDiv w:val="1"/>
      <w:marLeft w:val="0"/>
      <w:marRight w:val="0"/>
      <w:marTop w:val="0"/>
      <w:marBottom w:val="0"/>
      <w:divBdr>
        <w:top w:val="none" w:sz="0" w:space="0" w:color="auto"/>
        <w:left w:val="none" w:sz="0" w:space="0" w:color="auto"/>
        <w:bottom w:val="none" w:sz="0" w:space="0" w:color="auto"/>
        <w:right w:val="none" w:sz="0" w:space="0" w:color="auto"/>
      </w:divBdr>
    </w:div>
    <w:div w:id="1727876354">
      <w:bodyDiv w:val="1"/>
      <w:marLeft w:val="0"/>
      <w:marRight w:val="0"/>
      <w:marTop w:val="0"/>
      <w:marBottom w:val="0"/>
      <w:divBdr>
        <w:top w:val="none" w:sz="0" w:space="0" w:color="auto"/>
        <w:left w:val="none" w:sz="0" w:space="0" w:color="auto"/>
        <w:bottom w:val="none" w:sz="0" w:space="0" w:color="auto"/>
        <w:right w:val="none" w:sz="0" w:space="0" w:color="auto"/>
      </w:divBdr>
    </w:div>
    <w:div w:id="20983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95/20230101.html" TargetMode="External"/><Relationship Id="rId13" Type="http://schemas.openxmlformats.org/officeDocument/2006/relationships/hyperlink" Target="https://www.slov-lex.sk/pravne-predpisy/SK/ZZ/2003/595/20230101.html" TargetMode="External"/><Relationship Id="rId18" Type="http://schemas.openxmlformats.org/officeDocument/2006/relationships/hyperlink" Target="https://www.slov-lex.sk/pravne-predpisy/SK/ZZ/2003/595/20230101.html" TargetMode="External"/><Relationship Id="rId3" Type="http://schemas.openxmlformats.org/officeDocument/2006/relationships/styles" Target="styles.xml"/><Relationship Id="rId21" Type="http://schemas.openxmlformats.org/officeDocument/2006/relationships/hyperlink" Target="https://www.slov-lex.sk/pravne-predpisy/SK/ZZ/2003/595/20230101.html" TargetMode="External"/><Relationship Id="rId7" Type="http://schemas.openxmlformats.org/officeDocument/2006/relationships/hyperlink" Target="https://www.slov-lex.sk/pravne-predpisy/SK/ZZ/2003/595/20230101.html" TargetMode="External"/><Relationship Id="rId12" Type="http://schemas.openxmlformats.org/officeDocument/2006/relationships/hyperlink" Target="https://www.slov-lex.sk/pravne-predpisy/SK/ZZ/2003/595/20230101.html" TargetMode="External"/><Relationship Id="rId17" Type="http://schemas.openxmlformats.org/officeDocument/2006/relationships/hyperlink" Target="https://www.slov-lex.sk/pravne-predpisy/SK/ZZ/2003/595/20230101.html" TargetMode="External"/><Relationship Id="rId2" Type="http://schemas.openxmlformats.org/officeDocument/2006/relationships/numbering" Target="numbering.xml"/><Relationship Id="rId16" Type="http://schemas.openxmlformats.org/officeDocument/2006/relationships/hyperlink" Target="https://www.slov-lex.sk/pravne-predpisy/SK/ZZ/2003/595/20230101.html" TargetMode="External"/><Relationship Id="rId20" Type="http://schemas.openxmlformats.org/officeDocument/2006/relationships/hyperlink" Target="https://www.slov-lex.sk/pravne-predpisy/SK/ZZ/2003/595/20230101.html" TargetMode="External"/><Relationship Id="rId1" Type="http://schemas.openxmlformats.org/officeDocument/2006/relationships/customXml" Target="../customXml/item1.xml"/><Relationship Id="rId6" Type="http://schemas.openxmlformats.org/officeDocument/2006/relationships/hyperlink" Target="https://www.slov-lex.sk/pravne-predpisy/SK/ZZ/2003/595/20230101.html" TargetMode="External"/><Relationship Id="rId11" Type="http://schemas.openxmlformats.org/officeDocument/2006/relationships/hyperlink" Target="https://www.slov-lex.sk/pravne-predpisy/SK/ZZ/2003/595/20230101.html" TargetMode="External"/><Relationship Id="rId5" Type="http://schemas.openxmlformats.org/officeDocument/2006/relationships/webSettings" Target="webSettings.xml"/><Relationship Id="rId15" Type="http://schemas.openxmlformats.org/officeDocument/2006/relationships/hyperlink" Target="https://www.slov-lex.sk/pravne-predpisy/SK/ZZ/2003/595/20230101.html" TargetMode="External"/><Relationship Id="rId23" Type="http://schemas.openxmlformats.org/officeDocument/2006/relationships/theme" Target="theme/theme1.xml"/><Relationship Id="rId10" Type="http://schemas.openxmlformats.org/officeDocument/2006/relationships/hyperlink" Target="https://www.slov-lex.sk/pravne-predpisy/SK/ZZ/2003/595/20230101.html" TargetMode="External"/><Relationship Id="rId19" Type="http://schemas.openxmlformats.org/officeDocument/2006/relationships/hyperlink" Target="https://www.slov-lex.sk/pravne-predpisy/SK/ZZ/2003/595/20230101.html" TargetMode="External"/><Relationship Id="rId4" Type="http://schemas.openxmlformats.org/officeDocument/2006/relationships/settings" Target="settings.xml"/><Relationship Id="rId9" Type="http://schemas.openxmlformats.org/officeDocument/2006/relationships/hyperlink" Target="https://www.slov-lex.sk/pravne-predpisy/SK/ZZ/2003/595/20230101.html" TargetMode="External"/><Relationship Id="rId14" Type="http://schemas.openxmlformats.org/officeDocument/2006/relationships/hyperlink" Target="https://www.slov-lex.sk/pravne-predpisy/SK/ZZ/2003/595/20230101.html"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164B8-6490-40B4-B306-7AD6DE1F6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3751</Words>
  <Characters>21387</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Kičinová, Eva, JUDr.</cp:lastModifiedBy>
  <cp:revision>11</cp:revision>
  <cp:lastPrinted>2020-11-19T09:17:00Z</cp:lastPrinted>
  <dcterms:created xsi:type="dcterms:W3CDTF">2022-10-11T11:45:00Z</dcterms:created>
  <dcterms:modified xsi:type="dcterms:W3CDTF">2022-10-17T13:33:00Z</dcterms:modified>
</cp:coreProperties>
</file>