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BC66C6" w:rsidRDefault="001D7A2B" w:rsidP="001D7A2B">
      <w:pPr>
        <w:pStyle w:val="Nadpis2"/>
        <w:ind w:hanging="3649"/>
        <w:jc w:val="left"/>
      </w:pPr>
      <w:bookmarkStart w:id="0" w:name="_Hlk53653997"/>
      <w:r w:rsidRPr="00BC66C6">
        <w:t>ÚSTAVNOPRÁVNY VÝBOR</w:t>
      </w:r>
    </w:p>
    <w:p w:rsidR="001D7A2B" w:rsidRPr="00BC66C6" w:rsidRDefault="001D7A2B" w:rsidP="007D2BE9">
      <w:pPr>
        <w:rPr>
          <w:b/>
        </w:rPr>
      </w:pPr>
      <w:r w:rsidRPr="00BC66C6">
        <w:rPr>
          <w:b/>
        </w:rPr>
        <w:t>NÁRODNEJ</w:t>
      </w:r>
      <w:bookmarkStart w:id="1" w:name="_GoBack"/>
      <w:bookmarkEnd w:id="1"/>
      <w:r w:rsidRPr="00BC66C6">
        <w:rPr>
          <w:b/>
        </w:rPr>
        <w:t xml:space="preserve"> RADY SLOVENSKEJ REPUBLIKY</w:t>
      </w:r>
    </w:p>
    <w:p w:rsidR="0054340C" w:rsidRPr="00BC66C6" w:rsidRDefault="0054340C" w:rsidP="007D2BE9">
      <w:pPr>
        <w:rPr>
          <w:b/>
        </w:rPr>
      </w:pPr>
    </w:p>
    <w:p w:rsidR="001D7A2B" w:rsidRPr="00BC66C6" w:rsidRDefault="001D7A2B" w:rsidP="001D7A2B">
      <w:r w:rsidRPr="00BC66C6">
        <w:tab/>
      </w:r>
      <w:r w:rsidRPr="00BC66C6">
        <w:tab/>
      </w:r>
      <w:r w:rsidRPr="00BC66C6">
        <w:tab/>
      </w:r>
      <w:r w:rsidRPr="00BC66C6">
        <w:tab/>
      </w:r>
      <w:r w:rsidRPr="00BC66C6">
        <w:tab/>
      </w:r>
      <w:r w:rsidRPr="00BC66C6">
        <w:tab/>
      </w:r>
      <w:r w:rsidRPr="00BC66C6">
        <w:tab/>
      </w:r>
      <w:r w:rsidRPr="00BC66C6">
        <w:tab/>
      </w:r>
      <w:r w:rsidRPr="00BC66C6">
        <w:tab/>
      </w:r>
      <w:r w:rsidR="0054340C" w:rsidRPr="00BC66C6">
        <w:t>1</w:t>
      </w:r>
      <w:r w:rsidR="000148AC" w:rsidRPr="00BC66C6">
        <w:t>3</w:t>
      </w:r>
      <w:r w:rsidR="00C03F9E" w:rsidRPr="00BC66C6">
        <w:t>6</w:t>
      </w:r>
      <w:r w:rsidR="0054340C" w:rsidRPr="00BC66C6">
        <w:t>.</w:t>
      </w:r>
      <w:r w:rsidRPr="00BC66C6">
        <w:t xml:space="preserve"> schôdza</w:t>
      </w:r>
    </w:p>
    <w:p w:rsidR="001D7A2B" w:rsidRPr="00BC66C6" w:rsidRDefault="001D7A2B" w:rsidP="001D7A2B">
      <w:pPr>
        <w:ind w:left="5592" w:hanging="12"/>
      </w:pPr>
      <w:r w:rsidRPr="00BC66C6">
        <w:tab/>
      </w:r>
      <w:r w:rsidRPr="00BC66C6">
        <w:tab/>
      </w:r>
      <w:r w:rsidR="002A61CE" w:rsidRPr="00BC66C6">
        <w:tab/>
      </w:r>
      <w:r w:rsidRPr="00BC66C6">
        <w:t>Číslo: CRD-</w:t>
      </w:r>
      <w:r w:rsidR="005F296F" w:rsidRPr="00BC66C6">
        <w:t>1</w:t>
      </w:r>
      <w:r w:rsidR="00512920" w:rsidRPr="00BC66C6">
        <w:t>8</w:t>
      </w:r>
      <w:r w:rsidR="00CA047C" w:rsidRPr="00BC66C6">
        <w:t>7</w:t>
      </w:r>
      <w:r w:rsidR="005308A7" w:rsidRPr="00BC66C6">
        <w:t>3</w:t>
      </w:r>
      <w:r w:rsidR="003A4822" w:rsidRPr="00BC66C6">
        <w:t>/202</w:t>
      </w:r>
      <w:r w:rsidR="0054340C" w:rsidRPr="00BC66C6">
        <w:t>2</w:t>
      </w:r>
    </w:p>
    <w:p w:rsidR="00910948" w:rsidRPr="00BC66C6" w:rsidRDefault="00910948" w:rsidP="001D7A2B">
      <w:pPr>
        <w:pStyle w:val="Bezriadkovania"/>
      </w:pPr>
    </w:p>
    <w:p w:rsidR="00FA4E3D" w:rsidRPr="00BC66C6" w:rsidRDefault="00FA4E3D" w:rsidP="001D7A2B">
      <w:pPr>
        <w:pStyle w:val="Bezriadkovania"/>
      </w:pPr>
    </w:p>
    <w:p w:rsidR="00910948" w:rsidRPr="00BC66C6" w:rsidRDefault="00645E03" w:rsidP="00910948">
      <w:pPr>
        <w:jc w:val="center"/>
        <w:rPr>
          <w:sz w:val="36"/>
          <w:szCs w:val="36"/>
        </w:rPr>
      </w:pPr>
      <w:r w:rsidRPr="00BC66C6">
        <w:rPr>
          <w:sz w:val="36"/>
          <w:szCs w:val="36"/>
        </w:rPr>
        <w:t>572</w:t>
      </w:r>
    </w:p>
    <w:p w:rsidR="00206A1C" w:rsidRPr="00BC66C6" w:rsidRDefault="001D7A2B" w:rsidP="001D7A2B">
      <w:pPr>
        <w:jc w:val="center"/>
        <w:rPr>
          <w:b/>
        </w:rPr>
      </w:pPr>
      <w:r w:rsidRPr="00BC66C6">
        <w:rPr>
          <w:b/>
        </w:rPr>
        <w:t>U z n e s e n i e</w:t>
      </w:r>
      <w:r w:rsidR="003A4822" w:rsidRPr="00BC66C6">
        <w:rPr>
          <w:b/>
        </w:rPr>
        <w:t xml:space="preserve"> </w:t>
      </w:r>
    </w:p>
    <w:p w:rsidR="001D7A2B" w:rsidRPr="00BC66C6" w:rsidRDefault="001D7A2B" w:rsidP="001D7A2B">
      <w:pPr>
        <w:jc w:val="center"/>
        <w:rPr>
          <w:b/>
        </w:rPr>
      </w:pPr>
      <w:r w:rsidRPr="00BC66C6">
        <w:rPr>
          <w:b/>
        </w:rPr>
        <w:t>Ústavnoprávneho výboru Národnej rady Slovenskej republiky</w:t>
      </w:r>
    </w:p>
    <w:p w:rsidR="001D7A2B" w:rsidRPr="00BC66C6" w:rsidRDefault="001D7A2B" w:rsidP="001D7A2B">
      <w:pPr>
        <w:jc w:val="center"/>
        <w:rPr>
          <w:b/>
        </w:rPr>
      </w:pPr>
      <w:r w:rsidRPr="00BC66C6">
        <w:rPr>
          <w:b/>
        </w:rPr>
        <w:t>z</w:t>
      </w:r>
      <w:r w:rsidR="005F296F" w:rsidRPr="00BC66C6">
        <w:rPr>
          <w:b/>
        </w:rPr>
        <w:t> </w:t>
      </w:r>
      <w:r w:rsidR="008417F5" w:rsidRPr="00BC66C6">
        <w:rPr>
          <w:b/>
        </w:rPr>
        <w:t>13</w:t>
      </w:r>
      <w:r w:rsidR="009F4197" w:rsidRPr="00BC66C6">
        <w:rPr>
          <w:b/>
        </w:rPr>
        <w:t>. októbra</w:t>
      </w:r>
      <w:r w:rsidRPr="00BC66C6">
        <w:rPr>
          <w:b/>
        </w:rPr>
        <w:t xml:space="preserve"> 202</w:t>
      </w:r>
      <w:r w:rsidR="00206A1C" w:rsidRPr="00BC66C6">
        <w:rPr>
          <w:b/>
        </w:rPr>
        <w:t>2</w:t>
      </w:r>
    </w:p>
    <w:p w:rsidR="003A4822" w:rsidRPr="00BC66C6" w:rsidRDefault="003A4822" w:rsidP="00A851D3">
      <w:pPr>
        <w:jc w:val="center"/>
      </w:pPr>
    </w:p>
    <w:p w:rsidR="005308A7" w:rsidRPr="00BC66C6" w:rsidRDefault="003A4822" w:rsidP="005308A7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BC66C6">
        <w:t>k</w:t>
      </w:r>
      <w:r w:rsidR="003028AD" w:rsidRPr="00BC66C6">
        <w:t> </w:t>
      </w:r>
      <w:r w:rsidR="0072422D" w:rsidRPr="00BC66C6">
        <w:t>v</w:t>
      </w:r>
      <w:r w:rsidR="0072422D" w:rsidRPr="00BC66C6">
        <w:rPr>
          <w:shd w:val="clear" w:color="auto" w:fill="FFFFFF"/>
        </w:rPr>
        <w:t xml:space="preserve">ládnemu </w:t>
      </w:r>
      <w:r w:rsidR="00CA047C" w:rsidRPr="00BC66C6">
        <w:rPr>
          <w:shd w:val="clear" w:color="auto" w:fill="FFFFFF"/>
        </w:rPr>
        <w:t>návrhu zákona,</w:t>
      </w:r>
      <w:r w:rsidR="005308A7" w:rsidRPr="00BC66C6">
        <w:rPr>
          <w:shd w:val="clear" w:color="auto" w:fill="FFFFFF"/>
        </w:rPr>
        <w:t xml:space="preserve"> ktorým sa mení a dopĺňa </w:t>
      </w:r>
      <w:r w:rsidR="005308A7" w:rsidRPr="00BC66C6">
        <w:rPr>
          <w:b/>
          <w:shd w:val="clear" w:color="auto" w:fill="FFFFFF"/>
        </w:rPr>
        <w:t xml:space="preserve">zákon č. 404/2011 Z. z. o pobyte cudzincov </w:t>
      </w:r>
      <w:r w:rsidR="005308A7" w:rsidRPr="00BC66C6">
        <w:rPr>
          <w:shd w:val="clear" w:color="auto" w:fill="FFFFFF"/>
        </w:rPr>
        <w:t>a o zmene a doplnení niektorých zákonov v znení neskorších predpisov a ktorým sa menia a dopĺňajú niektoré zákony (tlač 1100)</w:t>
      </w:r>
    </w:p>
    <w:p w:rsidR="009C7847" w:rsidRPr="00BC66C6" w:rsidRDefault="009C7847" w:rsidP="005F4130">
      <w:pPr>
        <w:pStyle w:val="TxBrp1"/>
        <w:tabs>
          <w:tab w:val="left" w:pos="2552"/>
          <w:tab w:val="left" w:pos="3686"/>
        </w:tabs>
        <w:spacing w:line="240" w:lineRule="auto"/>
        <w:ind w:left="0"/>
        <w:rPr>
          <w:sz w:val="24"/>
          <w:shd w:val="clear" w:color="auto" w:fill="FFFFFF"/>
        </w:rPr>
      </w:pPr>
    </w:p>
    <w:p w:rsidR="003028AD" w:rsidRPr="00BC66C6" w:rsidRDefault="003028AD" w:rsidP="00026947">
      <w:pPr>
        <w:jc w:val="both"/>
      </w:pPr>
    </w:p>
    <w:p w:rsidR="001D7A2B" w:rsidRPr="00BC66C6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BC66C6">
        <w:tab/>
      </w:r>
      <w:r w:rsidRPr="00BC66C6">
        <w:rPr>
          <w:b/>
        </w:rPr>
        <w:t>Ústavnoprávny výbor Národnej rady Slovenskej republiky</w:t>
      </w:r>
    </w:p>
    <w:p w:rsidR="001D7A2B" w:rsidRPr="00BC66C6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BC66C6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C66C6">
        <w:rPr>
          <w:b/>
        </w:rPr>
        <w:tab/>
        <w:t>A.   s ú h l a s í</w:t>
      </w:r>
    </w:p>
    <w:p w:rsidR="001D7A2B" w:rsidRPr="00BC66C6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5308A7" w:rsidRPr="00BC66C6" w:rsidRDefault="00E84F94" w:rsidP="005308A7">
      <w:pPr>
        <w:tabs>
          <w:tab w:val="left" w:pos="1276"/>
        </w:tabs>
        <w:jc w:val="both"/>
        <w:rPr>
          <w:shd w:val="clear" w:color="auto" w:fill="FFFFFF"/>
        </w:rPr>
      </w:pPr>
      <w:r w:rsidRPr="00BC66C6">
        <w:tab/>
      </w:r>
      <w:r w:rsidR="003A4822" w:rsidRPr="00BC66C6">
        <w:t>s</w:t>
      </w:r>
      <w:r w:rsidR="0072422D" w:rsidRPr="00BC66C6">
        <w:t xml:space="preserve"> vládnym </w:t>
      </w:r>
      <w:r w:rsidR="003D53DC" w:rsidRPr="00BC66C6">
        <w:rPr>
          <w:shd w:val="clear" w:color="auto" w:fill="FFFFFF"/>
        </w:rPr>
        <w:t xml:space="preserve">návrhom </w:t>
      </w:r>
      <w:r w:rsidR="00CA047C" w:rsidRPr="00BC66C6">
        <w:rPr>
          <w:shd w:val="clear" w:color="auto" w:fill="FFFFFF"/>
        </w:rPr>
        <w:t xml:space="preserve">zákona, </w:t>
      </w:r>
      <w:r w:rsidR="005308A7" w:rsidRPr="00BC66C6">
        <w:rPr>
          <w:shd w:val="clear" w:color="auto" w:fill="FFFFFF"/>
        </w:rPr>
        <w:t>ktorým sa mení a dopĺňa zákon č. 404/2011 Z. z. o pobyte cudzincov a o zmene a doplnení niektorých zákonov v znení neskorších predpisov a ktorým sa menia a dopĺňajú niektoré zákony (tlač 1100);</w:t>
      </w:r>
    </w:p>
    <w:p w:rsidR="00B32539" w:rsidRPr="00BC66C6" w:rsidRDefault="00B3253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:rsidR="001D7A2B" w:rsidRPr="00BC66C6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C66C6">
        <w:tab/>
      </w:r>
      <w:r w:rsidRPr="00BC66C6">
        <w:tab/>
      </w:r>
      <w:r w:rsidR="001D7A2B" w:rsidRPr="00BC66C6">
        <w:rPr>
          <w:b/>
        </w:rPr>
        <w:t>B.  o d p o r ú č a</w:t>
      </w:r>
    </w:p>
    <w:p w:rsidR="001D7A2B" w:rsidRPr="00BC66C6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BC66C6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C66C6">
        <w:rPr>
          <w:b/>
        </w:rPr>
        <w:tab/>
      </w:r>
      <w:r w:rsidRPr="00BC66C6">
        <w:rPr>
          <w:b/>
        </w:rPr>
        <w:tab/>
      </w:r>
      <w:r w:rsidRPr="00BC66C6">
        <w:rPr>
          <w:b/>
        </w:rPr>
        <w:tab/>
        <w:t xml:space="preserve">    </w:t>
      </w:r>
      <w:r w:rsidRPr="00BC66C6">
        <w:t>Národnej rade Slovenskej republiky</w:t>
      </w:r>
    </w:p>
    <w:p w:rsidR="001D7A2B" w:rsidRPr="00BC66C6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BC66C6" w:rsidRDefault="00E84F94" w:rsidP="006C425B">
      <w:pPr>
        <w:tabs>
          <w:tab w:val="left" w:pos="1276"/>
        </w:tabs>
        <w:jc w:val="both"/>
        <w:rPr>
          <w:shd w:val="clear" w:color="auto" w:fill="FFFFFF"/>
        </w:rPr>
      </w:pPr>
      <w:r w:rsidRPr="00BC66C6">
        <w:rPr>
          <w:rFonts w:cs="Arial"/>
          <w:noProof/>
        </w:rPr>
        <w:tab/>
      </w:r>
      <w:r w:rsidR="0072422D" w:rsidRPr="00BC66C6">
        <w:rPr>
          <w:rFonts w:cs="Arial"/>
          <w:noProof/>
        </w:rPr>
        <w:t xml:space="preserve">vládny </w:t>
      </w:r>
      <w:r w:rsidR="0075072F" w:rsidRPr="00BC66C6">
        <w:rPr>
          <w:rFonts w:cs="Arial"/>
          <w:noProof/>
        </w:rPr>
        <w:t>návrh</w:t>
      </w:r>
      <w:r w:rsidR="0072422D" w:rsidRPr="00BC66C6">
        <w:rPr>
          <w:rFonts w:cs="Arial"/>
          <w:noProof/>
        </w:rPr>
        <w:t xml:space="preserve"> </w:t>
      </w:r>
      <w:r w:rsidR="0072422D" w:rsidRPr="00BC66C6">
        <w:rPr>
          <w:shd w:val="clear" w:color="auto" w:fill="FFFFFF"/>
        </w:rPr>
        <w:t>zákona</w:t>
      </w:r>
      <w:r w:rsidR="009F4197" w:rsidRPr="00BC66C6">
        <w:rPr>
          <w:shd w:val="clear" w:color="auto" w:fill="FFFFFF"/>
        </w:rPr>
        <w:t>,</w:t>
      </w:r>
      <w:r w:rsidR="00057EDA" w:rsidRPr="00BC66C6">
        <w:rPr>
          <w:shd w:val="clear" w:color="auto" w:fill="FFFFFF"/>
        </w:rPr>
        <w:t xml:space="preserve"> </w:t>
      </w:r>
      <w:r w:rsidR="006C425B" w:rsidRPr="00BC66C6">
        <w:rPr>
          <w:shd w:val="clear" w:color="auto" w:fill="FFFFFF"/>
        </w:rPr>
        <w:t xml:space="preserve">ktorým sa mení a dopĺňa zákon č. 404/2011 Z. z. o pobyte cudzincov a o zmene a doplnení niektorých zákonov v znení neskorších predpisov a ktorým sa menia a dopĺňajú niektoré zákony (tlač 1100) </w:t>
      </w:r>
      <w:r w:rsidR="001D7A2B" w:rsidRPr="00BC66C6">
        <w:rPr>
          <w:b/>
          <w:bCs/>
        </w:rPr>
        <w:t>schváliť</w:t>
      </w:r>
      <w:r w:rsidR="001D7A2B" w:rsidRPr="00BC66C6">
        <w:rPr>
          <w:bCs/>
        </w:rPr>
        <w:t xml:space="preserve"> so zmenami a doplnkami uvedenými v prílohe tohto uznesenia; </w:t>
      </w:r>
    </w:p>
    <w:p w:rsidR="001A6FD1" w:rsidRPr="00BC66C6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BC66C6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BC66C6">
        <w:rPr>
          <w:b/>
        </w:rPr>
        <w:t> C.</w:t>
      </w:r>
      <w:r w:rsidRPr="00BC66C6">
        <w:rPr>
          <w:b/>
        </w:rPr>
        <w:tab/>
        <w:t>p o v e r u j e</w:t>
      </w:r>
    </w:p>
    <w:p w:rsidR="001D7A2B" w:rsidRPr="00BC66C6" w:rsidRDefault="001D7A2B" w:rsidP="001D7A2B">
      <w:pPr>
        <w:pStyle w:val="Zkladntext"/>
        <w:tabs>
          <w:tab w:val="left" w:pos="1134"/>
          <w:tab w:val="left" w:pos="1276"/>
        </w:tabs>
      </w:pPr>
      <w:r w:rsidRPr="00BC66C6">
        <w:tab/>
      </w:r>
    </w:p>
    <w:p w:rsidR="001D7A2B" w:rsidRPr="00BC66C6" w:rsidRDefault="001D7A2B" w:rsidP="001D7A2B">
      <w:pPr>
        <w:pStyle w:val="Zkladntext"/>
        <w:tabs>
          <w:tab w:val="left" w:pos="1134"/>
          <w:tab w:val="left" w:pos="1276"/>
        </w:tabs>
      </w:pPr>
      <w:r w:rsidRPr="00BC66C6">
        <w:tab/>
      </w:r>
      <w:bookmarkStart w:id="2" w:name="_Hlk53657173"/>
      <w:r w:rsidRPr="00BC66C6">
        <w:t xml:space="preserve">predsedu výboru </w:t>
      </w:r>
    </w:p>
    <w:p w:rsidR="001D7A2B" w:rsidRPr="00BC66C6" w:rsidRDefault="001D7A2B" w:rsidP="001D7A2B">
      <w:pPr>
        <w:pStyle w:val="Zkladntext"/>
        <w:tabs>
          <w:tab w:val="left" w:pos="1134"/>
          <w:tab w:val="left" w:pos="1276"/>
        </w:tabs>
      </w:pPr>
    </w:p>
    <w:p w:rsidR="00DC788B" w:rsidRPr="00BC66C6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BC66C6">
        <w:t xml:space="preserve">predložiť stanovisko výboru k uvedenému návrhu zákona predsedovi gestorského Výboru Národnej rady Slovenskej republiky </w:t>
      </w:r>
      <w:r w:rsidR="002600D3" w:rsidRPr="00BC66C6">
        <w:t>pre</w:t>
      </w:r>
      <w:r w:rsidR="009F4197" w:rsidRPr="00BC66C6">
        <w:t xml:space="preserve"> </w:t>
      </w:r>
      <w:r w:rsidR="0005798C" w:rsidRPr="00BC66C6">
        <w:t xml:space="preserve">obranu a bezpečnosť. </w:t>
      </w:r>
      <w:bookmarkEnd w:id="2"/>
    </w:p>
    <w:p w:rsidR="0072422D" w:rsidRPr="00BC66C6" w:rsidRDefault="0072422D" w:rsidP="001D7A2B">
      <w:pPr>
        <w:pStyle w:val="Zkladntext"/>
        <w:tabs>
          <w:tab w:val="left" w:pos="1134"/>
          <w:tab w:val="left" w:pos="1276"/>
        </w:tabs>
      </w:pPr>
    </w:p>
    <w:p w:rsidR="00512920" w:rsidRPr="00BC66C6" w:rsidRDefault="00512920" w:rsidP="001D7A2B">
      <w:pPr>
        <w:pStyle w:val="Zkladntext"/>
        <w:tabs>
          <w:tab w:val="left" w:pos="1134"/>
          <w:tab w:val="left" w:pos="1276"/>
        </w:tabs>
      </w:pPr>
    </w:p>
    <w:p w:rsidR="005F4130" w:rsidRPr="00BC66C6" w:rsidRDefault="005F4130" w:rsidP="001D7A2B">
      <w:pPr>
        <w:pStyle w:val="Zkladntext"/>
        <w:tabs>
          <w:tab w:val="left" w:pos="1134"/>
          <w:tab w:val="left" w:pos="1276"/>
        </w:tabs>
      </w:pPr>
    </w:p>
    <w:p w:rsidR="005F4130" w:rsidRPr="00BC66C6" w:rsidRDefault="005F4130" w:rsidP="001D7A2B">
      <w:pPr>
        <w:pStyle w:val="Zkladntext"/>
        <w:tabs>
          <w:tab w:val="left" w:pos="1134"/>
          <w:tab w:val="left" w:pos="1276"/>
        </w:tabs>
      </w:pPr>
    </w:p>
    <w:p w:rsidR="00910948" w:rsidRPr="00BC66C6" w:rsidRDefault="00910948" w:rsidP="001D7A2B">
      <w:pPr>
        <w:pStyle w:val="Zkladntext"/>
        <w:tabs>
          <w:tab w:val="left" w:pos="1134"/>
          <w:tab w:val="left" w:pos="1276"/>
        </w:tabs>
      </w:pPr>
    </w:p>
    <w:p w:rsidR="001D7A2B" w:rsidRPr="00BC66C6" w:rsidRDefault="001D7A2B" w:rsidP="001D7A2B">
      <w:pPr>
        <w:jc w:val="both"/>
        <w:rPr>
          <w:rFonts w:ascii="AT*Toronto" w:hAnsi="AT*Toronto"/>
        </w:rPr>
      </w:pPr>
      <w:r w:rsidRPr="00BC66C6">
        <w:tab/>
      </w:r>
      <w:r w:rsidRPr="00BC66C6">
        <w:tab/>
      </w:r>
      <w:r w:rsidRPr="00BC66C6">
        <w:tab/>
      </w:r>
      <w:r w:rsidRPr="00BC66C6">
        <w:tab/>
      </w:r>
      <w:r w:rsidRPr="00BC66C6">
        <w:tab/>
      </w:r>
      <w:r w:rsidRPr="00BC66C6">
        <w:tab/>
      </w:r>
      <w:r w:rsidRPr="00BC66C6">
        <w:tab/>
      </w:r>
      <w:r w:rsidRPr="00BC66C6">
        <w:tab/>
      </w:r>
      <w:r w:rsidRPr="00BC66C6">
        <w:tab/>
        <w:t xml:space="preserve">           Milan Vetrák </w:t>
      </w:r>
    </w:p>
    <w:p w:rsidR="001D7A2B" w:rsidRPr="00BC66C6" w:rsidRDefault="001D7A2B" w:rsidP="001D7A2B">
      <w:pPr>
        <w:ind w:left="5664" w:firstLine="708"/>
        <w:jc w:val="both"/>
      </w:pPr>
      <w:r w:rsidRPr="00BC66C6">
        <w:t xml:space="preserve">         predseda výboru</w:t>
      </w:r>
    </w:p>
    <w:p w:rsidR="001D7A2B" w:rsidRPr="00BC66C6" w:rsidRDefault="001D7A2B" w:rsidP="001D7A2B">
      <w:pPr>
        <w:tabs>
          <w:tab w:val="left" w:pos="1021"/>
        </w:tabs>
        <w:jc w:val="both"/>
      </w:pPr>
      <w:r w:rsidRPr="00BC66C6">
        <w:t>overovatelia výboru:</w:t>
      </w:r>
    </w:p>
    <w:p w:rsidR="0072422D" w:rsidRPr="00BC66C6" w:rsidRDefault="0072422D" w:rsidP="002A61CE">
      <w:pPr>
        <w:tabs>
          <w:tab w:val="left" w:pos="1021"/>
        </w:tabs>
        <w:jc w:val="both"/>
      </w:pPr>
      <w:r w:rsidRPr="00BC66C6">
        <w:t>Lukáš Kyselica</w:t>
      </w:r>
    </w:p>
    <w:p w:rsidR="002A61CE" w:rsidRPr="00BC66C6" w:rsidRDefault="002A61CE" w:rsidP="002A61CE">
      <w:pPr>
        <w:tabs>
          <w:tab w:val="left" w:pos="1021"/>
        </w:tabs>
        <w:jc w:val="both"/>
      </w:pPr>
      <w:r w:rsidRPr="00BC66C6">
        <w:t xml:space="preserve">Matúš Šutaj Eštok </w:t>
      </w:r>
    </w:p>
    <w:p w:rsidR="00DB4E77" w:rsidRPr="00BC66C6" w:rsidRDefault="00DB4E77" w:rsidP="002A61CE">
      <w:pPr>
        <w:tabs>
          <w:tab w:val="left" w:pos="1021"/>
        </w:tabs>
        <w:jc w:val="both"/>
      </w:pPr>
    </w:p>
    <w:p w:rsidR="001D7A2B" w:rsidRPr="00BC66C6" w:rsidRDefault="001D7A2B" w:rsidP="001D7A2B">
      <w:pPr>
        <w:pStyle w:val="Nadpis2"/>
        <w:jc w:val="left"/>
      </w:pPr>
      <w:r w:rsidRPr="00BC66C6">
        <w:t>P r í l o h a</w:t>
      </w:r>
    </w:p>
    <w:p w:rsidR="001D7A2B" w:rsidRPr="00BC66C6" w:rsidRDefault="001D7A2B" w:rsidP="001D7A2B">
      <w:pPr>
        <w:ind w:left="4253" w:firstLine="708"/>
        <w:jc w:val="both"/>
        <w:rPr>
          <w:b/>
          <w:bCs/>
        </w:rPr>
      </w:pPr>
      <w:r w:rsidRPr="00BC66C6">
        <w:rPr>
          <w:b/>
          <w:bCs/>
        </w:rPr>
        <w:t xml:space="preserve">k uzneseniu Ústavnoprávneho </w:t>
      </w:r>
    </w:p>
    <w:p w:rsidR="001D7A2B" w:rsidRPr="00BC66C6" w:rsidRDefault="001D7A2B" w:rsidP="001D7A2B">
      <w:pPr>
        <w:ind w:left="4253" w:firstLine="708"/>
        <w:jc w:val="both"/>
        <w:rPr>
          <w:b/>
        </w:rPr>
      </w:pPr>
      <w:r w:rsidRPr="00BC66C6">
        <w:rPr>
          <w:b/>
        </w:rPr>
        <w:t xml:space="preserve">výboru Národnej rady SR č. </w:t>
      </w:r>
      <w:r w:rsidR="00645E03" w:rsidRPr="00BC66C6">
        <w:rPr>
          <w:b/>
        </w:rPr>
        <w:t>572</w:t>
      </w:r>
    </w:p>
    <w:p w:rsidR="001D7A2B" w:rsidRPr="00BC66C6" w:rsidRDefault="001D7A2B" w:rsidP="001D7A2B">
      <w:pPr>
        <w:ind w:left="4253" w:firstLine="708"/>
        <w:jc w:val="both"/>
        <w:rPr>
          <w:b/>
        </w:rPr>
      </w:pPr>
      <w:r w:rsidRPr="00BC66C6">
        <w:rPr>
          <w:b/>
        </w:rPr>
        <w:t>z</w:t>
      </w:r>
      <w:r w:rsidR="00F65FB3" w:rsidRPr="00BC66C6">
        <w:rPr>
          <w:b/>
        </w:rPr>
        <w:t> 13.</w:t>
      </w:r>
      <w:r w:rsidR="009F4197" w:rsidRPr="00BC66C6">
        <w:rPr>
          <w:b/>
        </w:rPr>
        <w:t xml:space="preserve"> októbra</w:t>
      </w:r>
      <w:r w:rsidR="005F296F" w:rsidRPr="00BC66C6">
        <w:rPr>
          <w:b/>
        </w:rPr>
        <w:t xml:space="preserve"> </w:t>
      </w:r>
      <w:r w:rsidR="00553129" w:rsidRPr="00BC66C6">
        <w:rPr>
          <w:b/>
        </w:rPr>
        <w:t>2022</w:t>
      </w:r>
    </w:p>
    <w:p w:rsidR="001D7A2B" w:rsidRPr="00BC66C6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BC66C6">
        <w:rPr>
          <w:b/>
          <w:bCs/>
        </w:rPr>
        <w:t>___________________________</w:t>
      </w:r>
      <w:r w:rsidR="00601F04" w:rsidRPr="00BC66C6">
        <w:rPr>
          <w:b/>
          <w:bCs/>
        </w:rPr>
        <w:t>_</w:t>
      </w:r>
    </w:p>
    <w:p w:rsidR="001D7A2B" w:rsidRPr="00BC66C6" w:rsidRDefault="001D7A2B" w:rsidP="001D7A2B">
      <w:pPr>
        <w:jc w:val="center"/>
        <w:rPr>
          <w:lang w:eastAsia="en-US"/>
        </w:rPr>
      </w:pPr>
    </w:p>
    <w:p w:rsidR="001D7A2B" w:rsidRPr="00BC66C6" w:rsidRDefault="001D7A2B" w:rsidP="001D7A2B">
      <w:pPr>
        <w:jc w:val="center"/>
        <w:rPr>
          <w:lang w:eastAsia="en-US"/>
        </w:rPr>
      </w:pPr>
    </w:p>
    <w:p w:rsidR="00DB3702" w:rsidRPr="00BC66C6" w:rsidRDefault="00DB3702" w:rsidP="001D7A2B">
      <w:pPr>
        <w:rPr>
          <w:lang w:eastAsia="en-US"/>
        </w:rPr>
      </w:pPr>
    </w:p>
    <w:p w:rsidR="001D7A2B" w:rsidRPr="00BC66C6" w:rsidRDefault="001D7A2B" w:rsidP="001D7A2B">
      <w:pPr>
        <w:rPr>
          <w:lang w:eastAsia="en-US"/>
        </w:rPr>
      </w:pPr>
    </w:p>
    <w:p w:rsidR="001D7A2B" w:rsidRPr="00BC66C6" w:rsidRDefault="001D7A2B" w:rsidP="001D7A2B">
      <w:pPr>
        <w:pStyle w:val="Nadpis2"/>
        <w:ind w:left="0" w:firstLine="0"/>
        <w:jc w:val="center"/>
      </w:pPr>
      <w:r w:rsidRPr="00BC66C6">
        <w:t>Pozmeňujúce a doplňujúce návrhy</w:t>
      </w:r>
    </w:p>
    <w:p w:rsidR="001D7A2B" w:rsidRPr="00BC66C6" w:rsidRDefault="001D7A2B" w:rsidP="001D7A2B">
      <w:pPr>
        <w:tabs>
          <w:tab w:val="left" w:pos="1021"/>
        </w:tabs>
        <w:jc w:val="both"/>
        <w:rPr>
          <w:b/>
        </w:rPr>
      </w:pPr>
    </w:p>
    <w:p w:rsidR="00E4452B" w:rsidRPr="00BC66C6" w:rsidRDefault="005F296F" w:rsidP="00E4452B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BC66C6">
        <w:rPr>
          <w:b/>
        </w:rPr>
        <w:t>k v</w:t>
      </w:r>
      <w:r w:rsidRPr="00BC66C6">
        <w:rPr>
          <w:b/>
          <w:shd w:val="clear" w:color="auto" w:fill="FFFFFF"/>
        </w:rPr>
        <w:t>ládnemu návrhu zákona</w:t>
      </w:r>
      <w:r w:rsidR="009F4197" w:rsidRPr="00BC66C6">
        <w:rPr>
          <w:b/>
          <w:shd w:val="clear" w:color="auto" w:fill="FFFFFF"/>
        </w:rPr>
        <w:t>,</w:t>
      </w:r>
      <w:r w:rsidR="00957BE3" w:rsidRPr="00BC66C6">
        <w:rPr>
          <w:b/>
          <w:shd w:val="clear" w:color="auto" w:fill="FFFFFF"/>
        </w:rPr>
        <w:t xml:space="preserve"> </w:t>
      </w:r>
      <w:r w:rsidR="00E4452B" w:rsidRPr="00BC66C6">
        <w:rPr>
          <w:b/>
          <w:shd w:val="clear" w:color="auto" w:fill="FFFFFF"/>
        </w:rPr>
        <w:t>ktorým sa mení a dopĺňa zákon č. 404/2011 Z. z. o pobyte cudzincov a o zmene a doplnení niektorých zákonov v znení neskorších predpisov a ktorým sa menia a dopĺňajú niektoré zákony (tlač 1100)</w:t>
      </w:r>
    </w:p>
    <w:p w:rsidR="001D7A2B" w:rsidRPr="00BC66C6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BC66C6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BC66C6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645E03" w:rsidRPr="00BC66C6" w:rsidRDefault="00645E03" w:rsidP="00645E03">
      <w:pPr>
        <w:spacing w:before="120" w:line="360" w:lineRule="auto"/>
        <w:jc w:val="both"/>
        <w:rPr>
          <w:u w:val="single"/>
        </w:rPr>
      </w:pPr>
      <w:r w:rsidRPr="00BC66C6">
        <w:rPr>
          <w:u w:val="single"/>
        </w:rPr>
        <w:t>K čl. I</w:t>
      </w:r>
    </w:p>
    <w:p w:rsidR="00C05E8A" w:rsidRPr="00BC66C6" w:rsidRDefault="00C05E8A" w:rsidP="00E64FFF">
      <w:pPr>
        <w:spacing w:line="360" w:lineRule="auto"/>
        <w:jc w:val="both"/>
        <w:rPr>
          <w:u w:val="single"/>
        </w:rPr>
      </w:pPr>
    </w:p>
    <w:p w:rsidR="00645E03" w:rsidRPr="00BC66C6" w:rsidRDefault="00645E03" w:rsidP="00645E03">
      <w:pPr>
        <w:spacing w:line="360" w:lineRule="auto"/>
        <w:jc w:val="both"/>
      </w:pPr>
      <w:r w:rsidRPr="00BC66C6">
        <w:t>1. V čl. I 23. bod [§ 44 ods. 1 písm. f)] a 34. bod § [83 ods. 3 písm. h)] sa slová „na konci pripája“ nahrádzajú slovami „na konci bodka nahrádza čiarkou a pripája sa“.</w:t>
      </w:r>
    </w:p>
    <w:p w:rsidR="00645E03" w:rsidRPr="00BC66C6" w:rsidRDefault="00645E03" w:rsidP="00645E03">
      <w:pPr>
        <w:spacing w:line="360" w:lineRule="auto"/>
        <w:jc w:val="both"/>
      </w:pPr>
    </w:p>
    <w:p w:rsidR="00645E03" w:rsidRPr="00BC66C6" w:rsidRDefault="00645E03" w:rsidP="00645E03">
      <w:pPr>
        <w:spacing w:line="360" w:lineRule="auto"/>
        <w:ind w:left="4247"/>
        <w:contextualSpacing/>
        <w:jc w:val="both"/>
      </w:pPr>
      <w:r w:rsidRPr="00BC66C6">
        <w:t xml:space="preserve">Ide o legislatívno-technickú úpravu. </w:t>
      </w:r>
    </w:p>
    <w:p w:rsidR="00645E03" w:rsidRPr="00BC66C6" w:rsidRDefault="00645E03" w:rsidP="00645E03">
      <w:pPr>
        <w:spacing w:line="360" w:lineRule="auto"/>
        <w:ind w:left="4247"/>
        <w:contextualSpacing/>
        <w:jc w:val="both"/>
      </w:pPr>
    </w:p>
    <w:p w:rsidR="00645E03" w:rsidRPr="00BC66C6" w:rsidRDefault="00645E03" w:rsidP="00645E03">
      <w:pPr>
        <w:spacing w:line="360" w:lineRule="auto"/>
        <w:jc w:val="both"/>
      </w:pPr>
      <w:r w:rsidRPr="00BC66C6">
        <w:t>2. V čl. I sa 26. bod vypúšťa.</w:t>
      </w:r>
    </w:p>
    <w:p w:rsidR="00645E03" w:rsidRPr="00BC66C6" w:rsidRDefault="00645E03" w:rsidP="00645E03">
      <w:pPr>
        <w:ind w:left="4247"/>
        <w:contextualSpacing/>
        <w:jc w:val="both"/>
      </w:pPr>
      <w:r w:rsidRPr="00BC66C6">
        <w:t>Ide o legislatívno-technickú úpravu, ktorou sa vypúšťa 26. bod z dôvodu jeho nadbytočnosti, keďže v 56. bode je navrhovaná rovnaká úprava, vzťahujúca sa  na celý text zákona.</w:t>
      </w:r>
    </w:p>
    <w:p w:rsidR="00645E03" w:rsidRPr="00BC66C6" w:rsidRDefault="00645E03" w:rsidP="00645E03">
      <w:pPr>
        <w:spacing w:line="360" w:lineRule="auto"/>
        <w:jc w:val="both"/>
        <w:rPr>
          <w:strike/>
        </w:rPr>
      </w:pPr>
    </w:p>
    <w:p w:rsidR="00645E03" w:rsidRPr="00BC66C6" w:rsidRDefault="00645E03" w:rsidP="00645E03">
      <w:pPr>
        <w:spacing w:line="360" w:lineRule="auto"/>
        <w:jc w:val="both"/>
      </w:pPr>
      <w:r w:rsidRPr="00BC66C6">
        <w:t>3.</w:t>
      </w:r>
      <w:r w:rsidR="00944893" w:rsidRPr="00BC66C6">
        <w:t xml:space="preserve"> </w:t>
      </w:r>
      <w:r w:rsidRPr="00BC66C6">
        <w:t>V čl. I 35. bod  § 83 ods. 3 písm. i) sa slová „s vydaným rozhodnutím“ nahrádzajú slovami „na základe rozhodnutia“.</w:t>
      </w:r>
    </w:p>
    <w:p w:rsidR="00645E03" w:rsidRPr="00BC66C6" w:rsidRDefault="00645E03" w:rsidP="00645E03">
      <w:pPr>
        <w:ind w:left="4248"/>
        <w:jc w:val="both"/>
      </w:pPr>
      <w:r w:rsidRPr="00BC66C6">
        <w:t xml:space="preserve">Ide o gramatickú úpravu, ktorou sa ozrejmuje, že nežiaduca osoba opustila územie členských štátov na základe rozhodnutia o vyhostení bez zákazu vstupu. </w:t>
      </w:r>
    </w:p>
    <w:p w:rsidR="00645E03" w:rsidRPr="00BC66C6" w:rsidRDefault="00645E03" w:rsidP="00645E03">
      <w:pPr>
        <w:spacing w:line="360" w:lineRule="auto"/>
        <w:ind w:left="142"/>
        <w:jc w:val="both"/>
      </w:pPr>
    </w:p>
    <w:p w:rsidR="00645E03" w:rsidRPr="00BC66C6" w:rsidRDefault="00645E03" w:rsidP="00645E03">
      <w:pPr>
        <w:spacing w:line="360" w:lineRule="auto"/>
        <w:jc w:val="both"/>
      </w:pPr>
      <w:r w:rsidRPr="00BC66C6">
        <w:t>4. V čl. I 36. bod § 83 ods. 10 sa slová „iného členského štátu“ nahrádzajú slovami „členského štátu“ a slová „inom členskom štáte</w:t>
      </w:r>
      <w:r w:rsidRPr="00BC66C6">
        <w:rPr>
          <w:strike/>
        </w:rPr>
        <w:t>,</w:t>
      </w:r>
      <w:r w:rsidRPr="00BC66C6">
        <w:t>“ sa nahrádzajú slovami „členskom štáte“.</w:t>
      </w:r>
    </w:p>
    <w:p w:rsidR="00645E03" w:rsidRPr="00BC66C6" w:rsidRDefault="00645E03" w:rsidP="00645E03">
      <w:pPr>
        <w:spacing w:line="360" w:lineRule="auto"/>
        <w:jc w:val="both"/>
      </w:pPr>
    </w:p>
    <w:p w:rsidR="00645E03" w:rsidRPr="00BC66C6" w:rsidRDefault="00645E03" w:rsidP="00645E03">
      <w:pPr>
        <w:ind w:left="4247"/>
        <w:contextualSpacing/>
        <w:jc w:val="both"/>
      </w:pPr>
      <w:r w:rsidRPr="00BC66C6">
        <w:t xml:space="preserve">Ide o legislatívno-technickú úpravu, ktorou sa navrhovaná terminológia zosúlaďuje </w:t>
      </w:r>
      <w:r w:rsidRPr="00BC66C6">
        <w:lastRenderedPageBreak/>
        <w:t>s terminológiou upravenou v súčasnom znení § 2 ods. 1 písm. c) kde je zavedený pojem „členský štát“ a rozumejú sa pod ním, okrem iných, aj všetky členské štáty okrem Slovenskej republiky. Pojem „iný členský štát“ súčasné znenie zákona nepozná.</w:t>
      </w:r>
    </w:p>
    <w:p w:rsidR="00645E03" w:rsidRPr="00BC66C6" w:rsidRDefault="00645E03" w:rsidP="00645E03">
      <w:pPr>
        <w:spacing w:line="360" w:lineRule="auto"/>
        <w:ind w:left="4247"/>
        <w:contextualSpacing/>
        <w:jc w:val="both"/>
      </w:pPr>
    </w:p>
    <w:p w:rsidR="00645E03" w:rsidRPr="00BC66C6" w:rsidRDefault="00645E03" w:rsidP="00645E03">
      <w:pPr>
        <w:pStyle w:val="Odsekzoznamu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C66C6">
        <w:rPr>
          <w:rFonts w:ascii="Times New Roman" w:eastAsia="Times New Roman" w:hAnsi="Times New Roman"/>
          <w:sz w:val="24"/>
          <w:szCs w:val="24"/>
        </w:rPr>
        <w:t>5.</w:t>
      </w:r>
      <w:r w:rsidR="00DA57D5" w:rsidRPr="00BC66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66C6">
        <w:rPr>
          <w:rFonts w:ascii="Times New Roman" w:eastAsia="Times New Roman" w:hAnsi="Times New Roman"/>
          <w:sz w:val="24"/>
          <w:szCs w:val="24"/>
        </w:rPr>
        <w:t>V čl. I 36. bod § 83 ods. 10 druhej vete sa za slovami „§ 111 ods. 8.“ vypúšťa bodkočiarka a slová „to neplatí“ sa nahrádzajú slovom „alebo“.</w:t>
      </w:r>
    </w:p>
    <w:p w:rsidR="00944893" w:rsidRPr="00BC66C6" w:rsidRDefault="00944893" w:rsidP="00645E03">
      <w:pPr>
        <w:pStyle w:val="Odsekzoznamu"/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</w:rPr>
      </w:pPr>
    </w:p>
    <w:p w:rsidR="00645E03" w:rsidRPr="00BC66C6" w:rsidRDefault="00645E03" w:rsidP="00645E03">
      <w:pPr>
        <w:pStyle w:val="Odsekzoznamu"/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</w:rPr>
      </w:pPr>
      <w:r w:rsidRPr="00BC66C6">
        <w:rPr>
          <w:rFonts w:ascii="Times New Roman" w:eastAsia="Times New Roman" w:hAnsi="Times New Roman"/>
          <w:sz w:val="24"/>
          <w:szCs w:val="24"/>
        </w:rPr>
        <w:t>Ide o </w:t>
      </w:r>
      <w:proofErr w:type="spellStart"/>
      <w:r w:rsidRPr="00BC66C6">
        <w:rPr>
          <w:rFonts w:ascii="Times New Roman" w:eastAsia="Times New Roman" w:hAnsi="Times New Roman"/>
          <w:sz w:val="24"/>
          <w:szCs w:val="24"/>
        </w:rPr>
        <w:t>zjednoznačnenie</w:t>
      </w:r>
      <w:proofErr w:type="spellEnd"/>
      <w:r w:rsidRPr="00BC66C6">
        <w:rPr>
          <w:rFonts w:ascii="Times New Roman" w:eastAsia="Times New Roman" w:hAnsi="Times New Roman"/>
          <w:sz w:val="24"/>
          <w:szCs w:val="24"/>
        </w:rPr>
        <w:t xml:space="preserve"> navrhovaného ustanovenia, tak aby korešpondovalo s ustanovením  </w:t>
      </w:r>
      <w:r w:rsidRPr="00BC66C6">
        <w:rPr>
          <w:rFonts w:ascii="Times New Roman" w:hAnsi="Times New Roman"/>
          <w:sz w:val="24"/>
          <w:szCs w:val="24"/>
          <w:lang w:eastAsia="sk-SK"/>
        </w:rPr>
        <w:t>čl. 6 ods. 2 smernice 2008/115/ES.</w:t>
      </w:r>
    </w:p>
    <w:p w:rsidR="00645E03" w:rsidRPr="00BC66C6" w:rsidRDefault="00645E03" w:rsidP="00645E03">
      <w:pPr>
        <w:pStyle w:val="Odsekzoznamu"/>
        <w:spacing w:after="0" w:line="36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45E03" w:rsidRPr="00BC66C6" w:rsidRDefault="00645E03" w:rsidP="00645E03">
      <w:pPr>
        <w:spacing w:line="360" w:lineRule="auto"/>
        <w:jc w:val="both"/>
      </w:pPr>
      <w:r w:rsidRPr="00BC66C6">
        <w:t>6. V čl. I 44. bod § 111 ods. 8 sa slová „iného členského štátu“ nahrádzajú slovami „členského štátu“.</w:t>
      </w:r>
    </w:p>
    <w:p w:rsidR="00645E03" w:rsidRPr="00BC66C6" w:rsidRDefault="00645E03" w:rsidP="00645E03">
      <w:pPr>
        <w:ind w:left="4247"/>
        <w:contextualSpacing/>
        <w:jc w:val="both"/>
      </w:pPr>
      <w:r w:rsidRPr="00BC66C6">
        <w:t>Ide o legislatívno-technickú úpravu, ktorou sa navrhovaná terminológia zosúlaďuje s terminológiou v súčasnom znení § 2 ods. 1 písm. c) kde je zavedený pojem „členský štát“ a rozumejú sa pod ním, okrem iných, aj všetky členské štáty okrem Slovenskej republiky. Pojem „iný členský štát“ súčasné znenie zákona nepozná.</w:t>
      </w:r>
    </w:p>
    <w:p w:rsidR="001A5C4C" w:rsidRPr="00BC66C6" w:rsidRDefault="001A5C4C" w:rsidP="00645E03">
      <w:pPr>
        <w:ind w:left="4247"/>
        <w:contextualSpacing/>
        <w:jc w:val="both"/>
      </w:pPr>
    </w:p>
    <w:p w:rsidR="00645E03" w:rsidRPr="00BC66C6" w:rsidRDefault="00645E03" w:rsidP="00645E03">
      <w:pPr>
        <w:spacing w:before="120" w:line="360" w:lineRule="auto"/>
        <w:jc w:val="both"/>
        <w:rPr>
          <w:i/>
          <w:u w:val="single"/>
        </w:rPr>
      </w:pPr>
      <w:r w:rsidRPr="00BC66C6">
        <w:rPr>
          <w:u w:val="single"/>
        </w:rPr>
        <w:t>K čl. II</w:t>
      </w:r>
    </w:p>
    <w:p w:rsidR="00645E03" w:rsidRPr="00BC66C6" w:rsidRDefault="00645E03" w:rsidP="00645E03">
      <w:pPr>
        <w:spacing w:line="360" w:lineRule="auto"/>
        <w:jc w:val="both"/>
      </w:pPr>
      <w:r w:rsidRPr="00BC66C6">
        <w:t xml:space="preserve">7. V čl. II 2. bod </w:t>
      </w:r>
      <w:r w:rsidRPr="00BC66C6">
        <w:rPr>
          <w:rFonts w:eastAsia="Calibri"/>
        </w:rPr>
        <w:t xml:space="preserve">v sadzobníku správnych poplatkov časti II. Vnútorná správa položke 24 písmene f) </w:t>
      </w:r>
      <w:r w:rsidRPr="00BC66C6">
        <w:t xml:space="preserve"> prvom bode sa slová „tridsiatich dní“ nahrádzajú slovami „30 dní“ , v druhom bode sa slová „dvoch pracovných dní“ nahrádzajú slovami „2 pracovných dní“ a v písmene g) štvrtom bode sa slová „dvoch pracovných dní“ nahrádzajú slovami „2 pracovných dní“.</w:t>
      </w:r>
    </w:p>
    <w:p w:rsidR="00645E03" w:rsidRPr="00BC66C6" w:rsidRDefault="00645E03" w:rsidP="00645E03">
      <w:pPr>
        <w:spacing w:line="360" w:lineRule="auto"/>
        <w:jc w:val="both"/>
      </w:pPr>
    </w:p>
    <w:p w:rsidR="00645E03" w:rsidRPr="00BC66C6" w:rsidRDefault="00645E03" w:rsidP="00645E03">
      <w:pPr>
        <w:ind w:left="4247"/>
        <w:contextualSpacing/>
        <w:jc w:val="both"/>
      </w:pPr>
      <w:r w:rsidRPr="00BC66C6">
        <w:t>Ide o legislatívno-technickú úpravu, ktorou sa zosúlaďuje navrhované ustanovenie s</w:t>
      </w:r>
      <w:r w:rsidR="00944893" w:rsidRPr="00BC66C6">
        <w:t> </w:t>
      </w:r>
      <w:proofErr w:type="spellStart"/>
      <w:r w:rsidRPr="00BC66C6">
        <w:t>legislatívnotechnickými</w:t>
      </w:r>
      <w:proofErr w:type="spellEnd"/>
      <w:r w:rsidRPr="00BC66C6">
        <w:t xml:space="preserve"> pokynmi (Právny jazyk 6. bod druhá veta), v zmysle ktorých v prípade, ak sa v jednom ustanovení nachádzajú základné číslovky od 1 do 10 a nad 10, tieto sa vypisujú číslicami.</w:t>
      </w:r>
    </w:p>
    <w:p w:rsidR="00645E03" w:rsidRPr="00BC66C6" w:rsidRDefault="00645E03" w:rsidP="00645E03">
      <w:pPr>
        <w:autoSpaceDE w:val="0"/>
        <w:autoSpaceDN w:val="0"/>
        <w:spacing w:line="360" w:lineRule="auto"/>
        <w:jc w:val="both"/>
        <w:rPr>
          <w:rFonts w:eastAsia="Calibri"/>
        </w:rPr>
      </w:pPr>
    </w:p>
    <w:p w:rsidR="001D7A2B" w:rsidRPr="00BC66C6" w:rsidRDefault="001D7A2B" w:rsidP="001D7A2B"/>
    <w:p w:rsidR="00747312" w:rsidRPr="00BC66C6" w:rsidRDefault="00747312"/>
    <w:sectPr w:rsidR="00747312" w:rsidRPr="00BC66C6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0ACD"/>
    <w:rsid w:val="00026256"/>
    <w:rsid w:val="00026947"/>
    <w:rsid w:val="0005798C"/>
    <w:rsid w:val="00057EDA"/>
    <w:rsid w:val="000A0E0D"/>
    <w:rsid w:val="000D0351"/>
    <w:rsid w:val="001208BB"/>
    <w:rsid w:val="00124DE6"/>
    <w:rsid w:val="00182632"/>
    <w:rsid w:val="00194D0C"/>
    <w:rsid w:val="001A5C4C"/>
    <w:rsid w:val="001A6FD1"/>
    <w:rsid w:val="001D141C"/>
    <w:rsid w:val="001D7A2B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3028AD"/>
    <w:rsid w:val="003A4822"/>
    <w:rsid w:val="003B6412"/>
    <w:rsid w:val="003D53DC"/>
    <w:rsid w:val="003E2F0F"/>
    <w:rsid w:val="003F475E"/>
    <w:rsid w:val="003F70FA"/>
    <w:rsid w:val="00426966"/>
    <w:rsid w:val="004533F7"/>
    <w:rsid w:val="004C4F94"/>
    <w:rsid w:val="004E6345"/>
    <w:rsid w:val="004F572F"/>
    <w:rsid w:val="00512920"/>
    <w:rsid w:val="00522BC4"/>
    <w:rsid w:val="005308A7"/>
    <w:rsid w:val="0054340C"/>
    <w:rsid w:val="005512EC"/>
    <w:rsid w:val="00551A91"/>
    <w:rsid w:val="00553129"/>
    <w:rsid w:val="00571F87"/>
    <w:rsid w:val="0058230A"/>
    <w:rsid w:val="005969D0"/>
    <w:rsid w:val="005E547E"/>
    <w:rsid w:val="005F296F"/>
    <w:rsid w:val="005F4130"/>
    <w:rsid w:val="00601F04"/>
    <w:rsid w:val="0060637E"/>
    <w:rsid w:val="00611225"/>
    <w:rsid w:val="00645E03"/>
    <w:rsid w:val="00647C69"/>
    <w:rsid w:val="00654F58"/>
    <w:rsid w:val="00664898"/>
    <w:rsid w:val="006678BC"/>
    <w:rsid w:val="00690E26"/>
    <w:rsid w:val="00693B36"/>
    <w:rsid w:val="006C376D"/>
    <w:rsid w:val="006C425B"/>
    <w:rsid w:val="00722FED"/>
    <w:rsid w:val="0072422D"/>
    <w:rsid w:val="007262C0"/>
    <w:rsid w:val="00733BAE"/>
    <w:rsid w:val="00747312"/>
    <w:rsid w:val="0075072F"/>
    <w:rsid w:val="007A0FC3"/>
    <w:rsid w:val="007C23A2"/>
    <w:rsid w:val="007D2BE9"/>
    <w:rsid w:val="007E610C"/>
    <w:rsid w:val="00801592"/>
    <w:rsid w:val="008417F5"/>
    <w:rsid w:val="00872EDE"/>
    <w:rsid w:val="00880FB3"/>
    <w:rsid w:val="008815FC"/>
    <w:rsid w:val="008D249C"/>
    <w:rsid w:val="008F7799"/>
    <w:rsid w:val="00910948"/>
    <w:rsid w:val="00944893"/>
    <w:rsid w:val="00945F50"/>
    <w:rsid w:val="00957BE3"/>
    <w:rsid w:val="00992714"/>
    <w:rsid w:val="009B44D0"/>
    <w:rsid w:val="009C7847"/>
    <w:rsid w:val="009F4003"/>
    <w:rsid w:val="009F4197"/>
    <w:rsid w:val="00A44CB4"/>
    <w:rsid w:val="00A851D3"/>
    <w:rsid w:val="00AA3E6B"/>
    <w:rsid w:val="00AB6969"/>
    <w:rsid w:val="00AC34B0"/>
    <w:rsid w:val="00AD59C6"/>
    <w:rsid w:val="00B30B03"/>
    <w:rsid w:val="00B32539"/>
    <w:rsid w:val="00B908DF"/>
    <w:rsid w:val="00B92945"/>
    <w:rsid w:val="00BB29B3"/>
    <w:rsid w:val="00BC66C6"/>
    <w:rsid w:val="00BD5E48"/>
    <w:rsid w:val="00BE0D8A"/>
    <w:rsid w:val="00C03F9E"/>
    <w:rsid w:val="00C05E8A"/>
    <w:rsid w:val="00C10EEA"/>
    <w:rsid w:val="00C4621B"/>
    <w:rsid w:val="00CA047C"/>
    <w:rsid w:val="00CF53B8"/>
    <w:rsid w:val="00D07A2D"/>
    <w:rsid w:val="00D21A79"/>
    <w:rsid w:val="00D3302C"/>
    <w:rsid w:val="00D65C26"/>
    <w:rsid w:val="00D9721A"/>
    <w:rsid w:val="00DA57D5"/>
    <w:rsid w:val="00DB1AA1"/>
    <w:rsid w:val="00DB3702"/>
    <w:rsid w:val="00DB4E77"/>
    <w:rsid w:val="00DB7AD2"/>
    <w:rsid w:val="00DC788B"/>
    <w:rsid w:val="00DE6504"/>
    <w:rsid w:val="00E0027B"/>
    <w:rsid w:val="00E075CA"/>
    <w:rsid w:val="00E12F77"/>
    <w:rsid w:val="00E4452B"/>
    <w:rsid w:val="00E64FFF"/>
    <w:rsid w:val="00E66CB2"/>
    <w:rsid w:val="00E84F94"/>
    <w:rsid w:val="00EA2062"/>
    <w:rsid w:val="00EF1207"/>
    <w:rsid w:val="00EF2687"/>
    <w:rsid w:val="00F31B94"/>
    <w:rsid w:val="00F65FB3"/>
    <w:rsid w:val="00F77F33"/>
    <w:rsid w:val="00F80EE5"/>
    <w:rsid w:val="00FA4E3D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5C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C4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94</cp:revision>
  <cp:lastPrinted>2022-10-11T14:45:00Z</cp:lastPrinted>
  <dcterms:created xsi:type="dcterms:W3CDTF">2021-11-07T15:37:00Z</dcterms:created>
  <dcterms:modified xsi:type="dcterms:W3CDTF">2022-10-11T14:47:00Z</dcterms:modified>
</cp:coreProperties>
</file>