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0DC98" w14:textId="77777777" w:rsidR="00A4475F" w:rsidRDefault="00A4475F" w:rsidP="00A4475F">
      <w:pPr>
        <w:spacing w:after="0" w:line="240" w:lineRule="auto"/>
        <w:jc w:val="center"/>
        <w:rPr>
          <w:rFonts w:ascii="Times New Roman" w:hAnsi="Times New Roman"/>
          <w:b/>
          <w:caps/>
          <w:spacing w:val="30"/>
          <w:sz w:val="24"/>
          <w:szCs w:val="24"/>
        </w:rPr>
      </w:pPr>
      <w:r>
        <w:rPr>
          <w:rFonts w:ascii="Times New Roman" w:hAnsi="Times New Roman"/>
          <w:b/>
          <w:caps/>
          <w:spacing w:val="30"/>
          <w:sz w:val="24"/>
          <w:szCs w:val="24"/>
        </w:rPr>
        <w:t>Dôvodová správA</w:t>
      </w:r>
    </w:p>
    <w:p w14:paraId="14AB668C" w14:textId="77777777" w:rsidR="00A4475F" w:rsidRPr="00DE1085" w:rsidRDefault="00A4475F" w:rsidP="00A4475F">
      <w:pPr>
        <w:spacing w:after="0" w:line="240" w:lineRule="auto"/>
        <w:jc w:val="center"/>
        <w:rPr>
          <w:rFonts w:ascii="Times New Roman" w:hAnsi="Times New Roman"/>
          <w:b/>
          <w:caps/>
          <w:spacing w:val="30"/>
          <w:sz w:val="24"/>
          <w:szCs w:val="24"/>
        </w:rPr>
      </w:pPr>
    </w:p>
    <w:p w14:paraId="0E89CC99" w14:textId="77777777" w:rsidR="00A4475F" w:rsidRPr="00DE1085" w:rsidRDefault="00A4475F" w:rsidP="00A4475F">
      <w:pPr>
        <w:pStyle w:val="Odsekzoznamu1"/>
        <w:numPr>
          <w:ilvl w:val="0"/>
          <w:numId w:val="1"/>
        </w:numPr>
        <w:spacing w:after="0" w:line="240" w:lineRule="auto"/>
        <w:jc w:val="both"/>
        <w:rPr>
          <w:rFonts w:ascii="Times New Roman" w:hAnsi="Times New Roman"/>
          <w:b/>
          <w:sz w:val="24"/>
          <w:szCs w:val="24"/>
        </w:rPr>
      </w:pPr>
      <w:r w:rsidRPr="00DE1085">
        <w:rPr>
          <w:rFonts w:ascii="Times New Roman" w:hAnsi="Times New Roman"/>
          <w:b/>
          <w:sz w:val="24"/>
          <w:szCs w:val="24"/>
        </w:rPr>
        <w:t xml:space="preserve">Všeobecná časť </w:t>
      </w:r>
    </w:p>
    <w:p w14:paraId="67BEAB65" w14:textId="6625CF4A" w:rsidR="00780F44" w:rsidRDefault="003B4B83" w:rsidP="00780F44">
      <w:pPr>
        <w:pStyle w:val="Normlnywebov"/>
        <w:spacing w:after="0"/>
        <w:ind w:firstLine="567"/>
        <w:contextualSpacing/>
        <w:jc w:val="both"/>
      </w:pPr>
      <w:r>
        <w:t>Vláda</w:t>
      </w:r>
      <w:r w:rsidR="00780F44">
        <w:t xml:space="preserve"> Slovenskej republiky predkladá návrh zákona, k</w:t>
      </w:r>
      <w:r>
        <w:t>torým sa mení a dopĺňa zákon č. </w:t>
      </w:r>
      <w:r w:rsidR="00780F44">
        <w:t>280/2017 Z. z. o poskytovaní podpory a dotácie v pôdohos</w:t>
      </w:r>
      <w:r>
        <w:t>podárstve a rozvoji vidieka a o </w:t>
      </w:r>
      <w:r w:rsidR="00780F44">
        <w:t>zmene zákona č. 292/2014 Z. z. o príspevku poskytovano</w:t>
      </w:r>
      <w:r>
        <w:t>m z európskych štrukturálnych a </w:t>
      </w:r>
      <w:r w:rsidR="00780F44">
        <w:t>investičných fondov a o zmene a doplnení niektorých zákonov v znení neskorších predpisov v znení neskorších predpisov (ďalej len „návrh zákona“) ako iniciatívny návrh.</w:t>
      </w:r>
    </w:p>
    <w:p w14:paraId="18C21CF5" w14:textId="03AB3F15" w:rsidR="00780F44" w:rsidRDefault="00780F44" w:rsidP="00780F44">
      <w:pPr>
        <w:pStyle w:val="Normlnywebov"/>
        <w:spacing w:after="0"/>
        <w:ind w:firstLine="567"/>
        <w:contextualSpacing/>
        <w:jc w:val="both"/>
      </w:pPr>
      <w:r>
        <w:t>Cieľom návrhu zákona je implementácia nariadenia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6.12.2021) v platnom znení a nariadenia Európskeho parlamentu a Rady (EÚ) 2021/2116 z 2. decembra 2021 o financovaní, riadení a monitorovaní spoločnej poľnohospodárskej politiky a o zrušení nariadenia (EÚ) č. 1306/2013 (Ú. v. EÚ L 435, 6.12.2021) v platnom znení.</w:t>
      </w:r>
    </w:p>
    <w:p w14:paraId="69DD9F9E" w14:textId="1C646DF0" w:rsidR="00780F44" w:rsidRDefault="00780F44" w:rsidP="00780F44">
      <w:pPr>
        <w:pStyle w:val="Normlnywebov"/>
        <w:spacing w:after="0"/>
        <w:ind w:firstLine="567"/>
        <w:contextualSpacing/>
        <w:jc w:val="both"/>
      </w:pPr>
      <w:r>
        <w:t>Implementáciou uvedených právne záväzných aktov Európskej únie sa zabezpečí riadne fungovanie orgánov štátnej správy pri vykonávaní Strategického plánu Spoločnej poľnohospodárskej politiky na roky 2023 až 2027. Prijatie návrhu zákona je podmienkou realizácie Strategického plánu ako aj Spoločnej poľnohospodárskej politiky na roky 2023 až 2027 v Slovenskej republiky.</w:t>
      </w:r>
    </w:p>
    <w:p w14:paraId="76416E93" w14:textId="7800BB50" w:rsidR="00780F44" w:rsidRDefault="00780F44" w:rsidP="00780F44">
      <w:pPr>
        <w:pStyle w:val="Normlnywebov"/>
        <w:spacing w:after="0"/>
        <w:ind w:firstLine="567"/>
        <w:contextualSpacing/>
        <w:jc w:val="both"/>
      </w:pPr>
      <w:r>
        <w:t>Vzhľadom na začiatok nového programového obdobia spoločnej poľnohospodárskej politiky Európskej únie 1. januára 2023 je nevyhnutne potrebné zabezpečiť úpravu kompetencií Ministerstva pôdohospodárstva a rozvoja vidieka Slovenskej republiky ako príslušného orgánu a Pôdohospodárskej platobnej agentúry ako organizácie zabezpečujúcej vyplácanie finančných prostriedkov Európskej únie. Na tieto účely je potrebné, aby sa urýchlene pripravili uvedené štátne orgány v rezorte pôdohospodárstva a rozvoja vidieka na celú administráciu všetkých opatrení rámci spoločnej poľnohospodárskej politiky Európskej únie tak, aby s týmito opatreniami mohli počítať poľnohospodári od 1. januára 2023, resp.</w:t>
      </w:r>
      <w:bookmarkStart w:id="0" w:name="_GoBack"/>
      <w:bookmarkEnd w:id="0"/>
      <w:r>
        <w:t xml:space="preserve"> od najbližšej kampane v roku 2023, a aby sa na tieto opatrenia mohli pripraviť už na začiatku nového hospodárskeho roka, najmä pokiaľ ide o prípravu plôch, na ktorých sa majú zakladať príslušné kultúry, nákup množiteľského materiálu, prípravu prevádzok na spracovanie produktov pestovania či chovu atď. Konkrétne opatrenia budú upravené v sérii aproximačných nariadení vlády, avšak návrh zákona je nevyhnutným predpokladom toho, aby vôbec bolo možné tieto opatrenia realizovať, podávať a administrovať žiadosti a vyplácať na </w:t>
      </w:r>
      <w:proofErr w:type="spellStart"/>
      <w:r>
        <w:t>ne</w:t>
      </w:r>
      <w:proofErr w:type="spellEnd"/>
      <w:r>
        <w:t xml:space="preserve"> finančné prostriedky z fondov Európskej únie.</w:t>
      </w:r>
    </w:p>
    <w:p w14:paraId="473BF91C" w14:textId="70D09912" w:rsidR="00780F44" w:rsidRDefault="00780F44" w:rsidP="00780F44">
      <w:pPr>
        <w:pStyle w:val="Normlnywebov"/>
        <w:spacing w:after="0"/>
        <w:ind w:firstLine="567"/>
        <w:contextualSpacing/>
        <w:jc w:val="both"/>
      </w:pPr>
      <w:r>
        <w:t>Návrh zákona nebude mať vplyv na rozpočet verejnej správy, bude mať pozitívny vplyv na podnikateľské prostredie, nebude mať sociálne vplyvy, vplyv na životné prostredie, vplyv na informatizáciu spoločnosti, vplyv na služby verejnej správy pre občana ani vplyv na manželstvo, rodičovstvo a rodinu.</w:t>
      </w:r>
    </w:p>
    <w:p w14:paraId="30512F52" w14:textId="43EACC15" w:rsidR="00A4475F" w:rsidRDefault="00780F44" w:rsidP="00780F44">
      <w:pPr>
        <w:pStyle w:val="Normlnywebov"/>
        <w:spacing w:before="0" w:beforeAutospacing="0" w:after="0" w:afterAutospacing="0"/>
        <w:ind w:firstLine="567"/>
        <w:contextualSpacing/>
        <w:jc w:val="both"/>
      </w:pPr>
      <w:r>
        <w:t>Návrh zákona je v súlade s Ústavou Slovenskej republiky, ústavnými zákonmi a nálezmi Ústavného súdu Slovenskej republiky, zákonmi, medzinárodnými zmluvami, ktorými je Slovenská republika viazaná, ako aj s právom Európskej únie.</w:t>
      </w:r>
    </w:p>
    <w:p w14:paraId="35912E2A" w14:textId="77777777" w:rsidR="001B53DF" w:rsidRDefault="001B53DF" w:rsidP="00780F44">
      <w:pPr>
        <w:spacing w:after="160" w:line="259" w:lineRule="auto"/>
        <w:ind w:firstLine="567"/>
      </w:pPr>
      <w:r>
        <w:br w:type="page"/>
      </w:r>
    </w:p>
    <w:p w14:paraId="1DA4BEC7" w14:textId="77777777" w:rsidR="001B53DF" w:rsidRPr="001B53DF" w:rsidRDefault="001B53DF" w:rsidP="001B53DF">
      <w:pPr>
        <w:widowControl w:val="0"/>
        <w:autoSpaceDE w:val="0"/>
        <w:autoSpaceDN w:val="0"/>
        <w:adjustRightInd w:val="0"/>
        <w:spacing w:after="0" w:line="240" w:lineRule="auto"/>
        <w:jc w:val="center"/>
        <w:rPr>
          <w:rFonts w:ascii="Times New Roman" w:hAnsi="Times New Roman"/>
          <w:b/>
          <w:caps/>
          <w:spacing w:val="30"/>
          <w:sz w:val="24"/>
          <w:szCs w:val="24"/>
          <w:lang w:eastAsia="sk-SK"/>
        </w:rPr>
      </w:pPr>
      <w:r w:rsidRPr="001B53DF">
        <w:rPr>
          <w:rFonts w:ascii="Times New Roman" w:hAnsi="Times New Roman"/>
          <w:b/>
          <w:caps/>
          <w:spacing w:val="30"/>
          <w:sz w:val="24"/>
          <w:szCs w:val="24"/>
          <w:lang w:eastAsia="sk-SK"/>
        </w:rPr>
        <w:lastRenderedPageBreak/>
        <w:t>Doložka zlučiteľnosti</w:t>
      </w:r>
    </w:p>
    <w:p w14:paraId="543790A3" w14:textId="77777777" w:rsidR="001B53DF" w:rsidRPr="001B53DF" w:rsidRDefault="001B53DF" w:rsidP="001B53DF">
      <w:pPr>
        <w:widowControl w:val="0"/>
        <w:autoSpaceDE w:val="0"/>
        <w:autoSpaceDN w:val="0"/>
        <w:adjustRightInd w:val="0"/>
        <w:spacing w:after="0" w:line="240" w:lineRule="auto"/>
        <w:jc w:val="center"/>
        <w:rPr>
          <w:rFonts w:ascii="Times New Roman" w:hAnsi="Times New Roman"/>
          <w:b/>
          <w:sz w:val="24"/>
          <w:szCs w:val="24"/>
          <w:lang w:eastAsia="sk-SK"/>
        </w:rPr>
      </w:pPr>
      <w:r w:rsidRPr="001B53DF">
        <w:rPr>
          <w:rFonts w:ascii="Times New Roman" w:hAnsi="Times New Roman"/>
          <w:b/>
          <w:sz w:val="24"/>
          <w:szCs w:val="24"/>
          <w:lang w:eastAsia="sk-SK"/>
        </w:rPr>
        <w:t>návrhu zákona s právom Európskej únie</w:t>
      </w:r>
    </w:p>
    <w:p w14:paraId="72B4ADD4" w14:textId="77777777" w:rsidR="001B53DF" w:rsidRPr="001B53DF" w:rsidRDefault="001B53DF" w:rsidP="001B53DF">
      <w:pPr>
        <w:widowControl w:val="0"/>
        <w:autoSpaceDE w:val="0"/>
        <w:autoSpaceDN w:val="0"/>
        <w:adjustRightInd w:val="0"/>
        <w:spacing w:after="0" w:line="240" w:lineRule="auto"/>
        <w:rPr>
          <w:rFonts w:ascii="Times New Roman" w:hAnsi="Times New Roman"/>
          <w:sz w:val="24"/>
          <w:szCs w:val="24"/>
          <w:lang w:eastAsia="sk-SK"/>
        </w:rPr>
      </w:pPr>
    </w:p>
    <w:p w14:paraId="5259AC86" w14:textId="77777777" w:rsidR="00780F44" w:rsidRPr="00780F44" w:rsidRDefault="00780F44" w:rsidP="00780F44">
      <w:pPr>
        <w:widowControl w:val="0"/>
        <w:autoSpaceDE w:val="0"/>
        <w:autoSpaceDN w:val="0"/>
        <w:adjustRightInd w:val="0"/>
        <w:spacing w:after="0" w:line="240" w:lineRule="auto"/>
        <w:rPr>
          <w:rFonts w:ascii="Times New Roman" w:hAnsi="Times New Roman"/>
          <w:sz w:val="24"/>
          <w:szCs w:val="24"/>
          <w:lang w:eastAsia="sk-SK"/>
        </w:rPr>
      </w:pPr>
    </w:p>
    <w:p w14:paraId="553C6B0B" w14:textId="77777777" w:rsidR="00780F44" w:rsidRPr="00780F44" w:rsidRDefault="00780F44" w:rsidP="00780F44">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780F44">
        <w:rPr>
          <w:rFonts w:ascii="Times New Roman" w:hAnsi="Times New Roman"/>
          <w:b/>
          <w:sz w:val="24"/>
          <w:szCs w:val="24"/>
          <w:lang w:eastAsia="sk-SK"/>
        </w:rPr>
        <w:t>1.</w:t>
      </w:r>
      <w:r w:rsidRPr="00780F44">
        <w:rPr>
          <w:rFonts w:ascii="Times New Roman" w:hAnsi="Times New Roman"/>
          <w:b/>
          <w:sz w:val="24"/>
          <w:szCs w:val="24"/>
          <w:lang w:eastAsia="sk-SK"/>
        </w:rPr>
        <w:tab/>
        <w:t>Navrhovateľ zákona:</w:t>
      </w:r>
      <w:r w:rsidRPr="00780F44">
        <w:rPr>
          <w:rFonts w:ascii="Times New Roman" w:hAnsi="Times New Roman"/>
          <w:sz w:val="24"/>
          <w:szCs w:val="24"/>
          <w:lang w:eastAsia="sk-SK"/>
        </w:rPr>
        <w:t xml:space="preserve"> Ministerstvo pôdohospodárstva a rozvoja vidieka Slovenskej republiky</w:t>
      </w:r>
    </w:p>
    <w:p w14:paraId="09E36116" w14:textId="77777777" w:rsidR="00780F44" w:rsidRPr="00780F44" w:rsidRDefault="00780F44" w:rsidP="00780F44">
      <w:pPr>
        <w:widowControl w:val="0"/>
        <w:tabs>
          <w:tab w:val="left" w:pos="360"/>
        </w:tabs>
        <w:autoSpaceDE w:val="0"/>
        <w:autoSpaceDN w:val="0"/>
        <w:adjustRightInd w:val="0"/>
        <w:spacing w:after="0" w:line="240" w:lineRule="auto"/>
        <w:ind w:left="360"/>
        <w:jc w:val="both"/>
        <w:rPr>
          <w:rFonts w:ascii="Times New Roman" w:hAnsi="Times New Roman"/>
          <w:sz w:val="24"/>
          <w:szCs w:val="24"/>
          <w:lang w:eastAsia="sk-SK"/>
        </w:rPr>
      </w:pPr>
    </w:p>
    <w:p w14:paraId="73104588" w14:textId="77777777" w:rsidR="00780F44" w:rsidRPr="00780F44" w:rsidRDefault="00780F44" w:rsidP="00780F44">
      <w:pPr>
        <w:widowControl w:val="0"/>
        <w:autoSpaceDE w:val="0"/>
        <w:autoSpaceDN w:val="0"/>
        <w:adjustRightInd w:val="0"/>
        <w:spacing w:after="0" w:line="240" w:lineRule="auto"/>
        <w:ind w:left="357" w:hanging="357"/>
        <w:jc w:val="both"/>
        <w:rPr>
          <w:rFonts w:ascii="Times New Roman" w:hAnsi="Times New Roman"/>
          <w:sz w:val="24"/>
          <w:szCs w:val="24"/>
          <w:lang w:val="ru-RU" w:eastAsia="sk-SK"/>
        </w:rPr>
      </w:pPr>
      <w:r w:rsidRPr="00780F44">
        <w:rPr>
          <w:rFonts w:ascii="Times New Roman" w:hAnsi="Times New Roman"/>
          <w:b/>
          <w:sz w:val="24"/>
          <w:szCs w:val="24"/>
          <w:lang w:eastAsia="sk-SK"/>
        </w:rPr>
        <w:t>2.</w:t>
      </w:r>
      <w:r w:rsidRPr="00780F44">
        <w:rPr>
          <w:rFonts w:ascii="Times New Roman" w:hAnsi="Times New Roman"/>
          <w:b/>
          <w:sz w:val="24"/>
          <w:szCs w:val="24"/>
          <w:lang w:eastAsia="sk-SK"/>
        </w:rPr>
        <w:tab/>
        <w:t xml:space="preserve">Názov návrhu zákona: </w:t>
      </w:r>
      <w:r w:rsidRPr="00780F44">
        <w:rPr>
          <w:rFonts w:ascii="Times New Roman" w:hAnsi="Times New Roman"/>
          <w:sz w:val="24"/>
          <w:szCs w:val="24"/>
          <w:lang w:eastAsia="sk-SK"/>
        </w:rPr>
        <w:t xml:space="preserve">Návrh zákona, ktorým </w:t>
      </w:r>
      <w:r w:rsidRPr="00780F44">
        <w:rPr>
          <w:rFonts w:ascii="Times New Roman" w:hAnsi="Times New Roman"/>
          <w:sz w:val="24"/>
          <w:szCs w:val="24"/>
          <w:lang w:val="ru-RU" w:eastAsia="sk-SK"/>
        </w:rPr>
        <w:t xml:space="preserve">sa mení a dopĺňa zákon č. 280/2017 Z. z. </w:t>
      </w:r>
      <w:r w:rsidRPr="00780F44">
        <w:rPr>
          <w:rFonts w:ascii="Times New Roman" w:hAnsi="Times New Roman"/>
          <w:sz w:val="24"/>
          <w:szCs w:val="24"/>
          <w:lang w:val="ru-RU" w:eastAsia="sk-SK"/>
        </w:rPr>
        <w:br/>
        <w:t xml:space="preserve">o poskytovaní podpory a dotácie v pôdohospodárstve a rozvoji vidieka a o zmene zákona </w:t>
      </w:r>
      <w:r w:rsidRPr="00780F44">
        <w:rPr>
          <w:rFonts w:ascii="Times New Roman" w:hAnsi="Times New Roman"/>
          <w:sz w:val="24"/>
          <w:szCs w:val="24"/>
          <w:lang w:val="ru-RU" w:eastAsia="sk-SK"/>
        </w:rPr>
        <w:br/>
        <w:t>č. 292/2014 Z. z. o príspevku poskytovanom z európskych štrukturálnych a investičných fondov a o zmene a doplnení niektorých zákonov v znení neskorších predpisov v znení neskorších predpisov</w:t>
      </w:r>
    </w:p>
    <w:p w14:paraId="5248699E" w14:textId="77777777" w:rsidR="00780F44" w:rsidRPr="00780F44" w:rsidRDefault="00780F44" w:rsidP="00780F44">
      <w:pPr>
        <w:widowControl w:val="0"/>
        <w:autoSpaceDE w:val="0"/>
        <w:autoSpaceDN w:val="0"/>
        <w:adjustRightInd w:val="0"/>
        <w:spacing w:after="0" w:line="240" w:lineRule="auto"/>
        <w:ind w:left="357" w:hanging="357"/>
        <w:jc w:val="both"/>
        <w:rPr>
          <w:rFonts w:ascii="Times New Roman" w:hAnsi="Times New Roman"/>
          <w:b/>
          <w:sz w:val="24"/>
          <w:szCs w:val="24"/>
          <w:lang w:eastAsia="sk-SK"/>
        </w:rPr>
      </w:pPr>
    </w:p>
    <w:p w14:paraId="3F08ABF0" w14:textId="77777777" w:rsidR="00780F44" w:rsidRPr="00780F44" w:rsidRDefault="00780F44" w:rsidP="00780F44">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780F44">
        <w:rPr>
          <w:rFonts w:ascii="Times New Roman" w:hAnsi="Times New Roman"/>
          <w:b/>
          <w:sz w:val="24"/>
          <w:szCs w:val="24"/>
          <w:lang w:eastAsia="sk-SK"/>
        </w:rPr>
        <w:t>3.</w:t>
      </w:r>
      <w:r w:rsidRPr="00780F44">
        <w:rPr>
          <w:rFonts w:ascii="Times New Roman" w:hAnsi="Times New Roman"/>
          <w:b/>
          <w:sz w:val="24"/>
          <w:szCs w:val="24"/>
          <w:lang w:eastAsia="sk-SK"/>
        </w:rPr>
        <w:tab/>
        <w:t>Predmet návrhu zákona je upravený v práve Európskej únie:</w:t>
      </w:r>
    </w:p>
    <w:p w14:paraId="4AB8F259" w14:textId="77777777" w:rsidR="00780F44" w:rsidRPr="00780F44" w:rsidRDefault="00780F44" w:rsidP="00780F44">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p>
    <w:p w14:paraId="34362A35" w14:textId="77777777" w:rsidR="00780F44" w:rsidRPr="00780F44" w:rsidRDefault="00780F44" w:rsidP="00780F44">
      <w:pPr>
        <w:widowControl w:val="0"/>
        <w:numPr>
          <w:ilvl w:val="0"/>
          <w:numId w:val="2"/>
        </w:numPr>
        <w:autoSpaceDE w:val="0"/>
        <w:autoSpaceDN w:val="0"/>
        <w:adjustRightInd w:val="0"/>
        <w:spacing w:after="0" w:line="240" w:lineRule="auto"/>
        <w:ind w:left="709" w:hanging="425"/>
        <w:jc w:val="both"/>
        <w:rPr>
          <w:rFonts w:ascii="Times New Roman" w:hAnsi="Times New Roman"/>
          <w:sz w:val="24"/>
          <w:szCs w:val="24"/>
          <w:lang w:eastAsia="sk-SK"/>
        </w:rPr>
      </w:pPr>
      <w:r w:rsidRPr="00780F44">
        <w:rPr>
          <w:rFonts w:ascii="Times New Roman" w:hAnsi="Times New Roman"/>
          <w:sz w:val="24"/>
          <w:szCs w:val="24"/>
          <w:lang w:eastAsia="sk-SK"/>
        </w:rPr>
        <w:t xml:space="preserve">v primárnom práve </w:t>
      </w:r>
    </w:p>
    <w:p w14:paraId="1CFDFFFC" w14:textId="77777777" w:rsidR="00780F44" w:rsidRPr="00780F44" w:rsidRDefault="00780F44" w:rsidP="00780F44">
      <w:pPr>
        <w:widowControl w:val="0"/>
        <w:autoSpaceDE w:val="0"/>
        <w:autoSpaceDN w:val="0"/>
        <w:adjustRightInd w:val="0"/>
        <w:spacing w:after="0" w:line="240" w:lineRule="auto"/>
        <w:ind w:firstLine="708"/>
        <w:jc w:val="both"/>
        <w:rPr>
          <w:rFonts w:ascii="Times New Roman" w:hAnsi="Times New Roman"/>
          <w:sz w:val="24"/>
          <w:szCs w:val="24"/>
          <w:lang w:eastAsia="sk-SK"/>
        </w:rPr>
      </w:pPr>
      <w:r w:rsidRPr="00780F44">
        <w:rPr>
          <w:rFonts w:ascii="Times New Roman" w:hAnsi="Times New Roman"/>
          <w:sz w:val="24"/>
          <w:szCs w:val="24"/>
          <w:lang w:eastAsia="sk-SK"/>
        </w:rPr>
        <w:t>Zmluva o fungovaní Európskej únie, čl. 38 až 44 a čl. 107 až 109,</w:t>
      </w:r>
    </w:p>
    <w:p w14:paraId="57521A06" w14:textId="77777777" w:rsidR="00780F44" w:rsidRPr="00780F44" w:rsidRDefault="00780F44" w:rsidP="00780F44">
      <w:pPr>
        <w:widowControl w:val="0"/>
        <w:autoSpaceDE w:val="0"/>
        <w:autoSpaceDN w:val="0"/>
        <w:adjustRightInd w:val="0"/>
        <w:spacing w:after="0" w:line="240" w:lineRule="auto"/>
        <w:ind w:firstLine="708"/>
        <w:jc w:val="both"/>
        <w:rPr>
          <w:rFonts w:ascii="Times New Roman" w:hAnsi="Times New Roman"/>
          <w:sz w:val="24"/>
          <w:szCs w:val="24"/>
          <w:lang w:eastAsia="sk-SK"/>
        </w:rPr>
      </w:pPr>
    </w:p>
    <w:p w14:paraId="03BD29DB" w14:textId="77777777" w:rsidR="00780F44" w:rsidRPr="00780F44" w:rsidRDefault="00780F44" w:rsidP="00780F44">
      <w:pPr>
        <w:widowControl w:val="0"/>
        <w:numPr>
          <w:ilvl w:val="0"/>
          <w:numId w:val="2"/>
        </w:numPr>
        <w:autoSpaceDE w:val="0"/>
        <w:autoSpaceDN w:val="0"/>
        <w:adjustRightInd w:val="0"/>
        <w:spacing w:after="0" w:line="240" w:lineRule="auto"/>
        <w:ind w:left="709" w:hanging="425"/>
        <w:jc w:val="both"/>
        <w:rPr>
          <w:rFonts w:ascii="Times New Roman" w:hAnsi="Times New Roman"/>
          <w:sz w:val="24"/>
          <w:szCs w:val="24"/>
          <w:lang w:eastAsia="sk-SK"/>
        </w:rPr>
      </w:pPr>
      <w:r w:rsidRPr="00780F44">
        <w:rPr>
          <w:rFonts w:ascii="Times New Roman" w:hAnsi="Times New Roman"/>
          <w:sz w:val="24"/>
          <w:szCs w:val="24"/>
          <w:lang w:eastAsia="sk-SK"/>
        </w:rPr>
        <w:t xml:space="preserve">v sekundárnom práve </w:t>
      </w:r>
    </w:p>
    <w:p w14:paraId="0AFB6997" w14:textId="77777777" w:rsidR="00780F44" w:rsidRPr="00780F44" w:rsidRDefault="00780F44" w:rsidP="00780F44">
      <w:pPr>
        <w:widowControl w:val="0"/>
        <w:numPr>
          <w:ilvl w:val="0"/>
          <w:numId w:val="3"/>
        </w:numPr>
        <w:autoSpaceDE w:val="0"/>
        <w:autoSpaceDN w:val="0"/>
        <w:adjustRightInd w:val="0"/>
        <w:spacing w:after="0" w:line="240" w:lineRule="auto"/>
        <w:jc w:val="both"/>
        <w:rPr>
          <w:rFonts w:ascii="Times New Roman" w:hAnsi="Times New Roman"/>
          <w:sz w:val="24"/>
          <w:szCs w:val="24"/>
          <w:lang w:eastAsia="sk-SK"/>
        </w:rPr>
      </w:pPr>
      <w:r w:rsidRPr="00780F44">
        <w:rPr>
          <w:rFonts w:ascii="Times New Roman" w:hAnsi="Times New Roman"/>
          <w:sz w:val="24"/>
          <w:szCs w:val="24"/>
          <w:lang w:val="ru-RU" w:eastAsia="sk-SK"/>
        </w:rPr>
        <w:t>delegované nariadenie Komisie (EÚ) 2022/467 z 23. marca 2022, ktorým sa stanovuje výnimočná pomoc na prispôsobenie sa pre výrobcov v poľnohospodárskych sektoroch</w:t>
      </w:r>
      <w:r w:rsidRPr="00780F44">
        <w:rPr>
          <w:rFonts w:ascii="Times New Roman" w:hAnsi="Times New Roman"/>
          <w:sz w:val="24"/>
          <w:szCs w:val="24"/>
          <w:lang w:eastAsia="sk-SK"/>
        </w:rPr>
        <w:t xml:space="preserve"> (Ú. v. EÚ L 96, 24.3.2022) v platnom znení, </w:t>
      </w:r>
      <w:r w:rsidRPr="00780F44">
        <w:rPr>
          <w:rFonts w:ascii="Times New Roman" w:hAnsi="Times New Roman"/>
          <w:sz w:val="24"/>
          <w:szCs w:val="24"/>
          <w:lang w:val="ru-RU" w:eastAsia="sk-SK"/>
        </w:rPr>
        <w:t xml:space="preserve">gestor: Ministerstvo </w:t>
      </w:r>
      <w:r w:rsidRPr="00780F44">
        <w:rPr>
          <w:rFonts w:ascii="Times New Roman" w:hAnsi="Times New Roman"/>
          <w:sz w:val="24"/>
          <w:szCs w:val="24"/>
          <w:lang w:eastAsia="sk-SK"/>
        </w:rPr>
        <w:t>pôdohospodárstva a rozvoja vidieka</w:t>
      </w:r>
      <w:r w:rsidRPr="00780F44">
        <w:rPr>
          <w:rFonts w:ascii="Times New Roman" w:hAnsi="Times New Roman"/>
          <w:sz w:val="24"/>
          <w:szCs w:val="24"/>
          <w:lang w:val="ru-RU" w:eastAsia="sk-SK"/>
        </w:rPr>
        <w:t xml:space="preserve"> Slovenskej republiky</w:t>
      </w:r>
      <w:r w:rsidRPr="00780F44">
        <w:rPr>
          <w:rFonts w:ascii="Times New Roman" w:hAnsi="Times New Roman"/>
          <w:sz w:val="24"/>
          <w:szCs w:val="24"/>
          <w:lang w:eastAsia="sk-SK"/>
        </w:rPr>
        <w:t>,</w:t>
      </w:r>
    </w:p>
    <w:p w14:paraId="6A0E6DB7" w14:textId="77777777" w:rsidR="00780F44" w:rsidRPr="00780F44" w:rsidRDefault="00780F44" w:rsidP="00780F44">
      <w:pPr>
        <w:widowControl w:val="0"/>
        <w:numPr>
          <w:ilvl w:val="0"/>
          <w:numId w:val="3"/>
        </w:numPr>
        <w:autoSpaceDE w:val="0"/>
        <w:autoSpaceDN w:val="0"/>
        <w:adjustRightInd w:val="0"/>
        <w:spacing w:after="0" w:line="240" w:lineRule="auto"/>
        <w:jc w:val="both"/>
        <w:rPr>
          <w:rFonts w:ascii="Times New Roman" w:hAnsi="Times New Roman"/>
          <w:sz w:val="24"/>
          <w:szCs w:val="24"/>
          <w:lang w:eastAsia="sk-SK"/>
        </w:rPr>
      </w:pPr>
      <w:r w:rsidRPr="00780F44">
        <w:rPr>
          <w:rFonts w:ascii="Times New Roman" w:hAnsi="Times New Roman"/>
          <w:sz w:val="24"/>
          <w:szCs w:val="24"/>
          <w:lang w:eastAsia="sk-SK"/>
        </w:rPr>
        <w:t xml:space="preserve">nariadenie Európskeho parlamentu a Rady (EÚ) 2021/2115 z 2. decembra 2021, ktorým sa stanovujú pravidlá podpory strategických plánov, ktoré majú zostaviť členské štáty v rámci spoločnej poľnohospodárskej politiky (strategické plány SPP) </w:t>
      </w:r>
      <w:r w:rsidRPr="00780F44">
        <w:rPr>
          <w:rFonts w:ascii="Times New Roman" w:hAnsi="Times New Roman"/>
          <w:sz w:val="24"/>
          <w:szCs w:val="24"/>
          <w:lang w:eastAsia="sk-SK"/>
        </w:rPr>
        <w:br/>
        <w:t xml:space="preserve">a ktoré sú financované z Európskeho poľnohospodárskeho záručného fondu (EPZF) </w:t>
      </w:r>
      <w:r w:rsidRPr="00780F44">
        <w:rPr>
          <w:rFonts w:ascii="Times New Roman" w:hAnsi="Times New Roman"/>
          <w:sz w:val="24"/>
          <w:szCs w:val="24"/>
          <w:lang w:eastAsia="sk-SK"/>
        </w:rPr>
        <w:br/>
        <w:t xml:space="preserve">a Európskeho poľnohospodárskeho fondu pre rozvoj vidieka (EPFRV), a ktorým </w:t>
      </w:r>
      <w:r w:rsidRPr="00780F44">
        <w:rPr>
          <w:rFonts w:ascii="Times New Roman" w:hAnsi="Times New Roman"/>
          <w:sz w:val="24"/>
          <w:szCs w:val="24"/>
          <w:lang w:eastAsia="sk-SK"/>
        </w:rPr>
        <w:br/>
        <w:t xml:space="preserve">sa zrušujú nariadenia (EÚ) č. 1305/2013 a (EÚ) č. 1307/2013 (Ú. v. EÚ L 435, 6.12.2021), v platnom znení, </w:t>
      </w:r>
      <w:r w:rsidRPr="00780F44">
        <w:rPr>
          <w:rFonts w:ascii="Times New Roman" w:hAnsi="Times New Roman"/>
          <w:sz w:val="24"/>
          <w:szCs w:val="24"/>
          <w:lang w:val="ru-RU" w:eastAsia="sk-SK"/>
        </w:rPr>
        <w:t xml:space="preserve">gestor: Ministerstvo </w:t>
      </w:r>
      <w:r w:rsidRPr="00780F44">
        <w:rPr>
          <w:rFonts w:ascii="Times New Roman" w:hAnsi="Times New Roman"/>
          <w:sz w:val="24"/>
          <w:szCs w:val="24"/>
          <w:lang w:eastAsia="sk-SK"/>
        </w:rPr>
        <w:t>pôdohospodárstva a rozvoja vidieka</w:t>
      </w:r>
      <w:r w:rsidRPr="00780F44">
        <w:rPr>
          <w:rFonts w:ascii="Times New Roman" w:hAnsi="Times New Roman"/>
          <w:sz w:val="24"/>
          <w:szCs w:val="24"/>
          <w:lang w:val="ru-RU" w:eastAsia="sk-SK"/>
        </w:rPr>
        <w:t xml:space="preserve"> Slovenskej republiky</w:t>
      </w:r>
      <w:r w:rsidRPr="00780F44">
        <w:rPr>
          <w:rFonts w:ascii="Times New Roman" w:hAnsi="Times New Roman"/>
          <w:sz w:val="24"/>
          <w:szCs w:val="24"/>
          <w:lang w:eastAsia="sk-SK"/>
        </w:rPr>
        <w:t>,</w:t>
      </w:r>
    </w:p>
    <w:p w14:paraId="4693F799" w14:textId="77777777" w:rsidR="00780F44" w:rsidRPr="00780F44" w:rsidRDefault="00780F44" w:rsidP="00780F44">
      <w:pPr>
        <w:widowControl w:val="0"/>
        <w:numPr>
          <w:ilvl w:val="0"/>
          <w:numId w:val="3"/>
        </w:numPr>
        <w:autoSpaceDE w:val="0"/>
        <w:autoSpaceDN w:val="0"/>
        <w:adjustRightInd w:val="0"/>
        <w:spacing w:after="0" w:line="240" w:lineRule="auto"/>
        <w:jc w:val="both"/>
        <w:rPr>
          <w:rFonts w:ascii="Times New Roman" w:hAnsi="Times New Roman"/>
          <w:sz w:val="24"/>
          <w:szCs w:val="24"/>
          <w:lang w:eastAsia="sk-SK"/>
        </w:rPr>
      </w:pPr>
      <w:r w:rsidRPr="00780F44">
        <w:rPr>
          <w:rFonts w:ascii="Times New Roman" w:hAnsi="Times New Roman"/>
          <w:sz w:val="24"/>
          <w:szCs w:val="24"/>
          <w:lang w:eastAsia="sk-SK"/>
        </w:rPr>
        <w:t xml:space="preserve">nariadenie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31.1.2022), v platnom znení, </w:t>
      </w:r>
      <w:r w:rsidRPr="00780F44">
        <w:rPr>
          <w:rFonts w:ascii="Times New Roman" w:hAnsi="Times New Roman"/>
          <w:sz w:val="24"/>
          <w:szCs w:val="24"/>
          <w:lang w:val="ru-RU" w:eastAsia="sk-SK"/>
        </w:rPr>
        <w:t xml:space="preserve">gestor: Ministerstvo </w:t>
      </w:r>
      <w:r w:rsidRPr="00780F44">
        <w:rPr>
          <w:rFonts w:ascii="Times New Roman" w:hAnsi="Times New Roman"/>
          <w:sz w:val="24"/>
          <w:szCs w:val="24"/>
          <w:lang w:eastAsia="sk-SK"/>
        </w:rPr>
        <w:t>pôdohospodárstva a rozvoja vidieka</w:t>
      </w:r>
      <w:r w:rsidRPr="00780F44">
        <w:rPr>
          <w:rFonts w:ascii="Times New Roman" w:hAnsi="Times New Roman"/>
          <w:sz w:val="24"/>
          <w:szCs w:val="24"/>
          <w:lang w:val="ru-RU" w:eastAsia="sk-SK"/>
        </w:rPr>
        <w:t xml:space="preserve"> Slovenskej republiky</w:t>
      </w:r>
      <w:r w:rsidRPr="00780F44">
        <w:rPr>
          <w:rFonts w:ascii="Times New Roman" w:hAnsi="Times New Roman"/>
          <w:sz w:val="24"/>
          <w:szCs w:val="24"/>
          <w:lang w:eastAsia="sk-SK"/>
        </w:rPr>
        <w:t>,</w:t>
      </w:r>
    </w:p>
    <w:p w14:paraId="358E748F" w14:textId="77777777" w:rsidR="00780F44" w:rsidRPr="00780F44" w:rsidRDefault="00780F44" w:rsidP="00780F44">
      <w:pPr>
        <w:widowControl w:val="0"/>
        <w:numPr>
          <w:ilvl w:val="0"/>
          <w:numId w:val="3"/>
        </w:numPr>
        <w:autoSpaceDE w:val="0"/>
        <w:autoSpaceDN w:val="0"/>
        <w:adjustRightInd w:val="0"/>
        <w:spacing w:after="0" w:line="240" w:lineRule="auto"/>
        <w:jc w:val="both"/>
        <w:rPr>
          <w:rFonts w:ascii="Times New Roman" w:hAnsi="Times New Roman"/>
          <w:sz w:val="24"/>
          <w:szCs w:val="24"/>
          <w:lang w:eastAsia="sk-SK"/>
        </w:rPr>
      </w:pPr>
      <w:r w:rsidRPr="00780F44">
        <w:rPr>
          <w:rFonts w:ascii="Times New Roman" w:hAnsi="Times New Roman"/>
          <w:sz w:val="24"/>
          <w:szCs w:val="24"/>
          <w:lang w:eastAsia="sk-SK"/>
        </w:rPr>
        <w:t xml:space="preserve">delegované nariadenia Komisie (EÚ) 2016/1237 z 18. mája 2016, ktorým sa dopĺňa nariadenie Európskeho parlamentu a Rady (EÚ) č. 1308/2013, pokiaľ ide o pravidlá uplatňovania systému dovozných a vývozných licencií, a ktorým sa dopĺňa nariadenie Európskeho parlamentu a Rady (EÚ) č. 1306/2013, pokiaľ ide o pravidlá týkajúce </w:t>
      </w:r>
      <w:r w:rsidRPr="00780F44">
        <w:rPr>
          <w:rFonts w:ascii="Times New Roman" w:hAnsi="Times New Roman"/>
          <w:sz w:val="24"/>
          <w:szCs w:val="24"/>
          <w:lang w:eastAsia="sk-SK"/>
        </w:rPr>
        <w:br/>
        <w:t xml:space="preserve">sa uvoľnenia a prepadnutia zábezpeky zloženej pre takéto licencie, ktorým sa menia nariadenia Komisie (ES) č. 2535/2001, (ES) č. 1342/2003, (ES) č. 2336/2003, </w:t>
      </w:r>
      <w:r w:rsidRPr="00780F44">
        <w:rPr>
          <w:rFonts w:ascii="Times New Roman" w:hAnsi="Times New Roman"/>
          <w:sz w:val="24"/>
          <w:szCs w:val="24"/>
          <w:lang w:eastAsia="sk-SK"/>
        </w:rPr>
        <w:br/>
        <w:t xml:space="preserve">(ES) č. 951/2006, (ES) č. 341/2007 a (ES) č. 382/2008 a zrušujú nariadenia Komisie (ES) č. 2390/98, (ES) č. 1345/2005, (ES) č. 376/2008 a (ES) č. 507/2008 (Ú. v. EÚ L 206 30.7.2016) v platnom znení, </w:t>
      </w:r>
      <w:r w:rsidRPr="00780F44">
        <w:rPr>
          <w:rFonts w:ascii="Times New Roman" w:hAnsi="Times New Roman"/>
          <w:sz w:val="24"/>
          <w:szCs w:val="24"/>
          <w:lang w:val="ru-RU" w:eastAsia="sk-SK"/>
        </w:rPr>
        <w:t xml:space="preserve">gestor: Ministerstvo </w:t>
      </w:r>
      <w:r w:rsidRPr="00780F44">
        <w:rPr>
          <w:rFonts w:ascii="Times New Roman" w:hAnsi="Times New Roman"/>
          <w:sz w:val="24"/>
          <w:szCs w:val="24"/>
          <w:lang w:eastAsia="sk-SK"/>
        </w:rPr>
        <w:t>pôdohospodárstva a rozvoja vidieka</w:t>
      </w:r>
      <w:r w:rsidRPr="00780F44">
        <w:rPr>
          <w:rFonts w:ascii="Times New Roman" w:hAnsi="Times New Roman"/>
          <w:sz w:val="24"/>
          <w:szCs w:val="24"/>
          <w:lang w:val="ru-RU" w:eastAsia="sk-SK"/>
        </w:rPr>
        <w:t xml:space="preserve"> Slovenskej republiky</w:t>
      </w:r>
      <w:r w:rsidRPr="00780F44">
        <w:rPr>
          <w:rFonts w:ascii="Times New Roman" w:hAnsi="Times New Roman"/>
          <w:sz w:val="24"/>
          <w:szCs w:val="24"/>
          <w:lang w:eastAsia="sk-SK"/>
        </w:rPr>
        <w:t>,</w:t>
      </w:r>
    </w:p>
    <w:p w14:paraId="351A72D5" w14:textId="77777777" w:rsidR="00780F44" w:rsidRPr="00780F44" w:rsidRDefault="00780F44" w:rsidP="00780F44">
      <w:pPr>
        <w:widowControl w:val="0"/>
        <w:numPr>
          <w:ilvl w:val="0"/>
          <w:numId w:val="3"/>
        </w:numPr>
        <w:autoSpaceDE w:val="0"/>
        <w:autoSpaceDN w:val="0"/>
        <w:adjustRightInd w:val="0"/>
        <w:spacing w:after="0" w:line="240" w:lineRule="auto"/>
        <w:jc w:val="both"/>
        <w:rPr>
          <w:rFonts w:ascii="Times New Roman" w:hAnsi="Times New Roman"/>
          <w:sz w:val="24"/>
          <w:szCs w:val="24"/>
          <w:lang w:eastAsia="sk-SK"/>
        </w:rPr>
      </w:pPr>
      <w:r w:rsidRPr="00780F44">
        <w:rPr>
          <w:rFonts w:ascii="Times New Roman" w:hAnsi="Times New Roman"/>
          <w:sz w:val="24"/>
          <w:szCs w:val="24"/>
          <w:lang w:eastAsia="sk-SK"/>
        </w:rPr>
        <w:t xml:space="preserve">nariadenie Európskeho parlamentu a Rady (EÚ) 2021/2116 z 2. decembra 2021 </w:t>
      </w:r>
      <w:r w:rsidRPr="00780F44">
        <w:rPr>
          <w:rFonts w:ascii="Times New Roman" w:hAnsi="Times New Roman"/>
          <w:sz w:val="24"/>
          <w:szCs w:val="24"/>
          <w:lang w:eastAsia="sk-SK"/>
        </w:rPr>
        <w:br/>
        <w:t xml:space="preserve">o financovaní, riadení a monitorovaní spoločnej poľnohospodárskej politiky </w:t>
      </w:r>
      <w:r w:rsidRPr="00780F44">
        <w:rPr>
          <w:rFonts w:ascii="Times New Roman" w:hAnsi="Times New Roman"/>
          <w:sz w:val="24"/>
          <w:szCs w:val="24"/>
          <w:lang w:eastAsia="sk-SK"/>
        </w:rPr>
        <w:br/>
        <w:t>a o zrušení nariadenia (EÚ) č. 1306/2013 (Ú. v. EÚ L 435, 6.12.2021)</w:t>
      </w:r>
      <w:r w:rsidRPr="00780F44">
        <w:rPr>
          <w:rFonts w:ascii="Times New Roman" w:hAnsi="Times New Roman"/>
          <w:sz w:val="24"/>
          <w:szCs w:val="24"/>
          <w:lang w:val="ru-RU" w:eastAsia="sk-SK"/>
        </w:rPr>
        <w:t xml:space="preserve"> </w:t>
      </w:r>
      <w:r w:rsidRPr="00780F44">
        <w:rPr>
          <w:rFonts w:ascii="Times New Roman" w:hAnsi="Times New Roman"/>
          <w:sz w:val="24"/>
          <w:szCs w:val="24"/>
          <w:lang w:eastAsia="sk-SK"/>
        </w:rPr>
        <w:t xml:space="preserve">v platnom </w:t>
      </w:r>
      <w:r w:rsidRPr="00780F44">
        <w:rPr>
          <w:rFonts w:ascii="Times New Roman" w:hAnsi="Times New Roman"/>
          <w:sz w:val="24"/>
          <w:szCs w:val="24"/>
          <w:lang w:eastAsia="sk-SK"/>
        </w:rPr>
        <w:lastRenderedPageBreak/>
        <w:t>znení, gestor: Ministerstvo pôdohospodárstva a rozvoja vidieka Slovenskej republiky,</w:t>
      </w:r>
    </w:p>
    <w:p w14:paraId="52B429E6" w14:textId="77777777" w:rsidR="00780F44" w:rsidRPr="00780F44" w:rsidRDefault="00780F44" w:rsidP="00780F44">
      <w:pPr>
        <w:widowControl w:val="0"/>
        <w:numPr>
          <w:ilvl w:val="0"/>
          <w:numId w:val="3"/>
        </w:numPr>
        <w:autoSpaceDE w:val="0"/>
        <w:autoSpaceDN w:val="0"/>
        <w:adjustRightInd w:val="0"/>
        <w:spacing w:after="0" w:line="240" w:lineRule="auto"/>
        <w:jc w:val="both"/>
        <w:rPr>
          <w:rFonts w:ascii="Times New Roman" w:hAnsi="Times New Roman"/>
          <w:sz w:val="24"/>
          <w:szCs w:val="24"/>
          <w:lang w:eastAsia="sk-SK"/>
        </w:rPr>
      </w:pPr>
      <w:r w:rsidRPr="00780F44">
        <w:rPr>
          <w:rFonts w:ascii="Times New Roman" w:hAnsi="Times New Roman"/>
          <w:sz w:val="24"/>
          <w:szCs w:val="24"/>
          <w:lang w:eastAsia="sk-SK"/>
        </w:rPr>
        <w:t xml:space="preserve">nariadenie Európskeho parlamentu a Rady (EÚ, </w:t>
      </w:r>
      <w:proofErr w:type="spellStart"/>
      <w:r w:rsidRPr="00780F44">
        <w:rPr>
          <w:rFonts w:ascii="Times New Roman" w:hAnsi="Times New Roman"/>
          <w:sz w:val="24"/>
          <w:szCs w:val="24"/>
          <w:lang w:eastAsia="sk-SK"/>
        </w:rPr>
        <w:t>Euratom</w:t>
      </w:r>
      <w:proofErr w:type="spellEnd"/>
      <w:r w:rsidRPr="00780F44">
        <w:rPr>
          <w:rFonts w:ascii="Times New Roman" w:hAnsi="Times New Roman"/>
          <w:sz w:val="24"/>
          <w:szCs w:val="24"/>
          <w:lang w:eastAsia="sk-SK"/>
        </w:rPr>
        <w:t xml:space="preserve">) č. 883/2013 z 11. septembra 2013 o vyšetrovaniach vykonávaných Európskym úradom pre boj proti podvodom (OLAF), ktorým sa zrušuje nariadenie Európskeho parlamentu a Rady (ES) </w:t>
      </w:r>
      <w:r w:rsidRPr="00780F44">
        <w:rPr>
          <w:rFonts w:ascii="Times New Roman" w:hAnsi="Times New Roman"/>
          <w:sz w:val="24"/>
          <w:szCs w:val="24"/>
          <w:lang w:eastAsia="sk-SK"/>
        </w:rPr>
        <w:br/>
        <w:t>č. 1073/1999 a nariadenie Rady (</w:t>
      </w:r>
      <w:proofErr w:type="spellStart"/>
      <w:r w:rsidRPr="00780F44">
        <w:rPr>
          <w:rFonts w:ascii="Times New Roman" w:hAnsi="Times New Roman"/>
          <w:sz w:val="24"/>
          <w:szCs w:val="24"/>
          <w:lang w:eastAsia="sk-SK"/>
        </w:rPr>
        <w:t>Euratom</w:t>
      </w:r>
      <w:proofErr w:type="spellEnd"/>
      <w:r w:rsidRPr="00780F44">
        <w:rPr>
          <w:rFonts w:ascii="Times New Roman" w:hAnsi="Times New Roman"/>
          <w:sz w:val="24"/>
          <w:szCs w:val="24"/>
          <w:lang w:eastAsia="sk-SK"/>
        </w:rPr>
        <w:t>) č. 1074/1999 (Ú. v. EÚ L 248, 18. 9. 2013) v platnom znení, gestor: Ministerstvo pôdohospodárstva a rozvoja vidieka Slovenskej republiky,</w:t>
      </w:r>
    </w:p>
    <w:p w14:paraId="64B83232" w14:textId="77777777" w:rsidR="00780F44" w:rsidRPr="00780F44" w:rsidRDefault="00780F44" w:rsidP="00780F44">
      <w:pPr>
        <w:widowControl w:val="0"/>
        <w:autoSpaceDE w:val="0"/>
        <w:autoSpaceDN w:val="0"/>
        <w:adjustRightInd w:val="0"/>
        <w:spacing w:after="0" w:line="240" w:lineRule="auto"/>
        <w:ind w:left="284"/>
        <w:jc w:val="both"/>
        <w:rPr>
          <w:rFonts w:ascii="Times New Roman" w:hAnsi="Times New Roman"/>
          <w:sz w:val="24"/>
          <w:szCs w:val="24"/>
          <w:lang w:eastAsia="sk-SK"/>
        </w:rPr>
      </w:pPr>
    </w:p>
    <w:p w14:paraId="096A999C" w14:textId="77777777" w:rsidR="00780F44" w:rsidRPr="00780F44" w:rsidRDefault="00780F44" w:rsidP="00780F44">
      <w:pPr>
        <w:widowControl w:val="0"/>
        <w:numPr>
          <w:ilvl w:val="0"/>
          <w:numId w:val="2"/>
        </w:numPr>
        <w:autoSpaceDE w:val="0"/>
        <w:autoSpaceDN w:val="0"/>
        <w:adjustRightInd w:val="0"/>
        <w:spacing w:after="0" w:line="240" w:lineRule="auto"/>
        <w:ind w:left="709" w:hanging="425"/>
        <w:jc w:val="both"/>
        <w:rPr>
          <w:rFonts w:ascii="Times New Roman" w:hAnsi="Times New Roman"/>
          <w:sz w:val="24"/>
          <w:szCs w:val="24"/>
          <w:lang w:eastAsia="sk-SK"/>
        </w:rPr>
      </w:pPr>
      <w:r w:rsidRPr="00780F44">
        <w:rPr>
          <w:rFonts w:ascii="Times New Roman" w:hAnsi="Times New Roman"/>
          <w:sz w:val="24"/>
          <w:szCs w:val="24"/>
          <w:lang w:eastAsia="sk-SK"/>
        </w:rPr>
        <w:t>nie je obsiahnutý v judikatúre Súdneho dvora Európskej únie.</w:t>
      </w:r>
    </w:p>
    <w:p w14:paraId="5993A94C" w14:textId="77777777" w:rsidR="00780F44" w:rsidRPr="00780F44" w:rsidRDefault="00780F44" w:rsidP="00780F44">
      <w:pPr>
        <w:widowControl w:val="0"/>
        <w:autoSpaceDE w:val="0"/>
        <w:autoSpaceDN w:val="0"/>
        <w:adjustRightInd w:val="0"/>
        <w:spacing w:after="0" w:line="240" w:lineRule="auto"/>
        <w:ind w:firstLine="360"/>
        <w:jc w:val="both"/>
        <w:rPr>
          <w:rFonts w:ascii="Times New Roman" w:hAnsi="Times New Roman"/>
          <w:sz w:val="24"/>
          <w:szCs w:val="24"/>
          <w:lang w:eastAsia="sk-SK"/>
        </w:rPr>
      </w:pPr>
    </w:p>
    <w:p w14:paraId="10D2A839" w14:textId="77777777" w:rsidR="00780F44" w:rsidRPr="00780F44" w:rsidRDefault="00780F44" w:rsidP="00780F44">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780F44">
        <w:rPr>
          <w:rFonts w:ascii="Times New Roman" w:hAnsi="Times New Roman"/>
          <w:b/>
          <w:sz w:val="24"/>
          <w:szCs w:val="24"/>
          <w:lang w:eastAsia="sk-SK"/>
        </w:rPr>
        <w:t>4.</w:t>
      </w:r>
      <w:r w:rsidRPr="00780F44">
        <w:rPr>
          <w:rFonts w:ascii="Times New Roman" w:hAnsi="Times New Roman"/>
          <w:b/>
          <w:sz w:val="24"/>
          <w:szCs w:val="24"/>
          <w:lang w:eastAsia="sk-SK"/>
        </w:rPr>
        <w:tab/>
        <w:t xml:space="preserve">Záväzky Slovenskej republiky vo vzťahu k Európskej únii: </w:t>
      </w:r>
    </w:p>
    <w:p w14:paraId="7C8C3D7D" w14:textId="77777777" w:rsidR="00780F44" w:rsidRPr="00780F44" w:rsidRDefault="00780F44" w:rsidP="00780F44">
      <w:pPr>
        <w:widowControl w:val="0"/>
        <w:autoSpaceDE w:val="0"/>
        <w:autoSpaceDN w:val="0"/>
        <w:adjustRightInd w:val="0"/>
        <w:spacing w:after="0" w:line="240" w:lineRule="auto"/>
        <w:jc w:val="both"/>
        <w:rPr>
          <w:rFonts w:ascii="Times New Roman" w:hAnsi="Times New Roman"/>
          <w:sz w:val="24"/>
          <w:szCs w:val="24"/>
          <w:lang w:eastAsia="sk-SK"/>
        </w:rPr>
      </w:pPr>
    </w:p>
    <w:p w14:paraId="2B1FD9C0" w14:textId="77777777" w:rsidR="00780F44" w:rsidRPr="00780F44" w:rsidRDefault="00780F44" w:rsidP="00780F44">
      <w:pPr>
        <w:widowControl w:val="0"/>
        <w:autoSpaceDE w:val="0"/>
        <w:autoSpaceDN w:val="0"/>
        <w:adjustRightInd w:val="0"/>
        <w:spacing w:after="0" w:line="240" w:lineRule="auto"/>
        <w:ind w:left="709" w:hanging="349"/>
        <w:jc w:val="both"/>
        <w:rPr>
          <w:rFonts w:ascii="Times New Roman" w:hAnsi="Times New Roman"/>
          <w:sz w:val="24"/>
          <w:szCs w:val="24"/>
          <w:lang w:eastAsia="sk-SK"/>
        </w:rPr>
      </w:pPr>
      <w:r w:rsidRPr="00780F44">
        <w:rPr>
          <w:rFonts w:ascii="Times New Roman" w:hAnsi="Times New Roman"/>
          <w:sz w:val="24"/>
          <w:szCs w:val="24"/>
          <w:lang w:eastAsia="sk-SK"/>
        </w:rPr>
        <w:t>a)</w:t>
      </w:r>
      <w:r w:rsidRPr="00780F44">
        <w:rPr>
          <w:rFonts w:ascii="Times New Roman" w:hAnsi="Times New Roman"/>
          <w:sz w:val="24"/>
          <w:szCs w:val="24"/>
          <w:lang w:eastAsia="sk-SK"/>
        </w:rPr>
        <w:tab/>
      </w:r>
      <w:r w:rsidRPr="00780F44">
        <w:rPr>
          <w:rFonts w:ascii="Times New Roman" w:hAnsi="Times New Roman"/>
          <w:sz w:val="24"/>
          <w:szCs w:val="24"/>
          <w:lang w:val="ru-RU" w:eastAsia="sk-SK"/>
        </w:rPr>
        <w:t>lehot</w:t>
      </w:r>
      <w:r w:rsidRPr="00780F44">
        <w:rPr>
          <w:rFonts w:ascii="Times New Roman" w:hAnsi="Times New Roman"/>
          <w:sz w:val="24"/>
          <w:szCs w:val="24"/>
          <w:lang w:eastAsia="sk-SK"/>
        </w:rPr>
        <w:t>a</w:t>
      </w:r>
      <w:r w:rsidRPr="00780F44">
        <w:rPr>
          <w:rFonts w:ascii="Times New Roman" w:hAnsi="Times New Roman"/>
          <w:sz w:val="24"/>
          <w:szCs w:val="24"/>
          <w:lang w:val="ru-RU" w:eastAsia="sk-SK"/>
        </w:rPr>
        <w:t xml:space="preserve"> na prebranie príslušného právneho aktu Európskej únie, príp. aj osobitn</w:t>
      </w:r>
      <w:r w:rsidRPr="00780F44">
        <w:rPr>
          <w:rFonts w:ascii="Times New Roman" w:hAnsi="Times New Roman"/>
          <w:sz w:val="24"/>
          <w:szCs w:val="24"/>
          <w:lang w:eastAsia="sk-SK"/>
        </w:rPr>
        <w:t>á</w:t>
      </w:r>
      <w:r w:rsidRPr="00780F44">
        <w:rPr>
          <w:rFonts w:ascii="Times New Roman" w:hAnsi="Times New Roman"/>
          <w:sz w:val="24"/>
          <w:szCs w:val="24"/>
          <w:lang w:val="ru-RU" w:eastAsia="sk-SK"/>
        </w:rPr>
        <w:t xml:space="preserve"> lehot</w:t>
      </w:r>
      <w:r w:rsidRPr="00780F44">
        <w:rPr>
          <w:rFonts w:ascii="Times New Roman" w:hAnsi="Times New Roman"/>
          <w:sz w:val="24"/>
          <w:szCs w:val="24"/>
          <w:lang w:eastAsia="sk-SK"/>
        </w:rPr>
        <w:t>a</w:t>
      </w:r>
      <w:r w:rsidRPr="00780F44">
        <w:rPr>
          <w:rFonts w:ascii="Times New Roman" w:hAnsi="Times New Roman"/>
          <w:sz w:val="24"/>
          <w:szCs w:val="24"/>
          <w:lang w:val="ru-RU" w:eastAsia="sk-SK"/>
        </w:rPr>
        <w:t xml:space="preserve"> účinnosti jeho ustanovení</w:t>
      </w:r>
      <w:r w:rsidRPr="00780F44">
        <w:rPr>
          <w:rFonts w:ascii="Times New Roman" w:hAnsi="Times New Roman"/>
          <w:sz w:val="24"/>
          <w:szCs w:val="24"/>
          <w:lang w:eastAsia="sk-SK"/>
        </w:rPr>
        <w:t>:</w:t>
      </w:r>
    </w:p>
    <w:p w14:paraId="7FF15F9B" w14:textId="77777777" w:rsidR="00780F44" w:rsidRPr="00780F44" w:rsidRDefault="00780F44" w:rsidP="00780F44">
      <w:pPr>
        <w:widowControl w:val="0"/>
        <w:autoSpaceDE w:val="0"/>
        <w:autoSpaceDN w:val="0"/>
        <w:adjustRightInd w:val="0"/>
        <w:spacing w:after="0" w:line="240" w:lineRule="auto"/>
        <w:ind w:left="709" w:hanging="349"/>
        <w:jc w:val="both"/>
        <w:rPr>
          <w:rFonts w:ascii="Times New Roman" w:hAnsi="Times New Roman"/>
          <w:sz w:val="24"/>
          <w:szCs w:val="24"/>
          <w:lang w:eastAsia="sk-SK"/>
        </w:rPr>
      </w:pPr>
      <w:r w:rsidRPr="00780F44">
        <w:rPr>
          <w:rFonts w:ascii="Times New Roman" w:hAnsi="Times New Roman"/>
          <w:sz w:val="24"/>
          <w:szCs w:val="24"/>
          <w:lang w:eastAsia="sk-SK"/>
        </w:rPr>
        <w:tab/>
      </w:r>
    </w:p>
    <w:p w14:paraId="69EDBABD" w14:textId="77777777" w:rsidR="00780F44" w:rsidRPr="00780F44" w:rsidRDefault="00780F44" w:rsidP="00780F44">
      <w:pPr>
        <w:widowControl w:val="0"/>
        <w:autoSpaceDE w:val="0"/>
        <w:autoSpaceDN w:val="0"/>
        <w:adjustRightInd w:val="0"/>
        <w:spacing w:after="0" w:line="240" w:lineRule="auto"/>
        <w:ind w:left="709" w:hanging="1"/>
        <w:jc w:val="both"/>
        <w:rPr>
          <w:rFonts w:ascii="Times New Roman" w:hAnsi="Times New Roman"/>
          <w:sz w:val="24"/>
          <w:szCs w:val="24"/>
          <w:lang w:eastAsia="sk-SK"/>
        </w:rPr>
      </w:pPr>
      <w:r w:rsidRPr="00780F44">
        <w:rPr>
          <w:rFonts w:ascii="Times New Roman" w:hAnsi="Times New Roman"/>
          <w:sz w:val="24"/>
          <w:szCs w:val="24"/>
          <w:lang w:eastAsia="sk-SK"/>
        </w:rPr>
        <w:t>Návrhom zákona sa nepreberá právny akt Európskej únie.</w:t>
      </w:r>
    </w:p>
    <w:p w14:paraId="6021C132" w14:textId="77777777" w:rsidR="00780F44" w:rsidRPr="00780F44" w:rsidRDefault="00780F44" w:rsidP="00780F44">
      <w:pPr>
        <w:widowControl w:val="0"/>
        <w:autoSpaceDE w:val="0"/>
        <w:autoSpaceDN w:val="0"/>
        <w:adjustRightInd w:val="0"/>
        <w:spacing w:after="0" w:line="240" w:lineRule="auto"/>
        <w:jc w:val="both"/>
        <w:rPr>
          <w:rFonts w:ascii="Times New Roman" w:hAnsi="Times New Roman"/>
          <w:sz w:val="24"/>
          <w:szCs w:val="24"/>
          <w:lang w:eastAsia="sk-SK"/>
        </w:rPr>
      </w:pPr>
    </w:p>
    <w:p w14:paraId="09FD8185" w14:textId="77777777" w:rsidR="00780F44" w:rsidRPr="00780F44" w:rsidRDefault="00780F44" w:rsidP="00780F44">
      <w:pPr>
        <w:widowControl w:val="0"/>
        <w:autoSpaceDE w:val="0"/>
        <w:autoSpaceDN w:val="0"/>
        <w:adjustRightInd w:val="0"/>
        <w:spacing w:after="0" w:line="240" w:lineRule="auto"/>
        <w:ind w:left="709" w:hanging="349"/>
        <w:jc w:val="both"/>
        <w:rPr>
          <w:rFonts w:ascii="Times New Roman" w:hAnsi="Times New Roman"/>
          <w:sz w:val="24"/>
          <w:szCs w:val="24"/>
          <w:lang w:eastAsia="sk-SK"/>
        </w:rPr>
      </w:pPr>
      <w:r w:rsidRPr="00780F44">
        <w:rPr>
          <w:rFonts w:ascii="Times New Roman" w:hAnsi="Times New Roman"/>
          <w:sz w:val="24"/>
          <w:szCs w:val="24"/>
          <w:lang w:eastAsia="sk-SK"/>
        </w:rPr>
        <w:t>b)</w:t>
      </w:r>
      <w:r w:rsidRPr="00780F44">
        <w:rPr>
          <w:rFonts w:ascii="Times New Roman" w:hAnsi="Times New Roman"/>
          <w:sz w:val="24"/>
          <w:szCs w:val="24"/>
          <w:lang w:eastAsia="sk-SK"/>
        </w:rPr>
        <w:tab/>
      </w:r>
      <w:r w:rsidRPr="00780F44">
        <w:rPr>
          <w:rFonts w:ascii="Times New Roman" w:hAnsi="Times New Roman"/>
          <w:sz w:val="24"/>
          <w:szCs w:val="24"/>
          <w:lang w:val="ru-RU" w:eastAsia="sk-SK"/>
        </w:rPr>
        <w:t>informáci</w:t>
      </w:r>
      <w:r w:rsidRPr="00780F44">
        <w:rPr>
          <w:rFonts w:ascii="Times New Roman" w:hAnsi="Times New Roman"/>
          <w:sz w:val="24"/>
          <w:szCs w:val="24"/>
          <w:lang w:eastAsia="sk-SK"/>
        </w:rPr>
        <w:t>a</w:t>
      </w:r>
      <w:r w:rsidRPr="00780F44">
        <w:rPr>
          <w:rFonts w:ascii="Times New Roman" w:hAnsi="Times New Roman"/>
          <w:sz w:val="24"/>
          <w:szCs w:val="24"/>
          <w:lang w:val="ru-RU" w:eastAsia="sk-SK"/>
        </w:rPr>
        <w:t xml:space="preserve"> o začatí konania v rámci „EÚ Pilot“ alebo o začatí postupu Európskej komisie, alebo o konaní Súdneho dvora Európskej únie proti Slovenskej republike podľa čl. 258 </w:t>
      </w:r>
      <w:r w:rsidRPr="00780F44">
        <w:rPr>
          <w:rFonts w:ascii="Times New Roman" w:hAnsi="Times New Roman"/>
          <w:sz w:val="24"/>
          <w:szCs w:val="24"/>
          <w:lang w:val="ru-RU" w:eastAsia="sk-SK"/>
        </w:rPr>
        <w:br/>
        <w:t>a 260 Zmluvy o fungovaní Európskej únie v jej platnom znení, spolu s uvedením konkrétnych vytýkaných nedostatkov a požiadaviek na zabezpečenie nápravy so zreteľom na n</w:t>
      </w:r>
      <w:r w:rsidRPr="00780F44">
        <w:rPr>
          <w:rFonts w:ascii="Times New Roman" w:hAnsi="Times New Roman"/>
          <w:bCs/>
          <w:sz w:val="24"/>
          <w:szCs w:val="24"/>
          <w:lang w:val="ru-RU" w:eastAsia="sk-SK"/>
        </w:rPr>
        <w:t>ariadenie Európskeho parlamentu a Rady (ES) č. 1049/2001 z 30. mája 2001 o prístupe verejnosti k dokumentom Európskeho parlamentu, Rady a Komisie</w:t>
      </w:r>
      <w:r w:rsidRPr="00780F44">
        <w:rPr>
          <w:rFonts w:ascii="Times New Roman" w:hAnsi="Times New Roman"/>
          <w:bCs/>
          <w:sz w:val="24"/>
          <w:szCs w:val="24"/>
          <w:lang w:eastAsia="sk-SK"/>
        </w:rPr>
        <w:t>:</w:t>
      </w:r>
    </w:p>
    <w:p w14:paraId="5D5E8370" w14:textId="77777777" w:rsidR="00780F44" w:rsidRPr="00780F44" w:rsidRDefault="00780F44" w:rsidP="00780F44">
      <w:pPr>
        <w:widowControl w:val="0"/>
        <w:autoSpaceDE w:val="0"/>
        <w:autoSpaceDN w:val="0"/>
        <w:adjustRightInd w:val="0"/>
        <w:spacing w:after="0" w:line="240" w:lineRule="auto"/>
        <w:ind w:left="709"/>
        <w:jc w:val="both"/>
        <w:rPr>
          <w:rFonts w:ascii="Times New Roman" w:hAnsi="Times New Roman"/>
          <w:color w:val="000000" w:themeColor="text1"/>
          <w:sz w:val="24"/>
          <w:szCs w:val="24"/>
          <w:lang w:eastAsia="sk-SK"/>
        </w:rPr>
      </w:pPr>
    </w:p>
    <w:p w14:paraId="0DE53B67" w14:textId="77777777" w:rsidR="00780F44" w:rsidRPr="00780F44" w:rsidRDefault="00780F44" w:rsidP="00780F44">
      <w:pPr>
        <w:widowControl w:val="0"/>
        <w:autoSpaceDE w:val="0"/>
        <w:autoSpaceDN w:val="0"/>
        <w:adjustRightInd w:val="0"/>
        <w:spacing w:after="0" w:line="240" w:lineRule="auto"/>
        <w:ind w:left="709" w:hanging="1"/>
        <w:jc w:val="both"/>
        <w:rPr>
          <w:rFonts w:ascii="Times New Roman" w:hAnsi="Times New Roman"/>
          <w:color w:val="000000" w:themeColor="text1"/>
          <w:sz w:val="24"/>
          <w:szCs w:val="24"/>
          <w:lang w:eastAsia="sk-SK"/>
        </w:rPr>
      </w:pPr>
      <w:r w:rsidRPr="00780F44">
        <w:rPr>
          <w:rFonts w:ascii="Times New Roman" w:hAnsi="Times New Roman"/>
          <w:color w:val="000000" w:themeColor="text1"/>
          <w:sz w:val="24"/>
          <w:szCs w:val="24"/>
          <w:lang w:eastAsia="sk-SK"/>
        </w:rPr>
        <w:t>Proti Slovenskej republike nebolo začaté žiadne z uvedených konaní.</w:t>
      </w:r>
    </w:p>
    <w:p w14:paraId="2E249E7C" w14:textId="77777777" w:rsidR="00780F44" w:rsidRPr="00780F44" w:rsidRDefault="00780F44" w:rsidP="00780F44">
      <w:pPr>
        <w:widowControl w:val="0"/>
        <w:autoSpaceDE w:val="0"/>
        <w:autoSpaceDN w:val="0"/>
        <w:adjustRightInd w:val="0"/>
        <w:spacing w:after="0" w:line="240" w:lineRule="auto"/>
        <w:ind w:left="709" w:hanging="349"/>
        <w:jc w:val="both"/>
        <w:rPr>
          <w:rFonts w:ascii="Times New Roman" w:hAnsi="Times New Roman"/>
          <w:sz w:val="24"/>
          <w:szCs w:val="24"/>
          <w:lang w:eastAsia="sk-SK"/>
        </w:rPr>
      </w:pPr>
    </w:p>
    <w:p w14:paraId="4DE0BA23" w14:textId="77777777" w:rsidR="00780F44" w:rsidRPr="00780F44" w:rsidRDefault="00780F44" w:rsidP="00780F44">
      <w:pPr>
        <w:widowControl w:val="0"/>
        <w:autoSpaceDE w:val="0"/>
        <w:autoSpaceDN w:val="0"/>
        <w:adjustRightInd w:val="0"/>
        <w:spacing w:after="0" w:line="240" w:lineRule="auto"/>
        <w:ind w:left="709" w:hanging="349"/>
        <w:jc w:val="both"/>
        <w:rPr>
          <w:rFonts w:ascii="Times New Roman" w:hAnsi="Times New Roman"/>
          <w:sz w:val="24"/>
          <w:szCs w:val="24"/>
          <w:lang w:val="ru-RU" w:eastAsia="sk-SK"/>
        </w:rPr>
      </w:pPr>
      <w:r w:rsidRPr="00780F44">
        <w:rPr>
          <w:rFonts w:ascii="Times New Roman" w:hAnsi="Times New Roman"/>
          <w:sz w:val="24"/>
          <w:szCs w:val="24"/>
          <w:lang w:eastAsia="sk-SK"/>
        </w:rPr>
        <w:t>c)</w:t>
      </w:r>
      <w:r w:rsidRPr="00780F44">
        <w:rPr>
          <w:rFonts w:ascii="Times New Roman" w:hAnsi="Times New Roman"/>
          <w:sz w:val="24"/>
          <w:szCs w:val="24"/>
          <w:lang w:eastAsia="sk-SK"/>
        </w:rPr>
        <w:tab/>
      </w:r>
      <w:r w:rsidRPr="00780F44">
        <w:rPr>
          <w:rFonts w:ascii="Times New Roman" w:hAnsi="Times New Roman"/>
          <w:sz w:val="24"/>
          <w:szCs w:val="24"/>
          <w:lang w:val="ru-RU" w:eastAsia="sk-SK"/>
        </w:rPr>
        <w:t>informáci</w:t>
      </w:r>
      <w:r w:rsidRPr="00780F44">
        <w:rPr>
          <w:rFonts w:ascii="Times New Roman" w:hAnsi="Times New Roman"/>
          <w:sz w:val="24"/>
          <w:szCs w:val="24"/>
          <w:lang w:eastAsia="sk-SK"/>
        </w:rPr>
        <w:t>a</w:t>
      </w:r>
      <w:r w:rsidRPr="00780F44">
        <w:rPr>
          <w:rFonts w:ascii="Times New Roman" w:hAnsi="Times New Roman"/>
          <w:sz w:val="24"/>
          <w:szCs w:val="24"/>
          <w:lang w:val="ru-RU" w:eastAsia="sk-SK"/>
        </w:rPr>
        <w:t xml:space="preserve"> o právnych predpisoch, v ktorých sú uvádzané právne akty Európskej únie </w:t>
      </w:r>
      <w:r w:rsidRPr="00780F44">
        <w:rPr>
          <w:rFonts w:ascii="Times New Roman" w:hAnsi="Times New Roman"/>
          <w:sz w:val="24"/>
          <w:szCs w:val="24"/>
          <w:lang w:val="ru-RU" w:eastAsia="sk-SK"/>
        </w:rPr>
        <w:br/>
        <w:t xml:space="preserve">už prebrané, spolu s uvedením rozsahu ich prebrania, príp. potreby prijatia ďalších úprav. </w:t>
      </w:r>
    </w:p>
    <w:p w14:paraId="4151A84E" w14:textId="77777777" w:rsidR="00780F44" w:rsidRPr="00780F44" w:rsidRDefault="00780F44" w:rsidP="00780F44">
      <w:pPr>
        <w:widowControl w:val="0"/>
        <w:autoSpaceDE w:val="0"/>
        <w:autoSpaceDN w:val="0"/>
        <w:adjustRightInd w:val="0"/>
        <w:spacing w:after="0" w:line="240" w:lineRule="auto"/>
        <w:ind w:left="709" w:hanging="349"/>
        <w:jc w:val="both"/>
        <w:rPr>
          <w:rFonts w:ascii="Times New Roman" w:hAnsi="Times New Roman"/>
          <w:sz w:val="24"/>
          <w:szCs w:val="24"/>
          <w:lang w:val="ru-RU" w:eastAsia="sk-SK"/>
        </w:rPr>
      </w:pPr>
    </w:p>
    <w:p w14:paraId="74B29F22" w14:textId="77777777" w:rsidR="00780F44" w:rsidRPr="00780F44" w:rsidRDefault="00780F44" w:rsidP="00780F44">
      <w:pPr>
        <w:widowControl w:val="0"/>
        <w:autoSpaceDE w:val="0"/>
        <w:autoSpaceDN w:val="0"/>
        <w:adjustRightInd w:val="0"/>
        <w:spacing w:after="0" w:line="240" w:lineRule="auto"/>
        <w:ind w:left="709"/>
        <w:jc w:val="both"/>
        <w:rPr>
          <w:rFonts w:ascii="Times New Roman" w:hAnsi="Times New Roman"/>
          <w:sz w:val="24"/>
          <w:szCs w:val="24"/>
          <w:lang w:eastAsia="sk-SK"/>
        </w:rPr>
      </w:pPr>
      <w:r w:rsidRPr="00780F44">
        <w:rPr>
          <w:rFonts w:ascii="Times New Roman" w:hAnsi="Times New Roman"/>
          <w:sz w:val="24"/>
          <w:szCs w:val="24"/>
          <w:lang w:eastAsia="sk-SK"/>
        </w:rPr>
        <w:t>Uvedené právne záväzné akty Európskej únie sú priamo uplatniteľné v členských štátoch Európskej únie a nie sú predmetom transpozície do právneho poriadku Slovenskej republiky.</w:t>
      </w:r>
    </w:p>
    <w:p w14:paraId="038FE3A6" w14:textId="77777777" w:rsidR="00780F44" w:rsidRPr="00780F44" w:rsidRDefault="00780F44" w:rsidP="00780F44">
      <w:pPr>
        <w:widowControl w:val="0"/>
        <w:autoSpaceDE w:val="0"/>
        <w:autoSpaceDN w:val="0"/>
        <w:adjustRightInd w:val="0"/>
        <w:spacing w:after="0" w:line="240" w:lineRule="auto"/>
        <w:ind w:left="709" w:hanging="349"/>
        <w:jc w:val="both"/>
        <w:rPr>
          <w:rFonts w:ascii="Times New Roman" w:hAnsi="Times New Roman"/>
          <w:sz w:val="24"/>
          <w:szCs w:val="24"/>
          <w:lang w:eastAsia="sk-SK"/>
        </w:rPr>
      </w:pPr>
    </w:p>
    <w:p w14:paraId="421D1A5E" w14:textId="77777777" w:rsidR="00780F44" w:rsidRPr="00780F44" w:rsidRDefault="00780F44" w:rsidP="00780F44">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780F44">
        <w:rPr>
          <w:rFonts w:ascii="Times New Roman" w:hAnsi="Times New Roman"/>
          <w:b/>
          <w:sz w:val="24"/>
          <w:szCs w:val="24"/>
          <w:lang w:eastAsia="sk-SK"/>
        </w:rPr>
        <w:t>5.</w:t>
      </w:r>
      <w:r w:rsidRPr="00780F44">
        <w:rPr>
          <w:rFonts w:ascii="Times New Roman" w:hAnsi="Times New Roman"/>
          <w:b/>
          <w:sz w:val="24"/>
          <w:szCs w:val="24"/>
          <w:lang w:eastAsia="sk-SK"/>
        </w:rPr>
        <w:tab/>
        <w:t>Návrh zákona je zlučiteľný s právom Európskej únie:</w:t>
      </w:r>
    </w:p>
    <w:p w14:paraId="7189516D" w14:textId="77777777" w:rsidR="00780F44" w:rsidRPr="00780F44" w:rsidRDefault="00780F44" w:rsidP="00780F44">
      <w:pPr>
        <w:widowControl w:val="0"/>
        <w:autoSpaceDE w:val="0"/>
        <w:autoSpaceDN w:val="0"/>
        <w:adjustRightInd w:val="0"/>
        <w:spacing w:after="0" w:line="240" w:lineRule="auto"/>
        <w:ind w:firstLine="360"/>
        <w:jc w:val="both"/>
        <w:rPr>
          <w:rFonts w:ascii="Times New Roman" w:hAnsi="Times New Roman"/>
          <w:sz w:val="24"/>
          <w:szCs w:val="24"/>
          <w:lang w:eastAsia="sk-SK"/>
        </w:rPr>
      </w:pPr>
      <w:r w:rsidRPr="00780F44">
        <w:rPr>
          <w:rFonts w:ascii="Times New Roman" w:hAnsi="Times New Roman"/>
          <w:sz w:val="24"/>
          <w:szCs w:val="24"/>
          <w:lang w:eastAsia="sk-SK"/>
        </w:rPr>
        <w:t>úplne</w:t>
      </w:r>
    </w:p>
    <w:p w14:paraId="7833D8D2" w14:textId="1636E0C5" w:rsidR="001B53DF" w:rsidRDefault="001B53DF">
      <w:pPr>
        <w:spacing w:after="160" w:line="259" w:lineRule="auto"/>
        <w:rPr>
          <w:rFonts w:ascii="Times New Roman" w:hAnsi="Times New Roman"/>
          <w:sz w:val="24"/>
          <w:szCs w:val="24"/>
          <w:lang w:eastAsia="sk-SK"/>
        </w:rPr>
      </w:pPr>
    </w:p>
    <w:p w14:paraId="2437C6D7" w14:textId="77777777" w:rsidR="009E181C" w:rsidRPr="009E181C" w:rsidRDefault="009E181C" w:rsidP="009E181C">
      <w:pPr>
        <w:pageBreakBefore/>
        <w:widowControl w:val="0"/>
        <w:spacing w:after="0" w:line="240" w:lineRule="auto"/>
        <w:jc w:val="center"/>
        <w:rPr>
          <w:rFonts w:ascii="Times New Roman" w:hAnsi="Times New Roman"/>
          <w:b/>
          <w:sz w:val="24"/>
          <w:szCs w:val="20"/>
          <w:lang w:eastAsia="sk-SK"/>
        </w:rPr>
      </w:pPr>
      <w:r w:rsidRPr="009E181C">
        <w:rPr>
          <w:rFonts w:ascii="Times New Roman" w:hAnsi="Times New Roman"/>
          <w:b/>
          <w:sz w:val="24"/>
          <w:szCs w:val="20"/>
          <w:lang w:eastAsia="sk-SK"/>
        </w:rPr>
        <w:lastRenderedPageBreak/>
        <w:t>Doložka vybraných vplyvov</w:t>
      </w:r>
    </w:p>
    <w:p w14:paraId="0AD3DBAF" w14:textId="77777777" w:rsidR="009E181C" w:rsidRPr="009E181C" w:rsidRDefault="009E181C" w:rsidP="009E181C">
      <w:pPr>
        <w:widowControl w:val="0"/>
        <w:spacing w:after="0" w:line="240" w:lineRule="auto"/>
        <w:ind w:left="426"/>
        <w:rPr>
          <w:rFonts w:eastAsia="Calibri"/>
          <w:b/>
          <w:sz w:val="20"/>
          <w:szCs w:val="20"/>
        </w:rPr>
      </w:pPr>
    </w:p>
    <w:tbl>
      <w:tblPr>
        <w:tblStyle w:val="Mriekatabuky11"/>
        <w:tblW w:w="8930" w:type="dxa"/>
        <w:tblInd w:w="137" w:type="dxa"/>
        <w:tblLayout w:type="fixed"/>
        <w:tblLook w:val="04A0" w:firstRow="1" w:lastRow="0" w:firstColumn="1" w:lastColumn="0" w:noHBand="0" w:noVBand="1"/>
      </w:tblPr>
      <w:tblGrid>
        <w:gridCol w:w="3244"/>
        <w:gridCol w:w="400"/>
        <w:gridCol w:w="141"/>
        <w:gridCol w:w="564"/>
        <w:gridCol w:w="748"/>
        <w:gridCol w:w="284"/>
        <w:gridCol w:w="254"/>
        <w:gridCol w:w="1133"/>
        <w:gridCol w:w="284"/>
        <w:gridCol w:w="263"/>
        <w:gridCol w:w="1615"/>
      </w:tblGrid>
      <w:tr w:rsidR="009E181C" w:rsidRPr="009E181C" w14:paraId="0CABF8CE" w14:textId="77777777" w:rsidTr="009E181C">
        <w:tc>
          <w:tcPr>
            <w:tcW w:w="8930" w:type="dxa"/>
            <w:gridSpan w:val="11"/>
            <w:tcBorders>
              <w:bottom w:val="single" w:sz="4" w:space="0" w:color="FFFFFF"/>
            </w:tcBorders>
            <w:shd w:val="clear" w:color="auto" w:fill="E2E2E2"/>
          </w:tcPr>
          <w:p w14:paraId="7C9F772D" w14:textId="77777777" w:rsidR="009E181C" w:rsidRPr="009E181C" w:rsidRDefault="009E181C" w:rsidP="009E181C">
            <w:pPr>
              <w:widowControl w:val="0"/>
              <w:numPr>
                <w:ilvl w:val="0"/>
                <w:numId w:val="4"/>
              </w:numPr>
              <w:spacing w:after="0" w:line="240" w:lineRule="auto"/>
              <w:ind w:left="426"/>
              <w:rPr>
                <w:rFonts w:ascii="Times New Roman" w:eastAsia="Calibri" w:hAnsi="Times New Roman"/>
                <w:b/>
                <w:sz w:val="20"/>
                <w:szCs w:val="20"/>
              </w:rPr>
            </w:pPr>
            <w:r w:rsidRPr="009E181C">
              <w:rPr>
                <w:rFonts w:ascii="Times New Roman" w:eastAsia="Calibri" w:hAnsi="Times New Roman"/>
                <w:b/>
                <w:sz w:val="20"/>
                <w:szCs w:val="20"/>
              </w:rPr>
              <w:t>Základné údaje</w:t>
            </w:r>
          </w:p>
        </w:tc>
      </w:tr>
      <w:tr w:rsidR="009E181C" w:rsidRPr="009E181C" w14:paraId="628E528B" w14:textId="77777777" w:rsidTr="009E181C">
        <w:tc>
          <w:tcPr>
            <w:tcW w:w="8930" w:type="dxa"/>
            <w:gridSpan w:val="11"/>
            <w:tcBorders>
              <w:bottom w:val="single" w:sz="4" w:space="0" w:color="FFFFFF"/>
            </w:tcBorders>
            <w:shd w:val="clear" w:color="auto" w:fill="E2E2E2"/>
          </w:tcPr>
          <w:p w14:paraId="3C74A943" w14:textId="77777777" w:rsidR="009E181C" w:rsidRPr="009E181C" w:rsidRDefault="009E181C" w:rsidP="009E181C">
            <w:pPr>
              <w:widowControl w:val="0"/>
              <w:spacing w:after="0" w:line="240" w:lineRule="auto"/>
              <w:ind w:left="142"/>
              <w:rPr>
                <w:rFonts w:ascii="Times New Roman" w:eastAsia="Calibri" w:hAnsi="Times New Roman"/>
                <w:b/>
                <w:sz w:val="20"/>
                <w:szCs w:val="20"/>
              </w:rPr>
            </w:pPr>
            <w:r w:rsidRPr="009E181C">
              <w:rPr>
                <w:rFonts w:ascii="Times New Roman" w:eastAsia="Calibri" w:hAnsi="Times New Roman"/>
                <w:b/>
                <w:sz w:val="20"/>
                <w:szCs w:val="20"/>
              </w:rPr>
              <w:t>Názov materiálu</w:t>
            </w:r>
          </w:p>
        </w:tc>
      </w:tr>
      <w:tr w:rsidR="009E181C" w:rsidRPr="009E181C" w14:paraId="1B46AC54" w14:textId="77777777" w:rsidTr="009E181C">
        <w:tc>
          <w:tcPr>
            <w:tcW w:w="8930" w:type="dxa"/>
            <w:gridSpan w:val="11"/>
            <w:tcBorders>
              <w:top w:val="single" w:sz="4" w:space="0" w:color="FFFFFF"/>
              <w:bottom w:val="single" w:sz="4" w:space="0" w:color="auto"/>
            </w:tcBorders>
          </w:tcPr>
          <w:p w14:paraId="09018B39" w14:textId="77777777" w:rsidR="009E181C" w:rsidRPr="009E181C" w:rsidRDefault="009E181C" w:rsidP="009E181C">
            <w:pPr>
              <w:widowControl w:val="0"/>
              <w:spacing w:after="0" w:line="240" w:lineRule="auto"/>
              <w:jc w:val="both"/>
              <w:rPr>
                <w:rFonts w:ascii="Times New Roman" w:hAnsi="Times New Roman"/>
                <w:sz w:val="20"/>
                <w:szCs w:val="20"/>
                <w:lang w:eastAsia="sk-SK"/>
              </w:rPr>
            </w:pPr>
            <w:r w:rsidRPr="009E181C">
              <w:rPr>
                <w:rFonts w:ascii="Times" w:eastAsiaTheme="minorHAnsi" w:hAnsi="Times" w:cs="Times"/>
                <w:sz w:val="20"/>
                <w:szCs w:val="20"/>
              </w:rPr>
              <w:t xml:space="preserve">Návrh zákona, ktorým sa mení a dopĺňa zákon č. 280/2017 Z. z. o poskytovaní podpory a dotácie </w:t>
            </w:r>
            <w:r w:rsidRPr="009E181C">
              <w:rPr>
                <w:rFonts w:ascii="Times" w:eastAsiaTheme="minorHAnsi" w:hAnsi="Times" w:cs="Times"/>
                <w:sz w:val="20"/>
                <w:szCs w:val="20"/>
              </w:rPr>
              <w:br/>
              <w:t xml:space="preserve">v pôdohospodárstve a rozvoji vidieka a o zmene zákona č. 292/2014 Z. z. o príspevku poskytovanom </w:t>
            </w:r>
            <w:r w:rsidRPr="009E181C">
              <w:rPr>
                <w:rFonts w:ascii="Times" w:eastAsiaTheme="minorHAnsi" w:hAnsi="Times" w:cs="Times"/>
                <w:sz w:val="20"/>
                <w:szCs w:val="20"/>
              </w:rPr>
              <w:br/>
              <w:t>z európskych štrukturálnych a investičných fondov a o zmene a doplnení niektorých zákonov v znení neskorších predpisov v znení neskorších predpisov</w:t>
            </w:r>
          </w:p>
        </w:tc>
      </w:tr>
      <w:tr w:rsidR="009E181C" w:rsidRPr="009E181C" w14:paraId="1F38B861" w14:textId="77777777" w:rsidTr="009E181C">
        <w:tc>
          <w:tcPr>
            <w:tcW w:w="8930" w:type="dxa"/>
            <w:gridSpan w:val="11"/>
            <w:tcBorders>
              <w:top w:val="single" w:sz="4" w:space="0" w:color="auto"/>
              <w:left w:val="single" w:sz="4" w:space="0" w:color="auto"/>
              <w:bottom w:val="single" w:sz="4" w:space="0" w:color="FFFFFF"/>
            </w:tcBorders>
            <w:shd w:val="clear" w:color="auto" w:fill="E2E2E2"/>
          </w:tcPr>
          <w:p w14:paraId="014DC2D9" w14:textId="77777777" w:rsidR="009E181C" w:rsidRPr="009E181C" w:rsidRDefault="009E181C" w:rsidP="009E181C">
            <w:pPr>
              <w:widowControl w:val="0"/>
              <w:spacing w:after="0" w:line="240" w:lineRule="auto"/>
              <w:ind w:left="142"/>
              <w:rPr>
                <w:rFonts w:ascii="Times New Roman" w:eastAsia="Calibri" w:hAnsi="Times New Roman"/>
                <w:b/>
                <w:sz w:val="20"/>
                <w:szCs w:val="20"/>
              </w:rPr>
            </w:pPr>
            <w:r w:rsidRPr="009E181C">
              <w:rPr>
                <w:rFonts w:ascii="Times New Roman" w:eastAsia="Calibri" w:hAnsi="Times New Roman"/>
                <w:b/>
                <w:sz w:val="20"/>
                <w:szCs w:val="20"/>
              </w:rPr>
              <w:t>Predkladateľ (a spolupredkladateľ)</w:t>
            </w:r>
          </w:p>
        </w:tc>
      </w:tr>
      <w:tr w:rsidR="009E181C" w:rsidRPr="009E181C" w14:paraId="2D356C8C" w14:textId="77777777" w:rsidTr="009E181C">
        <w:tc>
          <w:tcPr>
            <w:tcW w:w="8930" w:type="dxa"/>
            <w:gridSpan w:val="11"/>
            <w:tcBorders>
              <w:top w:val="single" w:sz="4" w:space="0" w:color="FFFFFF"/>
              <w:left w:val="single" w:sz="4" w:space="0" w:color="auto"/>
              <w:bottom w:val="single" w:sz="4" w:space="0" w:color="auto"/>
            </w:tcBorders>
            <w:shd w:val="clear" w:color="auto" w:fill="FFFFFF"/>
          </w:tcPr>
          <w:p w14:paraId="5E0627E5"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t>Ministerstvo pôdohospodárstva a rozvoja vidieka Slovenskej republiky</w:t>
            </w:r>
          </w:p>
        </w:tc>
      </w:tr>
      <w:tr w:rsidR="009E181C" w:rsidRPr="009E181C" w14:paraId="09A64976" w14:textId="77777777" w:rsidTr="009E181C">
        <w:tc>
          <w:tcPr>
            <w:tcW w:w="3644" w:type="dxa"/>
            <w:gridSpan w:val="2"/>
            <w:vMerge w:val="restart"/>
            <w:tcBorders>
              <w:top w:val="single" w:sz="4" w:space="0" w:color="auto"/>
              <w:left w:val="single" w:sz="4" w:space="0" w:color="auto"/>
              <w:bottom w:val="single" w:sz="4" w:space="0" w:color="FFFFFF"/>
            </w:tcBorders>
            <w:shd w:val="clear" w:color="auto" w:fill="E2E2E2"/>
            <w:vAlign w:val="center"/>
          </w:tcPr>
          <w:p w14:paraId="75920BAD" w14:textId="77777777" w:rsidR="009E181C" w:rsidRPr="009E181C" w:rsidRDefault="009E181C" w:rsidP="009E181C">
            <w:pPr>
              <w:widowControl w:val="0"/>
              <w:spacing w:after="0" w:line="240" w:lineRule="auto"/>
              <w:ind w:left="142"/>
              <w:rPr>
                <w:rFonts w:ascii="Times New Roman" w:eastAsia="Calibri" w:hAnsi="Times New Roman"/>
                <w:b/>
                <w:sz w:val="20"/>
                <w:szCs w:val="20"/>
              </w:rPr>
            </w:pPr>
            <w:r w:rsidRPr="009E181C">
              <w:rPr>
                <w:rFonts w:ascii="Times New Roman" w:eastAsia="Calibri" w:hAnsi="Times New Roman"/>
                <w:b/>
                <w:sz w:val="20"/>
                <w:szCs w:val="20"/>
              </w:rPr>
              <w:t>Charakter predkladaného materiálu</w:t>
            </w:r>
          </w:p>
        </w:tc>
        <w:sdt>
          <w:sdtPr>
            <w:rPr>
              <w:rFonts w:ascii="Times New Roman" w:hAnsi="Times New Roman"/>
              <w:sz w:val="20"/>
              <w:szCs w:val="20"/>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7ED6DD5C" w14:textId="77777777" w:rsidR="009E181C" w:rsidRPr="009E181C" w:rsidRDefault="009E181C" w:rsidP="009E181C">
                <w:pPr>
                  <w:widowControl w:val="0"/>
                  <w:spacing w:after="0" w:line="240" w:lineRule="auto"/>
                  <w:jc w:val="center"/>
                  <w:rPr>
                    <w:rFonts w:ascii="Times New Roman" w:hAnsi="Times New Roman"/>
                    <w:sz w:val="20"/>
                    <w:szCs w:val="20"/>
                    <w:lang w:eastAsia="sk-SK"/>
                  </w:rPr>
                </w:pPr>
                <w:r w:rsidRPr="009E181C">
                  <w:rPr>
                    <w:rFonts w:ascii="Times New Roman" w:eastAsia="MS Gothic" w:hAnsi="Times New Roman" w:hint="eastAsia"/>
                    <w:sz w:val="20"/>
                    <w:szCs w:val="20"/>
                    <w:lang w:eastAsia="sk-SK"/>
                  </w:rPr>
                  <w:t>☐</w:t>
                </w:r>
              </w:p>
            </w:tc>
          </w:sdtContent>
        </w:sdt>
        <w:tc>
          <w:tcPr>
            <w:tcW w:w="4581" w:type="dxa"/>
            <w:gridSpan w:val="7"/>
            <w:tcBorders>
              <w:top w:val="single" w:sz="4" w:space="0" w:color="auto"/>
              <w:left w:val="nil"/>
              <w:bottom w:val="single" w:sz="4" w:space="0" w:color="auto"/>
              <w:right w:val="single" w:sz="4" w:space="0" w:color="auto"/>
            </w:tcBorders>
            <w:shd w:val="clear" w:color="auto" w:fill="FFFFFF"/>
          </w:tcPr>
          <w:p w14:paraId="13F719D2"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t>Materiál nelegislatívnej povahy</w:t>
            </w:r>
          </w:p>
        </w:tc>
      </w:tr>
      <w:tr w:rsidR="009E181C" w:rsidRPr="009E181C" w14:paraId="407FA184" w14:textId="77777777" w:rsidTr="009E181C">
        <w:tc>
          <w:tcPr>
            <w:tcW w:w="3644" w:type="dxa"/>
            <w:gridSpan w:val="2"/>
            <w:vMerge/>
            <w:tcBorders>
              <w:top w:val="nil"/>
              <w:left w:val="single" w:sz="4" w:space="0" w:color="auto"/>
              <w:bottom w:val="single" w:sz="4" w:space="0" w:color="FFFFFF"/>
            </w:tcBorders>
            <w:shd w:val="clear" w:color="auto" w:fill="E2E2E2"/>
          </w:tcPr>
          <w:p w14:paraId="4B5CE1DF" w14:textId="77777777" w:rsidR="009E181C" w:rsidRPr="009E181C" w:rsidRDefault="009E181C" w:rsidP="009E181C">
            <w:pPr>
              <w:widowControl w:val="0"/>
              <w:spacing w:after="0" w:line="240" w:lineRule="auto"/>
              <w:rPr>
                <w:rFonts w:ascii="Times New Roman" w:hAnsi="Times New Roman"/>
                <w:sz w:val="20"/>
                <w:szCs w:val="20"/>
                <w:lang w:eastAsia="sk-SK"/>
              </w:rPr>
            </w:pPr>
          </w:p>
        </w:tc>
        <w:sdt>
          <w:sdtPr>
            <w:rPr>
              <w:rFonts w:ascii="Times New Roman" w:hAnsi="Times New Roman"/>
              <w:sz w:val="20"/>
              <w:szCs w:val="20"/>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45521615" w14:textId="77777777" w:rsidR="009E181C" w:rsidRPr="009E181C" w:rsidRDefault="009E181C" w:rsidP="009E181C">
                <w:pPr>
                  <w:widowControl w:val="0"/>
                  <w:spacing w:after="0" w:line="240" w:lineRule="auto"/>
                  <w:jc w:val="center"/>
                  <w:rPr>
                    <w:rFonts w:ascii="Times New Roman" w:hAnsi="Times New Roman"/>
                    <w:sz w:val="20"/>
                    <w:szCs w:val="20"/>
                    <w:lang w:eastAsia="sk-SK"/>
                  </w:rPr>
                </w:pPr>
                <w:r w:rsidRPr="009E181C">
                  <w:rPr>
                    <w:rFonts w:ascii="Times New Roman" w:eastAsia="MS Gothic" w:hAnsi="Times New Roman" w:hint="eastAsia"/>
                    <w:sz w:val="20"/>
                    <w:szCs w:val="20"/>
                    <w:lang w:eastAsia="sk-SK"/>
                  </w:rPr>
                  <w:t>☒</w:t>
                </w:r>
              </w:p>
            </w:tc>
          </w:sdtContent>
        </w:sdt>
        <w:tc>
          <w:tcPr>
            <w:tcW w:w="4581" w:type="dxa"/>
            <w:gridSpan w:val="7"/>
            <w:tcBorders>
              <w:top w:val="single" w:sz="4" w:space="0" w:color="auto"/>
              <w:left w:val="nil"/>
              <w:bottom w:val="single" w:sz="4" w:space="0" w:color="auto"/>
            </w:tcBorders>
            <w:shd w:val="clear" w:color="auto" w:fill="FFFFFF"/>
          </w:tcPr>
          <w:p w14:paraId="7925F6F2" w14:textId="77777777" w:rsidR="009E181C" w:rsidRPr="009E181C" w:rsidRDefault="009E181C" w:rsidP="009E181C">
            <w:pPr>
              <w:widowControl w:val="0"/>
              <w:spacing w:after="0" w:line="240" w:lineRule="auto"/>
              <w:ind w:left="175" w:hanging="175"/>
              <w:rPr>
                <w:rFonts w:ascii="Times New Roman" w:hAnsi="Times New Roman"/>
                <w:sz w:val="20"/>
                <w:szCs w:val="20"/>
                <w:lang w:eastAsia="sk-SK"/>
              </w:rPr>
            </w:pPr>
            <w:r w:rsidRPr="009E181C">
              <w:rPr>
                <w:rFonts w:ascii="Times New Roman" w:hAnsi="Times New Roman"/>
                <w:sz w:val="20"/>
                <w:szCs w:val="20"/>
                <w:lang w:eastAsia="sk-SK"/>
              </w:rPr>
              <w:t>Materiál legislatívnej povahy</w:t>
            </w:r>
          </w:p>
        </w:tc>
      </w:tr>
      <w:tr w:rsidR="009E181C" w:rsidRPr="009E181C" w14:paraId="13CD102F" w14:textId="77777777" w:rsidTr="009E181C">
        <w:tc>
          <w:tcPr>
            <w:tcW w:w="3644" w:type="dxa"/>
            <w:gridSpan w:val="2"/>
            <w:vMerge/>
            <w:tcBorders>
              <w:top w:val="nil"/>
              <w:left w:val="single" w:sz="4" w:space="0" w:color="auto"/>
              <w:bottom w:val="single" w:sz="4" w:space="0" w:color="auto"/>
            </w:tcBorders>
            <w:shd w:val="clear" w:color="auto" w:fill="E2E2E2"/>
          </w:tcPr>
          <w:p w14:paraId="7B642BAD" w14:textId="77777777" w:rsidR="009E181C" w:rsidRPr="009E181C" w:rsidRDefault="009E181C" w:rsidP="009E181C">
            <w:pPr>
              <w:widowControl w:val="0"/>
              <w:spacing w:after="0" w:line="240" w:lineRule="auto"/>
              <w:rPr>
                <w:rFonts w:ascii="Times New Roman" w:hAnsi="Times New Roman"/>
                <w:sz w:val="20"/>
                <w:szCs w:val="20"/>
                <w:lang w:eastAsia="sk-SK"/>
              </w:rPr>
            </w:pPr>
          </w:p>
        </w:tc>
        <w:sdt>
          <w:sdtPr>
            <w:rPr>
              <w:rFonts w:ascii="Times New Roman" w:hAnsi="Times New Roman"/>
              <w:sz w:val="20"/>
              <w:szCs w:val="20"/>
              <w:lang w:eastAsia="sk-SK"/>
            </w:rPr>
            <w:id w:val="-1821804044"/>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4CEC8D2C" w14:textId="77777777" w:rsidR="009E181C" w:rsidRPr="009E181C" w:rsidRDefault="009E181C" w:rsidP="009E181C">
                <w:pPr>
                  <w:widowControl w:val="0"/>
                  <w:spacing w:after="0" w:line="240" w:lineRule="auto"/>
                  <w:jc w:val="center"/>
                  <w:rPr>
                    <w:rFonts w:ascii="Times New Roman" w:hAnsi="Times New Roman"/>
                    <w:sz w:val="20"/>
                    <w:szCs w:val="20"/>
                    <w:lang w:eastAsia="sk-SK"/>
                  </w:rPr>
                </w:pPr>
                <w:r w:rsidRPr="009E181C">
                  <w:rPr>
                    <w:rFonts w:ascii="Times New Roman" w:eastAsia="MS Gothic" w:hAnsi="Times New Roman" w:hint="eastAsia"/>
                    <w:sz w:val="20"/>
                    <w:szCs w:val="20"/>
                    <w:lang w:eastAsia="sk-SK"/>
                  </w:rPr>
                  <w:t>☐</w:t>
                </w:r>
              </w:p>
            </w:tc>
          </w:sdtContent>
        </w:sdt>
        <w:tc>
          <w:tcPr>
            <w:tcW w:w="4581" w:type="dxa"/>
            <w:gridSpan w:val="7"/>
            <w:tcBorders>
              <w:top w:val="single" w:sz="4" w:space="0" w:color="auto"/>
              <w:left w:val="nil"/>
              <w:bottom w:val="single" w:sz="4" w:space="0" w:color="auto"/>
            </w:tcBorders>
            <w:shd w:val="clear" w:color="auto" w:fill="FFFFFF"/>
          </w:tcPr>
          <w:p w14:paraId="29F0BE9B"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t>Transpozícia práva EÚ</w:t>
            </w:r>
          </w:p>
        </w:tc>
      </w:tr>
      <w:tr w:rsidR="009E181C" w:rsidRPr="009E181C" w14:paraId="43F11F40" w14:textId="77777777" w:rsidTr="009E181C">
        <w:tc>
          <w:tcPr>
            <w:tcW w:w="8930" w:type="dxa"/>
            <w:gridSpan w:val="11"/>
            <w:tcBorders>
              <w:top w:val="single" w:sz="4" w:space="0" w:color="auto"/>
              <w:left w:val="single" w:sz="4" w:space="0" w:color="auto"/>
              <w:bottom w:val="single" w:sz="4" w:space="0" w:color="FFFFFF"/>
            </w:tcBorders>
            <w:shd w:val="clear" w:color="auto" w:fill="FFFFFF"/>
          </w:tcPr>
          <w:p w14:paraId="3CF2A6AD" w14:textId="77777777" w:rsidR="009E181C" w:rsidRPr="009E181C" w:rsidRDefault="009E181C" w:rsidP="009E181C">
            <w:pPr>
              <w:widowControl w:val="0"/>
              <w:spacing w:after="0" w:line="240" w:lineRule="auto"/>
              <w:rPr>
                <w:rFonts w:ascii="Times New Roman" w:hAnsi="Times New Roman"/>
                <w:i/>
                <w:sz w:val="20"/>
                <w:szCs w:val="20"/>
                <w:lang w:eastAsia="sk-SK"/>
              </w:rPr>
            </w:pPr>
            <w:r w:rsidRPr="009E181C">
              <w:rPr>
                <w:rFonts w:ascii="Times New Roman" w:hAnsi="Times New Roman"/>
                <w:i/>
                <w:sz w:val="20"/>
                <w:szCs w:val="20"/>
                <w:lang w:eastAsia="sk-SK"/>
              </w:rPr>
              <w:t>V prípade transpozície uveďte zoznam transponovaných predpisov:</w:t>
            </w:r>
          </w:p>
        </w:tc>
      </w:tr>
      <w:tr w:rsidR="009E181C" w:rsidRPr="009E181C" w14:paraId="20244FA1" w14:textId="77777777" w:rsidTr="009E181C">
        <w:tc>
          <w:tcPr>
            <w:tcW w:w="5381" w:type="dxa"/>
            <w:gridSpan w:val="6"/>
            <w:tcBorders>
              <w:top w:val="single" w:sz="4" w:space="0" w:color="000000"/>
              <w:left w:val="single" w:sz="4" w:space="0" w:color="auto"/>
              <w:bottom w:val="single" w:sz="4" w:space="0" w:color="FFFFFF"/>
              <w:right w:val="single" w:sz="4" w:space="0" w:color="auto"/>
            </w:tcBorders>
            <w:shd w:val="clear" w:color="auto" w:fill="E2E2E2"/>
          </w:tcPr>
          <w:p w14:paraId="1448C361" w14:textId="77777777" w:rsidR="009E181C" w:rsidRPr="009E181C" w:rsidRDefault="009E181C" w:rsidP="009E181C">
            <w:pPr>
              <w:widowControl w:val="0"/>
              <w:spacing w:after="0" w:line="240" w:lineRule="auto"/>
              <w:ind w:left="142"/>
              <w:rPr>
                <w:rFonts w:ascii="Times New Roman" w:eastAsia="Calibri" w:hAnsi="Times New Roman"/>
                <w:b/>
                <w:sz w:val="20"/>
                <w:szCs w:val="20"/>
              </w:rPr>
            </w:pPr>
            <w:r w:rsidRPr="009E181C">
              <w:rPr>
                <w:rFonts w:ascii="Times New Roman" w:eastAsia="Calibri" w:hAnsi="Times New Roman"/>
                <w:b/>
                <w:sz w:val="20"/>
                <w:szCs w:val="20"/>
              </w:rPr>
              <w:t>Termín začiatku a ukončenia PPK</w:t>
            </w:r>
          </w:p>
        </w:tc>
        <w:tc>
          <w:tcPr>
            <w:tcW w:w="3549" w:type="dxa"/>
            <w:gridSpan w:val="5"/>
            <w:tcBorders>
              <w:top w:val="single" w:sz="4" w:space="0" w:color="000000"/>
              <w:left w:val="single" w:sz="4" w:space="0" w:color="auto"/>
              <w:bottom w:val="single" w:sz="4" w:space="0" w:color="auto"/>
              <w:right w:val="single" w:sz="4" w:space="0" w:color="auto"/>
            </w:tcBorders>
          </w:tcPr>
          <w:p w14:paraId="467C0DA5" w14:textId="77777777" w:rsidR="009E181C" w:rsidRPr="009E181C" w:rsidRDefault="009E181C" w:rsidP="009E181C">
            <w:pPr>
              <w:widowControl w:val="0"/>
              <w:spacing w:after="0" w:line="240" w:lineRule="auto"/>
              <w:rPr>
                <w:rFonts w:ascii="Times New Roman" w:hAnsi="Times New Roman"/>
                <w:i/>
                <w:sz w:val="20"/>
                <w:szCs w:val="20"/>
                <w:lang w:eastAsia="sk-SK"/>
              </w:rPr>
            </w:pPr>
            <w:r w:rsidRPr="009E181C">
              <w:rPr>
                <w:rFonts w:ascii="Times New Roman" w:hAnsi="Times New Roman"/>
                <w:i/>
                <w:sz w:val="20"/>
                <w:szCs w:val="20"/>
                <w:lang w:eastAsia="sk-SK"/>
              </w:rPr>
              <w:t>-</w:t>
            </w:r>
          </w:p>
        </w:tc>
      </w:tr>
      <w:tr w:rsidR="009E181C" w:rsidRPr="009E181C" w14:paraId="790AE335" w14:textId="77777777" w:rsidTr="009E181C">
        <w:tc>
          <w:tcPr>
            <w:tcW w:w="5381" w:type="dxa"/>
            <w:gridSpan w:val="6"/>
            <w:tcBorders>
              <w:top w:val="single" w:sz="4" w:space="0" w:color="auto"/>
              <w:left w:val="single" w:sz="4" w:space="0" w:color="auto"/>
              <w:bottom w:val="single" w:sz="4" w:space="0" w:color="FFFFFF"/>
              <w:right w:val="single" w:sz="4" w:space="0" w:color="auto"/>
            </w:tcBorders>
            <w:shd w:val="clear" w:color="auto" w:fill="E2E2E2"/>
          </w:tcPr>
          <w:p w14:paraId="2C0FA16A" w14:textId="77777777" w:rsidR="009E181C" w:rsidRPr="009E181C" w:rsidRDefault="009E181C" w:rsidP="009E181C">
            <w:pPr>
              <w:widowControl w:val="0"/>
              <w:spacing w:after="0" w:line="240" w:lineRule="auto"/>
              <w:ind w:left="142"/>
              <w:rPr>
                <w:rFonts w:ascii="Times New Roman" w:eastAsia="Calibri" w:hAnsi="Times New Roman"/>
                <w:b/>
                <w:sz w:val="20"/>
                <w:szCs w:val="20"/>
              </w:rPr>
            </w:pPr>
            <w:r w:rsidRPr="009E181C">
              <w:rPr>
                <w:rFonts w:ascii="Times New Roman" w:eastAsia="Calibri" w:hAnsi="Times New Roman"/>
                <w:b/>
                <w:sz w:val="20"/>
                <w:szCs w:val="20"/>
              </w:rPr>
              <w:t>Predpokladaný termín predloženia na pripomienkové konanie</w:t>
            </w:r>
          </w:p>
        </w:tc>
        <w:tc>
          <w:tcPr>
            <w:tcW w:w="3549" w:type="dxa"/>
            <w:gridSpan w:val="5"/>
            <w:tcBorders>
              <w:top w:val="single" w:sz="4" w:space="0" w:color="auto"/>
              <w:left w:val="single" w:sz="4" w:space="0" w:color="auto"/>
              <w:bottom w:val="single" w:sz="4" w:space="0" w:color="auto"/>
              <w:right w:val="single" w:sz="4" w:space="0" w:color="auto"/>
            </w:tcBorders>
          </w:tcPr>
          <w:p w14:paraId="6EB035BF" w14:textId="77777777" w:rsidR="009E181C" w:rsidRPr="009E181C" w:rsidRDefault="009E181C" w:rsidP="009E181C">
            <w:pPr>
              <w:widowControl w:val="0"/>
              <w:spacing w:after="0" w:line="240" w:lineRule="auto"/>
              <w:rPr>
                <w:rFonts w:ascii="Times New Roman" w:hAnsi="Times New Roman"/>
                <w:i/>
                <w:sz w:val="20"/>
                <w:szCs w:val="20"/>
                <w:lang w:eastAsia="sk-SK"/>
              </w:rPr>
            </w:pPr>
            <w:r w:rsidRPr="009E181C">
              <w:rPr>
                <w:rFonts w:ascii="Times New Roman" w:hAnsi="Times New Roman"/>
                <w:i/>
                <w:sz w:val="20"/>
                <w:szCs w:val="20"/>
                <w:lang w:eastAsia="sk-SK"/>
              </w:rPr>
              <w:t>-</w:t>
            </w:r>
          </w:p>
        </w:tc>
      </w:tr>
      <w:tr w:rsidR="009E181C" w:rsidRPr="009E181C" w14:paraId="334D414D" w14:textId="77777777" w:rsidTr="009E181C">
        <w:trPr>
          <w:trHeight w:val="320"/>
        </w:trPr>
        <w:tc>
          <w:tcPr>
            <w:tcW w:w="5381" w:type="dxa"/>
            <w:gridSpan w:val="6"/>
            <w:tcBorders>
              <w:top w:val="single" w:sz="4" w:space="0" w:color="auto"/>
              <w:left w:val="single" w:sz="4" w:space="0" w:color="auto"/>
              <w:bottom w:val="single" w:sz="4" w:space="0" w:color="FFFFFF"/>
              <w:right w:val="single" w:sz="4" w:space="0" w:color="auto"/>
            </w:tcBorders>
            <w:shd w:val="clear" w:color="auto" w:fill="E2E2E2"/>
          </w:tcPr>
          <w:p w14:paraId="31BB6E27" w14:textId="77777777" w:rsidR="009E181C" w:rsidRPr="009E181C" w:rsidRDefault="009E181C" w:rsidP="009E181C">
            <w:pPr>
              <w:widowControl w:val="0"/>
              <w:spacing w:after="0" w:line="240" w:lineRule="auto"/>
              <w:ind w:left="142"/>
              <w:rPr>
                <w:rFonts w:eastAsia="Calibri"/>
                <w:b/>
                <w:sz w:val="20"/>
                <w:szCs w:val="20"/>
              </w:rPr>
            </w:pPr>
            <w:r w:rsidRPr="009E181C">
              <w:rPr>
                <w:rFonts w:ascii="Times New Roman" w:eastAsia="Calibri" w:hAnsi="Times New Roman"/>
                <w:b/>
                <w:sz w:val="20"/>
                <w:szCs w:val="20"/>
              </w:rPr>
              <w:t>Predpokladaný termín začiatku a ukončenia ZP**</w:t>
            </w:r>
            <w:r w:rsidRPr="009E181C">
              <w:rPr>
                <w:rFonts w:eastAsia="Calibri"/>
                <w:b/>
                <w:sz w:val="20"/>
                <w:szCs w:val="20"/>
              </w:rPr>
              <w:t xml:space="preserve"> </w:t>
            </w:r>
          </w:p>
        </w:tc>
        <w:tc>
          <w:tcPr>
            <w:tcW w:w="3549" w:type="dxa"/>
            <w:gridSpan w:val="5"/>
            <w:tcBorders>
              <w:top w:val="single" w:sz="4" w:space="0" w:color="auto"/>
              <w:left w:val="single" w:sz="4" w:space="0" w:color="auto"/>
              <w:bottom w:val="single" w:sz="4" w:space="0" w:color="auto"/>
              <w:right w:val="single" w:sz="4" w:space="0" w:color="auto"/>
            </w:tcBorders>
          </w:tcPr>
          <w:p w14:paraId="7E7D986B" w14:textId="77777777" w:rsidR="009E181C" w:rsidRPr="009E181C" w:rsidRDefault="009E181C" w:rsidP="009E181C">
            <w:pPr>
              <w:widowControl w:val="0"/>
              <w:spacing w:after="0" w:line="240" w:lineRule="auto"/>
              <w:rPr>
                <w:rFonts w:ascii="Times New Roman" w:hAnsi="Times New Roman"/>
                <w:i/>
                <w:sz w:val="20"/>
                <w:szCs w:val="20"/>
                <w:lang w:eastAsia="sk-SK"/>
              </w:rPr>
            </w:pPr>
          </w:p>
        </w:tc>
      </w:tr>
      <w:tr w:rsidR="009E181C" w:rsidRPr="009E181C" w14:paraId="1EA11D5D" w14:textId="77777777" w:rsidTr="009E181C">
        <w:tc>
          <w:tcPr>
            <w:tcW w:w="5381" w:type="dxa"/>
            <w:gridSpan w:val="6"/>
            <w:tcBorders>
              <w:top w:val="single" w:sz="4" w:space="0" w:color="auto"/>
              <w:left w:val="single" w:sz="4" w:space="0" w:color="auto"/>
              <w:bottom w:val="single" w:sz="4" w:space="0" w:color="FFFFFF"/>
              <w:right w:val="single" w:sz="4" w:space="0" w:color="auto"/>
            </w:tcBorders>
            <w:shd w:val="clear" w:color="auto" w:fill="E2E2E2"/>
          </w:tcPr>
          <w:p w14:paraId="35CEE756" w14:textId="77777777" w:rsidR="009E181C" w:rsidRPr="009E181C" w:rsidRDefault="009E181C" w:rsidP="009E181C">
            <w:pPr>
              <w:widowControl w:val="0"/>
              <w:spacing w:after="0" w:line="240" w:lineRule="auto"/>
              <w:ind w:left="142"/>
              <w:jc w:val="both"/>
              <w:rPr>
                <w:rFonts w:ascii="Times New Roman" w:eastAsia="Calibri" w:hAnsi="Times New Roman"/>
                <w:b/>
                <w:sz w:val="20"/>
                <w:szCs w:val="20"/>
              </w:rPr>
            </w:pPr>
            <w:r w:rsidRPr="009E181C">
              <w:rPr>
                <w:rFonts w:ascii="Times New Roman" w:eastAsia="Calibri" w:hAnsi="Times New Roman"/>
                <w:b/>
                <w:sz w:val="20"/>
                <w:szCs w:val="20"/>
              </w:rPr>
              <w:t>Predpokladaný termín predloženia na rokovanie vlády SR*</w:t>
            </w:r>
          </w:p>
        </w:tc>
        <w:tc>
          <w:tcPr>
            <w:tcW w:w="3549" w:type="dxa"/>
            <w:gridSpan w:val="5"/>
            <w:tcBorders>
              <w:top w:val="single" w:sz="4" w:space="0" w:color="auto"/>
              <w:left w:val="single" w:sz="4" w:space="0" w:color="auto"/>
              <w:bottom w:val="single" w:sz="4" w:space="0" w:color="auto"/>
              <w:right w:val="single" w:sz="4" w:space="0" w:color="auto"/>
            </w:tcBorders>
          </w:tcPr>
          <w:p w14:paraId="5D8DA934" w14:textId="77777777" w:rsidR="009E181C" w:rsidRPr="009E181C" w:rsidRDefault="009E181C" w:rsidP="009E181C">
            <w:pPr>
              <w:widowControl w:val="0"/>
              <w:spacing w:after="0" w:line="240" w:lineRule="auto"/>
              <w:rPr>
                <w:rFonts w:ascii="Times New Roman" w:hAnsi="Times New Roman"/>
                <w:i/>
                <w:sz w:val="20"/>
                <w:szCs w:val="20"/>
                <w:lang w:eastAsia="sk-SK"/>
              </w:rPr>
            </w:pPr>
            <w:r w:rsidRPr="009E181C">
              <w:rPr>
                <w:rFonts w:ascii="Times New Roman" w:hAnsi="Times New Roman"/>
                <w:i/>
                <w:sz w:val="20"/>
                <w:szCs w:val="20"/>
                <w:lang w:eastAsia="sk-SK"/>
              </w:rPr>
              <w:t>október 2022</w:t>
            </w:r>
          </w:p>
        </w:tc>
      </w:tr>
      <w:tr w:rsidR="009E181C" w:rsidRPr="009E181C" w14:paraId="0C099F0E" w14:textId="77777777" w:rsidTr="009E181C">
        <w:tc>
          <w:tcPr>
            <w:tcW w:w="8930" w:type="dxa"/>
            <w:gridSpan w:val="11"/>
            <w:tcBorders>
              <w:top w:val="single" w:sz="4" w:space="0" w:color="auto"/>
              <w:left w:val="single" w:sz="4" w:space="0" w:color="auto"/>
              <w:bottom w:val="single" w:sz="4" w:space="0" w:color="FFFFFF"/>
              <w:right w:val="single" w:sz="4" w:space="0" w:color="auto"/>
            </w:tcBorders>
            <w:shd w:val="clear" w:color="auto" w:fill="E2E2E2"/>
          </w:tcPr>
          <w:p w14:paraId="25F03AB9" w14:textId="77777777" w:rsidR="009E181C" w:rsidRPr="009E181C" w:rsidRDefault="009E181C" w:rsidP="009E181C">
            <w:pPr>
              <w:widowControl w:val="0"/>
              <w:numPr>
                <w:ilvl w:val="0"/>
                <w:numId w:val="4"/>
              </w:numPr>
              <w:spacing w:after="0" w:line="240" w:lineRule="auto"/>
              <w:ind w:left="426"/>
              <w:rPr>
                <w:rFonts w:ascii="Times New Roman" w:eastAsia="Calibri" w:hAnsi="Times New Roman"/>
                <w:b/>
                <w:sz w:val="20"/>
                <w:szCs w:val="20"/>
              </w:rPr>
            </w:pPr>
            <w:r w:rsidRPr="009E181C">
              <w:rPr>
                <w:rFonts w:ascii="Times New Roman" w:eastAsia="Calibri" w:hAnsi="Times New Roman"/>
                <w:b/>
                <w:sz w:val="20"/>
                <w:szCs w:val="20"/>
              </w:rPr>
              <w:t>Definovanie problému</w:t>
            </w:r>
          </w:p>
        </w:tc>
      </w:tr>
      <w:tr w:rsidR="009E181C" w:rsidRPr="009E181C" w14:paraId="5233E80B" w14:textId="77777777" w:rsidTr="009E181C">
        <w:trPr>
          <w:trHeight w:val="718"/>
        </w:trPr>
        <w:tc>
          <w:tcPr>
            <w:tcW w:w="8930" w:type="dxa"/>
            <w:gridSpan w:val="11"/>
            <w:tcBorders>
              <w:top w:val="single" w:sz="4" w:space="0" w:color="FFFFFF"/>
              <w:left w:val="single" w:sz="4" w:space="0" w:color="auto"/>
              <w:bottom w:val="single" w:sz="4" w:space="0" w:color="auto"/>
              <w:right w:val="single" w:sz="4" w:space="0" w:color="auto"/>
            </w:tcBorders>
            <w:shd w:val="clear" w:color="auto" w:fill="FFFFFF"/>
          </w:tcPr>
          <w:p w14:paraId="68279960" w14:textId="77777777" w:rsidR="009E181C" w:rsidRPr="009E181C" w:rsidRDefault="009E181C" w:rsidP="009E181C">
            <w:pPr>
              <w:widowControl w:val="0"/>
              <w:spacing w:after="0" w:line="240" w:lineRule="auto"/>
              <w:jc w:val="both"/>
              <w:rPr>
                <w:rFonts w:ascii="Times New Roman" w:hAnsi="Times New Roman"/>
                <w:b/>
                <w:sz w:val="20"/>
                <w:szCs w:val="20"/>
                <w:lang w:eastAsia="sk-SK"/>
              </w:rPr>
            </w:pPr>
            <w:r w:rsidRPr="009E181C">
              <w:rPr>
                <w:rFonts w:ascii="Times New Roman" w:hAnsi="Times New Roman"/>
                <w:sz w:val="20"/>
                <w:szCs w:val="20"/>
                <w:lang w:eastAsia="sk-SK"/>
              </w:rPr>
              <w:t>Od 1. januára 2023 sa bude realizovať Strategický plán Spoločnej poľnohospodárskej politiky 2023-2027 (ďalej len „SP SPP 2023-2027“), čo vyžaduje implementáciu nariadenia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6.12.2021) v platnom znení (ďalej len „nariadenie (EÚ) 2021/2115“) a nariadenia Európskeho parlamentu a Rady (EÚ) 2021/2116 z 2. decembra 2021 o financovaní, riadení a monitorovaní spoločnej poľnohospodárskej politiky a o zrušení nariadenia (EÚ) č. 1306/2013 (Ú. v. EÚ L 435, 6.12.2021) v platnom znení. Uvedené vyžaduje úpravu kompetencií Ministerstva pôdohospodárstva a rozvoja vidieka Slovenskej republiky ako príslušného orgánu a Pôdohospodárskej platobnej agentúry ako organizácie zabezpečujúcej vyplácanie finančných prostriedkov Európskej únie v zákone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 (ďalej len „zákon č. 280/2017 Z. z.“).</w:t>
            </w:r>
          </w:p>
        </w:tc>
      </w:tr>
      <w:tr w:rsidR="009E181C" w:rsidRPr="009E181C" w14:paraId="0AD893FB" w14:textId="77777777" w:rsidTr="009E181C">
        <w:tc>
          <w:tcPr>
            <w:tcW w:w="8930" w:type="dxa"/>
            <w:gridSpan w:val="11"/>
            <w:tcBorders>
              <w:top w:val="single" w:sz="4" w:space="0" w:color="auto"/>
              <w:left w:val="single" w:sz="4" w:space="0" w:color="auto"/>
              <w:bottom w:val="nil"/>
              <w:right w:val="single" w:sz="4" w:space="0" w:color="auto"/>
            </w:tcBorders>
            <w:shd w:val="clear" w:color="auto" w:fill="E2E2E2"/>
          </w:tcPr>
          <w:p w14:paraId="2C59C49D" w14:textId="77777777" w:rsidR="009E181C" w:rsidRPr="009E181C" w:rsidRDefault="009E181C" w:rsidP="009E181C">
            <w:pPr>
              <w:widowControl w:val="0"/>
              <w:numPr>
                <w:ilvl w:val="0"/>
                <w:numId w:val="4"/>
              </w:numPr>
              <w:spacing w:after="0" w:line="240" w:lineRule="auto"/>
              <w:ind w:left="426"/>
              <w:rPr>
                <w:rFonts w:ascii="Times New Roman" w:eastAsia="Calibri" w:hAnsi="Times New Roman"/>
                <w:b/>
                <w:sz w:val="20"/>
                <w:szCs w:val="20"/>
              </w:rPr>
            </w:pPr>
            <w:r w:rsidRPr="009E181C">
              <w:rPr>
                <w:rFonts w:ascii="Times New Roman" w:eastAsia="Calibri" w:hAnsi="Times New Roman"/>
                <w:b/>
                <w:sz w:val="20"/>
                <w:szCs w:val="20"/>
              </w:rPr>
              <w:t>Ciele a výsledný stav</w:t>
            </w:r>
          </w:p>
        </w:tc>
      </w:tr>
      <w:tr w:rsidR="009E181C" w:rsidRPr="009E181C" w14:paraId="079DDA11" w14:textId="77777777" w:rsidTr="009E181C">
        <w:trPr>
          <w:trHeight w:val="741"/>
        </w:trPr>
        <w:tc>
          <w:tcPr>
            <w:tcW w:w="8930" w:type="dxa"/>
            <w:gridSpan w:val="11"/>
            <w:tcBorders>
              <w:top w:val="nil"/>
              <w:left w:val="single" w:sz="4" w:space="0" w:color="auto"/>
              <w:bottom w:val="single" w:sz="4" w:space="0" w:color="auto"/>
              <w:right w:val="single" w:sz="4" w:space="0" w:color="auto"/>
            </w:tcBorders>
            <w:shd w:val="clear" w:color="auto" w:fill="FFFFFF"/>
          </w:tcPr>
          <w:p w14:paraId="31B1A89A" w14:textId="77777777" w:rsidR="009E181C" w:rsidRPr="009E181C" w:rsidRDefault="009E181C" w:rsidP="009E181C">
            <w:pPr>
              <w:widowControl w:val="0"/>
              <w:spacing w:after="0" w:line="240" w:lineRule="auto"/>
              <w:jc w:val="both"/>
              <w:rPr>
                <w:rFonts w:ascii="Times New Roman" w:hAnsi="Times New Roman"/>
                <w:sz w:val="20"/>
                <w:szCs w:val="20"/>
                <w:lang w:eastAsia="sk-SK"/>
              </w:rPr>
            </w:pPr>
            <w:r w:rsidRPr="009E181C">
              <w:rPr>
                <w:rFonts w:ascii="Times New Roman" w:hAnsi="Times New Roman"/>
                <w:sz w:val="20"/>
                <w:szCs w:val="20"/>
                <w:lang w:eastAsia="sk-SK"/>
              </w:rPr>
              <w:t>Cieľom návrhu zákona najmä vymedzenie niektorých pojmov vyplývajúcich z uvedených právne záväzných aktov Európskej únie, precizovanie zabezpečenia a koordinácie ochrany finančných záujmov Európskej únie doplnenie kompetencií Ministerstva pôdohospodárstva a rozvoja vidieka Slovenskej republiky a Pôdohospodárskej platobnej agentúry, ustanovenie povinnosti elektronickej komunikácie a poskytovania elektronických služieb a úprava doterajšieho vymedzenia pôdohospodárskeho poradenského systému v nadväznosti na novú právnu úpravu vyplývajúcu z nariadenia (EÚ) 2021/2115.</w:t>
            </w:r>
          </w:p>
        </w:tc>
      </w:tr>
      <w:tr w:rsidR="009E181C" w:rsidRPr="009E181C" w14:paraId="5B81E125" w14:textId="77777777" w:rsidTr="009E181C">
        <w:tc>
          <w:tcPr>
            <w:tcW w:w="8930" w:type="dxa"/>
            <w:gridSpan w:val="11"/>
            <w:tcBorders>
              <w:top w:val="single" w:sz="4" w:space="0" w:color="auto"/>
              <w:left w:val="single" w:sz="4" w:space="0" w:color="auto"/>
              <w:bottom w:val="nil"/>
              <w:right w:val="single" w:sz="4" w:space="0" w:color="auto"/>
            </w:tcBorders>
            <w:shd w:val="clear" w:color="auto" w:fill="E2E2E2"/>
          </w:tcPr>
          <w:p w14:paraId="4DC3618B" w14:textId="77777777" w:rsidR="009E181C" w:rsidRPr="009E181C" w:rsidRDefault="009E181C" w:rsidP="009E181C">
            <w:pPr>
              <w:widowControl w:val="0"/>
              <w:numPr>
                <w:ilvl w:val="0"/>
                <w:numId w:val="4"/>
              </w:numPr>
              <w:spacing w:after="0" w:line="240" w:lineRule="auto"/>
              <w:ind w:left="426"/>
              <w:rPr>
                <w:rFonts w:ascii="Times New Roman" w:eastAsia="Calibri" w:hAnsi="Times New Roman"/>
                <w:b/>
                <w:sz w:val="20"/>
                <w:szCs w:val="20"/>
              </w:rPr>
            </w:pPr>
            <w:r w:rsidRPr="009E181C">
              <w:rPr>
                <w:rFonts w:ascii="Times New Roman" w:eastAsia="Calibri" w:hAnsi="Times New Roman"/>
                <w:b/>
                <w:sz w:val="20"/>
                <w:szCs w:val="20"/>
              </w:rPr>
              <w:t>Dotknuté subjekty</w:t>
            </w:r>
          </w:p>
        </w:tc>
      </w:tr>
      <w:tr w:rsidR="009E181C" w:rsidRPr="009E181C" w14:paraId="47569044" w14:textId="77777777" w:rsidTr="009E181C">
        <w:tc>
          <w:tcPr>
            <w:tcW w:w="8930" w:type="dxa"/>
            <w:gridSpan w:val="11"/>
            <w:tcBorders>
              <w:top w:val="nil"/>
              <w:left w:val="single" w:sz="4" w:space="0" w:color="auto"/>
              <w:bottom w:val="single" w:sz="4" w:space="0" w:color="auto"/>
              <w:right w:val="single" w:sz="4" w:space="0" w:color="auto"/>
            </w:tcBorders>
            <w:shd w:val="clear" w:color="auto" w:fill="FFFFFF"/>
          </w:tcPr>
          <w:p w14:paraId="20A72581" w14:textId="77777777" w:rsidR="009E181C" w:rsidRPr="009E181C" w:rsidRDefault="009E181C" w:rsidP="009E181C">
            <w:pPr>
              <w:widowControl w:val="0"/>
              <w:spacing w:after="0" w:line="240" w:lineRule="auto"/>
              <w:jc w:val="both"/>
              <w:rPr>
                <w:rFonts w:ascii="Times New Roman" w:hAnsi="Times New Roman"/>
                <w:sz w:val="20"/>
                <w:szCs w:val="20"/>
                <w:lang w:eastAsia="sk-SK"/>
              </w:rPr>
            </w:pPr>
            <w:r w:rsidRPr="009E181C">
              <w:rPr>
                <w:rFonts w:ascii="Times New Roman" w:hAnsi="Times New Roman"/>
                <w:sz w:val="20"/>
                <w:szCs w:val="20"/>
                <w:lang w:eastAsia="sk-SK"/>
              </w:rPr>
              <w:t>fyzické osoby a právnické osoby, ktoré žiadajú o poskytnutie podpory a dotácie v pôdohospodárstve a rozvoji vidieka, účastníci trhu a prijímatelia pomoci v rámci spoločnej organizácie poľnohospodárskych trhov, Ministerstvo pôdohospodárstva a rozvoja vidieka Slovenskej republiky, Pôdohospodárskej platobnej agentúry</w:t>
            </w:r>
          </w:p>
        </w:tc>
      </w:tr>
      <w:tr w:rsidR="009E181C" w:rsidRPr="009E181C" w14:paraId="3B629FBA" w14:textId="77777777" w:rsidTr="009E181C">
        <w:tc>
          <w:tcPr>
            <w:tcW w:w="8930" w:type="dxa"/>
            <w:gridSpan w:val="11"/>
            <w:tcBorders>
              <w:top w:val="single" w:sz="4" w:space="0" w:color="auto"/>
              <w:left w:val="single" w:sz="4" w:space="0" w:color="auto"/>
              <w:bottom w:val="nil"/>
              <w:right w:val="single" w:sz="4" w:space="0" w:color="auto"/>
            </w:tcBorders>
            <w:shd w:val="clear" w:color="auto" w:fill="E2E2E2"/>
          </w:tcPr>
          <w:p w14:paraId="5EE968B4" w14:textId="77777777" w:rsidR="009E181C" w:rsidRPr="009E181C" w:rsidRDefault="009E181C" w:rsidP="009E181C">
            <w:pPr>
              <w:widowControl w:val="0"/>
              <w:numPr>
                <w:ilvl w:val="0"/>
                <w:numId w:val="4"/>
              </w:numPr>
              <w:spacing w:after="0" w:line="240" w:lineRule="auto"/>
              <w:ind w:left="426"/>
              <w:rPr>
                <w:rFonts w:ascii="Times New Roman" w:eastAsia="Calibri" w:hAnsi="Times New Roman"/>
                <w:b/>
                <w:sz w:val="20"/>
                <w:szCs w:val="20"/>
              </w:rPr>
            </w:pPr>
            <w:r w:rsidRPr="009E181C">
              <w:rPr>
                <w:rFonts w:ascii="Times New Roman" w:eastAsia="Calibri" w:hAnsi="Times New Roman"/>
                <w:b/>
                <w:sz w:val="20"/>
                <w:szCs w:val="20"/>
              </w:rPr>
              <w:t>Alternatívne riešenia</w:t>
            </w:r>
          </w:p>
        </w:tc>
      </w:tr>
      <w:tr w:rsidR="009E181C" w:rsidRPr="009E181C" w14:paraId="03E427EC" w14:textId="77777777" w:rsidTr="009E181C">
        <w:trPr>
          <w:trHeight w:val="1342"/>
        </w:trPr>
        <w:tc>
          <w:tcPr>
            <w:tcW w:w="8930" w:type="dxa"/>
            <w:gridSpan w:val="11"/>
            <w:tcBorders>
              <w:top w:val="nil"/>
              <w:left w:val="single" w:sz="4" w:space="0" w:color="auto"/>
              <w:bottom w:val="single" w:sz="4" w:space="0" w:color="auto"/>
              <w:right w:val="single" w:sz="4" w:space="0" w:color="auto"/>
            </w:tcBorders>
            <w:shd w:val="clear" w:color="auto" w:fill="FFFFFF"/>
          </w:tcPr>
          <w:p w14:paraId="51967058" w14:textId="77777777" w:rsidR="009E181C" w:rsidRPr="009E181C" w:rsidRDefault="009E181C" w:rsidP="009E181C">
            <w:pPr>
              <w:widowControl w:val="0"/>
              <w:spacing w:after="0" w:line="240" w:lineRule="auto"/>
              <w:jc w:val="both"/>
              <w:rPr>
                <w:rFonts w:ascii="Times New Roman" w:hAnsi="Times New Roman"/>
                <w:sz w:val="20"/>
                <w:szCs w:val="20"/>
                <w:lang w:eastAsia="sk-SK"/>
              </w:rPr>
            </w:pPr>
            <w:r w:rsidRPr="009E181C">
              <w:rPr>
                <w:rFonts w:ascii="Times New Roman" w:hAnsi="Times New Roman"/>
                <w:sz w:val="20"/>
                <w:szCs w:val="20"/>
                <w:lang w:eastAsia="sk-SK"/>
              </w:rPr>
              <w:t>Alternatíva 0 (zachovanie súčasného stavu): Absencia právnej úpravy umožňujúcej Slovenskej republike realizáciu SP SPP 2023-2027, z toho vyplývajúca nemožnosť podávania a administrácie žiadostí a vyplácania finančných prostriedkov z fondov Európskej únie, čo by malo za následok značné hospodárske škody pre štát vo výške viac ako 4,3 mld. eur,</w:t>
            </w:r>
          </w:p>
          <w:p w14:paraId="1360CEA4" w14:textId="77777777" w:rsidR="009E181C" w:rsidRPr="009E181C" w:rsidRDefault="009E181C" w:rsidP="009E181C">
            <w:pPr>
              <w:widowControl w:val="0"/>
              <w:spacing w:after="0" w:line="240" w:lineRule="auto"/>
              <w:jc w:val="both"/>
              <w:rPr>
                <w:rFonts w:ascii="Times New Roman" w:hAnsi="Times New Roman"/>
                <w:i/>
                <w:sz w:val="20"/>
                <w:szCs w:val="20"/>
                <w:lang w:eastAsia="sk-SK"/>
              </w:rPr>
            </w:pPr>
            <w:r w:rsidRPr="009E181C">
              <w:rPr>
                <w:rFonts w:ascii="Times New Roman" w:hAnsi="Times New Roman"/>
                <w:sz w:val="20"/>
                <w:szCs w:val="20"/>
                <w:lang w:eastAsia="sk-SK"/>
              </w:rPr>
              <w:t>Alternatíva 1 (návrh zákona): Riadna implementácia SP SPP 2023-2027 a súvisiacich právne záväzných aktov Európskej únie.</w:t>
            </w:r>
          </w:p>
        </w:tc>
      </w:tr>
      <w:tr w:rsidR="009E181C" w:rsidRPr="009E181C" w14:paraId="36B6AD03" w14:textId="77777777" w:rsidTr="009E181C">
        <w:tc>
          <w:tcPr>
            <w:tcW w:w="8930" w:type="dxa"/>
            <w:gridSpan w:val="11"/>
            <w:tcBorders>
              <w:top w:val="single" w:sz="4" w:space="0" w:color="auto"/>
              <w:left w:val="single" w:sz="4" w:space="0" w:color="auto"/>
              <w:bottom w:val="single" w:sz="4" w:space="0" w:color="FFFFFF"/>
              <w:right w:val="single" w:sz="4" w:space="0" w:color="auto"/>
            </w:tcBorders>
            <w:shd w:val="clear" w:color="auto" w:fill="E2E2E2"/>
          </w:tcPr>
          <w:p w14:paraId="62DC4101" w14:textId="77777777" w:rsidR="009E181C" w:rsidRPr="009E181C" w:rsidRDefault="009E181C" w:rsidP="009E181C">
            <w:pPr>
              <w:widowControl w:val="0"/>
              <w:numPr>
                <w:ilvl w:val="0"/>
                <w:numId w:val="4"/>
              </w:numPr>
              <w:spacing w:after="0" w:line="240" w:lineRule="auto"/>
              <w:ind w:left="426"/>
              <w:rPr>
                <w:rFonts w:ascii="Times New Roman" w:eastAsia="Calibri" w:hAnsi="Times New Roman"/>
                <w:b/>
                <w:sz w:val="20"/>
                <w:szCs w:val="20"/>
              </w:rPr>
            </w:pPr>
            <w:r w:rsidRPr="009E181C">
              <w:rPr>
                <w:rFonts w:ascii="Times New Roman" w:eastAsia="Calibri" w:hAnsi="Times New Roman"/>
                <w:b/>
                <w:sz w:val="20"/>
                <w:szCs w:val="20"/>
              </w:rPr>
              <w:t>Vykonávacie predpisy</w:t>
            </w:r>
          </w:p>
        </w:tc>
      </w:tr>
      <w:tr w:rsidR="009E181C" w:rsidRPr="009E181C" w14:paraId="5BBC1502" w14:textId="77777777" w:rsidTr="009E181C">
        <w:tc>
          <w:tcPr>
            <w:tcW w:w="5635" w:type="dxa"/>
            <w:gridSpan w:val="7"/>
            <w:tcBorders>
              <w:top w:val="single" w:sz="4" w:space="0" w:color="FFFFFF"/>
              <w:left w:val="single" w:sz="4" w:space="0" w:color="auto"/>
              <w:bottom w:val="nil"/>
              <w:right w:val="nil"/>
            </w:tcBorders>
            <w:shd w:val="clear" w:color="auto" w:fill="FFFFFF"/>
          </w:tcPr>
          <w:p w14:paraId="19182A47" w14:textId="77777777" w:rsidR="009E181C" w:rsidRPr="009E181C" w:rsidRDefault="009E181C" w:rsidP="009E181C">
            <w:pPr>
              <w:widowControl w:val="0"/>
              <w:spacing w:after="0" w:line="240" w:lineRule="auto"/>
              <w:rPr>
                <w:rFonts w:ascii="Times New Roman" w:hAnsi="Times New Roman"/>
                <w:i/>
                <w:sz w:val="20"/>
                <w:szCs w:val="20"/>
                <w:lang w:eastAsia="sk-SK"/>
              </w:rPr>
            </w:pPr>
            <w:r w:rsidRPr="009E181C">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F1AA5A2"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1929613764"/>
                <w14:checkbox>
                  <w14:checked w14:val="0"/>
                  <w14:checkedState w14:val="2612" w14:font="MS Gothic"/>
                  <w14:uncheckedState w14:val="2610" w14:font="MS Gothic"/>
                </w14:checkbox>
              </w:sdtPr>
              <w:sdtContent>
                <w:r w:rsidRPr="009E181C">
                  <w:rPr>
                    <w:rFonts w:ascii="Times New Roman" w:eastAsia="MS Gothic" w:hAnsi="Times New Roman" w:hint="eastAsia"/>
                    <w:b/>
                    <w:sz w:val="20"/>
                    <w:szCs w:val="20"/>
                    <w:lang w:eastAsia="sk-SK"/>
                  </w:rPr>
                  <w:t>☐</w:t>
                </w:r>
              </w:sdtContent>
            </w:sdt>
            <w:r w:rsidRPr="009E181C">
              <w:rPr>
                <w:rFonts w:ascii="Times New Roman" w:hAnsi="Times New Roman"/>
                <w:b/>
                <w:sz w:val="20"/>
                <w:szCs w:val="20"/>
                <w:lang w:eastAsia="sk-SK"/>
              </w:rPr>
              <w:t xml:space="preserve">  Áno</w:t>
            </w:r>
          </w:p>
        </w:tc>
        <w:tc>
          <w:tcPr>
            <w:tcW w:w="1878" w:type="dxa"/>
            <w:gridSpan w:val="2"/>
            <w:tcBorders>
              <w:top w:val="single" w:sz="4" w:space="0" w:color="FFFFFF"/>
              <w:left w:val="nil"/>
              <w:bottom w:val="nil"/>
              <w:right w:val="single" w:sz="4" w:space="0" w:color="auto"/>
            </w:tcBorders>
            <w:shd w:val="clear" w:color="auto" w:fill="FFFFFF"/>
          </w:tcPr>
          <w:p w14:paraId="4C510866"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1594626508"/>
                <w14:checkbox>
                  <w14:checked w14:val="1"/>
                  <w14:checkedState w14:val="2612" w14:font="MS Gothic"/>
                  <w14:uncheckedState w14:val="2610" w14:font="MS Gothic"/>
                </w14:checkbox>
              </w:sdtPr>
              <w:sdtContent>
                <w:r w:rsidRPr="009E181C">
                  <w:rPr>
                    <w:rFonts w:ascii="Times New Roman" w:eastAsia="MS Gothic" w:hAnsi="Times New Roman" w:hint="eastAsia"/>
                    <w:b/>
                    <w:sz w:val="20"/>
                    <w:szCs w:val="20"/>
                    <w:lang w:eastAsia="sk-SK"/>
                  </w:rPr>
                  <w:t>☒</w:t>
                </w:r>
              </w:sdtContent>
            </w:sdt>
            <w:r w:rsidRPr="009E181C">
              <w:rPr>
                <w:rFonts w:ascii="Times New Roman" w:hAnsi="Times New Roman"/>
                <w:b/>
                <w:sz w:val="20"/>
                <w:szCs w:val="20"/>
                <w:lang w:eastAsia="sk-SK"/>
              </w:rPr>
              <w:t xml:space="preserve">  Nie</w:t>
            </w:r>
          </w:p>
        </w:tc>
      </w:tr>
      <w:tr w:rsidR="009E181C" w:rsidRPr="009E181C" w14:paraId="718102E9" w14:textId="77777777" w:rsidTr="009E181C">
        <w:tc>
          <w:tcPr>
            <w:tcW w:w="8930" w:type="dxa"/>
            <w:gridSpan w:val="11"/>
            <w:tcBorders>
              <w:top w:val="nil"/>
              <w:left w:val="single" w:sz="4" w:space="0" w:color="auto"/>
              <w:bottom w:val="single" w:sz="4" w:space="0" w:color="auto"/>
              <w:right w:val="single" w:sz="4" w:space="0" w:color="auto"/>
            </w:tcBorders>
            <w:shd w:val="clear" w:color="auto" w:fill="FFFFFF"/>
          </w:tcPr>
          <w:p w14:paraId="597ED367" w14:textId="77777777" w:rsidR="009E181C" w:rsidRPr="009E181C" w:rsidRDefault="009E181C" w:rsidP="009E181C">
            <w:pPr>
              <w:widowControl w:val="0"/>
              <w:spacing w:after="0" w:line="240" w:lineRule="auto"/>
              <w:rPr>
                <w:rFonts w:ascii="Times New Roman" w:hAnsi="Times New Roman"/>
                <w:i/>
                <w:sz w:val="20"/>
                <w:szCs w:val="20"/>
                <w:lang w:eastAsia="sk-SK"/>
              </w:rPr>
            </w:pPr>
            <w:r w:rsidRPr="009E181C">
              <w:rPr>
                <w:rFonts w:ascii="Times New Roman" w:hAnsi="Times New Roman"/>
                <w:i/>
                <w:sz w:val="20"/>
                <w:szCs w:val="20"/>
                <w:lang w:eastAsia="sk-SK"/>
              </w:rPr>
              <w:t>Ak áno, uveďte ktoré oblasti budú nimi upravené, resp. ktorých vykonávacích predpisov sa zmena dotkne:</w:t>
            </w:r>
          </w:p>
        </w:tc>
      </w:tr>
      <w:tr w:rsidR="009E181C" w:rsidRPr="009E181C" w14:paraId="732CE98B" w14:textId="77777777" w:rsidTr="009E181C">
        <w:tc>
          <w:tcPr>
            <w:tcW w:w="8930" w:type="dxa"/>
            <w:gridSpan w:val="11"/>
            <w:tcBorders>
              <w:top w:val="single" w:sz="4" w:space="0" w:color="auto"/>
              <w:left w:val="single" w:sz="4" w:space="0" w:color="auto"/>
              <w:bottom w:val="single" w:sz="4" w:space="0" w:color="FFFFFF"/>
              <w:right w:val="single" w:sz="4" w:space="0" w:color="auto"/>
            </w:tcBorders>
            <w:shd w:val="clear" w:color="auto" w:fill="E2E2E2"/>
          </w:tcPr>
          <w:p w14:paraId="7D59A571" w14:textId="77777777" w:rsidR="009E181C" w:rsidRPr="009E181C" w:rsidRDefault="009E181C" w:rsidP="009E181C">
            <w:pPr>
              <w:widowControl w:val="0"/>
              <w:numPr>
                <w:ilvl w:val="0"/>
                <w:numId w:val="4"/>
              </w:numPr>
              <w:spacing w:after="0" w:line="240" w:lineRule="auto"/>
              <w:ind w:left="426"/>
              <w:rPr>
                <w:rFonts w:ascii="Times New Roman" w:eastAsia="Calibri" w:hAnsi="Times New Roman"/>
                <w:b/>
                <w:sz w:val="20"/>
                <w:szCs w:val="20"/>
              </w:rPr>
            </w:pPr>
            <w:r w:rsidRPr="009E181C">
              <w:rPr>
                <w:rFonts w:ascii="Times New Roman" w:eastAsia="Calibri" w:hAnsi="Times New Roman"/>
                <w:b/>
                <w:sz w:val="20"/>
                <w:szCs w:val="20"/>
              </w:rPr>
              <w:t xml:space="preserve">Transpozícia práva EÚ </w:t>
            </w:r>
          </w:p>
        </w:tc>
      </w:tr>
      <w:tr w:rsidR="009E181C" w:rsidRPr="009E181C" w14:paraId="653DC74B" w14:textId="77777777" w:rsidTr="009E181C">
        <w:trPr>
          <w:trHeight w:val="157"/>
        </w:trPr>
        <w:tc>
          <w:tcPr>
            <w:tcW w:w="8930" w:type="dxa"/>
            <w:gridSpan w:val="11"/>
            <w:tcBorders>
              <w:top w:val="nil"/>
              <w:left w:val="single" w:sz="4" w:space="0" w:color="000000"/>
              <w:bottom w:val="nil"/>
              <w:right w:val="single" w:sz="4" w:space="0" w:color="auto"/>
            </w:tcBorders>
            <w:shd w:val="clear" w:color="auto" w:fill="FFFFFF"/>
          </w:tcPr>
          <w:p w14:paraId="1D085F53" w14:textId="77777777" w:rsidR="009E181C" w:rsidRPr="009E181C" w:rsidRDefault="009E181C" w:rsidP="009E181C">
            <w:pPr>
              <w:widowControl w:val="0"/>
              <w:spacing w:after="0" w:line="240" w:lineRule="auto"/>
              <w:jc w:val="both"/>
              <w:rPr>
                <w:rFonts w:ascii="Times New Roman" w:hAnsi="Times New Roman"/>
                <w:sz w:val="20"/>
                <w:szCs w:val="20"/>
                <w:lang w:eastAsia="sk-SK"/>
              </w:rPr>
            </w:pPr>
            <w:r w:rsidRPr="009E181C">
              <w:rPr>
                <w:rFonts w:ascii="Times New Roman" w:hAnsi="Times New Roman"/>
                <w:sz w:val="20"/>
                <w:szCs w:val="20"/>
                <w:lang w:eastAsia="sk-SK"/>
              </w:rPr>
              <w:t>Nie</w:t>
            </w:r>
          </w:p>
        </w:tc>
      </w:tr>
      <w:tr w:rsidR="009E181C" w:rsidRPr="009E181C" w14:paraId="1E4C969E" w14:textId="77777777" w:rsidTr="009E181C">
        <w:tc>
          <w:tcPr>
            <w:tcW w:w="8930" w:type="dxa"/>
            <w:gridSpan w:val="11"/>
            <w:tcBorders>
              <w:top w:val="single" w:sz="4" w:space="0" w:color="auto"/>
              <w:left w:val="single" w:sz="4" w:space="0" w:color="auto"/>
              <w:bottom w:val="single" w:sz="4" w:space="0" w:color="FFFFFF"/>
              <w:right w:val="single" w:sz="4" w:space="0" w:color="auto"/>
            </w:tcBorders>
            <w:shd w:val="clear" w:color="auto" w:fill="E2E2E2"/>
          </w:tcPr>
          <w:p w14:paraId="0E1387C7" w14:textId="77777777" w:rsidR="009E181C" w:rsidRPr="009E181C" w:rsidRDefault="009E181C" w:rsidP="009E181C">
            <w:pPr>
              <w:widowControl w:val="0"/>
              <w:numPr>
                <w:ilvl w:val="0"/>
                <w:numId w:val="4"/>
              </w:numPr>
              <w:spacing w:after="0" w:line="240" w:lineRule="auto"/>
              <w:ind w:left="426"/>
              <w:rPr>
                <w:rFonts w:ascii="Times New Roman" w:eastAsia="Calibri" w:hAnsi="Times New Roman"/>
                <w:b/>
                <w:sz w:val="20"/>
                <w:szCs w:val="20"/>
              </w:rPr>
            </w:pPr>
            <w:r w:rsidRPr="009E181C">
              <w:rPr>
                <w:rFonts w:ascii="Times New Roman" w:eastAsia="Calibri" w:hAnsi="Times New Roman"/>
                <w:b/>
                <w:sz w:val="20"/>
                <w:szCs w:val="20"/>
              </w:rPr>
              <w:t>Preskúmanie účelnosti</w:t>
            </w:r>
          </w:p>
        </w:tc>
      </w:tr>
      <w:tr w:rsidR="009E181C" w:rsidRPr="009E181C" w14:paraId="1C42EC06" w14:textId="77777777" w:rsidTr="009E181C">
        <w:tc>
          <w:tcPr>
            <w:tcW w:w="8930" w:type="dxa"/>
            <w:gridSpan w:val="11"/>
            <w:tcBorders>
              <w:top w:val="single" w:sz="4" w:space="0" w:color="FFFFFF"/>
              <w:left w:val="single" w:sz="4" w:space="0" w:color="auto"/>
              <w:bottom w:val="single" w:sz="4" w:space="0" w:color="auto"/>
              <w:right w:val="single" w:sz="4" w:space="0" w:color="auto"/>
            </w:tcBorders>
            <w:shd w:val="clear" w:color="auto" w:fill="FFFFFF"/>
          </w:tcPr>
          <w:p w14:paraId="7B3ADD26" w14:textId="77777777" w:rsidR="009E181C" w:rsidRPr="009E181C" w:rsidRDefault="009E181C" w:rsidP="009E181C">
            <w:pPr>
              <w:widowControl w:val="0"/>
              <w:spacing w:after="0" w:line="240" w:lineRule="auto"/>
              <w:jc w:val="both"/>
              <w:rPr>
                <w:rFonts w:ascii="Times New Roman" w:hAnsi="Times New Roman"/>
                <w:sz w:val="20"/>
                <w:szCs w:val="20"/>
                <w:lang w:eastAsia="sk-SK"/>
              </w:rPr>
            </w:pPr>
            <w:r w:rsidRPr="009E181C">
              <w:rPr>
                <w:rFonts w:ascii="Times New Roman" w:hAnsi="Times New Roman"/>
                <w:sz w:val="20"/>
                <w:szCs w:val="20"/>
                <w:lang w:eastAsia="sk-SK"/>
              </w:rPr>
              <w:lastRenderedPageBreak/>
              <w:t>Preskúmanie účelnosti sa bude realizovať priebežne inštitútmi riadenia finančnej politiky a spoločnej poľnohospodárskej politiky počas konaní o poskytnutí podpory a v rámci kontrol. Výsledky preskúmania účelnosti budú podľa očakávaného predpokladu premietnuté do prípadného návrhu modifikácie SP SPP 2023-2027 do konca roka 2023.</w:t>
            </w:r>
          </w:p>
        </w:tc>
      </w:tr>
      <w:tr w:rsidR="009E181C" w:rsidRPr="009E181C" w14:paraId="0CE373FB" w14:textId="77777777" w:rsidTr="009E181C">
        <w:tc>
          <w:tcPr>
            <w:tcW w:w="8930" w:type="dxa"/>
            <w:gridSpan w:val="11"/>
            <w:tcBorders>
              <w:top w:val="nil"/>
              <w:left w:val="nil"/>
              <w:bottom w:val="single" w:sz="4" w:space="0" w:color="auto"/>
              <w:right w:val="nil"/>
            </w:tcBorders>
            <w:shd w:val="clear" w:color="auto" w:fill="FFFFFF"/>
          </w:tcPr>
          <w:p w14:paraId="4E656757" w14:textId="77777777" w:rsidR="009E181C" w:rsidRPr="009E181C" w:rsidRDefault="009E181C" w:rsidP="009E181C">
            <w:pPr>
              <w:widowControl w:val="0"/>
              <w:spacing w:after="0" w:line="240" w:lineRule="auto"/>
              <w:ind w:left="142" w:hanging="142"/>
              <w:rPr>
                <w:rFonts w:ascii="Times New Roman" w:hAnsi="Times New Roman"/>
                <w:sz w:val="20"/>
                <w:szCs w:val="20"/>
                <w:lang w:eastAsia="sk-SK"/>
              </w:rPr>
            </w:pPr>
            <w:r w:rsidRPr="009E181C">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14:paraId="233A412F"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t>** vyplniť iba v prípade, ak sa záverečné posúdenie vybraných vplyvov uskutočnilo v zmysle bodu 9.1. jednotnej metodiky.</w:t>
            </w:r>
          </w:p>
        </w:tc>
      </w:tr>
      <w:tr w:rsidR="009E181C" w:rsidRPr="009E181C" w14:paraId="4BCC5FF0" w14:textId="77777777" w:rsidTr="009E181C">
        <w:trPr>
          <w:trHeight w:val="283"/>
        </w:trPr>
        <w:tc>
          <w:tcPr>
            <w:tcW w:w="893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CE517BD" w14:textId="77777777" w:rsidR="009E181C" w:rsidRPr="009E181C" w:rsidRDefault="009E181C" w:rsidP="009E181C">
            <w:pPr>
              <w:widowControl w:val="0"/>
              <w:numPr>
                <w:ilvl w:val="0"/>
                <w:numId w:val="4"/>
              </w:numPr>
              <w:spacing w:after="0" w:line="240" w:lineRule="auto"/>
              <w:ind w:left="426"/>
              <w:rPr>
                <w:rFonts w:ascii="Times New Roman" w:eastAsia="Calibri" w:hAnsi="Times New Roman"/>
                <w:b/>
                <w:sz w:val="20"/>
                <w:szCs w:val="20"/>
              </w:rPr>
            </w:pPr>
            <w:r w:rsidRPr="009E181C">
              <w:rPr>
                <w:rFonts w:ascii="Times New Roman" w:eastAsia="Calibri" w:hAnsi="Times New Roman"/>
                <w:b/>
                <w:sz w:val="20"/>
                <w:szCs w:val="20"/>
              </w:rPr>
              <w:t>Vybrané vplyvy  materiálu</w:t>
            </w:r>
          </w:p>
        </w:tc>
      </w:tr>
      <w:tr w:rsidR="009E181C" w:rsidRPr="009E181C" w14:paraId="4C3488CE" w14:textId="77777777" w:rsidTr="009E181C">
        <w:tc>
          <w:tcPr>
            <w:tcW w:w="3244" w:type="dxa"/>
            <w:tcBorders>
              <w:top w:val="single" w:sz="4" w:space="0" w:color="auto"/>
              <w:left w:val="single" w:sz="4" w:space="0" w:color="auto"/>
              <w:bottom w:val="nil"/>
              <w:right w:val="single" w:sz="4" w:space="0" w:color="auto"/>
            </w:tcBorders>
            <w:shd w:val="clear" w:color="auto" w:fill="E2E2E2"/>
          </w:tcPr>
          <w:p w14:paraId="7A894F74"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Vplyvy na rozpočet verejnej správy</w:t>
            </w:r>
          </w:p>
        </w:tc>
        <w:sdt>
          <w:sdtPr>
            <w:rPr>
              <w:rFonts w:ascii="Times New Roman" w:hAnsi="Times New Roman"/>
              <w:b/>
              <w:sz w:val="20"/>
              <w:szCs w:val="20"/>
              <w:lang w:eastAsia="sk-SK"/>
            </w:rPr>
            <w:id w:val="-106641258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14:paraId="00BA0A1C"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7C22761C"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Pozitívne</w:t>
            </w:r>
          </w:p>
        </w:tc>
        <w:sdt>
          <w:sdtPr>
            <w:rPr>
              <w:rFonts w:ascii="Times New Roman" w:hAnsi="Times New Roman"/>
              <w:b/>
              <w:sz w:val="20"/>
              <w:szCs w:val="20"/>
              <w:lang w:eastAsia="sk-SK"/>
            </w:rPr>
            <w:id w:val="-1481296198"/>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511A1B3D"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7193DD55"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Žiadne</w:t>
            </w:r>
          </w:p>
        </w:tc>
        <w:sdt>
          <w:sdtPr>
            <w:rPr>
              <w:rFonts w:ascii="Times New Roman" w:hAnsi="Times New Roman"/>
              <w:b/>
              <w:sz w:val="20"/>
              <w:szCs w:val="20"/>
              <w:lang w:eastAsia="sk-SK"/>
            </w:rPr>
            <w:id w:val="-755052973"/>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509EEE7A" w14:textId="77777777" w:rsidR="009E181C" w:rsidRPr="009E181C" w:rsidRDefault="009E181C" w:rsidP="009E181C">
                <w:pPr>
                  <w:widowControl w:val="0"/>
                  <w:spacing w:after="0" w:line="240" w:lineRule="auto"/>
                  <w:ind w:left="-107" w:right="-108"/>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615" w:type="dxa"/>
            <w:tcBorders>
              <w:top w:val="single" w:sz="4" w:space="0" w:color="auto"/>
              <w:left w:val="nil"/>
              <w:bottom w:val="dotted" w:sz="4" w:space="0" w:color="auto"/>
              <w:right w:val="single" w:sz="4" w:space="0" w:color="auto"/>
            </w:tcBorders>
          </w:tcPr>
          <w:p w14:paraId="7C2FAE09" w14:textId="77777777" w:rsidR="009E181C" w:rsidRPr="009E181C" w:rsidRDefault="009E181C" w:rsidP="009E181C">
            <w:pPr>
              <w:widowControl w:val="0"/>
              <w:spacing w:after="0" w:line="240" w:lineRule="auto"/>
              <w:ind w:left="34"/>
              <w:rPr>
                <w:rFonts w:ascii="Times New Roman" w:hAnsi="Times New Roman"/>
                <w:b/>
                <w:sz w:val="20"/>
                <w:szCs w:val="20"/>
                <w:lang w:eastAsia="sk-SK"/>
              </w:rPr>
            </w:pPr>
            <w:r w:rsidRPr="009E181C">
              <w:rPr>
                <w:rFonts w:ascii="Times New Roman" w:hAnsi="Times New Roman"/>
                <w:b/>
                <w:sz w:val="20"/>
                <w:szCs w:val="20"/>
                <w:lang w:eastAsia="sk-SK"/>
              </w:rPr>
              <w:t>Negatívne</w:t>
            </w:r>
          </w:p>
        </w:tc>
      </w:tr>
      <w:tr w:rsidR="009E181C" w:rsidRPr="009E181C" w14:paraId="5817A5DE" w14:textId="77777777" w:rsidTr="009E181C">
        <w:tc>
          <w:tcPr>
            <w:tcW w:w="3244" w:type="dxa"/>
            <w:tcBorders>
              <w:top w:val="nil"/>
              <w:left w:val="single" w:sz="4" w:space="0" w:color="auto"/>
              <w:bottom w:val="nil"/>
              <w:right w:val="single" w:sz="4" w:space="0" w:color="auto"/>
            </w:tcBorders>
            <w:shd w:val="clear" w:color="auto" w:fill="E2E2E2"/>
          </w:tcPr>
          <w:p w14:paraId="1671124B"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t xml:space="preserve">    z toho rozpočtovo zabezpečené vplyvy,         </w:t>
            </w:r>
          </w:p>
          <w:p w14:paraId="0AD7775B"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t xml:space="preserve">    v prípade identifikovaného negatívneho </w:t>
            </w:r>
          </w:p>
          <w:p w14:paraId="070A82B4"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t xml:space="preserve">    vplyvu</w:t>
            </w:r>
          </w:p>
        </w:tc>
        <w:sdt>
          <w:sdtPr>
            <w:rPr>
              <w:rFonts w:ascii="Times New Roman" w:hAnsi="Times New Roman"/>
              <w:sz w:val="20"/>
              <w:szCs w:val="20"/>
              <w:lang w:eastAsia="sk-SK"/>
            </w:r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vAlign w:val="center"/>
              </w:tcPr>
              <w:p w14:paraId="3944E00C" w14:textId="77777777" w:rsidR="009E181C" w:rsidRPr="009E181C" w:rsidRDefault="009E181C" w:rsidP="009E181C">
                <w:pPr>
                  <w:widowControl w:val="0"/>
                  <w:spacing w:after="0" w:line="240" w:lineRule="auto"/>
                  <w:jc w:val="center"/>
                  <w:rPr>
                    <w:rFonts w:ascii="Times New Roman" w:hAnsi="Times New Roman"/>
                    <w:sz w:val="20"/>
                    <w:szCs w:val="20"/>
                    <w:lang w:eastAsia="sk-SK"/>
                  </w:rPr>
                </w:pPr>
                <w:r w:rsidRPr="009E181C">
                  <w:rPr>
                    <w:rFonts w:ascii="Times New Roman" w:eastAsia="MS Gothic" w:hAnsi="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2541017"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t>Áno</w:t>
            </w:r>
          </w:p>
        </w:tc>
        <w:sdt>
          <w:sdtPr>
            <w:rPr>
              <w:rFonts w:ascii="Times New Roman" w:hAnsi="Times New Roman"/>
              <w:sz w:val="20"/>
              <w:szCs w:val="20"/>
              <w:lang w:eastAsia="sk-SK"/>
            </w:r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0DFA1322" w14:textId="77777777" w:rsidR="009E181C" w:rsidRPr="009E181C" w:rsidRDefault="009E181C" w:rsidP="009E181C">
                <w:pPr>
                  <w:widowControl w:val="0"/>
                  <w:spacing w:after="0" w:line="240" w:lineRule="auto"/>
                  <w:jc w:val="center"/>
                  <w:rPr>
                    <w:rFonts w:ascii="Times New Roman" w:hAnsi="Times New Roman"/>
                    <w:sz w:val="20"/>
                    <w:szCs w:val="20"/>
                    <w:lang w:eastAsia="sk-SK"/>
                  </w:rPr>
                </w:pPr>
                <w:r w:rsidRPr="009E181C">
                  <w:rPr>
                    <w:rFonts w:ascii="Times New Roman" w:eastAsia="MS Gothic" w:hAnsi="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DBCAB7C"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t>Nie</w:t>
            </w:r>
          </w:p>
        </w:tc>
        <w:sdt>
          <w:sdtPr>
            <w:rPr>
              <w:rFonts w:ascii="Times New Roman" w:hAnsi="Times New Roman"/>
              <w:sz w:val="20"/>
              <w:szCs w:val="20"/>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5A0B8D5C" w14:textId="77777777" w:rsidR="009E181C" w:rsidRPr="009E181C" w:rsidRDefault="009E181C" w:rsidP="009E181C">
                <w:pPr>
                  <w:widowControl w:val="0"/>
                  <w:spacing w:after="0" w:line="240" w:lineRule="auto"/>
                  <w:ind w:left="-107" w:right="-108"/>
                  <w:jc w:val="center"/>
                  <w:rPr>
                    <w:rFonts w:ascii="Times New Roman" w:hAnsi="Times New Roman"/>
                    <w:sz w:val="20"/>
                    <w:szCs w:val="20"/>
                    <w:lang w:eastAsia="sk-SK"/>
                  </w:rPr>
                </w:pPr>
                <w:r w:rsidRPr="009E181C">
                  <w:rPr>
                    <w:rFonts w:ascii="Times New Roman" w:eastAsia="MS Gothic" w:hAnsi="Times New Roman" w:hint="eastAsia"/>
                    <w:sz w:val="20"/>
                    <w:szCs w:val="20"/>
                    <w:lang w:eastAsia="sk-SK"/>
                  </w:rPr>
                  <w:t>☐</w:t>
                </w:r>
              </w:p>
            </w:tc>
          </w:sdtContent>
        </w:sdt>
        <w:tc>
          <w:tcPr>
            <w:tcW w:w="1615" w:type="dxa"/>
            <w:tcBorders>
              <w:top w:val="dotted" w:sz="4" w:space="0" w:color="auto"/>
              <w:left w:val="nil"/>
              <w:bottom w:val="dotted" w:sz="4" w:space="0" w:color="auto"/>
              <w:right w:val="single" w:sz="4" w:space="0" w:color="auto"/>
            </w:tcBorders>
            <w:vAlign w:val="center"/>
          </w:tcPr>
          <w:p w14:paraId="083AF00C" w14:textId="77777777" w:rsidR="009E181C" w:rsidRPr="009E181C" w:rsidRDefault="009E181C" w:rsidP="009E181C">
            <w:pPr>
              <w:widowControl w:val="0"/>
              <w:spacing w:after="0" w:line="240" w:lineRule="auto"/>
              <w:ind w:left="34"/>
              <w:rPr>
                <w:rFonts w:ascii="Times New Roman" w:hAnsi="Times New Roman"/>
                <w:sz w:val="20"/>
                <w:szCs w:val="20"/>
                <w:lang w:eastAsia="sk-SK"/>
              </w:rPr>
            </w:pPr>
            <w:r w:rsidRPr="009E181C">
              <w:rPr>
                <w:rFonts w:ascii="Times New Roman" w:hAnsi="Times New Roman"/>
                <w:sz w:val="20"/>
                <w:szCs w:val="20"/>
                <w:lang w:eastAsia="sk-SK"/>
              </w:rPr>
              <w:t>Čiastočne</w:t>
            </w:r>
          </w:p>
        </w:tc>
      </w:tr>
      <w:tr w:rsidR="009E181C" w:rsidRPr="009E181C" w14:paraId="346F86FA" w14:textId="77777777" w:rsidTr="009E181C">
        <w:tc>
          <w:tcPr>
            <w:tcW w:w="3244" w:type="dxa"/>
            <w:tcBorders>
              <w:top w:val="nil"/>
              <w:left w:val="single" w:sz="4" w:space="0" w:color="auto"/>
              <w:bottom w:val="nil"/>
              <w:right w:val="single" w:sz="4" w:space="0" w:color="auto"/>
            </w:tcBorders>
            <w:shd w:val="clear" w:color="auto" w:fill="E2E2E2"/>
          </w:tcPr>
          <w:p w14:paraId="1E43279E"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v tom vplyvy na rozpočty obcí a vyšších územných celkov</w:t>
            </w:r>
          </w:p>
        </w:tc>
        <w:sdt>
          <w:sdtPr>
            <w:rPr>
              <w:rFonts w:ascii="Times New Roman" w:hAnsi="Times New Roman"/>
              <w:b/>
              <w:sz w:val="20"/>
              <w:szCs w:val="20"/>
              <w:lang w:eastAsia="sk-SK"/>
            </w:rPr>
            <w:id w:val="-1577430931"/>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tcPr>
              <w:p w14:paraId="11539671"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4EBF2FD0"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Pozitívne</w:t>
            </w:r>
          </w:p>
        </w:tc>
        <w:sdt>
          <w:sdtPr>
            <w:rPr>
              <w:rFonts w:ascii="Times New Roman" w:hAnsi="Times New Roman"/>
              <w:b/>
              <w:sz w:val="20"/>
              <w:szCs w:val="20"/>
              <w:lang w:eastAsia="sk-SK"/>
            </w:rPr>
            <w:id w:val="-103596396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14:paraId="179A1256"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0CBE2392"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Žiadne</w:t>
            </w:r>
          </w:p>
        </w:tc>
        <w:sdt>
          <w:sdtPr>
            <w:rPr>
              <w:rFonts w:ascii="Times New Roman" w:hAnsi="Times New Roman"/>
              <w:b/>
              <w:sz w:val="20"/>
              <w:szCs w:val="20"/>
              <w:lang w:eastAsia="sk-SK"/>
            </w:rPr>
            <w:id w:val="1094750243"/>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tcPr>
              <w:p w14:paraId="75673F99" w14:textId="77777777" w:rsidR="009E181C" w:rsidRPr="009E181C" w:rsidRDefault="009E181C" w:rsidP="009E181C">
                <w:pPr>
                  <w:widowControl w:val="0"/>
                  <w:spacing w:after="0" w:line="240" w:lineRule="auto"/>
                  <w:ind w:left="-107" w:right="-108"/>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615" w:type="dxa"/>
            <w:tcBorders>
              <w:top w:val="dotted" w:sz="4" w:space="0" w:color="auto"/>
              <w:left w:val="nil"/>
              <w:bottom w:val="dotted" w:sz="4" w:space="0" w:color="auto"/>
              <w:right w:val="single" w:sz="4" w:space="0" w:color="auto"/>
            </w:tcBorders>
          </w:tcPr>
          <w:p w14:paraId="14FFCD31" w14:textId="77777777" w:rsidR="009E181C" w:rsidRPr="009E181C" w:rsidRDefault="009E181C" w:rsidP="009E181C">
            <w:pPr>
              <w:widowControl w:val="0"/>
              <w:spacing w:after="0" w:line="240" w:lineRule="auto"/>
              <w:ind w:left="34"/>
              <w:rPr>
                <w:rFonts w:ascii="Times New Roman" w:hAnsi="Times New Roman"/>
                <w:b/>
                <w:sz w:val="20"/>
                <w:szCs w:val="20"/>
                <w:lang w:eastAsia="sk-SK"/>
              </w:rPr>
            </w:pPr>
            <w:r w:rsidRPr="009E181C">
              <w:rPr>
                <w:rFonts w:ascii="Times New Roman" w:hAnsi="Times New Roman"/>
                <w:b/>
                <w:sz w:val="20"/>
                <w:szCs w:val="20"/>
                <w:lang w:eastAsia="sk-SK"/>
              </w:rPr>
              <w:t>Negatívne</w:t>
            </w:r>
          </w:p>
        </w:tc>
      </w:tr>
      <w:tr w:rsidR="009E181C" w:rsidRPr="009E181C" w14:paraId="2B98555B" w14:textId="77777777" w:rsidTr="009E181C">
        <w:tc>
          <w:tcPr>
            <w:tcW w:w="3244" w:type="dxa"/>
            <w:tcBorders>
              <w:top w:val="nil"/>
              <w:left w:val="single" w:sz="4" w:space="0" w:color="auto"/>
              <w:bottom w:val="single" w:sz="4" w:space="0" w:color="000000"/>
              <w:right w:val="single" w:sz="4" w:space="0" w:color="auto"/>
            </w:tcBorders>
            <w:shd w:val="clear" w:color="auto" w:fill="E2E2E2"/>
          </w:tcPr>
          <w:p w14:paraId="3599E4CF" w14:textId="77777777" w:rsidR="009E181C" w:rsidRPr="009E181C" w:rsidRDefault="009E181C" w:rsidP="009E181C">
            <w:pPr>
              <w:widowControl w:val="0"/>
              <w:spacing w:after="0" w:line="240" w:lineRule="auto"/>
              <w:ind w:left="171"/>
              <w:rPr>
                <w:rFonts w:ascii="Times New Roman" w:hAnsi="Times New Roman"/>
                <w:sz w:val="20"/>
                <w:szCs w:val="20"/>
                <w:lang w:eastAsia="sk-SK"/>
              </w:rPr>
            </w:pPr>
            <w:r w:rsidRPr="009E181C">
              <w:rPr>
                <w:rFonts w:ascii="Times New Roman" w:hAnsi="Times New Roman"/>
                <w:sz w:val="20"/>
                <w:szCs w:val="20"/>
                <w:lang w:eastAsia="sk-SK"/>
              </w:rPr>
              <w:t>z toho rozpočtovo zabezpečené vplyvy,</w:t>
            </w:r>
          </w:p>
          <w:p w14:paraId="6BEBB7AE" w14:textId="77777777" w:rsidR="009E181C" w:rsidRPr="009E181C" w:rsidRDefault="009E181C" w:rsidP="009E181C">
            <w:pPr>
              <w:widowControl w:val="0"/>
              <w:spacing w:after="0" w:line="240" w:lineRule="auto"/>
              <w:ind w:left="171"/>
              <w:rPr>
                <w:rFonts w:ascii="Times New Roman" w:hAnsi="Times New Roman"/>
                <w:sz w:val="20"/>
                <w:szCs w:val="20"/>
                <w:lang w:eastAsia="sk-SK"/>
              </w:rPr>
            </w:pPr>
            <w:r w:rsidRPr="009E181C">
              <w:rPr>
                <w:rFonts w:ascii="Times New Roman" w:hAnsi="Times New Roman"/>
                <w:sz w:val="20"/>
                <w:szCs w:val="20"/>
                <w:lang w:eastAsia="sk-SK"/>
              </w:rPr>
              <w:t>v prípade identifikovaného negatívneho vplyvu</w:t>
            </w:r>
          </w:p>
        </w:tc>
        <w:sdt>
          <w:sdtPr>
            <w:rPr>
              <w:rFonts w:ascii="Times New Roman" w:hAnsi="Times New Roman"/>
              <w:sz w:val="20"/>
              <w:szCs w:val="20"/>
              <w:lang w:eastAsia="sk-SK"/>
            </w:rPr>
            <w:id w:val="64164179"/>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vAlign w:val="center"/>
              </w:tcPr>
              <w:p w14:paraId="4CF29049" w14:textId="77777777" w:rsidR="009E181C" w:rsidRPr="009E181C" w:rsidRDefault="009E181C" w:rsidP="009E181C">
                <w:pPr>
                  <w:widowControl w:val="0"/>
                  <w:spacing w:after="0" w:line="240" w:lineRule="auto"/>
                  <w:jc w:val="center"/>
                  <w:rPr>
                    <w:rFonts w:ascii="Times New Roman" w:hAnsi="Times New Roman"/>
                    <w:sz w:val="20"/>
                    <w:szCs w:val="20"/>
                    <w:lang w:eastAsia="sk-SK"/>
                  </w:rPr>
                </w:pPr>
                <w:r w:rsidRPr="009E181C">
                  <w:rPr>
                    <w:rFonts w:ascii="Times New Roman" w:eastAsia="MS Gothic" w:hAnsi="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09626F3"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t>Áno</w:t>
            </w:r>
          </w:p>
        </w:tc>
        <w:sdt>
          <w:sdtPr>
            <w:rPr>
              <w:rFonts w:ascii="Times New Roman" w:hAnsi="Times New Roman"/>
              <w:sz w:val="20"/>
              <w:szCs w:val="20"/>
              <w:lang w:eastAsia="sk-SK"/>
            </w:r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6B60F75D" w14:textId="77777777" w:rsidR="009E181C" w:rsidRPr="009E181C" w:rsidRDefault="009E181C" w:rsidP="009E181C">
                <w:pPr>
                  <w:widowControl w:val="0"/>
                  <w:spacing w:after="0" w:line="240" w:lineRule="auto"/>
                  <w:jc w:val="center"/>
                  <w:rPr>
                    <w:rFonts w:ascii="Times New Roman" w:hAnsi="Times New Roman"/>
                    <w:sz w:val="20"/>
                    <w:szCs w:val="20"/>
                    <w:lang w:eastAsia="sk-SK"/>
                  </w:rPr>
                </w:pPr>
                <w:r w:rsidRPr="009E181C">
                  <w:rPr>
                    <w:rFonts w:ascii="Times New Roman" w:eastAsia="MS Gothic" w:hAnsi="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1FEA8BE"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t>Nie</w:t>
            </w:r>
          </w:p>
        </w:tc>
        <w:sdt>
          <w:sdtPr>
            <w:rPr>
              <w:rFonts w:ascii="Times New Roman" w:hAnsi="Times New Roman"/>
              <w:sz w:val="20"/>
              <w:szCs w:val="20"/>
              <w:lang w:eastAsia="sk-SK"/>
            </w:rPr>
            <w:id w:val="-30277041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219C418A" w14:textId="77777777" w:rsidR="009E181C" w:rsidRPr="009E181C" w:rsidRDefault="009E181C" w:rsidP="009E181C">
                <w:pPr>
                  <w:widowControl w:val="0"/>
                  <w:spacing w:after="0" w:line="240" w:lineRule="auto"/>
                  <w:ind w:left="-107" w:right="-108"/>
                  <w:jc w:val="center"/>
                  <w:rPr>
                    <w:rFonts w:ascii="Times New Roman" w:hAnsi="Times New Roman"/>
                    <w:sz w:val="20"/>
                    <w:szCs w:val="20"/>
                    <w:lang w:eastAsia="sk-SK"/>
                  </w:rPr>
                </w:pPr>
                <w:r w:rsidRPr="009E181C">
                  <w:rPr>
                    <w:rFonts w:ascii="Times New Roman" w:eastAsia="MS Gothic" w:hAnsi="Times New Roman" w:hint="eastAsia"/>
                    <w:sz w:val="20"/>
                    <w:szCs w:val="20"/>
                    <w:lang w:eastAsia="sk-SK"/>
                  </w:rPr>
                  <w:t>☐</w:t>
                </w:r>
              </w:p>
            </w:tc>
          </w:sdtContent>
        </w:sdt>
        <w:tc>
          <w:tcPr>
            <w:tcW w:w="1615" w:type="dxa"/>
            <w:tcBorders>
              <w:top w:val="dotted" w:sz="4" w:space="0" w:color="auto"/>
              <w:left w:val="nil"/>
              <w:bottom w:val="dotted" w:sz="4" w:space="0" w:color="auto"/>
              <w:right w:val="single" w:sz="4" w:space="0" w:color="auto"/>
            </w:tcBorders>
            <w:vAlign w:val="center"/>
          </w:tcPr>
          <w:p w14:paraId="028B0DAD" w14:textId="77777777" w:rsidR="009E181C" w:rsidRPr="009E181C" w:rsidRDefault="009E181C" w:rsidP="009E181C">
            <w:pPr>
              <w:widowControl w:val="0"/>
              <w:spacing w:after="0" w:line="240" w:lineRule="auto"/>
              <w:ind w:left="34"/>
              <w:rPr>
                <w:rFonts w:ascii="Times New Roman" w:hAnsi="Times New Roman"/>
                <w:sz w:val="20"/>
                <w:szCs w:val="20"/>
                <w:lang w:eastAsia="sk-SK"/>
              </w:rPr>
            </w:pPr>
            <w:r w:rsidRPr="009E181C">
              <w:rPr>
                <w:rFonts w:ascii="Times New Roman" w:hAnsi="Times New Roman"/>
                <w:sz w:val="20"/>
                <w:szCs w:val="20"/>
                <w:lang w:eastAsia="sk-SK"/>
              </w:rPr>
              <w:t>Čiastočne</w:t>
            </w:r>
          </w:p>
        </w:tc>
      </w:tr>
      <w:tr w:rsidR="009E181C" w:rsidRPr="009E181C" w14:paraId="77895846" w14:textId="77777777" w:rsidTr="009E181C">
        <w:tc>
          <w:tcPr>
            <w:tcW w:w="3244" w:type="dxa"/>
            <w:tcBorders>
              <w:top w:val="single" w:sz="4" w:space="0" w:color="000000"/>
              <w:left w:val="single" w:sz="4" w:space="0" w:color="auto"/>
              <w:bottom w:val="nil"/>
              <w:right w:val="single" w:sz="4" w:space="0" w:color="auto"/>
            </w:tcBorders>
            <w:shd w:val="clear" w:color="auto" w:fill="E2E2E2"/>
          </w:tcPr>
          <w:p w14:paraId="0E0F3DAF"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Vplyvy na podnikateľské prostredie</w:t>
            </w:r>
          </w:p>
        </w:tc>
        <w:sdt>
          <w:sdtPr>
            <w:rPr>
              <w:rFonts w:ascii="Times New Roman" w:hAnsi="Times New Roman"/>
              <w:b/>
              <w:sz w:val="20"/>
              <w:szCs w:val="20"/>
              <w:lang w:eastAsia="sk-SK"/>
            </w:rPr>
            <w:id w:val="470941242"/>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14:paraId="79BE20D6"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0DFEAFC6" w14:textId="77777777" w:rsidR="009E181C" w:rsidRPr="009E181C" w:rsidRDefault="009E181C" w:rsidP="009E181C">
            <w:pPr>
              <w:widowControl w:val="0"/>
              <w:spacing w:after="0" w:line="240" w:lineRule="auto"/>
              <w:ind w:right="-108"/>
              <w:rPr>
                <w:rFonts w:ascii="Times New Roman" w:hAnsi="Times New Roman"/>
                <w:b/>
                <w:sz w:val="20"/>
                <w:szCs w:val="20"/>
                <w:lang w:eastAsia="sk-SK"/>
              </w:rPr>
            </w:pPr>
            <w:r w:rsidRPr="009E181C">
              <w:rPr>
                <w:rFonts w:ascii="Times New Roman" w:hAnsi="Times New Roman"/>
                <w:b/>
                <w:sz w:val="20"/>
                <w:szCs w:val="20"/>
                <w:lang w:eastAsia="sk-SK"/>
              </w:rPr>
              <w:t>Pozitívne</w:t>
            </w:r>
          </w:p>
        </w:tc>
        <w:sdt>
          <w:sdtPr>
            <w:rPr>
              <w:rFonts w:ascii="Times New Roman" w:hAnsi="Times New Roman"/>
              <w:b/>
              <w:sz w:val="20"/>
              <w:szCs w:val="20"/>
              <w:lang w:eastAsia="sk-SK"/>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7EAA067C"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5BC7AECB"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Žiadne</w:t>
            </w:r>
          </w:p>
        </w:tc>
        <w:sdt>
          <w:sdtPr>
            <w:rPr>
              <w:rFonts w:ascii="Times New Roman" w:hAnsi="Times New Roman"/>
              <w:b/>
              <w:sz w:val="20"/>
              <w:szCs w:val="20"/>
              <w:lang w:eastAsia="sk-SK"/>
            </w:rPr>
            <w:id w:val="-558398718"/>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16898361"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615" w:type="dxa"/>
            <w:tcBorders>
              <w:top w:val="single" w:sz="4" w:space="0" w:color="auto"/>
              <w:left w:val="nil"/>
              <w:bottom w:val="dotted" w:sz="4" w:space="0" w:color="auto"/>
              <w:right w:val="single" w:sz="4" w:space="0" w:color="auto"/>
            </w:tcBorders>
            <w:vAlign w:val="center"/>
          </w:tcPr>
          <w:p w14:paraId="3481EDB7" w14:textId="77777777" w:rsidR="009E181C" w:rsidRPr="009E181C" w:rsidRDefault="009E181C" w:rsidP="009E181C">
            <w:pPr>
              <w:widowControl w:val="0"/>
              <w:spacing w:after="0" w:line="240" w:lineRule="auto"/>
              <w:ind w:left="54"/>
              <w:rPr>
                <w:rFonts w:ascii="Times New Roman" w:hAnsi="Times New Roman"/>
                <w:b/>
                <w:sz w:val="20"/>
                <w:szCs w:val="20"/>
                <w:lang w:eastAsia="sk-SK"/>
              </w:rPr>
            </w:pPr>
            <w:r w:rsidRPr="009E181C">
              <w:rPr>
                <w:rFonts w:ascii="Times New Roman" w:hAnsi="Times New Roman"/>
                <w:b/>
                <w:sz w:val="20"/>
                <w:szCs w:val="20"/>
                <w:lang w:eastAsia="sk-SK"/>
              </w:rPr>
              <w:t>Negatívne</w:t>
            </w:r>
          </w:p>
        </w:tc>
      </w:tr>
      <w:tr w:rsidR="009E181C" w:rsidRPr="009E181C" w14:paraId="45303B2E" w14:textId="77777777" w:rsidTr="009E181C">
        <w:tc>
          <w:tcPr>
            <w:tcW w:w="3244" w:type="dxa"/>
            <w:tcBorders>
              <w:top w:val="nil"/>
              <w:left w:val="single" w:sz="4" w:space="0" w:color="000000"/>
              <w:bottom w:val="nil"/>
              <w:right w:val="single" w:sz="4" w:space="0" w:color="000000"/>
            </w:tcBorders>
            <w:shd w:val="clear" w:color="auto" w:fill="E2E2E2"/>
          </w:tcPr>
          <w:p w14:paraId="6B0C6A9D"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t xml:space="preserve">    z toho vplyvy na MSP</w:t>
            </w:r>
          </w:p>
          <w:p w14:paraId="56630C89" w14:textId="77777777" w:rsidR="009E181C" w:rsidRPr="009E181C" w:rsidRDefault="009E181C" w:rsidP="009E181C">
            <w:pPr>
              <w:widowControl w:val="0"/>
              <w:spacing w:after="0" w:line="240" w:lineRule="auto"/>
              <w:rPr>
                <w:rFonts w:ascii="Times New Roman" w:hAnsi="Times New Roman"/>
                <w:sz w:val="20"/>
                <w:szCs w:val="20"/>
                <w:lang w:eastAsia="sk-SK"/>
              </w:rPr>
            </w:pPr>
          </w:p>
        </w:tc>
        <w:sdt>
          <w:sdtPr>
            <w:rPr>
              <w:rFonts w:ascii="Times New Roman" w:hAnsi="Times New Roman"/>
              <w:sz w:val="20"/>
              <w:szCs w:val="20"/>
              <w:lang w:eastAsia="sk-SK"/>
            </w:rPr>
            <w:id w:val="862408102"/>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14:paraId="30E4B538" w14:textId="77777777" w:rsidR="009E181C" w:rsidRPr="009E181C" w:rsidRDefault="009E181C" w:rsidP="009E181C">
                <w:pPr>
                  <w:widowControl w:val="0"/>
                  <w:spacing w:after="0" w:line="240" w:lineRule="auto"/>
                  <w:jc w:val="center"/>
                  <w:rPr>
                    <w:rFonts w:ascii="Times New Roman" w:hAnsi="Times New Roman"/>
                    <w:sz w:val="20"/>
                    <w:szCs w:val="20"/>
                    <w:lang w:eastAsia="sk-SK"/>
                  </w:rPr>
                </w:pPr>
                <w:r w:rsidRPr="009E181C">
                  <w:rPr>
                    <w:rFonts w:ascii="Times New Roman" w:eastAsia="MS Gothic" w:hAnsi="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108E9D4" w14:textId="77777777" w:rsidR="009E181C" w:rsidRPr="009E181C" w:rsidRDefault="009E181C" w:rsidP="009E181C">
            <w:pPr>
              <w:widowControl w:val="0"/>
              <w:spacing w:after="0" w:line="240" w:lineRule="auto"/>
              <w:ind w:right="-108"/>
              <w:rPr>
                <w:rFonts w:ascii="Times New Roman" w:hAnsi="Times New Roman"/>
                <w:sz w:val="20"/>
                <w:szCs w:val="20"/>
                <w:lang w:eastAsia="sk-SK"/>
              </w:rPr>
            </w:pPr>
            <w:r w:rsidRPr="009E181C">
              <w:rPr>
                <w:rFonts w:ascii="Times New Roman" w:hAnsi="Times New Roman"/>
                <w:sz w:val="20"/>
                <w:szCs w:val="20"/>
                <w:lang w:eastAsia="sk-SK"/>
              </w:rPr>
              <w:t>Pozitívne</w:t>
            </w:r>
          </w:p>
        </w:tc>
        <w:sdt>
          <w:sdtPr>
            <w:rPr>
              <w:rFonts w:ascii="Times New Roman" w:hAnsi="Times New Roman"/>
              <w:sz w:val="20"/>
              <w:szCs w:val="20"/>
              <w:lang w:eastAsia="sk-SK"/>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5DFF449A" w14:textId="77777777" w:rsidR="009E181C" w:rsidRPr="009E181C" w:rsidRDefault="009E181C" w:rsidP="009E181C">
                <w:pPr>
                  <w:widowControl w:val="0"/>
                  <w:spacing w:after="0" w:line="240" w:lineRule="auto"/>
                  <w:jc w:val="center"/>
                  <w:rPr>
                    <w:rFonts w:ascii="Times New Roman" w:hAnsi="Times New Roman"/>
                    <w:sz w:val="20"/>
                    <w:szCs w:val="20"/>
                    <w:lang w:eastAsia="sk-SK"/>
                  </w:rPr>
                </w:pPr>
                <w:r w:rsidRPr="009E181C">
                  <w:rPr>
                    <w:rFonts w:ascii="Times New Roman" w:eastAsia="MS Gothic" w:hAnsi="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4F7B8F0"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t>Žiadne</w:t>
            </w:r>
          </w:p>
        </w:tc>
        <w:sdt>
          <w:sdtPr>
            <w:rPr>
              <w:rFonts w:ascii="Times New Roman" w:hAnsi="Times New Roman"/>
              <w:sz w:val="20"/>
              <w:szCs w:val="20"/>
              <w:lang w:eastAsia="sk-SK"/>
            </w:rPr>
            <w:id w:val="-198248410"/>
            <w14:checkbox>
              <w14:checked w14:val="1"/>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4E7EA5BB" w14:textId="77777777" w:rsidR="009E181C" w:rsidRPr="009E181C" w:rsidRDefault="009E181C" w:rsidP="009E181C">
                <w:pPr>
                  <w:widowControl w:val="0"/>
                  <w:spacing w:after="0" w:line="240" w:lineRule="auto"/>
                  <w:jc w:val="center"/>
                  <w:rPr>
                    <w:rFonts w:ascii="Times New Roman" w:hAnsi="Times New Roman"/>
                    <w:sz w:val="20"/>
                    <w:szCs w:val="20"/>
                    <w:lang w:eastAsia="sk-SK"/>
                  </w:rPr>
                </w:pPr>
                <w:r w:rsidRPr="009E181C">
                  <w:rPr>
                    <w:rFonts w:ascii="Times New Roman" w:eastAsia="MS Gothic" w:hAnsi="Times New Roman" w:hint="eastAsia"/>
                    <w:sz w:val="20"/>
                    <w:szCs w:val="20"/>
                    <w:lang w:eastAsia="sk-SK"/>
                  </w:rPr>
                  <w:t>☒</w:t>
                </w:r>
              </w:p>
            </w:tc>
          </w:sdtContent>
        </w:sdt>
        <w:tc>
          <w:tcPr>
            <w:tcW w:w="1615" w:type="dxa"/>
            <w:tcBorders>
              <w:top w:val="dotted" w:sz="4" w:space="0" w:color="auto"/>
              <w:left w:val="nil"/>
              <w:bottom w:val="dotted" w:sz="4" w:space="0" w:color="auto"/>
              <w:right w:val="single" w:sz="4" w:space="0" w:color="auto"/>
            </w:tcBorders>
            <w:vAlign w:val="center"/>
          </w:tcPr>
          <w:p w14:paraId="6BA8C8E7" w14:textId="77777777" w:rsidR="009E181C" w:rsidRPr="009E181C" w:rsidRDefault="009E181C" w:rsidP="009E181C">
            <w:pPr>
              <w:widowControl w:val="0"/>
              <w:spacing w:after="0" w:line="240" w:lineRule="auto"/>
              <w:ind w:left="54"/>
              <w:rPr>
                <w:rFonts w:ascii="Times New Roman" w:hAnsi="Times New Roman"/>
                <w:sz w:val="20"/>
                <w:szCs w:val="20"/>
                <w:lang w:eastAsia="sk-SK"/>
              </w:rPr>
            </w:pPr>
            <w:r w:rsidRPr="009E181C">
              <w:rPr>
                <w:rFonts w:ascii="Times New Roman" w:hAnsi="Times New Roman"/>
                <w:sz w:val="20"/>
                <w:szCs w:val="20"/>
                <w:lang w:eastAsia="sk-SK"/>
              </w:rPr>
              <w:t>Negatívne</w:t>
            </w:r>
          </w:p>
        </w:tc>
      </w:tr>
      <w:tr w:rsidR="009E181C" w:rsidRPr="009E181C" w14:paraId="4A369267" w14:textId="77777777" w:rsidTr="009E181C">
        <w:tc>
          <w:tcPr>
            <w:tcW w:w="3244" w:type="dxa"/>
            <w:tcBorders>
              <w:top w:val="nil"/>
              <w:left w:val="single" w:sz="4" w:space="0" w:color="auto"/>
              <w:bottom w:val="single" w:sz="4" w:space="0" w:color="auto"/>
              <w:right w:val="single" w:sz="4" w:space="0" w:color="auto"/>
            </w:tcBorders>
            <w:shd w:val="clear" w:color="auto" w:fill="E2E2E2"/>
          </w:tcPr>
          <w:p w14:paraId="665B37E3"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t xml:space="preserve">    Mechanizmus znižovania byrokracie    </w:t>
            </w:r>
          </w:p>
          <w:p w14:paraId="547BFA0C"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sz w:val="20"/>
                <w:szCs w:val="20"/>
                <w:lang w:eastAsia="sk-SK"/>
              </w:rPr>
              <w:t xml:space="preserve">    a nákladov sa uplatňuje:</w:t>
            </w:r>
          </w:p>
        </w:tc>
        <w:sdt>
          <w:sdtPr>
            <w:rPr>
              <w:rFonts w:ascii="Times New Roman" w:hAnsi="Times New Roman"/>
              <w:b/>
              <w:sz w:val="20"/>
              <w:szCs w:val="20"/>
              <w:lang w:eastAsia="sk-SK"/>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33347E7E"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7FE58355" w14:textId="77777777" w:rsidR="009E181C" w:rsidRPr="009E181C" w:rsidRDefault="009E181C" w:rsidP="009E181C">
            <w:pPr>
              <w:widowControl w:val="0"/>
              <w:spacing w:after="0" w:line="240" w:lineRule="auto"/>
              <w:ind w:right="-108"/>
              <w:rPr>
                <w:rFonts w:ascii="Times New Roman" w:hAnsi="Times New Roman"/>
                <w:b/>
                <w:sz w:val="20"/>
                <w:szCs w:val="20"/>
                <w:lang w:eastAsia="sk-SK"/>
              </w:rPr>
            </w:pPr>
            <w:r w:rsidRPr="009E181C">
              <w:rPr>
                <w:rFonts w:ascii="Times New Roman" w:hAnsi="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22EC52BC"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5F2EBDB4"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p>
        </w:tc>
        <w:sdt>
          <w:sdtPr>
            <w:rPr>
              <w:rFonts w:ascii="Times New Roman" w:hAnsi="Times New Roman"/>
              <w:b/>
              <w:sz w:val="20"/>
              <w:szCs w:val="20"/>
              <w:lang w:eastAsia="sk-SK"/>
            </w:rPr>
            <w:id w:val="-365677636"/>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1F308034"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615" w:type="dxa"/>
            <w:tcBorders>
              <w:top w:val="dotted" w:sz="4" w:space="0" w:color="auto"/>
              <w:left w:val="nil"/>
              <w:bottom w:val="single" w:sz="4" w:space="0" w:color="auto"/>
              <w:right w:val="single" w:sz="4" w:space="0" w:color="auto"/>
            </w:tcBorders>
            <w:vAlign w:val="center"/>
          </w:tcPr>
          <w:p w14:paraId="22B30E41" w14:textId="77777777" w:rsidR="009E181C" w:rsidRPr="009E181C" w:rsidRDefault="009E181C" w:rsidP="009E181C">
            <w:pPr>
              <w:widowControl w:val="0"/>
              <w:spacing w:after="0" w:line="240" w:lineRule="auto"/>
              <w:ind w:left="54"/>
              <w:rPr>
                <w:rFonts w:ascii="Times New Roman" w:hAnsi="Times New Roman"/>
                <w:b/>
                <w:sz w:val="20"/>
                <w:szCs w:val="20"/>
                <w:lang w:eastAsia="sk-SK"/>
              </w:rPr>
            </w:pPr>
            <w:r w:rsidRPr="009E181C">
              <w:rPr>
                <w:rFonts w:ascii="Times New Roman" w:hAnsi="Times New Roman"/>
                <w:sz w:val="20"/>
                <w:szCs w:val="20"/>
                <w:lang w:eastAsia="sk-SK"/>
              </w:rPr>
              <w:t>Nie</w:t>
            </w:r>
          </w:p>
        </w:tc>
      </w:tr>
      <w:tr w:rsidR="009E181C" w:rsidRPr="009E181C" w14:paraId="3B1BAD5D" w14:textId="77777777" w:rsidTr="009E181C">
        <w:tc>
          <w:tcPr>
            <w:tcW w:w="3244" w:type="dxa"/>
            <w:tcBorders>
              <w:top w:val="single" w:sz="4" w:space="0" w:color="000000"/>
              <w:left w:val="single" w:sz="4" w:space="0" w:color="auto"/>
              <w:bottom w:val="single" w:sz="4" w:space="0" w:color="auto"/>
              <w:right w:val="single" w:sz="4" w:space="0" w:color="auto"/>
            </w:tcBorders>
            <w:shd w:val="clear" w:color="auto" w:fill="E2E2E2"/>
          </w:tcPr>
          <w:p w14:paraId="2A9B5B80"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Sociálne vplyvy</w:t>
            </w:r>
          </w:p>
        </w:tc>
        <w:sdt>
          <w:sdtPr>
            <w:rPr>
              <w:rFonts w:ascii="Times New Roman" w:hAnsi="Times New Roman"/>
              <w:b/>
              <w:sz w:val="20"/>
              <w:szCs w:val="20"/>
              <w:lang w:eastAsia="sk-SK"/>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25120E6D"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0C025AB" w14:textId="77777777" w:rsidR="009E181C" w:rsidRPr="009E181C" w:rsidRDefault="009E181C" w:rsidP="009E181C">
            <w:pPr>
              <w:widowControl w:val="0"/>
              <w:spacing w:after="0" w:line="240" w:lineRule="auto"/>
              <w:ind w:right="-108"/>
              <w:rPr>
                <w:rFonts w:ascii="Times New Roman" w:hAnsi="Times New Roman"/>
                <w:b/>
                <w:sz w:val="20"/>
                <w:szCs w:val="20"/>
                <w:lang w:eastAsia="sk-SK"/>
              </w:rPr>
            </w:pPr>
            <w:r w:rsidRPr="009E181C">
              <w:rPr>
                <w:rFonts w:ascii="Times New Roman" w:hAnsi="Times New Roman"/>
                <w:b/>
                <w:sz w:val="20"/>
                <w:szCs w:val="20"/>
                <w:lang w:eastAsia="sk-SK"/>
              </w:rPr>
              <w:t>Pozitívne</w:t>
            </w:r>
          </w:p>
        </w:tc>
        <w:sdt>
          <w:sdtPr>
            <w:rPr>
              <w:rFonts w:ascii="Times New Roman" w:hAnsi="Times New Roman"/>
              <w:b/>
              <w:sz w:val="20"/>
              <w:szCs w:val="20"/>
              <w:lang w:eastAsia="sk-SK"/>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2671E232"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9FF602B"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Žiadne</w:t>
            </w:r>
          </w:p>
        </w:tc>
        <w:sdt>
          <w:sdtPr>
            <w:rPr>
              <w:rFonts w:ascii="Times New Roman" w:hAnsi="Times New Roman"/>
              <w:b/>
              <w:sz w:val="20"/>
              <w:szCs w:val="20"/>
              <w:lang w:eastAsia="sk-SK"/>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551940D0"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615" w:type="dxa"/>
            <w:tcBorders>
              <w:top w:val="single" w:sz="4" w:space="0" w:color="auto"/>
              <w:left w:val="nil"/>
              <w:bottom w:val="single" w:sz="4" w:space="0" w:color="auto"/>
              <w:right w:val="single" w:sz="4" w:space="0" w:color="auto"/>
            </w:tcBorders>
          </w:tcPr>
          <w:p w14:paraId="44D85AAE" w14:textId="77777777" w:rsidR="009E181C" w:rsidRPr="009E181C" w:rsidRDefault="009E181C" w:rsidP="009E181C">
            <w:pPr>
              <w:widowControl w:val="0"/>
              <w:spacing w:after="0" w:line="240" w:lineRule="auto"/>
              <w:ind w:left="54"/>
              <w:rPr>
                <w:rFonts w:ascii="Times New Roman" w:hAnsi="Times New Roman"/>
                <w:b/>
                <w:sz w:val="20"/>
                <w:szCs w:val="20"/>
                <w:lang w:eastAsia="sk-SK"/>
              </w:rPr>
            </w:pPr>
            <w:r w:rsidRPr="009E181C">
              <w:rPr>
                <w:rFonts w:ascii="Times New Roman" w:hAnsi="Times New Roman"/>
                <w:b/>
                <w:sz w:val="20"/>
                <w:szCs w:val="20"/>
                <w:lang w:eastAsia="sk-SK"/>
              </w:rPr>
              <w:t>Negatívne</w:t>
            </w:r>
          </w:p>
        </w:tc>
      </w:tr>
      <w:tr w:rsidR="009E181C" w:rsidRPr="009E181C" w14:paraId="747136FC" w14:textId="77777777" w:rsidTr="009E181C">
        <w:tc>
          <w:tcPr>
            <w:tcW w:w="3244" w:type="dxa"/>
            <w:tcBorders>
              <w:top w:val="single" w:sz="4" w:space="0" w:color="auto"/>
              <w:left w:val="single" w:sz="4" w:space="0" w:color="auto"/>
              <w:bottom w:val="single" w:sz="4" w:space="0" w:color="auto"/>
              <w:right w:val="single" w:sz="4" w:space="0" w:color="auto"/>
            </w:tcBorders>
            <w:shd w:val="clear" w:color="auto" w:fill="E2E2E2"/>
          </w:tcPr>
          <w:p w14:paraId="2FD68EB2"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Vplyvy na životné prostredie</w:t>
            </w:r>
          </w:p>
        </w:tc>
        <w:sdt>
          <w:sdtPr>
            <w:rPr>
              <w:rFonts w:ascii="Times New Roman" w:hAnsi="Times New Roman"/>
              <w:b/>
              <w:sz w:val="20"/>
              <w:szCs w:val="20"/>
              <w:lang w:eastAsia="sk-SK"/>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552D0832"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BA05595" w14:textId="77777777" w:rsidR="009E181C" w:rsidRPr="009E181C" w:rsidRDefault="009E181C" w:rsidP="009E181C">
            <w:pPr>
              <w:widowControl w:val="0"/>
              <w:spacing w:after="0" w:line="240" w:lineRule="auto"/>
              <w:ind w:right="-108"/>
              <w:rPr>
                <w:rFonts w:ascii="Times New Roman" w:hAnsi="Times New Roman"/>
                <w:b/>
                <w:sz w:val="20"/>
                <w:szCs w:val="20"/>
                <w:lang w:eastAsia="sk-SK"/>
              </w:rPr>
            </w:pPr>
            <w:r w:rsidRPr="009E181C">
              <w:rPr>
                <w:rFonts w:ascii="Times New Roman" w:hAnsi="Times New Roman"/>
                <w:b/>
                <w:sz w:val="20"/>
                <w:szCs w:val="20"/>
                <w:lang w:eastAsia="sk-SK"/>
              </w:rPr>
              <w:t>Pozitívne</w:t>
            </w:r>
          </w:p>
        </w:tc>
        <w:sdt>
          <w:sdtPr>
            <w:rPr>
              <w:rFonts w:ascii="Times New Roman" w:hAnsi="Times New Roman"/>
              <w:b/>
              <w:sz w:val="20"/>
              <w:szCs w:val="20"/>
              <w:lang w:eastAsia="sk-SK"/>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110012CB"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ADDAB2B"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Žiadne</w:t>
            </w:r>
          </w:p>
        </w:tc>
        <w:sdt>
          <w:sdtPr>
            <w:rPr>
              <w:rFonts w:ascii="Times New Roman" w:hAnsi="Times New Roman"/>
              <w:b/>
              <w:sz w:val="20"/>
              <w:szCs w:val="20"/>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34FC7E04"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615" w:type="dxa"/>
            <w:tcBorders>
              <w:top w:val="single" w:sz="4" w:space="0" w:color="auto"/>
              <w:left w:val="nil"/>
              <w:bottom w:val="single" w:sz="4" w:space="0" w:color="auto"/>
              <w:right w:val="single" w:sz="4" w:space="0" w:color="auto"/>
            </w:tcBorders>
          </w:tcPr>
          <w:p w14:paraId="557B40C9" w14:textId="77777777" w:rsidR="009E181C" w:rsidRPr="009E181C" w:rsidRDefault="009E181C" w:rsidP="009E181C">
            <w:pPr>
              <w:widowControl w:val="0"/>
              <w:spacing w:after="0" w:line="240" w:lineRule="auto"/>
              <w:ind w:left="54"/>
              <w:rPr>
                <w:rFonts w:ascii="Times New Roman" w:hAnsi="Times New Roman"/>
                <w:b/>
                <w:sz w:val="20"/>
                <w:szCs w:val="20"/>
                <w:lang w:eastAsia="sk-SK"/>
              </w:rPr>
            </w:pPr>
            <w:r w:rsidRPr="009E181C">
              <w:rPr>
                <w:rFonts w:ascii="Times New Roman" w:hAnsi="Times New Roman"/>
                <w:b/>
                <w:sz w:val="20"/>
                <w:szCs w:val="20"/>
                <w:lang w:eastAsia="sk-SK"/>
              </w:rPr>
              <w:t>Negatívne</w:t>
            </w:r>
          </w:p>
        </w:tc>
      </w:tr>
      <w:tr w:rsidR="009E181C" w:rsidRPr="009E181C" w14:paraId="3703C632" w14:textId="77777777" w:rsidTr="009E181C">
        <w:tc>
          <w:tcPr>
            <w:tcW w:w="3244" w:type="dxa"/>
            <w:tcBorders>
              <w:top w:val="single" w:sz="4" w:space="0" w:color="auto"/>
              <w:left w:val="single" w:sz="4" w:space="0" w:color="auto"/>
              <w:bottom w:val="single" w:sz="4" w:space="0" w:color="auto"/>
              <w:right w:val="single" w:sz="4" w:space="0" w:color="auto"/>
            </w:tcBorders>
            <w:shd w:val="clear" w:color="auto" w:fill="E2E2E2"/>
          </w:tcPr>
          <w:p w14:paraId="365744D4"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Vplyvy na informatizáciu spoločnosti</w:t>
            </w:r>
          </w:p>
        </w:tc>
        <w:sdt>
          <w:sdtPr>
            <w:rPr>
              <w:rFonts w:ascii="Times New Roman" w:hAnsi="Times New Roman"/>
              <w:b/>
              <w:sz w:val="20"/>
              <w:szCs w:val="20"/>
              <w:lang w:eastAsia="sk-SK"/>
            </w:rPr>
            <w:id w:val="-15734213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4CF8466B"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BB242B2" w14:textId="77777777" w:rsidR="009E181C" w:rsidRPr="009E181C" w:rsidRDefault="009E181C" w:rsidP="009E181C">
            <w:pPr>
              <w:widowControl w:val="0"/>
              <w:spacing w:after="0" w:line="240" w:lineRule="auto"/>
              <w:ind w:right="-108"/>
              <w:rPr>
                <w:rFonts w:ascii="Times New Roman" w:hAnsi="Times New Roman"/>
                <w:b/>
                <w:sz w:val="20"/>
                <w:szCs w:val="20"/>
                <w:lang w:eastAsia="sk-SK"/>
              </w:rPr>
            </w:pPr>
            <w:r w:rsidRPr="009E181C">
              <w:rPr>
                <w:rFonts w:ascii="Times New Roman" w:hAnsi="Times New Roman"/>
                <w:b/>
                <w:sz w:val="20"/>
                <w:szCs w:val="20"/>
                <w:lang w:eastAsia="sk-SK"/>
              </w:rPr>
              <w:t>Pozitívne</w:t>
            </w:r>
          </w:p>
        </w:tc>
        <w:sdt>
          <w:sdtPr>
            <w:rPr>
              <w:rFonts w:ascii="Times New Roman" w:hAnsi="Times New Roman"/>
              <w:b/>
              <w:sz w:val="20"/>
              <w:szCs w:val="20"/>
              <w:lang w:eastAsia="sk-SK"/>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30B59FF9"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2C6F04B"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Žiadne</w:t>
            </w:r>
          </w:p>
        </w:tc>
        <w:sdt>
          <w:sdtPr>
            <w:rPr>
              <w:rFonts w:ascii="Times New Roman" w:hAnsi="Times New Roman"/>
              <w:b/>
              <w:sz w:val="20"/>
              <w:szCs w:val="20"/>
              <w:lang w:eastAsia="sk-SK"/>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64FD491B"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615" w:type="dxa"/>
            <w:tcBorders>
              <w:top w:val="single" w:sz="4" w:space="0" w:color="auto"/>
              <w:left w:val="nil"/>
              <w:bottom w:val="single" w:sz="4" w:space="0" w:color="auto"/>
              <w:right w:val="single" w:sz="4" w:space="0" w:color="auto"/>
            </w:tcBorders>
          </w:tcPr>
          <w:p w14:paraId="63EA852C" w14:textId="77777777" w:rsidR="009E181C" w:rsidRPr="009E181C" w:rsidRDefault="009E181C" w:rsidP="009E181C">
            <w:pPr>
              <w:widowControl w:val="0"/>
              <w:spacing w:after="0" w:line="240" w:lineRule="auto"/>
              <w:ind w:left="54"/>
              <w:rPr>
                <w:rFonts w:ascii="Times New Roman" w:hAnsi="Times New Roman"/>
                <w:b/>
                <w:sz w:val="20"/>
                <w:szCs w:val="20"/>
                <w:lang w:eastAsia="sk-SK"/>
              </w:rPr>
            </w:pPr>
            <w:r w:rsidRPr="009E181C">
              <w:rPr>
                <w:rFonts w:ascii="Times New Roman" w:hAnsi="Times New Roman"/>
                <w:b/>
                <w:sz w:val="20"/>
                <w:szCs w:val="20"/>
                <w:lang w:eastAsia="sk-SK"/>
              </w:rPr>
              <w:t>Negatívne</w:t>
            </w:r>
          </w:p>
        </w:tc>
      </w:tr>
    </w:tbl>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541"/>
        <w:gridCol w:w="1281"/>
        <w:gridCol w:w="31"/>
        <w:gridCol w:w="538"/>
        <w:gridCol w:w="1133"/>
        <w:gridCol w:w="547"/>
        <w:gridCol w:w="1184"/>
      </w:tblGrid>
      <w:tr w:rsidR="009E181C" w:rsidRPr="009E181C" w14:paraId="4479B807" w14:textId="77777777" w:rsidTr="009E181C">
        <w:tc>
          <w:tcPr>
            <w:tcW w:w="3675" w:type="dxa"/>
            <w:tcBorders>
              <w:top w:val="single" w:sz="4" w:space="0" w:color="auto"/>
              <w:left w:val="single" w:sz="4" w:space="0" w:color="auto"/>
              <w:bottom w:val="nil"/>
              <w:right w:val="single" w:sz="4" w:space="0" w:color="auto"/>
            </w:tcBorders>
            <w:shd w:val="clear" w:color="auto" w:fill="E2E2E2"/>
          </w:tcPr>
          <w:p w14:paraId="26D74482"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eastAsia="Calibri"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2B6BE8A0" w14:textId="77777777" w:rsidR="009E181C" w:rsidRPr="009E181C" w:rsidRDefault="009E181C" w:rsidP="009E181C">
            <w:pPr>
              <w:widowControl w:val="0"/>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14:paraId="65C7FAD8" w14:textId="77777777" w:rsidR="009E181C" w:rsidRPr="009E181C" w:rsidRDefault="009E181C" w:rsidP="009E181C">
            <w:pPr>
              <w:widowControl w:val="0"/>
              <w:spacing w:after="0" w:line="240" w:lineRule="auto"/>
              <w:ind w:right="-108"/>
              <w:rPr>
                <w:rFonts w:ascii="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43EF1D90" w14:textId="77777777" w:rsidR="009E181C" w:rsidRPr="009E181C" w:rsidRDefault="009E181C" w:rsidP="009E181C">
            <w:pPr>
              <w:widowControl w:val="0"/>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14:paraId="474E0922" w14:textId="77777777" w:rsidR="009E181C" w:rsidRPr="009E181C" w:rsidRDefault="009E181C" w:rsidP="009E181C">
            <w:pPr>
              <w:widowControl w:val="0"/>
              <w:spacing w:after="0" w:line="240" w:lineRule="auto"/>
              <w:rPr>
                <w:rFonts w:ascii="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14:paraId="17C145CE" w14:textId="77777777" w:rsidR="009E181C" w:rsidRPr="009E181C" w:rsidRDefault="009E181C" w:rsidP="009E181C">
            <w:pPr>
              <w:widowControl w:val="0"/>
              <w:spacing w:after="0" w:line="240" w:lineRule="auto"/>
              <w:jc w:val="center"/>
              <w:rPr>
                <w:rFonts w:ascii="Times New Roman" w:eastAsia="MS Mincho" w:hAnsi="Times New Roman"/>
                <w:b/>
                <w:sz w:val="20"/>
                <w:szCs w:val="20"/>
                <w:lang w:eastAsia="sk-SK"/>
              </w:rPr>
            </w:pPr>
          </w:p>
        </w:tc>
        <w:tc>
          <w:tcPr>
            <w:tcW w:w="1184" w:type="dxa"/>
            <w:tcBorders>
              <w:top w:val="single" w:sz="4" w:space="0" w:color="auto"/>
              <w:left w:val="nil"/>
              <w:bottom w:val="nil"/>
              <w:right w:val="single" w:sz="4" w:space="0" w:color="auto"/>
            </w:tcBorders>
            <w:shd w:val="clear" w:color="auto" w:fill="auto"/>
          </w:tcPr>
          <w:p w14:paraId="6C9FAB40" w14:textId="77777777" w:rsidR="009E181C" w:rsidRPr="009E181C" w:rsidRDefault="009E181C" w:rsidP="009E181C">
            <w:pPr>
              <w:widowControl w:val="0"/>
              <w:spacing w:after="0" w:line="240" w:lineRule="auto"/>
              <w:ind w:left="54"/>
              <w:rPr>
                <w:rFonts w:ascii="Times New Roman" w:hAnsi="Times New Roman"/>
                <w:b/>
                <w:sz w:val="20"/>
                <w:szCs w:val="20"/>
                <w:lang w:eastAsia="sk-SK"/>
              </w:rPr>
            </w:pPr>
          </w:p>
        </w:tc>
      </w:tr>
      <w:tr w:rsidR="009E181C" w:rsidRPr="009E181C" w14:paraId="18C1A706" w14:textId="77777777" w:rsidTr="009E181C">
        <w:tc>
          <w:tcPr>
            <w:tcW w:w="3675" w:type="dxa"/>
            <w:tcBorders>
              <w:top w:val="nil"/>
              <w:left w:val="single" w:sz="4" w:space="0" w:color="auto"/>
              <w:bottom w:val="nil"/>
              <w:right w:val="single" w:sz="4" w:space="0" w:color="auto"/>
            </w:tcBorders>
            <w:shd w:val="clear" w:color="auto" w:fill="E2E2E2"/>
          </w:tcPr>
          <w:p w14:paraId="0C95AF1A" w14:textId="77777777" w:rsidR="009E181C" w:rsidRPr="009E181C" w:rsidRDefault="009E181C" w:rsidP="009E181C">
            <w:pPr>
              <w:widowControl w:val="0"/>
              <w:spacing w:after="0" w:line="240" w:lineRule="auto"/>
              <w:ind w:left="196" w:hanging="196"/>
              <w:rPr>
                <w:rFonts w:ascii="Times New Roman" w:eastAsia="Calibri" w:hAnsi="Times New Roman"/>
                <w:b/>
                <w:sz w:val="20"/>
                <w:szCs w:val="20"/>
              </w:rPr>
            </w:pPr>
            <w:r w:rsidRPr="009E181C">
              <w:rPr>
                <w:rFonts w:ascii="Times New Roman" w:eastAsia="Calibri" w:hAnsi="Times New Roman"/>
                <w:b/>
                <w:sz w:val="20"/>
                <w:szCs w:val="20"/>
              </w:rPr>
              <w:t xml:space="preserve">    vplyvy služieb verejnej správy na občana</w:t>
            </w:r>
          </w:p>
        </w:tc>
        <w:sdt>
          <w:sdtPr>
            <w:rPr>
              <w:rFonts w:ascii="Times New Roman" w:hAnsi="Times New Roman"/>
              <w:b/>
              <w:sz w:val="20"/>
              <w:szCs w:val="20"/>
              <w:lang w:eastAsia="sk-SK"/>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656B21A7"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59F7001F" w14:textId="77777777" w:rsidR="009E181C" w:rsidRPr="009E181C" w:rsidRDefault="009E181C" w:rsidP="009E181C">
            <w:pPr>
              <w:widowControl w:val="0"/>
              <w:spacing w:after="0" w:line="240" w:lineRule="auto"/>
              <w:ind w:right="-108"/>
              <w:rPr>
                <w:rFonts w:ascii="Times New Roman" w:hAnsi="Times New Roman"/>
                <w:b/>
                <w:sz w:val="20"/>
                <w:szCs w:val="20"/>
                <w:lang w:eastAsia="sk-SK"/>
              </w:rPr>
            </w:pPr>
            <w:r w:rsidRPr="009E181C">
              <w:rPr>
                <w:rFonts w:ascii="Times New Roman" w:hAnsi="Times New Roman"/>
                <w:b/>
                <w:sz w:val="20"/>
                <w:szCs w:val="20"/>
                <w:lang w:eastAsia="sk-SK"/>
              </w:rPr>
              <w:t>Pozitívne</w:t>
            </w:r>
          </w:p>
        </w:tc>
        <w:sdt>
          <w:sdtPr>
            <w:rPr>
              <w:rFonts w:ascii="Times New Roman" w:hAnsi="Times New Roman"/>
              <w:b/>
              <w:sz w:val="20"/>
              <w:szCs w:val="20"/>
              <w:lang w:eastAsia="sk-SK"/>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73CC9A26"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0B428B6F"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Žiadne</w:t>
            </w:r>
          </w:p>
        </w:tc>
        <w:sdt>
          <w:sdtPr>
            <w:rPr>
              <w:rFonts w:ascii="Times New Roman" w:hAnsi="Times New Roman"/>
              <w:b/>
              <w:sz w:val="20"/>
              <w:szCs w:val="20"/>
              <w:lang w:eastAsia="sk-SK"/>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12EBDCE5"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184" w:type="dxa"/>
            <w:tcBorders>
              <w:top w:val="nil"/>
              <w:left w:val="nil"/>
              <w:bottom w:val="dotted" w:sz="4" w:space="0" w:color="auto"/>
              <w:right w:val="single" w:sz="4" w:space="0" w:color="auto"/>
            </w:tcBorders>
            <w:shd w:val="clear" w:color="auto" w:fill="auto"/>
          </w:tcPr>
          <w:p w14:paraId="7D86002D" w14:textId="77777777" w:rsidR="009E181C" w:rsidRPr="009E181C" w:rsidRDefault="009E181C" w:rsidP="009E181C">
            <w:pPr>
              <w:widowControl w:val="0"/>
              <w:spacing w:after="0" w:line="240" w:lineRule="auto"/>
              <w:ind w:left="54"/>
              <w:rPr>
                <w:rFonts w:ascii="Times New Roman" w:hAnsi="Times New Roman"/>
                <w:b/>
                <w:sz w:val="20"/>
                <w:szCs w:val="20"/>
                <w:lang w:eastAsia="sk-SK"/>
              </w:rPr>
            </w:pPr>
            <w:r w:rsidRPr="009E181C">
              <w:rPr>
                <w:rFonts w:ascii="Times New Roman" w:hAnsi="Times New Roman"/>
                <w:b/>
                <w:sz w:val="20"/>
                <w:szCs w:val="20"/>
                <w:lang w:eastAsia="sk-SK"/>
              </w:rPr>
              <w:t>Negatívne</w:t>
            </w:r>
          </w:p>
        </w:tc>
      </w:tr>
      <w:tr w:rsidR="009E181C" w:rsidRPr="009E181C" w14:paraId="16FB0EA8" w14:textId="77777777" w:rsidTr="009E181C">
        <w:tc>
          <w:tcPr>
            <w:tcW w:w="3675" w:type="dxa"/>
            <w:tcBorders>
              <w:top w:val="nil"/>
              <w:left w:val="single" w:sz="4" w:space="0" w:color="auto"/>
              <w:bottom w:val="nil"/>
              <w:right w:val="single" w:sz="4" w:space="0" w:color="auto"/>
            </w:tcBorders>
            <w:shd w:val="clear" w:color="auto" w:fill="E2E2E2"/>
          </w:tcPr>
          <w:p w14:paraId="58316194" w14:textId="77777777" w:rsidR="009E181C" w:rsidRPr="009E181C" w:rsidRDefault="009E181C" w:rsidP="009E181C">
            <w:pPr>
              <w:widowControl w:val="0"/>
              <w:spacing w:after="0" w:line="240" w:lineRule="auto"/>
              <w:ind w:left="168" w:hanging="168"/>
              <w:rPr>
                <w:rFonts w:ascii="Times New Roman" w:eastAsia="Calibri" w:hAnsi="Times New Roman"/>
                <w:b/>
                <w:sz w:val="20"/>
                <w:szCs w:val="20"/>
              </w:rPr>
            </w:pPr>
            <w:r w:rsidRPr="009E181C">
              <w:rPr>
                <w:rFonts w:ascii="Times New Roman" w:eastAsia="Calibri" w:hAnsi="Times New Roman"/>
                <w:b/>
                <w:sz w:val="20"/>
                <w:szCs w:val="20"/>
              </w:rPr>
              <w:t xml:space="preserve">    vplyvy na procesy služieb vo verejnej správe</w:t>
            </w:r>
          </w:p>
        </w:tc>
        <w:sdt>
          <w:sdtPr>
            <w:rPr>
              <w:rFonts w:ascii="Times New Roman" w:hAnsi="Times New Roman"/>
              <w:b/>
              <w:sz w:val="20"/>
              <w:szCs w:val="20"/>
              <w:lang w:eastAsia="sk-SK"/>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14:paraId="797940C8"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BB72694" w14:textId="77777777" w:rsidR="009E181C" w:rsidRPr="009E181C" w:rsidRDefault="009E181C" w:rsidP="009E181C">
            <w:pPr>
              <w:widowControl w:val="0"/>
              <w:spacing w:after="0" w:line="240" w:lineRule="auto"/>
              <w:ind w:right="-108"/>
              <w:rPr>
                <w:rFonts w:ascii="Times New Roman" w:hAnsi="Times New Roman"/>
                <w:b/>
                <w:sz w:val="20"/>
                <w:szCs w:val="20"/>
                <w:lang w:eastAsia="sk-SK"/>
              </w:rPr>
            </w:pPr>
            <w:r w:rsidRPr="009E181C">
              <w:rPr>
                <w:rFonts w:ascii="Times New Roman" w:hAnsi="Times New Roman"/>
                <w:b/>
                <w:sz w:val="20"/>
                <w:szCs w:val="20"/>
                <w:lang w:eastAsia="sk-SK"/>
              </w:rPr>
              <w:t>Pozitívne</w:t>
            </w:r>
          </w:p>
        </w:tc>
        <w:sdt>
          <w:sdtPr>
            <w:rPr>
              <w:rFonts w:ascii="Times New Roman" w:hAnsi="Times New Roman"/>
              <w:b/>
              <w:sz w:val="20"/>
              <w:szCs w:val="20"/>
              <w:lang w:eastAsia="sk-SK"/>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14:paraId="7C4FC139"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AB49029"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Žiadne</w:t>
            </w:r>
          </w:p>
        </w:tc>
        <w:sdt>
          <w:sdtPr>
            <w:rPr>
              <w:rFonts w:ascii="Times New Roman" w:hAnsi="Times New Roman"/>
              <w:b/>
              <w:sz w:val="20"/>
              <w:szCs w:val="20"/>
              <w:lang w:eastAsia="sk-SK"/>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14:paraId="1C0B3077"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184" w:type="dxa"/>
            <w:tcBorders>
              <w:top w:val="dotted" w:sz="4" w:space="0" w:color="auto"/>
              <w:left w:val="nil"/>
              <w:bottom w:val="dotted" w:sz="4" w:space="0" w:color="auto"/>
              <w:right w:val="single" w:sz="4" w:space="0" w:color="auto"/>
            </w:tcBorders>
            <w:shd w:val="clear" w:color="auto" w:fill="auto"/>
            <w:vAlign w:val="center"/>
          </w:tcPr>
          <w:p w14:paraId="744F0837" w14:textId="77777777" w:rsidR="009E181C" w:rsidRPr="009E181C" w:rsidRDefault="009E181C" w:rsidP="009E181C">
            <w:pPr>
              <w:widowControl w:val="0"/>
              <w:spacing w:after="0" w:line="240" w:lineRule="auto"/>
              <w:ind w:left="54"/>
              <w:rPr>
                <w:rFonts w:ascii="Times New Roman" w:hAnsi="Times New Roman"/>
                <w:b/>
                <w:sz w:val="20"/>
                <w:szCs w:val="20"/>
                <w:lang w:eastAsia="sk-SK"/>
              </w:rPr>
            </w:pPr>
            <w:r w:rsidRPr="009E181C">
              <w:rPr>
                <w:rFonts w:ascii="Times New Roman" w:hAnsi="Times New Roman"/>
                <w:b/>
                <w:sz w:val="20"/>
                <w:szCs w:val="20"/>
                <w:lang w:eastAsia="sk-SK"/>
              </w:rPr>
              <w:t>Negatívne</w:t>
            </w:r>
          </w:p>
        </w:tc>
      </w:tr>
    </w:tbl>
    <w:tbl>
      <w:tblPr>
        <w:tblStyle w:val="Mriekatabuky11"/>
        <w:tblW w:w="8930" w:type="dxa"/>
        <w:tblInd w:w="137" w:type="dxa"/>
        <w:tblLayout w:type="fixed"/>
        <w:tblLook w:val="04A0" w:firstRow="1" w:lastRow="0" w:firstColumn="1" w:lastColumn="0" w:noHBand="0" w:noVBand="1"/>
      </w:tblPr>
      <w:tblGrid>
        <w:gridCol w:w="3675"/>
        <w:gridCol w:w="541"/>
        <w:gridCol w:w="1312"/>
        <w:gridCol w:w="538"/>
        <w:gridCol w:w="1133"/>
        <w:gridCol w:w="547"/>
        <w:gridCol w:w="1184"/>
      </w:tblGrid>
      <w:tr w:rsidR="009E181C" w:rsidRPr="009E181C" w14:paraId="314B17C3" w14:textId="77777777" w:rsidTr="009E181C">
        <w:tc>
          <w:tcPr>
            <w:tcW w:w="3675" w:type="dxa"/>
            <w:tcBorders>
              <w:top w:val="single" w:sz="4" w:space="0" w:color="000000"/>
              <w:left w:val="single" w:sz="4" w:space="0" w:color="auto"/>
              <w:bottom w:val="single" w:sz="4" w:space="0" w:color="auto"/>
              <w:right w:val="single" w:sz="4" w:space="0" w:color="auto"/>
            </w:tcBorders>
            <w:shd w:val="clear" w:color="auto" w:fill="E2E2E2"/>
          </w:tcPr>
          <w:p w14:paraId="386E136E"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rPr>
              <w:t>Vplyvy na manželstvo, rodičovstvo a rodinu</w:t>
            </w:r>
          </w:p>
        </w:tc>
        <w:sdt>
          <w:sdtPr>
            <w:rPr>
              <w:rFonts w:ascii="Times New Roman" w:hAnsi="Times New Roman"/>
              <w:b/>
              <w:sz w:val="20"/>
              <w:szCs w:val="20"/>
              <w:lang w:eastAsia="sk-SK"/>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71EC38FA"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E52BCBE" w14:textId="77777777" w:rsidR="009E181C" w:rsidRPr="009E181C" w:rsidRDefault="009E181C" w:rsidP="009E181C">
            <w:pPr>
              <w:widowControl w:val="0"/>
              <w:spacing w:after="0" w:line="240" w:lineRule="auto"/>
              <w:ind w:right="-108"/>
              <w:rPr>
                <w:rFonts w:ascii="Times New Roman" w:hAnsi="Times New Roman"/>
                <w:b/>
                <w:sz w:val="20"/>
                <w:szCs w:val="20"/>
                <w:lang w:eastAsia="sk-SK"/>
              </w:rPr>
            </w:pPr>
            <w:r w:rsidRPr="009E181C">
              <w:rPr>
                <w:rFonts w:ascii="Times New Roman" w:hAnsi="Times New Roman"/>
                <w:b/>
                <w:sz w:val="20"/>
                <w:szCs w:val="20"/>
                <w:lang w:eastAsia="sk-SK"/>
              </w:rPr>
              <w:t>Pozitívne</w:t>
            </w:r>
          </w:p>
        </w:tc>
        <w:sdt>
          <w:sdtPr>
            <w:rPr>
              <w:rFonts w:ascii="Times New Roman" w:hAnsi="Times New Roman"/>
              <w:b/>
              <w:sz w:val="20"/>
              <w:szCs w:val="20"/>
              <w:lang w:eastAsia="sk-SK"/>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171F8A7C"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0107923" w14:textId="77777777" w:rsidR="009E181C" w:rsidRPr="009E181C" w:rsidRDefault="009E181C" w:rsidP="009E181C">
            <w:pPr>
              <w:widowControl w:val="0"/>
              <w:spacing w:after="0" w:line="240" w:lineRule="auto"/>
              <w:rPr>
                <w:rFonts w:ascii="Times New Roman" w:hAnsi="Times New Roman"/>
                <w:b/>
                <w:sz w:val="20"/>
                <w:szCs w:val="20"/>
                <w:lang w:eastAsia="sk-SK"/>
              </w:rPr>
            </w:pPr>
            <w:r w:rsidRPr="009E181C">
              <w:rPr>
                <w:rFonts w:ascii="Times New Roman" w:hAnsi="Times New Roman"/>
                <w:b/>
                <w:sz w:val="20"/>
                <w:szCs w:val="20"/>
                <w:lang w:eastAsia="sk-SK"/>
              </w:rPr>
              <w:t>Žiadne</w:t>
            </w:r>
          </w:p>
        </w:tc>
        <w:sdt>
          <w:sdtPr>
            <w:rPr>
              <w:rFonts w:ascii="Times New Roman" w:hAnsi="Times New Roman"/>
              <w:b/>
              <w:sz w:val="20"/>
              <w:szCs w:val="20"/>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0303EF23" w14:textId="77777777" w:rsidR="009E181C" w:rsidRPr="009E181C" w:rsidRDefault="009E181C" w:rsidP="009E181C">
                <w:pPr>
                  <w:widowControl w:val="0"/>
                  <w:spacing w:after="0" w:line="240" w:lineRule="auto"/>
                  <w:jc w:val="center"/>
                  <w:rPr>
                    <w:rFonts w:ascii="Times New Roman" w:hAnsi="Times New Roman"/>
                    <w:b/>
                    <w:sz w:val="20"/>
                    <w:szCs w:val="20"/>
                    <w:lang w:eastAsia="sk-SK"/>
                  </w:rPr>
                </w:pPr>
                <w:r w:rsidRPr="009E181C">
                  <w:rPr>
                    <w:rFonts w:ascii="Times New Roman" w:eastAsia="MS Gothic" w:hAnsi="Times New Roman" w:hint="eastAsia"/>
                    <w:b/>
                    <w:sz w:val="20"/>
                    <w:szCs w:val="20"/>
                    <w:lang w:eastAsia="sk-SK"/>
                  </w:rPr>
                  <w:t>☐</w:t>
                </w:r>
              </w:p>
            </w:tc>
          </w:sdtContent>
        </w:sdt>
        <w:tc>
          <w:tcPr>
            <w:tcW w:w="1184" w:type="dxa"/>
            <w:tcBorders>
              <w:top w:val="single" w:sz="4" w:space="0" w:color="auto"/>
              <w:left w:val="nil"/>
              <w:bottom w:val="single" w:sz="4" w:space="0" w:color="auto"/>
              <w:right w:val="single" w:sz="4" w:space="0" w:color="auto"/>
            </w:tcBorders>
            <w:vAlign w:val="center"/>
          </w:tcPr>
          <w:p w14:paraId="48F9C6C4" w14:textId="77777777" w:rsidR="009E181C" w:rsidRPr="009E181C" w:rsidRDefault="009E181C" w:rsidP="009E181C">
            <w:pPr>
              <w:widowControl w:val="0"/>
              <w:spacing w:after="0" w:line="240" w:lineRule="auto"/>
              <w:ind w:left="54"/>
              <w:rPr>
                <w:rFonts w:ascii="Times New Roman" w:hAnsi="Times New Roman"/>
                <w:b/>
                <w:sz w:val="20"/>
                <w:szCs w:val="20"/>
                <w:lang w:eastAsia="sk-SK"/>
              </w:rPr>
            </w:pPr>
            <w:r w:rsidRPr="009E181C">
              <w:rPr>
                <w:rFonts w:ascii="Times New Roman" w:hAnsi="Times New Roman"/>
                <w:b/>
                <w:sz w:val="20"/>
                <w:szCs w:val="20"/>
                <w:lang w:eastAsia="sk-SK"/>
              </w:rPr>
              <w:t>Negatívne</w:t>
            </w:r>
          </w:p>
        </w:tc>
      </w:tr>
      <w:tr w:rsidR="009E181C" w:rsidRPr="009E181C" w14:paraId="01346A1E" w14:textId="77777777" w:rsidTr="009E181C">
        <w:tc>
          <w:tcPr>
            <w:tcW w:w="8930" w:type="dxa"/>
            <w:gridSpan w:val="7"/>
            <w:tcBorders>
              <w:top w:val="single" w:sz="4" w:space="0" w:color="auto"/>
              <w:left w:val="single" w:sz="4" w:space="0" w:color="auto"/>
              <w:bottom w:val="nil"/>
              <w:right w:val="single" w:sz="4" w:space="0" w:color="auto"/>
            </w:tcBorders>
            <w:shd w:val="clear" w:color="auto" w:fill="E2E2E2"/>
          </w:tcPr>
          <w:p w14:paraId="28DB540E" w14:textId="77777777" w:rsidR="009E181C" w:rsidRPr="009E181C" w:rsidRDefault="009E181C" w:rsidP="009E181C">
            <w:pPr>
              <w:widowControl w:val="0"/>
              <w:numPr>
                <w:ilvl w:val="0"/>
                <w:numId w:val="4"/>
              </w:numPr>
              <w:spacing w:after="0" w:line="240" w:lineRule="auto"/>
              <w:ind w:left="426"/>
              <w:rPr>
                <w:rFonts w:ascii="Times New Roman" w:eastAsia="Calibri" w:hAnsi="Times New Roman"/>
                <w:b/>
                <w:sz w:val="20"/>
                <w:szCs w:val="20"/>
              </w:rPr>
            </w:pPr>
            <w:r w:rsidRPr="009E181C">
              <w:rPr>
                <w:rFonts w:ascii="Times New Roman" w:eastAsia="Calibri" w:hAnsi="Times New Roman"/>
                <w:b/>
                <w:sz w:val="20"/>
                <w:szCs w:val="20"/>
              </w:rPr>
              <w:t>Poznámky</w:t>
            </w:r>
          </w:p>
        </w:tc>
      </w:tr>
      <w:tr w:rsidR="009E181C" w:rsidRPr="009E181C" w14:paraId="586AB14D" w14:textId="77777777" w:rsidTr="009E181C">
        <w:trPr>
          <w:trHeight w:val="713"/>
        </w:trPr>
        <w:tc>
          <w:tcPr>
            <w:tcW w:w="8930" w:type="dxa"/>
            <w:gridSpan w:val="7"/>
            <w:tcBorders>
              <w:top w:val="nil"/>
              <w:left w:val="single" w:sz="4" w:space="0" w:color="auto"/>
              <w:bottom w:val="single" w:sz="4" w:space="0" w:color="FFFFFF"/>
              <w:right w:val="single" w:sz="4" w:space="0" w:color="auto"/>
            </w:tcBorders>
            <w:shd w:val="clear" w:color="auto" w:fill="auto"/>
          </w:tcPr>
          <w:p w14:paraId="52D7A9E2" w14:textId="77777777" w:rsidR="009E181C" w:rsidRPr="009E181C" w:rsidRDefault="009E181C" w:rsidP="009E181C">
            <w:pPr>
              <w:widowControl w:val="0"/>
              <w:spacing w:after="0" w:line="240" w:lineRule="auto"/>
              <w:jc w:val="both"/>
              <w:rPr>
                <w:rFonts w:ascii="Times New Roman" w:hAnsi="Times New Roman"/>
                <w:sz w:val="20"/>
                <w:szCs w:val="20"/>
                <w:lang w:eastAsia="sk-SK"/>
              </w:rPr>
            </w:pPr>
            <w:r w:rsidRPr="009E181C">
              <w:rPr>
                <w:rFonts w:ascii="Times New Roman" w:hAnsi="Times New Roman"/>
                <w:sz w:val="20"/>
                <w:szCs w:val="20"/>
                <w:lang w:eastAsia="sk-SK"/>
              </w:rPr>
              <w:t>Z dôvodu mimoriadnych okolností, ktorými je hrozba značných hospodárskych škôd štátu v prípade neprijatia návrhu zákona a hrozba nesplnenia záväzkov Slovenskej republiky vyplývajúcich zo Zmluvy o pristúpení Slovenskej republiky k Európskej únii nedodržaním lehoty určenej na implementáciu nariadení Európskej únie, sa návrh zákona, ktorý je predkladaný mimo plánu legislatívnych úloh vlády, z dôvodu jeho naliehavosti v termíne predkladá na rokovanie vlády bez pripomienkového konania súčasne s návrhom na skrátené legislatívne konanie o návrhu zákona podľa čl. 26 ods. 4 Legislatívnych pravidiel vlády Slovenskej republiky.</w:t>
            </w:r>
          </w:p>
          <w:p w14:paraId="369D2AA8" w14:textId="77777777" w:rsidR="009E181C" w:rsidRPr="009E181C" w:rsidRDefault="009E181C" w:rsidP="009E181C">
            <w:pPr>
              <w:widowControl w:val="0"/>
              <w:spacing w:after="0" w:line="240" w:lineRule="auto"/>
              <w:jc w:val="both"/>
              <w:rPr>
                <w:rFonts w:ascii="Times New Roman" w:hAnsi="Times New Roman"/>
                <w:sz w:val="20"/>
                <w:szCs w:val="20"/>
                <w:lang w:eastAsia="sk-SK"/>
              </w:rPr>
            </w:pPr>
            <w:r w:rsidRPr="009E181C">
              <w:rPr>
                <w:rFonts w:ascii="Times New Roman" w:hAnsi="Times New Roman"/>
                <w:sz w:val="20"/>
                <w:szCs w:val="20"/>
                <w:lang w:eastAsia="sk-SK"/>
              </w:rPr>
              <w:t>Z rovnakých dôvodov návrh zákona nebol predmetom konzultácií s dotknutou podnikateľskou sférou, predbežného pripomienkového konania ani záverečného posúdenia vybraných vplyvov podľa bodu 2.5. písm. a) Jednotnej metodiky na posudzovanie vybraných vplyvov.</w:t>
            </w:r>
          </w:p>
          <w:p w14:paraId="467A2F05" w14:textId="77777777" w:rsidR="009E181C" w:rsidRPr="009E181C" w:rsidRDefault="009E181C" w:rsidP="009E181C">
            <w:pPr>
              <w:widowControl w:val="0"/>
              <w:spacing w:after="0" w:line="240" w:lineRule="auto"/>
              <w:jc w:val="both"/>
              <w:rPr>
                <w:rFonts w:ascii="Times New Roman" w:hAnsi="Times New Roman"/>
                <w:sz w:val="20"/>
                <w:szCs w:val="20"/>
                <w:lang w:eastAsia="sk-SK"/>
              </w:rPr>
            </w:pPr>
            <w:r w:rsidRPr="009E181C">
              <w:rPr>
                <w:rFonts w:ascii="Times New Roman" w:hAnsi="Times New Roman"/>
                <w:sz w:val="20"/>
                <w:szCs w:val="20"/>
                <w:lang w:eastAsia="sk-SK"/>
              </w:rPr>
              <w:t>Návrh zákona nemá dodatočný vplyv na rozpočet verejnej správy vzhľadom na skutočnosť, že uvedené opatrenia budú financované v rámci Strategického plánu SPP (ktorý bol schválený uznesením vlády SR č. 94/2022 zo 10.2.2022) zo zdrojov Európskeho poľnohospodárskeho záručného fondu (EPZF) a Európskeho poľnohospodárskeho fondu pre rozvoj vidieka (EPFRV). Zároveň sa predpokladá pozitívny a negatívny vplyv na podnikateľské prostredie z dôvodu udelenia sankcií a pokút, či v súvislosti so žiadosťami s prijímaním dotácií.</w:t>
            </w:r>
          </w:p>
        </w:tc>
      </w:tr>
      <w:tr w:rsidR="009E181C" w:rsidRPr="009E181C" w14:paraId="5173CA00" w14:textId="77777777" w:rsidTr="009E181C">
        <w:tc>
          <w:tcPr>
            <w:tcW w:w="8930" w:type="dxa"/>
            <w:gridSpan w:val="7"/>
            <w:tcBorders>
              <w:top w:val="single" w:sz="4" w:space="0" w:color="auto"/>
              <w:left w:val="single" w:sz="4" w:space="0" w:color="auto"/>
              <w:bottom w:val="single" w:sz="4" w:space="0" w:color="FFFFFF"/>
              <w:right w:val="single" w:sz="4" w:space="0" w:color="auto"/>
            </w:tcBorders>
            <w:shd w:val="clear" w:color="auto" w:fill="E2E2E2"/>
          </w:tcPr>
          <w:p w14:paraId="1020B2B0" w14:textId="77777777" w:rsidR="009E181C" w:rsidRPr="009E181C" w:rsidRDefault="009E181C" w:rsidP="009E181C">
            <w:pPr>
              <w:widowControl w:val="0"/>
              <w:numPr>
                <w:ilvl w:val="0"/>
                <w:numId w:val="4"/>
              </w:numPr>
              <w:spacing w:after="0" w:line="240" w:lineRule="auto"/>
              <w:ind w:left="426"/>
              <w:rPr>
                <w:rFonts w:ascii="Times New Roman" w:eastAsia="Calibri" w:hAnsi="Times New Roman"/>
                <w:b/>
                <w:sz w:val="20"/>
                <w:szCs w:val="20"/>
              </w:rPr>
            </w:pPr>
            <w:r w:rsidRPr="009E181C">
              <w:rPr>
                <w:rFonts w:ascii="Times New Roman" w:eastAsia="Calibri" w:hAnsi="Times New Roman"/>
                <w:b/>
                <w:sz w:val="20"/>
                <w:szCs w:val="20"/>
              </w:rPr>
              <w:t>Kontakt na spracovateľa</w:t>
            </w:r>
          </w:p>
        </w:tc>
      </w:tr>
      <w:tr w:rsidR="009E181C" w:rsidRPr="009E181C" w14:paraId="5CD4EE3A" w14:textId="77777777" w:rsidTr="009E181C">
        <w:trPr>
          <w:trHeight w:val="272"/>
        </w:trPr>
        <w:tc>
          <w:tcPr>
            <w:tcW w:w="8930" w:type="dxa"/>
            <w:gridSpan w:val="7"/>
            <w:tcBorders>
              <w:top w:val="single" w:sz="4" w:space="0" w:color="FFFFFF"/>
              <w:left w:val="single" w:sz="4" w:space="0" w:color="auto"/>
              <w:bottom w:val="single" w:sz="4" w:space="0" w:color="auto"/>
              <w:right w:val="single" w:sz="4" w:space="0" w:color="auto"/>
            </w:tcBorders>
            <w:shd w:val="clear" w:color="auto" w:fill="FFFFFF"/>
          </w:tcPr>
          <w:p w14:paraId="62194773"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t xml:space="preserve">Mgr. Martin Illáš, Sekcia legislatívy, Ministerstvo pôdohospodárstva a rozvoja vidieka SR, e-mail: </w:t>
            </w:r>
            <w:hyperlink r:id="rId7" w:history="1">
              <w:r w:rsidRPr="009E181C">
                <w:rPr>
                  <w:rFonts w:ascii="Times New Roman" w:hAnsi="Times New Roman"/>
                  <w:color w:val="0563C1" w:themeColor="hyperlink"/>
                  <w:sz w:val="20"/>
                  <w:szCs w:val="20"/>
                  <w:u w:val="single"/>
                  <w:lang w:eastAsia="sk-SK"/>
                </w:rPr>
                <w:t>martin.illas@land.gov.sk</w:t>
              </w:r>
            </w:hyperlink>
            <w:r w:rsidRPr="009E181C">
              <w:rPr>
                <w:rFonts w:ascii="Times New Roman" w:hAnsi="Times New Roman"/>
                <w:sz w:val="20"/>
                <w:szCs w:val="20"/>
                <w:lang w:eastAsia="sk-SK"/>
              </w:rPr>
              <w:t xml:space="preserve">, </w:t>
            </w:r>
            <w:proofErr w:type="spellStart"/>
            <w:r w:rsidRPr="009E181C">
              <w:rPr>
                <w:rFonts w:ascii="Times New Roman" w:hAnsi="Times New Roman"/>
                <w:sz w:val="20"/>
                <w:szCs w:val="20"/>
                <w:lang w:eastAsia="sk-SK"/>
              </w:rPr>
              <w:t>tel.č</w:t>
            </w:r>
            <w:proofErr w:type="spellEnd"/>
            <w:r w:rsidRPr="009E181C">
              <w:rPr>
                <w:rFonts w:ascii="Times New Roman" w:hAnsi="Times New Roman"/>
                <w:sz w:val="20"/>
                <w:szCs w:val="20"/>
                <w:lang w:eastAsia="sk-SK"/>
              </w:rPr>
              <w:t>. 02/59 266 404;</w:t>
            </w:r>
          </w:p>
          <w:p w14:paraId="7ED704BA"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lastRenderedPageBreak/>
              <w:t xml:space="preserve">Mgr. Miloš Turiak, Odbor priamych platieb a správnych činností, Ministerstvo pôdohospodárstva a rozvoja vidieka SR , e-mail: </w:t>
            </w:r>
            <w:hyperlink r:id="rId8" w:history="1">
              <w:r w:rsidRPr="009E181C">
                <w:rPr>
                  <w:rFonts w:ascii="Times New Roman" w:hAnsi="Times New Roman"/>
                  <w:color w:val="0563C1" w:themeColor="hyperlink"/>
                  <w:sz w:val="20"/>
                  <w:szCs w:val="20"/>
                  <w:u w:val="single"/>
                  <w:lang w:eastAsia="sk-SK"/>
                </w:rPr>
                <w:t>milos.turiak@land.gov.sk</w:t>
              </w:r>
            </w:hyperlink>
            <w:r w:rsidRPr="009E181C">
              <w:rPr>
                <w:rFonts w:ascii="Times New Roman" w:hAnsi="Times New Roman"/>
                <w:sz w:val="20"/>
                <w:szCs w:val="20"/>
                <w:lang w:eastAsia="sk-SK"/>
              </w:rPr>
              <w:t xml:space="preserve">, </w:t>
            </w:r>
            <w:proofErr w:type="spellStart"/>
            <w:r w:rsidRPr="009E181C">
              <w:rPr>
                <w:rFonts w:ascii="Times New Roman" w:hAnsi="Times New Roman"/>
                <w:sz w:val="20"/>
                <w:szCs w:val="20"/>
                <w:lang w:eastAsia="sk-SK"/>
              </w:rPr>
              <w:t>tel.č</w:t>
            </w:r>
            <w:proofErr w:type="spellEnd"/>
            <w:r w:rsidRPr="009E181C">
              <w:rPr>
                <w:rFonts w:ascii="Times New Roman" w:hAnsi="Times New Roman"/>
                <w:sz w:val="20"/>
                <w:szCs w:val="20"/>
                <w:lang w:eastAsia="sk-SK"/>
              </w:rPr>
              <w:t>.: 02/59 266 335;</w:t>
            </w:r>
          </w:p>
          <w:p w14:paraId="19DD60BD" w14:textId="77777777" w:rsidR="009E181C" w:rsidRPr="009E181C" w:rsidRDefault="009E181C" w:rsidP="009E181C">
            <w:pPr>
              <w:widowControl w:val="0"/>
              <w:spacing w:after="0" w:line="240" w:lineRule="auto"/>
              <w:rPr>
                <w:rFonts w:ascii="Times New Roman" w:hAnsi="Times New Roman"/>
                <w:i/>
                <w:sz w:val="20"/>
                <w:szCs w:val="20"/>
                <w:lang w:eastAsia="sk-SK"/>
              </w:rPr>
            </w:pPr>
            <w:r w:rsidRPr="009E181C">
              <w:rPr>
                <w:rFonts w:ascii="Times New Roman" w:hAnsi="Times New Roman"/>
                <w:sz w:val="20"/>
                <w:szCs w:val="20"/>
                <w:lang w:eastAsia="sk-SK"/>
              </w:rPr>
              <w:t xml:space="preserve">Mgr. Milan </w:t>
            </w:r>
            <w:proofErr w:type="spellStart"/>
            <w:r w:rsidRPr="009E181C">
              <w:rPr>
                <w:rFonts w:ascii="Times New Roman" w:hAnsi="Times New Roman"/>
                <w:sz w:val="20"/>
                <w:szCs w:val="20"/>
                <w:lang w:eastAsia="sk-SK"/>
              </w:rPr>
              <w:t>Vavrinský</w:t>
            </w:r>
            <w:proofErr w:type="spellEnd"/>
            <w:r w:rsidRPr="009E181C">
              <w:rPr>
                <w:rFonts w:ascii="Times New Roman" w:hAnsi="Times New Roman"/>
                <w:sz w:val="20"/>
                <w:szCs w:val="20"/>
                <w:lang w:eastAsia="sk-SK"/>
              </w:rPr>
              <w:t xml:space="preserve">, Odbor priamych platieb a správnych činností, Ministerstvo pôdohospodárstva a rozvoja vidieka SR , e-mail: </w:t>
            </w:r>
            <w:hyperlink r:id="rId9" w:history="1">
              <w:r w:rsidRPr="009E181C">
                <w:rPr>
                  <w:rFonts w:ascii="Times New Roman" w:hAnsi="Times New Roman"/>
                  <w:color w:val="0563C1" w:themeColor="hyperlink"/>
                  <w:sz w:val="20"/>
                  <w:szCs w:val="20"/>
                  <w:u w:val="single"/>
                  <w:lang w:eastAsia="sk-SK"/>
                </w:rPr>
                <w:t>milan.vavrinsky@land.gov.sk</w:t>
              </w:r>
            </w:hyperlink>
            <w:r w:rsidRPr="009E181C">
              <w:rPr>
                <w:rFonts w:ascii="Times New Roman" w:hAnsi="Times New Roman"/>
                <w:sz w:val="20"/>
                <w:szCs w:val="20"/>
                <w:lang w:eastAsia="sk-SK"/>
              </w:rPr>
              <w:t xml:space="preserve">, </w:t>
            </w:r>
            <w:proofErr w:type="spellStart"/>
            <w:r w:rsidRPr="009E181C">
              <w:rPr>
                <w:rFonts w:ascii="Times New Roman" w:hAnsi="Times New Roman"/>
                <w:sz w:val="20"/>
                <w:szCs w:val="20"/>
                <w:lang w:eastAsia="sk-SK"/>
              </w:rPr>
              <w:t>tel.č</w:t>
            </w:r>
            <w:proofErr w:type="spellEnd"/>
            <w:r w:rsidRPr="009E181C">
              <w:rPr>
                <w:rFonts w:ascii="Times New Roman" w:hAnsi="Times New Roman"/>
                <w:sz w:val="20"/>
                <w:szCs w:val="20"/>
                <w:lang w:eastAsia="sk-SK"/>
              </w:rPr>
              <w:t>.: 02/59 266 202</w:t>
            </w:r>
          </w:p>
        </w:tc>
      </w:tr>
      <w:tr w:rsidR="009E181C" w:rsidRPr="009E181C" w14:paraId="4FB6C18C" w14:textId="77777777" w:rsidTr="009E181C">
        <w:tc>
          <w:tcPr>
            <w:tcW w:w="8930" w:type="dxa"/>
            <w:gridSpan w:val="7"/>
            <w:tcBorders>
              <w:top w:val="single" w:sz="4" w:space="0" w:color="auto"/>
              <w:left w:val="single" w:sz="4" w:space="0" w:color="auto"/>
              <w:bottom w:val="single" w:sz="4" w:space="0" w:color="FFFFFF"/>
              <w:right w:val="single" w:sz="4" w:space="0" w:color="auto"/>
            </w:tcBorders>
            <w:shd w:val="clear" w:color="auto" w:fill="E2E2E2"/>
          </w:tcPr>
          <w:p w14:paraId="6FC4106B" w14:textId="77777777" w:rsidR="009E181C" w:rsidRPr="009E181C" w:rsidRDefault="009E181C" w:rsidP="009E181C">
            <w:pPr>
              <w:widowControl w:val="0"/>
              <w:numPr>
                <w:ilvl w:val="0"/>
                <w:numId w:val="4"/>
              </w:numPr>
              <w:spacing w:after="0" w:line="240" w:lineRule="auto"/>
              <w:ind w:left="426"/>
              <w:rPr>
                <w:rFonts w:ascii="Times New Roman" w:eastAsia="Calibri" w:hAnsi="Times New Roman"/>
                <w:b/>
                <w:sz w:val="20"/>
                <w:szCs w:val="20"/>
              </w:rPr>
            </w:pPr>
            <w:r w:rsidRPr="009E181C">
              <w:rPr>
                <w:rFonts w:ascii="Times New Roman" w:eastAsia="Calibri" w:hAnsi="Times New Roman"/>
                <w:b/>
                <w:sz w:val="20"/>
                <w:szCs w:val="20"/>
              </w:rPr>
              <w:lastRenderedPageBreak/>
              <w:t>Zdroje</w:t>
            </w:r>
          </w:p>
        </w:tc>
      </w:tr>
      <w:tr w:rsidR="009E181C" w:rsidRPr="009E181C" w14:paraId="7C7A01FE" w14:textId="77777777" w:rsidTr="009E181C">
        <w:trPr>
          <w:trHeight w:val="269"/>
        </w:trPr>
        <w:tc>
          <w:tcPr>
            <w:tcW w:w="8930" w:type="dxa"/>
            <w:gridSpan w:val="7"/>
            <w:tcBorders>
              <w:top w:val="single" w:sz="4" w:space="0" w:color="FFFFFF"/>
              <w:left w:val="single" w:sz="4" w:space="0" w:color="auto"/>
              <w:bottom w:val="single" w:sz="4" w:space="0" w:color="auto"/>
              <w:right w:val="single" w:sz="4" w:space="0" w:color="auto"/>
            </w:tcBorders>
            <w:shd w:val="clear" w:color="auto" w:fill="FFFFFF"/>
          </w:tcPr>
          <w:p w14:paraId="312BE842" w14:textId="77777777" w:rsidR="009E181C" w:rsidRPr="009E181C" w:rsidRDefault="009E181C" w:rsidP="009E181C">
            <w:pPr>
              <w:widowControl w:val="0"/>
              <w:spacing w:after="0" w:line="240" w:lineRule="auto"/>
              <w:rPr>
                <w:rFonts w:ascii="Times New Roman" w:hAnsi="Times New Roman"/>
                <w:sz w:val="20"/>
                <w:szCs w:val="20"/>
                <w:lang w:eastAsia="sk-SK"/>
              </w:rPr>
            </w:pPr>
            <w:r w:rsidRPr="009E181C">
              <w:rPr>
                <w:rFonts w:ascii="Times New Roman" w:hAnsi="Times New Roman"/>
                <w:sz w:val="20"/>
                <w:szCs w:val="20"/>
                <w:lang w:eastAsia="sk-SK"/>
              </w:rPr>
              <w:t>Právne záväzné akty EÚ</w:t>
            </w:r>
          </w:p>
        </w:tc>
      </w:tr>
      <w:tr w:rsidR="009E181C" w:rsidRPr="009E181C" w14:paraId="082C864A" w14:textId="77777777" w:rsidTr="009E181C">
        <w:tc>
          <w:tcPr>
            <w:tcW w:w="8930" w:type="dxa"/>
            <w:gridSpan w:val="7"/>
            <w:tcBorders>
              <w:top w:val="single" w:sz="4" w:space="0" w:color="auto"/>
              <w:left w:val="single" w:sz="4" w:space="0" w:color="auto"/>
              <w:bottom w:val="single" w:sz="4" w:space="0" w:color="FFFFFF"/>
              <w:right w:val="single" w:sz="4" w:space="0" w:color="auto"/>
            </w:tcBorders>
            <w:shd w:val="clear" w:color="auto" w:fill="E2E2E2"/>
          </w:tcPr>
          <w:p w14:paraId="6FAB5B31" w14:textId="77777777" w:rsidR="009E181C" w:rsidRPr="009E181C" w:rsidRDefault="009E181C" w:rsidP="009E181C">
            <w:pPr>
              <w:widowControl w:val="0"/>
              <w:numPr>
                <w:ilvl w:val="0"/>
                <w:numId w:val="4"/>
              </w:numPr>
              <w:spacing w:after="0" w:line="240" w:lineRule="auto"/>
              <w:ind w:left="447" w:hanging="425"/>
              <w:rPr>
                <w:rFonts w:ascii="Times New Roman" w:eastAsia="Calibri" w:hAnsi="Times New Roman"/>
                <w:b/>
                <w:sz w:val="20"/>
                <w:szCs w:val="20"/>
              </w:rPr>
            </w:pPr>
            <w:r w:rsidRPr="009E181C">
              <w:rPr>
                <w:rFonts w:ascii="Times New Roman" w:eastAsia="Calibri" w:hAnsi="Times New Roman"/>
                <w:b/>
                <w:sz w:val="20"/>
                <w:szCs w:val="20"/>
              </w:rPr>
              <w:t>Stanovisko Komisie na posudzovanie vybraných vplyvov z PPK č. ..........</w:t>
            </w:r>
            <w:r w:rsidRPr="009E181C">
              <w:rPr>
                <w:rFonts w:eastAsia="Calibri"/>
                <w:sz w:val="20"/>
                <w:szCs w:val="20"/>
              </w:rPr>
              <w:t xml:space="preserve"> </w:t>
            </w:r>
          </w:p>
          <w:p w14:paraId="1BD652A0" w14:textId="77777777" w:rsidR="009E181C" w:rsidRPr="009E181C" w:rsidRDefault="009E181C" w:rsidP="009E181C">
            <w:pPr>
              <w:widowControl w:val="0"/>
              <w:spacing w:after="0" w:line="240" w:lineRule="auto"/>
              <w:ind w:left="502"/>
              <w:rPr>
                <w:rFonts w:ascii="Times New Roman" w:hAnsi="Times New Roman"/>
                <w:b/>
                <w:sz w:val="20"/>
                <w:szCs w:val="20"/>
                <w:lang w:eastAsia="sk-SK"/>
              </w:rPr>
            </w:pPr>
            <w:r w:rsidRPr="009E181C">
              <w:rPr>
                <w:rFonts w:ascii="Times New Roman" w:eastAsia="Calibri" w:hAnsi="Times New Roman"/>
                <w:sz w:val="20"/>
                <w:szCs w:val="20"/>
              </w:rPr>
              <w:t>(v prípade, ak sa uskutočnilo v zmysle bodu 8.1 Jednotnej metodiky)</w:t>
            </w:r>
          </w:p>
        </w:tc>
      </w:tr>
      <w:tr w:rsidR="009E181C" w:rsidRPr="009E181C" w14:paraId="303CF4B6" w14:textId="77777777" w:rsidTr="009E181C">
        <w:trPr>
          <w:trHeight w:val="70"/>
        </w:trPr>
        <w:tc>
          <w:tcPr>
            <w:tcW w:w="8930" w:type="dxa"/>
            <w:gridSpan w:val="7"/>
            <w:tcBorders>
              <w:top w:val="single" w:sz="4" w:space="0" w:color="FFFFFF"/>
              <w:left w:val="single" w:sz="4" w:space="0" w:color="auto"/>
              <w:bottom w:val="single" w:sz="4" w:space="0" w:color="auto"/>
              <w:right w:val="single" w:sz="4" w:space="0" w:color="auto"/>
            </w:tcBorders>
            <w:shd w:val="clear" w:color="auto" w:fill="FFFFFF"/>
          </w:tcPr>
          <w:tbl>
            <w:tblPr>
              <w:tblStyle w:val="Mriekatabuky1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E181C" w:rsidRPr="009E181C" w14:paraId="7425CDBF" w14:textId="77777777" w:rsidTr="009E181C">
              <w:trPr>
                <w:trHeight w:val="396"/>
              </w:trPr>
              <w:tc>
                <w:tcPr>
                  <w:tcW w:w="2552" w:type="dxa"/>
                </w:tcPr>
                <w:p w14:paraId="2F288745" w14:textId="77777777" w:rsidR="009E181C" w:rsidRPr="009E181C" w:rsidRDefault="009E181C" w:rsidP="009E181C">
                  <w:pPr>
                    <w:widowControl w:val="0"/>
                    <w:spacing w:after="0" w:line="240" w:lineRule="auto"/>
                    <w:rPr>
                      <w:rFonts w:ascii="Times New Roman" w:hAnsi="Times New Roman"/>
                      <w:b/>
                      <w:sz w:val="20"/>
                      <w:szCs w:val="20"/>
                      <w:lang w:eastAsia="sk-SK"/>
                    </w:rPr>
                  </w:pPr>
                  <w:sdt>
                    <w:sdtPr>
                      <w:rPr>
                        <w:rFonts w:ascii="Times New Roman" w:hAnsi="Times New Roman"/>
                        <w:b/>
                        <w:sz w:val="20"/>
                        <w:szCs w:val="20"/>
                        <w:lang w:eastAsia="sk-SK"/>
                      </w:rPr>
                      <w:id w:val="-1874910888"/>
                      <w14:checkbox>
                        <w14:checked w14:val="0"/>
                        <w14:checkedState w14:val="2612" w14:font="MS Gothic"/>
                        <w14:uncheckedState w14:val="2610" w14:font="MS Gothic"/>
                      </w14:checkbox>
                    </w:sdtPr>
                    <w:sdtContent>
                      <w:r w:rsidRPr="009E181C">
                        <w:rPr>
                          <w:rFonts w:ascii="Times New Roman" w:eastAsia="MS Gothic" w:hAnsi="Times New Roman" w:hint="eastAsia"/>
                          <w:b/>
                          <w:sz w:val="20"/>
                          <w:szCs w:val="20"/>
                          <w:lang w:eastAsia="sk-SK"/>
                        </w:rPr>
                        <w:t>☐</w:t>
                      </w:r>
                    </w:sdtContent>
                  </w:sdt>
                  <w:r w:rsidRPr="009E181C">
                    <w:rPr>
                      <w:rFonts w:ascii="Times New Roman" w:hAnsi="Times New Roman"/>
                      <w:b/>
                      <w:sz w:val="20"/>
                      <w:szCs w:val="20"/>
                      <w:lang w:eastAsia="sk-SK"/>
                    </w:rPr>
                    <w:t xml:space="preserve">  Súhlasné </w:t>
                  </w:r>
                </w:p>
              </w:tc>
              <w:tc>
                <w:tcPr>
                  <w:tcW w:w="3827" w:type="dxa"/>
                </w:tcPr>
                <w:p w14:paraId="40DA395C" w14:textId="77777777" w:rsidR="009E181C" w:rsidRPr="009E181C" w:rsidRDefault="009E181C" w:rsidP="009E181C">
                  <w:pPr>
                    <w:widowControl w:val="0"/>
                    <w:spacing w:after="0" w:line="240" w:lineRule="auto"/>
                    <w:rPr>
                      <w:rFonts w:ascii="Times New Roman" w:hAnsi="Times New Roman"/>
                      <w:b/>
                      <w:sz w:val="20"/>
                      <w:szCs w:val="20"/>
                      <w:lang w:eastAsia="sk-SK"/>
                    </w:rPr>
                  </w:pPr>
                  <w:sdt>
                    <w:sdtPr>
                      <w:rPr>
                        <w:rFonts w:ascii="Times New Roman" w:hAnsi="Times New Roman"/>
                        <w:b/>
                        <w:sz w:val="20"/>
                        <w:szCs w:val="20"/>
                        <w:lang w:eastAsia="sk-SK"/>
                      </w:rPr>
                      <w:id w:val="1697888127"/>
                      <w14:checkbox>
                        <w14:checked w14:val="0"/>
                        <w14:checkedState w14:val="2612" w14:font="MS Gothic"/>
                        <w14:uncheckedState w14:val="2610" w14:font="MS Gothic"/>
                      </w14:checkbox>
                    </w:sdtPr>
                    <w:sdtContent>
                      <w:r w:rsidRPr="009E181C">
                        <w:rPr>
                          <w:rFonts w:ascii="Times New Roman" w:eastAsia="MS Gothic" w:hAnsi="Times New Roman" w:hint="eastAsia"/>
                          <w:b/>
                          <w:sz w:val="20"/>
                          <w:szCs w:val="20"/>
                          <w:lang w:eastAsia="sk-SK"/>
                        </w:rPr>
                        <w:t>☐</w:t>
                      </w:r>
                    </w:sdtContent>
                  </w:sdt>
                  <w:r w:rsidRPr="009E181C">
                    <w:rPr>
                      <w:rFonts w:ascii="Times New Roman" w:hAnsi="Times New Roman"/>
                      <w:b/>
                      <w:sz w:val="20"/>
                      <w:szCs w:val="20"/>
                      <w:lang w:eastAsia="sk-SK"/>
                    </w:rPr>
                    <w:t xml:space="preserve">  Súhlasné s návrhom na dopracovanie</w:t>
                  </w:r>
                </w:p>
              </w:tc>
              <w:tc>
                <w:tcPr>
                  <w:tcW w:w="2534" w:type="dxa"/>
                </w:tcPr>
                <w:p w14:paraId="0ED7495A" w14:textId="77777777" w:rsidR="009E181C" w:rsidRPr="009E181C" w:rsidRDefault="009E181C" w:rsidP="009E181C">
                  <w:pPr>
                    <w:widowControl w:val="0"/>
                    <w:spacing w:after="0" w:line="240" w:lineRule="auto"/>
                    <w:ind w:right="459"/>
                    <w:rPr>
                      <w:rFonts w:ascii="Times New Roman" w:hAnsi="Times New Roman"/>
                      <w:b/>
                      <w:sz w:val="20"/>
                      <w:szCs w:val="20"/>
                      <w:lang w:eastAsia="sk-SK"/>
                    </w:rPr>
                  </w:pPr>
                  <w:sdt>
                    <w:sdtPr>
                      <w:rPr>
                        <w:rFonts w:ascii="Times New Roman" w:hAnsi="Times New Roman"/>
                        <w:b/>
                        <w:sz w:val="20"/>
                        <w:szCs w:val="20"/>
                        <w:lang w:eastAsia="sk-SK"/>
                      </w:rPr>
                      <w:id w:val="-647822913"/>
                      <w14:checkbox>
                        <w14:checked w14:val="0"/>
                        <w14:checkedState w14:val="2612" w14:font="MS Gothic"/>
                        <w14:uncheckedState w14:val="2610" w14:font="MS Gothic"/>
                      </w14:checkbox>
                    </w:sdtPr>
                    <w:sdtContent>
                      <w:r w:rsidRPr="009E181C">
                        <w:rPr>
                          <w:rFonts w:ascii="Times New Roman" w:eastAsia="MS Gothic" w:hAnsi="Times New Roman" w:hint="eastAsia"/>
                          <w:b/>
                          <w:sz w:val="20"/>
                          <w:szCs w:val="20"/>
                          <w:lang w:eastAsia="sk-SK"/>
                        </w:rPr>
                        <w:t>☐</w:t>
                      </w:r>
                    </w:sdtContent>
                  </w:sdt>
                  <w:r w:rsidRPr="009E181C">
                    <w:rPr>
                      <w:rFonts w:ascii="Times New Roman" w:hAnsi="Times New Roman"/>
                      <w:b/>
                      <w:sz w:val="20"/>
                      <w:szCs w:val="20"/>
                      <w:lang w:eastAsia="sk-SK"/>
                    </w:rPr>
                    <w:t xml:space="preserve">  Nesúhlasné</w:t>
                  </w:r>
                </w:p>
              </w:tc>
            </w:tr>
          </w:tbl>
          <w:p w14:paraId="6953003C" w14:textId="77777777" w:rsidR="009E181C" w:rsidRPr="009E181C" w:rsidRDefault="009E181C" w:rsidP="009E181C">
            <w:pPr>
              <w:widowControl w:val="0"/>
              <w:spacing w:after="0" w:line="240" w:lineRule="auto"/>
              <w:jc w:val="both"/>
              <w:rPr>
                <w:rFonts w:ascii="Times New Roman" w:hAnsi="Times New Roman"/>
                <w:b/>
                <w:sz w:val="20"/>
                <w:szCs w:val="20"/>
                <w:lang w:eastAsia="sk-SK"/>
              </w:rPr>
            </w:pPr>
            <w:r w:rsidRPr="009E181C">
              <w:rPr>
                <w:rFonts w:ascii="Times New Roman" w:hAnsi="Times New Roman"/>
                <w:b/>
                <w:sz w:val="20"/>
                <w:szCs w:val="20"/>
                <w:lang w:eastAsia="sk-SK"/>
              </w:rPr>
              <w:t>Uveďte pripomienky zo stanoviska Komisie z časti II. spolu s Vaším vyhodnotením:</w:t>
            </w:r>
          </w:p>
        </w:tc>
      </w:tr>
      <w:tr w:rsidR="009E181C" w:rsidRPr="009E181C" w14:paraId="5522B06E" w14:textId="77777777" w:rsidTr="009E181C">
        <w:tblPrEx>
          <w:tblBorders>
            <w:insideH w:val="single" w:sz="4" w:space="0" w:color="FFFFFF"/>
            <w:insideV w:val="single" w:sz="4" w:space="0" w:color="FFFFFF"/>
          </w:tblBorders>
        </w:tblPrEx>
        <w:tc>
          <w:tcPr>
            <w:tcW w:w="8930" w:type="dxa"/>
            <w:gridSpan w:val="7"/>
            <w:tcBorders>
              <w:top w:val="single" w:sz="4" w:space="0" w:color="auto"/>
            </w:tcBorders>
            <w:shd w:val="clear" w:color="auto" w:fill="E2E2E2"/>
          </w:tcPr>
          <w:p w14:paraId="2D84A7B6" w14:textId="77777777" w:rsidR="009E181C" w:rsidRPr="009E181C" w:rsidRDefault="009E181C" w:rsidP="009E181C">
            <w:pPr>
              <w:widowControl w:val="0"/>
              <w:numPr>
                <w:ilvl w:val="0"/>
                <w:numId w:val="4"/>
              </w:numPr>
              <w:spacing w:after="0" w:line="240" w:lineRule="auto"/>
              <w:ind w:left="450" w:hanging="425"/>
              <w:jc w:val="both"/>
              <w:rPr>
                <w:rFonts w:ascii="Times New Roman" w:eastAsia="Calibri" w:hAnsi="Times New Roman"/>
                <w:b/>
                <w:sz w:val="20"/>
                <w:szCs w:val="20"/>
              </w:rPr>
            </w:pPr>
            <w:r w:rsidRPr="009E181C">
              <w:rPr>
                <w:rFonts w:ascii="Times New Roman" w:eastAsia="Calibri" w:hAnsi="Times New Roman"/>
                <w:b/>
                <w:sz w:val="20"/>
                <w:szCs w:val="20"/>
              </w:rPr>
              <w:t>Stanovisko Komisie na posudzovanie vybraných vplyvov zo záverečného posúdenia č. ..........</w:t>
            </w:r>
            <w:r w:rsidRPr="009E181C">
              <w:rPr>
                <w:rFonts w:ascii="Times New Roman" w:eastAsia="Calibri" w:hAnsi="Times New Roman"/>
                <w:sz w:val="20"/>
                <w:szCs w:val="20"/>
              </w:rPr>
              <w:t xml:space="preserve"> (v prípade, ak sa uskutočnilo v zmysle bodu 9.1. Jednotnej metodiky) </w:t>
            </w:r>
          </w:p>
        </w:tc>
      </w:tr>
      <w:tr w:rsidR="009E181C" w:rsidRPr="009E181C" w14:paraId="3BB7337E" w14:textId="77777777" w:rsidTr="009E181C">
        <w:tblPrEx>
          <w:tblBorders>
            <w:insideH w:val="single" w:sz="4" w:space="0" w:color="FFFFFF"/>
            <w:insideV w:val="single" w:sz="4" w:space="0" w:color="FFFFFF"/>
          </w:tblBorders>
        </w:tblPrEx>
        <w:tc>
          <w:tcPr>
            <w:tcW w:w="8930" w:type="dxa"/>
            <w:gridSpan w:val="7"/>
            <w:shd w:val="clear" w:color="auto" w:fill="FFFFFF"/>
          </w:tcPr>
          <w:tbl>
            <w:tblPr>
              <w:tblStyle w:val="Mriekatabuky1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E181C" w:rsidRPr="009E181C" w14:paraId="481AC318" w14:textId="77777777" w:rsidTr="009E181C">
              <w:trPr>
                <w:trHeight w:val="396"/>
              </w:trPr>
              <w:tc>
                <w:tcPr>
                  <w:tcW w:w="2552" w:type="dxa"/>
                </w:tcPr>
                <w:p w14:paraId="2ED75875" w14:textId="77777777" w:rsidR="009E181C" w:rsidRPr="009E181C" w:rsidRDefault="009E181C" w:rsidP="009E181C">
                  <w:pPr>
                    <w:widowControl w:val="0"/>
                    <w:spacing w:after="0" w:line="240" w:lineRule="auto"/>
                    <w:rPr>
                      <w:rFonts w:ascii="Times New Roman" w:hAnsi="Times New Roman"/>
                      <w:b/>
                      <w:sz w:val="20"/>
                      <w:szCs w:val="20"/>
                      <w:lang w:eastAsia="sk-SK"/>
                    </w:rPr>
                  </w:pPr>
                  <w:sdt>
                    <w:sdtPr>
                      <w:rPr>
                        <w:rFonts w:ascii="Times New Roman" w:hAnsi="Times New Roman"/>
                        <w:b/>
                        <w:sz w:val="20"/>
                        <w:szCs w:val="20"/>
                        <w:lang w:eastAsia="sk-SK"/>
                      </w:rPr>
                      <w:id w:val="888232876"/>
                      <w14:checkbox>
                        <w14:checked w14:val="0"/>
                        <w14:checkedState w14:val="2612" w14:font="MS Gothic"/>
                        <w14:uncheckedState w14:val="2610" w14:font="MS Gothic"/>
                      </w14:checkbox>
                    </w:sdtPr>
                    <w:sdtContent>
                      <w:r w:rsidRPr="009E181C">
                        <w:rPr>
                          <w:rFonts w:ascii="Times New Roman" w:eastAsia="MS Gothic" w:hAnsi="Times New Roman" w:hint="eastAsia"/>
                          <w:b/>
                          <w:sz w:val="20"/>
                          <w:szCs w:val="20"/>
                          <w:lang w:eastAsia="sk-SK"/>
                        </w:rPr>
                        <w:t>☐</w:t>
                      </w:r>
                    </w:sdtContent>
                  </w:sdt>
                  <w:r w:rsidRPr="009E181C">
                    <w:rPr>
                      <w:rFonts w:ascii="Times New Roman" w:hAnsi="Times New Roman"/>
                      <w:b/>
                      <w:sz w:val="20"/>
                      <w:szCs w:val="20"/>
                      <w:lang w:eastAsia="sk-SK"/>
                    </w:rPr>
                    <w:t xml:space="preserve">   Súhlasné </w:t>
                  </w:r>
                </w:p>
              </w:tc>
              <w:tc>
                <w:tcPr>
                  <w:tcW w:w="3827" w:type="dxa"/>
                </w:tcPr>
                <w:p w14:paraId="16695AF2" w14:textId="77777777" w:rsidR="009E181C" w:rsidRPr="009E181C" w:rsidRDefault="009E181C" w:rsidP="009E181C">
                  <w:pPr>
                    <w:widowControl w:val="0"/>
                    <w:spacing w:after="0" w:line="240" w:lineRule="auto"/>
                    <w:rPr>
                      <w:rFonts w:ascii="Times New Roman" w:hAnsi="Times New Roman"/>
                      <w:b/>
                      <w:sz w:val="20"/>
                      <w:szCs w:val="20"/>
                      <w:lang w:eastAsia="sk-SK"/>
                    </w:rPr>
                  </w:pPr>
                  <w:sdt>
                    <w:sdtPr>
                      <w:rPr>
                        <w:rFonts w:ascii="Times New Roman" w:hAnsi="Times New Roman"/>
                        <w:b/>
                        <w:sz w:val="20"/>
                        <w:szCs w:val="20"/>
                        <w:lang w:eastAsia="sk-SK"/>
                      </w:rPr>
                      <w:id w:val="953831761"/>
                      <w14:checkbox>
                        <w14:checked w14:val="0"/>
                        <w14:checkedState w14:val="2612" w14:font="MS Gothic"/>
                        <w14:uncheckedState w14:val="2610" w14:font="MS Gothic"/>
                      </w14:checkbox>
                    </w:sdtPr>
                    <w:sdtContent>
                      <w:r w:rsidRPr="009E181C">
                        <w:rPr>
                          <w:rFonts w:ascii="Times New Roman" w:eastAsia="MS Gothic" w:hAnsi="Times New Roman" w:hint="eastAsia"/>
                          <w:b/>
                          <w:sz w:val="20"/>
                          <w:szCs w:val="20"/>
                          <w:lang w:eastAsia="sk-SK"/>
                        </w:rPr>
                        <w:t>☐</w:t>
                      </w:r>
                    </w:sdtContent>
                  </w:sdt>
                  <w:r w:rsidRPr="009E181C">
                    <w:rPr>
                      <w:rFonts w:ascii="Times New Roman" w:hAnsi="Times New Roman"/>
                      <w:b/>
                      <w:sz w:val="20"/>
                      <w:szCs w:val="20"/>
                      <w:lang w:eastAsia="sk-SK"/>
                    </w:rPr>
                    <w:t xml:space="preserve">  Súhlasné s  návrhom na dopracovanie</w:t>
                  </w:r>
                </w:p>
              </w:tc>
              <w:tc>
                <w:tcPr>
                  <w:tcW w:w="2534" w:type="dxa"/>
                </w:tcPr>
                <w:p w14:paraId="62D2B29B" w14:textId="77777777" w:rsidR="009E181C" w:rsidRPr="009E181C" w:rsidRDefault="009E181C" w:rsidP="009E181C">
                  <w:pPr>
                    <w:widowControl w:val="0"/>
                    <w:spacing w:after="0" w:line="240" w:lineRule="auto"/>
                    <w:ind w:right="459"/>
                    <w:rPr>
                      <w:rFonts w:ascii="Times New Roman" w:hAnsi="Times New Roman"/>
                      <w:b/>
                      <w:sz w:val="20"/>
                      <w:szCs w:val="20"/>
                      <w:lang w:eastAsia="sk-SK"/>
                    </w:rPr>
                  </w:pPr>
                  <w:sdt>
                    <w:sdtPr>
                      <w:rPr>
                        <w:rFonts w:ascii="Times New Roman" w:hAnsi="Times New Roman"/>
                        <w:b/>
                        <w:sz w:val="20"/>
                        <w:szCs w:val="20"/>
                        <w:lang w:eastAsia="sk-SK"/>
                      </w:rPr>
                      <w:id w:val="-361740452"/>
                      <w14:checkbox>
                        <w14:checked w14:val="0"/>
                        <w14:checkedState w14:val="2612" w14:font="MS Gothic"/>
                        <w14:uncheckedState w14:val="2610" w14:font="MS Gothic"/>
                      </w14:checkbox>
                    </w:sdtPr>
                    <w:sdtContent>
                      <w:r w:rsidRPr="009E181C">
                        <w:rPr>
                          <w:rFonts w:ascii="Times New Roman" w:eastAsia="MS Gothic" w:hAnsi="Times New Roman" w:hint="eastAsia"/>
                          <w:b/>
                          <w:sz w:val="20"/>
                          <w:szCs w:val="20"/>
                          <w:lang w:eastAsia="sk-SK"/>
                        </w:rPr>
                        <w:t>☐</w:t>
                      </w:r>
                    </w:sdtContent>
                  </w:sdt>
                  <w:r w:rsidRPr="009E181C">
                    <w:rPr>
                      <w:rFonts w:ascii="Times New Roman" w:hAnsi="Times New Roman"/>
                      <w:b/>
                      <w:sz w:val="20"/>
                      <w:szCs w:val="20"/>
                      <w:lang w:eastAsia="sk-SK"/>
                    </w:rPr>
                    <w:t xml:space="preserve">  Nesúhlasné</w:t>
                  </w:r>
                </w:p>
              </w:tc>
            </w:tr>
          </w:tbl>
          <w:p w14:paraId="45BB40F1" w14:textId="77777777" w:rsidR="009E181C" w:rsidRPr="009E181C" w:rsidRDefault="009E181C" w:rsidP="009E181C">
            <w:pPr>
              <w:widowControl w:val="0"/>
              <w:spacing w:after="0" w:line="240" w:lineRule="auto"/>
              <w:jc w:val="both"/>
              <w:rPr>
                <w:rFonts w:ascii="Times New Roman" w:hAnsi="Times New Roman"/>
                <w:b/>
                <w:sz w:val="20"/>
                <w:szCs w:val="20"/>
                <w:lang w:eastAsia="sk-SK"/>
              </w:rPr>
            </w:pPr>
            <w:r w:rsidRPr="009E181C">
              <w:rPr>
                <w:rFonts w:ascii="Times New Roman" w:hAnsi="Times New Roman"/>
                <w:b/>
                <w:sz w:val="20"/>
                <w:szCs w:val="20"/>
                <w:lang w:eastAsia="sk-SK"/>
              </w:rPr>
              <w:t>Uveďte pripomienky zo stanoviska Komisie z časti II. spolu s Vaším vyhodnotením:</w:t>
            </w:r>
          </w:p>
        </w:tc>
      </w:tr>
    </w:tbl>
    <w:p w14:paraId="04CEAFE9" w14:textId="77777777" w:rsidR="009E181C" w:rsidRPr="007D5748" w:rsidRDefault="009E181C" w:rsidP="009E181C">
      <w:pPr>
        <w:pageBreakBefore/>
        <w:widowControl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lastRenderedPageBreak/>
        <w:t>Analýza vplyvov na rozpočet verejnej správy,</w:t>
      </w:r>
    </w:p>
    <w:p w14:paraId="083F26DC" w14:textId="77777777" w:rsidR="009E181C" w:rsidRPr="007D5748" w:rsidRDefault="009E181C" w:rsidP="009E181C">
      <w:pPr>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na zamestnanosť vo verejnej správe a financovanie návrhu</w:t>
      </w:r>
    </w:p>
    <w:p w14:paraId="79C275A6" w14:textId="77777777" w:rsidR="009E181C" w:rsidRPr="00212894" w:rsidRDefault="009E181C" w:rsidP="009E181C">
      <w:pPr>
        <w:spacing w:after="0" w:line="240" w:lineRule="auto"/>
        <w:jc w:val="right"/>
        <w:rPr>
          <w:rFonts w:ascii="Times New Roman" w:hAnsi="Times New Roman"/>
          <w:b/>
          <w:bCs/>
          <w:sz w:val="24"/>
          <w:szCs w:val="24"/>
          <w:lang w:eastAsia="sk-SK"/>
        </w:rPr>
      </w:pPr>
    </w:p>
    <w:p w14:paraId="34285632" w14:textId="77777777" w:rsidR="009E181C" w:rsidRDefault="009E181C" w:rsidP="009E181C">
      <w:pPr>
        <w:spacing w:after="0" w:line="240" w:lineRule="auto"/>
        <w:rPr>
          <w:rFonts w:ascii="Times New Roman" w:hAnsi="Times New Roman"/>
          <w:b/>
          <w:bCs/>
          <w:sz w:val="24"/>
          <w:szCs w:val="24"/>
          <w:lang w:eastAsia="sk-SK"/>
        </w:rPr>
      </w:pPr>
    </w:p>
    <w:p w14:paraId="0A7F7D6E" w14:textId="77777777" w:rsidR="009E181C" w:rsidRPr="00212894" w:rsidRDefault="009E181C" w:rsidP="009E181C">
      <w:pPr>
        <w:spacing w:after="0" w:line="240" w:lineRule="auto"/>
        <w:rPr>
          <w:rFonts w:ascii="Times New Roman" w:hAnsi="Times New Roman"/>
          <w:b/>
          <w:bCs/>
          <w:sz w:val="24"/>
          <w:szCs w:val="24"/>
          <w:lang w:eastAsia="sk-SK"/>
        </w:rPr>
      </w:pPr>
      <w:r w:rsidRPr="00212894">
        <w:rPr>
          <w:rFonts w:ascii="Times New Roman" w:hAnsi="Times New Roman"/>
          <w:b/>
          <w:bCs/>
          <w:sz w:val="24"/>
          <w:szCs w:val="24"/>
          <w:lang w:eastAsia="sk-SK"/>
        </w:rPr>
        <w:t>2.1 Zhrnutie vplyvov na rozpočet verejnej správy v návrhu</w:t>
      </w:r>
    </w:p>
    <w:p w14:paraId="57FBA074" w14:textId="77777777" w:rsidR="009E181C" w:rsidRPr="007D5748" w:rsidRDefault="009E181C" w:rsidP="009E181C">
      <w:pPr>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9E181C" w:rsidRPr="007D5748" w14:paraId="62643B7B" w14:textId="77777777" w:rsidTr="009E181C">
        <w:trPr>
          <w:cantSplit/>
          <w:trHeight w:val="194"/>
          <w:jc w:val="center"/>
        </w:trPr>
        <w:tc>
          <w:tcPr>
            <w:tcW w:w="4661" w:type="dxa"/>
            <w:vMerge w:val="restart"/>
            <w:shd w:val="clear" w:color="auto" w:fill="BFBFBF" w:themeFill="background1" w:themeFillShade="BF"/>
            <w:vAlign w:val="center"/>
          </w:tcPr>
          <w:p w14:paraId="6B476485" w14:textId="77777777" w:rsidR="009E181C" w:rsidRPr="007D5748" w:rsidRDefault="009E181C" w:rsidP="009E181C">
            <w:pPr>
              <w:spacing w:after="0" w:line="240" w:lineRule="auto"/>
              <w:jc w:val="center"/>
              <w:rPr>
                <w:rFonts w:ascii="Times New Roman" w:hAnsi="Times New Roman"/>
                <w:b/>
                <w:bCs/>
                <w:sz w:val="24"/>
                <w:szCs w:val="24"/>
                <w:lang w:eastAsia="sk-SK"/>
              </w:rPr>
            </w:pPr>
            <w:bookmarkStart w:id="1" w:name="OLE_LINK1"/>
            <w:r w:rsidRPr="007D5748">
              <w:rPr>
                <w:rFonts w:ascii="Times New Roman" w:hAnsi="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2CE82F1D"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 (v eurách)</w:t>
            </w:r>
          </w:p>
        </w:tc>
      </w:tr>
      <w:tr w:rsidR="009E181C" w:rsidRPr="007D5748" w14:paraId="5428BA3B" w14:textId="77777777" w:rsidTr="009E181C">
        <w:trPr>
          <w:cantSplit/>
          <w:trHeight w:val="70"/>
          <w:jc w:val="center"/>
        </w:trPr>
        <w:tc>
          <w:tcPr>
            <w:tcW w:w="4661" w:type="dxa"/>
            <w:vMerge/>
            <w:shd w:val="clear" w:color="auto" w:fill="BFBFBF" w:themeFill="background1" w:themeFillShade="BF"/>
            <w:vAlign w:val="center"/>
          </w:tcPr>
          <w:p w14:paraId="3A4AD69E"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vAlign w:val="center"/>
          </w:tcPr>
          <w:p w14:paraId="64184BAE" w14:textId="77777777" w:rsidR="009E181C" w:rsidRPr="007D5748" w:rsidRDefault="009E181C" w:rsidP="009E181C">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2022</w:t>
            </w:r>
          </w:p>
        </w:tc>
        <w:tc>
          <w:tcPr>
            <w:tcW w:w="1267" w:type="dxa"/>
            <w:shd w:val="clear" w:color="auto" w:fill="BFBFBF" w:themeFill="background1" w:themeFillShade="BF"/>
            <w:vAlign w:val="center"/>
          </w:tcPr>
          <w:p w14:paraId="131C3BB7" w14:textId="77777777" w:rsidR="009E181C" w:rsidRPr="007D5748" w:rsidRDefault="009E181C" w:rsidP="009E181C">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1267" w:type="dxa"/>
            <w:shd w:val="clear" w:color="auto" w:fill="BFBFBF" w:themeFill="background1" w:themeFillShade="BF"/>
            <w:vAlign w:val="center"/>
          </w:tcPr>
          <w:p w14:paraId="3D2B855E" w14:textId="77777777" w:rsidR="009E181C" w:rsidRPr="007D5748" w:rsidRDefault="009E181C" w:rsidP="009E181C">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1267" w:type="dxa"/>
            <w:shd w:val="clear" w:color="auto" w:fill="BFBFBF" w:themeFill="background1" w:themeFillShade="BF"/>
            <w:vAlign w:val="center"/>
          </w:tcPr>
          <w:p w14:paraId="49A82F3B" w14:textId="77777777" w:rsidR="009E181C" w:rsidRPr="007D5748" w:rsidRDefault="009E181C" w:rsidP="009E181C">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2025</w:t>
            </w:r>
          </w:p>
        </w:tc>
      </w:tr>
      <w:tr w:rsidR="009E181C" w:rsidRPr="007D5748" w14:paraId="56C87E62" w14:textId="77777777" w:rsidTr="009E181C">
        <w:trPr>
          <w:trHeight w:val="70"/>
          <w:jc w:val="center"/>
        </w:trPr>
        <w:tc>
          <w:tcPr>
            <w:tcW w:w="4661" w:type="dxa"/>
            <w:shd w:val="clear" w:color="auto" w:fill="C0C0C0"/>
            <w:noWrap/>
            <w:vAlign w:val="center"/>
          </w:tcPr>
          <w:p w14:paraId="397D546F"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Príjmy verejnej správy celkom</w:t>
            </w:r>
          </w:p>
        </w:tc>
        <w:tc>
          <w:tcPr>
            <w:tcW w:w="1267" w:type="dxa"/>
            <w:shd w:val="clear" w:color="auto" w:fill="C0C0C0"/>
            <w:vAlign w:val="center"/>
          </w:tcPr>
          <w:p w14:paraId="181CE87D"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vAlign w:val="center"/>
          </w:tcPr>
          <w:p w14:paraId="280FC5CC"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vAlign w:val="center"/>
          </w:tcPr>
          <w:p w14:paraId="0023FA68"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vAlign w:val="center"/>
          </w:tcPr>
          <w:p w14:paraId="7F4A0C58"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9E181C" w:rsidRPr="007D5748" w14:paraId="1856CD11" w14:textId="77777777" w:rsidTr="009E181C">
        <w:trPr>
          <w:trHeight w:val="132"/>
          <w:jc w:val="center"/>
        </w:trPr>
        <w:tc>
          <w:tcPr>
            <w:tcW w:w="4661" w:type="dxa"/>
            <w:noWrap/>
            <w:vAlign w:val="center"/>
          </w:tcPr>
          <w:p w14:paraId="64A56BE9" w14:textId="77777777" w:rsidR="009E181C" w:rsidRPr="007D5748" w:rsidRDefault="009E181C" w:rsidP="009E181C">
            <w:pPr>
              <w:spacing w:after="0" w:line="240" w:lineRule="auto"/>
              <w:rPr>
                <w:rFonts w:ascii="Times New Roman" w:hAnsi="Times New Roman"/>
                <w:sz w:val="24"/>
                <w:szCs w:val="24"/>
                <w:lang w:eastAsia="sk-SK"/>
              </w:rPr>
            </w:pPr>
            <w:r>
              <w:rPr>
                <w:rFonts w:ascii="Times New Roman" w:hAnsi="Times New Roman"/>
                <w:sz w:val="24"/>
                <w:szCs w:val="24"/>
                <w:lang w:eastAsia="sk-SK"/>
              </w:rPr>
              <w:t>v tom: za MPRV SR</w:t>
            </w:r>
          </w:p>
        </w:tc>
        <w:tc>
          <w:tcPr>
            <w:tcW w:w="1267" w:type="dxa"/>
            <w:noWrap/>
            <w:vAlign w:val="center"/>
          </w:tcPr>
          <w:p w14:paraId="3929C294"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121A880D"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1EE21DDC"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63A0512B"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9E181C" w:rsidRPr="007D5748" w14:paraId="16C3563F" w14:textId="77777777" w:rsidTr="009E181C">
        <w:trPr>
          <w:trHeight w:val="70"/>
          <w:jc w:val="center"/>
        </w:trPr>
        <w:tc>
          <w:tcPr>
            <w:tcW w:w="4661" w:type="dxa"/>
            <w:noWrap/>
            <w:vAlign w:val="center"/>
          </w:tcPr>
          <w:p w14:paraId="5505D4F9" w14:textId="77777777" w:rsidR="009E181C" w:rsidRPr="007D5748" w:rsidRDefault="009E181C" w:rsidP="009E181C">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noWrap/>
            <w:vAlign w:val="center"/>
          </w:tcPr>
          <w:p w14:paraId="5BC83F74" w14:textId="77777777" w:rsidR="009E181C" w:rsidRPr="007D5748" w:rsidRDefault="009E181C" w:rsidP="009E181C">
            <w:pPr>
              <w:spacing w:after="0" w:line="240" w:lineRule="auto"/>
              <w:jc w:val="right"/>
              <w:rPr>
                <w:rFonts w:ascii="Times New Roman" w:hAnsi="Times New Roman"/>
                <w:b/>
                <w:bCs/>
                <w:iCs/>
                <w:sz w:val="24"/>
                <w:szCs w:val="24"/>
                <w:lang w:eastAsia="sk-SK"/>
              </w:rPr>
            </w:pPr>
          </w:p>
        </w:tc>
        <w:tc>
          <w:tcPr>
            <w:tcW w:w="1267" w:type="dxa"/>
            <w:noWrap/>
            <w:vAlign w:val="center"/>
          </w:tcPr>
          <w:p w14:paraId="2C372DAB" w14:textId="77777777" w:rsidR="009E181C" w:rsidRPr="007D5748" w:rsidRDefault="009E181C" w:rsidP="009E181C">
            <w:pPr>
              <w:spacing w:after="0" w:line="240" w:lineRule="auto"/>
              <w:jc w:val="right"/>
              <w:rPr>
                <w:rFonts w:ascii="Times New Roman" w:hAnsi="Times New Roman"/>
                <w:b/>
                <w:bCs/>
                <w:iCs/>
                <w:sz w:val="24"/>
                <w:szCs w:val="24"/>
                <w:lang w:eastAsia="sk-SK"/>
              </w:rPr>
            </w:pPr>
          </w:p>
        </w:tc>
        <w:tc>
          <w:tcPr>
            <w:tcW w:w="1267" w:type="dxa"/>
            <w:noWrap/>
            <w:vAlign w:val="center"/>
          </w:tcPr>
          <w:p w14:paraId="5BDFBB82" w14:textId="77777777" w:rsidR="009E181C" w:rsidRPr="007D5748" w:rsidRDefault="009E181C" w:rsidP="009E181C">
            <w:pPr>
              <w:spacing w:after="0" w:line="240" w:lineRule="auto"/>
              <w:jc w:val="right"/>
              <w:rPr>
                <w:rFonts w:ascii="Times New Roman" w:hAnsi="Times New Roman"/>
                <w:b/>
                <w:bCs/>
                <w:iCs/>
                <w:sz w:val="24"/>
                <w:szCs w:val="24"/>
                <w:lang w:eastAsia="sk-SK"/>
              </w:rPr>
            </w:pPr>
          </w:p>
        </w:tc>
        <w:tc>
          <w:tcPr>
            <w:tcW w:w="1267" w:type="dxa"/>
            <w:noWrap/>
            <w:vAlign w:val="center"/>
          </w:tcPr>
          <w:p w14:paraId="31294185" w14:textId="77777777" w:rsidR="009E181C" w:rsidRPr="007D5748" w:rsidRDefault="009E181C" w:rsidP="009E181C">
            <w:pPr>
              <w:spacing w:after="0" w:line="240" w:lineRule="auto"/>
              <w:jc w:val="right"/>
              <w:rPr>
                <w:rFonts w:ascii="Times New Roman" w:hAnsi="Times New Roman"/>
                <w:b/>
                <w:bCs/>
                <w:iCs/>
                <w:sz w:val="24"/>
                <w:szCs w:val="24"/>
                <w:lang w:eastAsia="sk-SK"/>
              </w:rPr>
            </w:pPr>
          </w:p>
        </w:tc>
      </w:tr>
      <w:tr w:rsidR="009E181C" w:rsidRPr="007D5748" w14:paraId="5605744E" w14:textId="77777777" w:rsidTr="009E181C">
        <w:trPr>
          <w:trHeight w:val="125"/>
          <w:jc w:val="center"/>
        </w:trPr>
        <w:tc>
          <w:tcPr>
            <w:tcW w:w="4661" w:type="dxa"/>
            <w:noWrap/>
            <w:vAlign w:val="center"/>
          </w:tcPr>
          <w:p w14:paraId="5ED07AF0" w14:textId="77777777" w:rsidR="009E181C" w:rsidRPr="007D5748" w:rsidRDefault="009E181C" w:rsidP="009E181C">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14:paraId="7F093109"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1EAB1D09"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25859200"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103ED887"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E181C" w:rsidRPr="007D5748" w14:paraId="2BA937A8" w14:textId="77777777" w:rsidTr="009E181C">
        <w:trPr>
          <w:trHeight w:val="125"/>
          <w:jc w:val="center"/>
        </w:trPr>
        <w:tc>
          <w:tcPr>
            <w:tcW w:w="4661" w:type="dxa"/>
            <w:noWrap/>
            <w:vAlign w:val="center"/>
          </w:tcPr>
          <w:p w14:paraId="2A4BB632" w14:textId="77777777" w:rsidR="009E181C" w:rsidRPr="007D5748" w:rsidRDefault="009E181C" w:rsidP="009E181C">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noWrap/>
            <w:vAlign w:val="center"/>
          </w:tcPr>
          <w:p w14:paraId="3599582F" w14:textId="77777777" w:rsidR="009E181C" w:rsidRPr="007D5748" w:rsidRDefault="009E181C" w:rsidP="009E181C">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14:paraId="56D8C981" w14:textId="77777777" w:rsidR="009E181C" w:rsidRPr="007D5748" w:rsidRDefault="009E181C" w:rsidP="009E181C">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14:paraId="55B7502D" w14:textId="77777777" w:rsidR="009E181C" w:rsidRPr="007D5748" w:rsidRDefault="009E181C" w:rsidP="009E181C">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14:paraId="748BA0EA" w14:textId="77777777" w:rsidR="009E181C" w:rsidRPr="007D5748" w:rsidRDefault="009E181C" w:rsidP="009E181C">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9E181C" w:rsidRPr="007D5748" w14:paraId="21C19519" w14:textId="77777777" w:rsidTr="009E181C">
        <w:trPr>
          <w:trHeight w:val="125"/>
          <w:jc w:val="center"/>
        </w:trPr>
        <w:tc>
          <w:tcPr>
            <w:tcW w:w="4661" w:type="dxa"/>
            <w:noWrap/>
            <w:vAlign w:val="center"/>
          </w:tcPr>
          <w:p w14:paraId="15C8EB3F" w14:textId="77777777" w:rsidR="009E181C" w:rsidRPr="007D5748" w:rsidRDefault="009E181C" w:rsidP="009E181C">
            <w:pPr>
              <w:spacing w:after="0" w:line="240" w:lineRule="auto"/>
              <w:ind w:left="259"/>
              <w:rPr>
                <w:rFonts w:ascii="Times New Roman" w:hAnsi="Times New Roman"/>
                <w:bCs/>
                <w:i/>
                <w:iCs/>
                <w:sz w:val="24"/>
                <w:szCs w:val="24"/>
                <w:lang w:eastAsia="sk-SK"/>
              </w:rPr>
            </w:pPr>
            <w:r w:rsidRPr="007D5748">
              <w:rPr>
                <w:rFonts w:ascii="Times New Roman" w:hAnsi="Times New Roman"/>
                <w:bCs/>
                <w:i/>
                <w:iCs/>
                <w:sz w:val="24"/>
                <w:szCs w:val="24"/>
                <w:lang w:eastAsia="sk-SK"/>
              </w:rPr>
              <w:t>EÚ zdroje</w:t>
            </w:r>
          </w:p>
        </w:tc>
        <w:tc>
          <w:tcPr>
            <w:tcW w:w="1267" w:type="dxa"/>
            <w:noWrap/>
            <w:vAlign w:val="center"/>
          </w:tcPr>
          <w:p w14:paraId="57F580BD"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0058BCFD"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6756DFB8"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0AD17D53"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9E181C" w:rsidRPr="007D5748" w14:paraId="5810CF50" w14:textId="77777777" w:rsidTr="009E181C">
        <w:trPr>
          <w:trHeight w:val="125"/>
          <w:jc w:val="center"/>
        </w:trPr>
        <w:tc>
          <w:tcPr>
            <w:tcW w:w="4661" w:type="dxa"/>
            <w:noWrap/>
            <w:vAlign w:val="center"/>
          </w:tcPr>
          <w:p w14:paraId="1A819F8D" w14:textId="77777777" w:rsidR="009E181C" w:rsidRPr="007D5748" w:rsidRDefault="009E181C" w:rsidP="009E181C">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14:paraId="79D291ED"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1E3529A9"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788BF5E8"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2C65CA5B"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E181C" w:rsidRPr="007D5748" w14:paraId="0F358C95" w14:textId="77777777" w:rsidTr="009E181C">
        <w:trPr>
          <w:trHeight w:val="125"/>
          <w:jc w:val="center"/>
        </w:trPr>
        <w:tc>
          <w:tcPr>
            <w:tcW w:w="4661" w:type="dxa"/>
            <w:noWrap/>
            <w:vAlign w:val="center"/>
          </w:tcPr>
          <w:p w14:paraId="17EE0A21" w14:textId="77777777" w:rsidR="009E181C" w:rsidRPr="007D5748" w:rsidRDefault="009E181C" w:rsidP="009E181C">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14:paraId="22075434"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0E361BEC"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4CD9D5B8"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5BE8DB65"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E181C" w:rsidRPr="007D5748" w14:paraId="4236AAB0" w14:textId="77777777" w:rsidTr="009E181C">
        <w:trPr>
          <w:trHeight w:val="125"/>
          <w:jc w:val="center"/>
        </w:trPr>
        <w:tc>
          <w:tcPr>
            <w:tcW w:w="4661" w:type="dxa"/>
            <w:noWrap/>
            <w:vAlign w:val="center"/>
          </w:tcPr>
          <w:p w14:paraId="145EF045" w14:textId="77777777" w:rsidR="009E181C" w:rsidRPr="007D5748" w:rsidRDefault="009E181C" w:rsidP="009E181C">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14:paraId="19344D21"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067F9819"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67FAB7E5"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186DAA9B"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E181C" w:rsidRPr="007D5748" w14:paraId="5FE7785F" w14:textId="77777777" w:rsidTr="009E181C">
        <w:trPr>
          <w:trHeight w:val="125"/>
          <w:jc w:val="center"/>
        </w:trPr>
        <w:tc>
          <w:tcPr>
            <w:tcW w:w="4661" w:type="dxa"/>
            <w:shd w:val="clear" w:color="auto" w:fill="C0C0C0"/>
            <w:noWrap/>
            <w:vAlign w:val="center"/>
          </w:tcPr>
          <w:p w14:paraId="463F0C7C"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Výdavky verejnej správy celkom</w:t>
            </w:r>
          </w:p>
        </w:tc>
        <w:tc>
          <w:tcPr>
            <w:tcW w:w="1267" w:type="dxa"/>
            <w:shd w:val="clear" w:color="auto" w:fill="C0C0C0"/>
            <w:noWrap/>
            <w:vAlign w:val="center"/>
          </w:tcPr>
          <w:p w14:paraId="7BCED61F"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noWrap/>
            <w:vAlign w:val="center"/>
          </w:tcPr>
          <w:p w14:paraId="48F964BD"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noWrap/>
            <w:vAlign w:val="center"/>
          </w:tcPr>
          <w:p w14:paraId="229A7BB5"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noWrap/>
            <w:vAlign w:val="center"/>
          </w:tcPr>
          <w:p w14:paraId="1B888874"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 xml:space="preserve">0   </w:t>
            </w:r>
          </w:p>
        </w:tc>
      </w:tr>
      <w:tr w:rsidR="009E181C" w:rsidRPr="007D5748" w14:paraId="22E821DE" w14:textId="77777777" w:rsidTr="009E181C">
        <w:trPr>
          <w:trHeight w:val="70"/>
          <w:jc w:val="center"/>
        </w:trPr>
        <w:tc>
          <w:tcPr>
            <w:tcW w:w="4661" w:type="dxa"/>
            <w:noWrap/>
            <w:vAlign w:val="center"/>
          </w:tcPr>
          <w:p w14:paraId="4E01B11F"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xml:space="preserve">v tom: za </w:t>
            </w:r>
            <w:r>
              <w:rPr>
                <w:rFonts w:ascii="Times New Roman" w:hAnsi="Times New Roman"/>
                <w:sz w:val="24"/>
                <w:szCs w:val="24"/>
                <w:lang w:eastAsia="sk-SK"/>
              </w:rPr>
              <w:t>MPRV SR</w:t>
            </w:r>
          </w:p>
        </w:tc>
        <w:tc>
          <w:tcPr>
            <w:tcW w:w="1267" w:type="dxa"/>
            <w:noWrap/>
            <w:vAlign w:val="center"/>
          </w:tcPr>
          <w:p w14:paraId="31F4DF95"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1A32317F"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12A18ADD"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5A58FCD3"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9E181C" w:rsidRPr="007D5748" w14:paraId="4D60F4F8" w14:textId="77777777" w:rsidTr="009E181C">
        <w:trPr>
          <w:trHeight w:val="70"/>
          <w:jc w:val="center"/>
        </w:trPr>
        <w:tc>
          <w:tcPr>
            <w:tcW w:w="4661" w:type="dxa"/>
            <w:noWrap/>
            <w:vAlign w:val="center"/>
          </w:tcPr>
          <w:p w14:paraId="3E67F4C0" w14:textId="77777777" w:rsidR="009E181C" w:rsidRPr="007D5748" w:rsidRDefault="009E181C" w:rsidP="009E181C">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noWrap/>
            <w:vAlign w:val="center"/>
          </w:tcPr>
          <w:p w14:paraId="35253EF2" w14:textId="77777777" w:rsidR="009E181C" w:rsidRPr="007D5748" w:rsidRDefault="009E181C" w:rsidP="009E181C">
            <w:pPr>
              <w:spacing w:after="0" w:line="240" w:lineRule="auto"/>
              <w:jc w:val="right"/>
              <w:rPr>
                <w:rFonts w:ascii="Times New Roman" w:hAnsi="Times New Roman"/>
                <w:b/>
                <w:bCs/>
                <w:iCs/>
                <w:sz w:val="24"/>
                <w:szCs w:val="24"/>
                <w:lang w:eastAsia="sk-SK"/>
              </w:rPr>
            </w:pPr>
          </w:p>
        </w:tc>
        <w:tc>
          <w:tcPr>
            <w:tcW w:w="1267" w:type="dxa"/>
            <w:noWrap/>
            <w:vAlign w:val="center"/>
          </w:tcPr>
          <w:p w14:paraId="70EC918B" w14:textId="77777777" w:rsidR="009E181C" w:rsidRPr="007D5748" w:rsidRDefault="009E181C" w:rsidP="009E181C">
            <w:pPr>
              <w:spacing w:after="0" w:line="240" w:lineRule="auto"/>
              <w:jc w:val="right"/>
              <w:rPr>
                <w:rFonts w:ascii="Times New Roman" w:hAnsi="Times New Roman"/>
                <w:b/>
                <w:bCs/>
                <w:iCs/>
                <w:sz w:val="24"/>
                <w:szCs w:val="24"/>
                <w:lang w:eastAsia="sk-SK"/>
              </w:rPr>
            </w:pPr>
          </w:p>
        </w:tc>
        <w:tc>
          <w:tcPr>
            <w:tcW w:w="1267" w:type="dxa"/>
            <w:noWrap/>
            <w:vAlign w:val="center"/>
          </w:tcPr>
          <w:p w14:paraId="3E987436" w14:textId="77777777" w:rsidR="009E181C" w:rsidRPr="007D5748" w:rsidRDefault="009E181C" w:rsidP="009E181C">
            <w:pPr>
              <w:spacing w:after="0" w:line="240" w:lineRule="auto"/>
              <w:jc w:val="right"/>
              <w:rPr>
                <w:rFonts w:ascii="Times New Roman" w:hAnsi="Times New Roman"/>
                <w:b/>
                <w:bCs/>
                <w:iCs/>
                <w:sz w:val="24"/>
                <w:szCs w:val="24"/>
                <w:lang w:eastAsia="sk-SK"/>
              </w:rPr>
            </w:pPr>
          </w:p>
        </w:tc>
        <w:tc>
          <w:tcPr>
            <w:tcW w:w="1267" w:type="dxa"/>
            <w:noWrap/>
            <w:vAlign w:val="center"/>
          </w:tcPr>
          <w:p w14:paraId="79AF190D" w14:textId="77777777" w:rsidR="009E181C" w:rsidRPr="007D5748" w:rsidRDefault="009E181C" w:rsidP="009E181C">
            <w:pPr>
              <w:spacing w:after="0" w:line="240" w:lineRule="auto"/>
              <w:jc w:val="right"/>
              <w:rPr>
                <w:rFonts w:ascii="Times New Roman" w:hAnsi="Times New Roman"/>
                <w:b/>
                <w:bCs/>
                <w:iCs/>
                <w:sz w:val="24"/>
                <w:szCs w:val="24"/>
                <w:lang w:eastAsia="sk-SK"/>
              </w:rPr>
            </w:pPr>
          </w:p>
        </w:tc>
      </w:tr>
      <w:tr w:rsidR="009E181C" w:rsidRPr="007D5748" w14:paraId="7828FD32" w14:textId="77777777" w:rsidTr="009E181C">
        <w:trPr>
          <w:trHeight w:val="70"/>
          <w:jc w:val="center"/>
        </w:trPr>
        <w:tc>
          <w:tcPr>
            <w:tcW w:w="4661" w:type="dxa"/>
            <w:noWrap/>
            <w:vAlign w:val="center"/>
          </w:tcPr>
          <w:p w14:paraId="1BA2A1A4" w14:textId="77777777" w:rsidR="009E181C" w:rsidRPr="007D5748" w:rsidRDefault="009E181C" w:rsidP="009E181C">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14:paraId="491FD85C"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65BC1BB5"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7C7FEA3B"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5249E6D3"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E181C" w:rsidRPr="007D5748" w14:paraId="73C5A622" w14:textId="77777777" w:rsidTr="009E181C">
        <w:trPr>
          <w:trHeight w:val="70"/>
          <w:jc w:val="center"/>
        </w:trPr>
        <w:tc>
          <w:tcPr>
            <w:tcW w:w="4661" w:type="dxa"/>
            <w:noWrap/>
            <w:vAlign w:val="center"/>
          </w:tcPr>
          <w:p w14:paraId="5786717B" w14:textId="77777777" w:rsidR="009E181C" w:rsidRPr="007D5748" w:rsidRDefault="009E181C" w:rsidP="009E181C">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noWrap/>
            <w:vAlign w:val="center"/>
          </w:tcPr>
          <w:p w14:paraId="5BBC6183" w14:textId="77777777" w:rsidR="009E181C" w:rsidRPr="007D5748" w:rsidRDefault="009E181C" w:rsidP="009E181C">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14:paraId="64F5B2A8" w14:textId="77777777" w:rsidR="009E181C" w:rsidRPr="007D5748" w:rsidRDefault="009E181C" w:rsidP="009E181C">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14:paraId="40D3CF97" w14:textId="77777777" w:rsidR="009E181C" w:rsidRPr="007D5748" w:rsidRDefault="009E181C" w:rsidP="009E181C">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14:paraId="18CFB7AA" w14:textId="77777777" w:rsidR="009E181C" w:rsidRPr="007D5748" w:rsidRDefault="009E181C" w:rsidP="009E181C">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9E181C" w:rsidRPr="007D5748" w14:paraId="490F29CA" w14:textId="77777777" w:rsidTr="009E181C">
        <w:trPr>
          <w:trHeight w:val="70"/>
          <w:jc w:val="center"/>
        </w:trPr>
        <w:tc>
          <w:tcPr>
            <w:tcW w:w="4661" w:type="dxa"/>
            <w:noWrap/>
            <w:vAlign w:val="center"/>
          </w:tcPr>
          <w:p w14:paraId="00835B18" w14:textId="77777777" w:rsidR="009E181C" w:rsidRPr="007D5748" w:rsidRDefault="009E181C" w:rsidP="009E181C">
            <w:pPr>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EÚ zdroje</w:t>
            </w:r>
          </w:p>
        </w:tc>
        <w:tc>
          <w:tcPr>
            <w:tcW w:w="1267" w:type="dxa"/>
            <w:noWrap/>
            <w:vAlign w:val="center"/>
          </w:tcPr>
          <w:p w14:paraId="4A4A5B32"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21995ED7"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13D81C99"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64CDDFCA"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9E181C" w:rsidRPr="007D5748" w14:paraId="5CE87F69" w14:textId="77777777" w:rsidTr="009E181C">
        <w:trPr>
          <w:trHeight w:val="70"/>
          <w:jc w:val="center"/>
        </w:trPr>
        <w:tc>
          <w:tcPr>
            <w:tcW w:w="4661" w:type="dxa"/>
            <w:noWrap/>
            <w:vAlign w:val="center"/>
          </w:tcPr>
          <w:p w14:paraId="65C30951" w14:textId="77777777" w:rsidR="009E181C" w:rsidRPr="007D5748" w:rsidRDefault="009E181C" w:rsidP="009E181C">
            <w:pPr>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spolufinancovanie</w:t>
            </w:r>
          </w:p>
        </w:tc>
        <w:tc>
          <w:tcPr>
            <w:tcW w:w="1267" w:type="dxa"/>
            <w:noWrap/>
            <w:vAlign w:val="center"/>
          </w:tcPr>
          <w:p w14:paraId="06494797"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444C1331"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35892681"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6996E553"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9E181C" w:rsidRPr="007D5748" w14:paraId="4E33B42A" w14:textId="77777777" w:rsidTr="009E181C">
        <w:trPr>
          <w:trHeight w:val="125"/>
          <w:jc w:val="center"/>
        </w:trPr>
        <w:tc>
          <w:tcPr>
            <w:tcW w:w="4661" w:type="dxa"/>
            <w:noWrap/>
            <w:vAlign w:val="center"/>
          </w:tcPr>
          <w:p w14:paraId="5E6CCC50" w14:textId="77777777" w:rsidR="009E181C" w:rsidRPr="007D5748" w:rsidRDefault="009E181C" w:rsidP="009E181C">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14:paraId="0EE70BDB"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50BE8E86"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396E8CD6"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611DC5A2"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E181C" w:rsidRPr="007D5748" w14:paraId="09E0F7A2" w14:textId="77777777" w:rsidTr="009E181C">
        <w:trPr>
          <w:trHeight w:val="125"/>
          <w:jc w:val="center"/>
        </w:trPr>
        <w:tc>
          <w:tcPr>
            <w:tcW w:w="4661" w:type="dxa"/>
            <w:noWrap/>
            <w:vAlign w:val="center"/>
          </w:tcPr>
          <w:p w14:paraId="309380B5" w14:textId="77777777" w:rsidR="009E181C" w:rsidRPr="003F7A04" w:rsidRDefault="009E181C" w:rsidP="009E181C">
            <w:pPr>
              <w:spacing w:after="0" w:line="240" w:lineRule="auto"/>
              <w:ind w:left="255"/>
              <w:rPr>
                <w:rFonts w:ascii="Times New Roman" w:hAnsi="Times New Roman"/>
                <w:bCs/>
                <w:i/>
                <w:iCs/>
                <w:sz w:val="24"/>
                <w:szCs w:val="24"/>
                <w:lang w:eastAsia="sk-SK"/>
              </w:rPr>
            </w:pPr>
            <w:r>
              <w:rPr>
                <w:rFonts w:ascii="Times New Roman" w:hAnsi="Times New Roman"/>
                <w:bCs/>
                <w:i/>
                <w:iCs/>
                <w:sz w:val="24"/>
                <w:szCs w:val="24"/>
                <w:lang w:eastAsia="sk-SK"/>
              </w:rPr>
              <w:t>z toho vplyv nových úloh v zmysle ods. 2 Čl. 6 ústavného zákona č. 493/2011 Z. z. o rozpočtovej zodpovednosti</w:t>
            </w:r>
          </w:p>
        </w:tc>
        <w:tc>
          <w:tcPr>
            <w:tcW w:w="1267" w:type="dxa"/>
            <w:noWrap/>
            <w:vAlign w:val="center"/>
          </w:tcPr>
          <w:p w14:paraId="25BD643E" w14:textId="77777777" w:rsidR="009E181C" w:rsidRPr="003F7A04" w:rsidRDefault="009E181C" w:rsidP="009E181C">
            <w:pPr>
              <w:spacing w:after="0" w:line="240" w:lineRule="auto"/>
              <w:jc w:val="right"/>
              <w:rPr>
                <w:rFonts w:ascii="Times New Roman" w:hAnsi="Times New Roman"/>
                <w:bCs/>
                <w:iCs/>
                <w:sz w:val="24"/>
                <w:szCs w:val="24"/>
                <w:lang w:eastAsia="sk-SK"/>
              </w:rPr>
            </w:pPr>
            <w:r w:rsidRPr="003F7A04">
              <w:rPr>
                <w:rFonts w:ascii="Times New Roman" w:hAnsi="Times New Roman"/>
                <w:bCs/>
                <w:iCs/>
                <w:sz w:val="24"/>
                <w:szCs w:val="24"/>
                <w:lang w:eastAsia="sk-SK"/>
              </w:rPr>
              <w:t>0</w:t>
            </w:r>
          </w:p>
        </w:tc>
        <w:tc>
          <w:tcPr>
            <w:tcW w:w="1267" w:type="dxa"/>
            <w:noWrap/>
            <w:vAlign w:val="center"/>
          </w:tcPr>
          <w:p w14:paraId="6DBB52BF" w14:textId="77777777" w:rsidR="009E181C" w:rsidRPr="003F7A04" w:rsidRDefault="009E181C" w:rsidP="009E181C">
            <w:pPr>
              <w:spacing w:after="0" w:line="240" w:lineRule="auto"/>
              <w:jc w:val="right"/>
              <w:rPr>
                <w:rFonts w:ascii="Times New Roman" w:hAnsi="Times New Roman"/>
                <w:bCs/>
                <w:iCs/>
                <w:sz w:val="24"/>
                <w:szCs w:val="24"/>
                <w:lang w:eastAsia="sk-SK"/>
              </w:rPr>
            </w:pPr>
            <w:r w:rsidRPr="003F7A04">
              <w:rPr>
                <w:rFonts w:ascii="Times New Roman" w:hAnsi="Times New Roman"/>
                <w:bCs/>
                <w:iCs/>
                <w:sz w:val="24"/>
                <w:szCs w:val="24"/>
                <w:lang w:eastAsia="sk-SK"/>
              </w:rPr>
              <w:t>0</w:t>
            </w:r>
          </w:p>
        </w:tc>
        <w:tc>
          <w:tcPr>
            <w:tcW w:w="1267" w:type="dxa"/>
            <w:noWrap/>
            <w:vAlign w:val="center"/>
          </w:tcPr>
          <w:p w14:paraId="46625A61" w14:textId="77777777" w:rsidR="009E181C" w:rsidRPr="003F7A04" w:rsidRDefault="009E181C" w:rsidP="009E181C">
            <w:pPr>
              <w:spacing w:after="0" w:line="240" w:lineRule="auto"/>
              <w:jc w:val="right"/>
              <w:rPr>
                <w:rFonts w:ascii="Times New Roman" w:hAnsi="Times New Roman"/>
                <w:bCs/>
                <w:iCs/>
                <w:sz w:val="24"/>
                <w:szCs w:val="24"/>
                <w:lang w:eastAsia="sk-SK"/>
              </w:rPr>
            </w:pPr>
            <w:r w:rsidRPr="003F7A04">
              <w:rPr>
                <w:rFonts w:ascii="Times New Roman" w:hAnsi="Times New Roman"/>
                <w:bCs/>
                <w:iCs/>
                <w:sz w:val="24"/>
                <w:szCs w:val="24"/>
                <w:lang w:eastAsia="sk-SK"/>
              </w:rPr>
              <w:t>0</w:t>
            </w:r>
          </w:p>
        </w:tc>
        <w:tc>
          <w:tcPr>
            <w:tcW w:w="1267" w:type="dxa"/>
            <w:noWrap/>
            <w:vAlign w:val="center"/>
          </w:tcPr>
          <w:p w14:paraId="463211C8" w14:textId="77777777" w:rsidR="009E181C" w:rsidRPr="003F7A04" w:rsidRDefault="009E181C" w:rsidP="009E181C">
            <w:pPr>
              <w:spacing w:after="0" w:line="240" w:lineRule="auto"/>
              <w:jc w:val="right"/>
              <w:rPr>
                <w:rFonts w:ascii="Times New Roman" w:hAnsi="Times New Roman"/>
                <w:bCs/>
                <w:iCs/>
                <w:sz w:val="24"/>
                <w:szCs w:val="24"/>
                <w:lang w:eastAsia="sk-SK"/>
              </w:rPr>
            </w:pPr>
            <w:r w:rsidRPr="003F7A04">
              <w:rPr>
                <w:rFonts w:ascii="Times New Roman" w:hAnsi="Times New Roman"/>
                <w:bCs/>
                <w:iCs/>
                <w:sz w:val="24"/>
                <w:szCs w:val="24"/>
                <w:lang w:eastAsia="sk-SK"/>
              </w:rPr>
              <w:t>0</w:t>
            </w:r>
          </w:p>
        </w:tc>
      </w:tr>
      <w:tr w:rsidR="009E181C" w:rsidRPr="007D5748" w14:paraId="67E11B2B" w14:textId="77777777" w:rsidTr="009E181C">
        <w:trPr>
          <w:trHeight w:val="125"/>
          <w:jc w:val="center"/>
        </w:trPr>
        <w:tc>
          <w:tcPr>
            <w:tcW w:w="4661" w:type="dxa"/>
            <w:noWrap/>
            <w:vAlign w:val="center"/>
          </w:tcPr>
          <w:p w14:paraId="1688AA64" w14:textId="77777777" w:rsidR="009E181C" w:rsidRPr="007D5748" w:rsidRDefault="009E181C" w:rsidP="009E181C">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14:paraId="13FD7C12"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7E8D8BC9"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1738A8A4"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73AA508D"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E181C" w:rsidRPr="007D5748" w14:paraId="185403E8" w14:textId="77777777" w:rsidTr="009E181C">
        <w:trPr>
          <w:trHeight w:val="125"/>
          <w:jc w:val="center"/>
        </w:trPr>
        <w:tc>
          <w:tcPr>
            <w:tcW w:w="4661" w:type="dxa"/>
            <w:noWrap/>
            <w:vAlign w:val="center"/>
          </w:tcPr>
          <w:p w14:paraId="41DC3AD4" w14:textId="77777777" w:rsidR="009E181C" w:rsidRPr="007D5748" w:rsidRDefault="009E181C" w:rsidP="009E181C">
            <w:pPr>
              <w:spacing w:after="0" w:line="240" w:lineRule="auto"/>
              <w:ind w:left="255"/>
              <w:rPr>
                <w:rFonts w:ascii="Times New Roman" w:hAnsi="Times New Roman"/>
                <w:b/>
                <w:bCs/>
                <w:i/>
                <w:iCs/>
                <w:sz w:val="24"/>
                <w:szCs w:val="24"/>
                <w:lang w:eastAsia="sk-SK"/>
              </w:rPr>
            </w:pPr>
            <w:r>
              <w:rPr>
                <w:rFonts w:ascii="Times New Roman" w:hAnsi="Times New Roman"/>
                <w:bCs/>
                <w:i/>
                <w:iCs/>
                <w:sz w:val="24"/>
                <w:szCs w:val="24"/>
                <w:lang w:eastAsia="sk-SK"/>
              </w:rPr>
              <w:t>z toho vplyv nových úloh v zmysle ods. 2 Čl. 6 ústavného zákona č. 493/2011 Z. z. o rozpočtovej zodpovednosti</w:t>
            </w:r>
          </w:p>
        </w:tc>
        <w:tc>
          <w:tcPr>
            <w:tcW w:w="1267" w:type="dxa"/>
            <w:noWrap/>
            <w:vAlign w:val="center"/>
          </w:tcPr>
          <w:p w14:paraId="38C9BAAC"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4E2882">
              <w:rPr>
                <w:rFonts w:ascii="Times New Roman" w:hAnsi="Times New Roman"/>
                <w:bCs/>
                <w:iCs/>
                <w:sz w:val="24"/>
                <w:szCs w:val="24"/>
                <w:lang w:eastAsia="sk-SK"/>
              </w:rPr>
              <w:t>0</w:t>
            </w:r>
          </w:p>
        </w:tc>
        <w:tc>
          <w:tcPr>
            <w:tcW w:w="1267" w:type="dxa"/>
            <w:noWrap/>
            <w:vAlign w:val="center"/>
          </w:tcPr>
          <w:p w14:paraId="2E0B224A"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4E2882">
              <w:rPr>
                <w:rFonts w:ascii="Times New Roman" w:hAnsi="Times New Roman"/>
                <w:bCs/>
                <w:iCs/>
                <w:sz w:val="24"/>
                <w:szCs w:val="24"/>
                <w:lang w:eastAsia="sk-SK"/>
              </w:rPr>
              <w:t>0</w:t>
            </w:r>
          </w:p>
        </w:tc>
        <w:tc>
          <w:tcPr>
            <w:tcW w:w="1267" w:type="dxa"/>
            <w:noWrap/>
            <w:vAlign w:val="center"/>
          </w:tcPr>
          <w:p w14:paraId="7C2F477F"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4E2882">
              <w:rPr>
                <w:rFonts w:ascii="Times New Roman" w:hAnsi="Times New Roman"/>
                <w:bCs/>
                <w:iCs/>
                <w:sz w:val="24"/>
                <w:szCs w:val="24"/>
                <w:lang w:eastAsia="sk-SK"/>
              </w:rPr>
              <w:t>0</w:t>
            </w:r>
          </w:p>
        </w:tc>
        <w:tc>
          <w:tcPr>
            <w:tcW w:w="1267" w:type="dxa"/>
            <w:noWrap/>
            <w:vAlign w:val="center"/>
          </w:tcPr>
          <w:p w14:paraId="3CD6D271"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4E2882">
              <w:rPr>
                <w:rFonts w:ascii="Times New Roman" w:hAnsi="Times New Roman"/>
                <w:bCs/>
                <w:iCs/>
                <w:sz w:val="24"/>
                <w:szCs w:val="24"/>
                <w:lang w:eastAsia="sk-SK"/>
              </w:rPr>
              <w:t>0</w:t>
            </w:r>
          </w:p>
        </w:tc>
      </w:tr>
      <w:tr w:rsidR="009E181C" w:rsidRPr="007D5748" w14:paraId="33A0019F" w14:textId="77777777" w:rsidTr="009E181C">
        <w:trPr>
          <w:trHeight w:val="70"/>
          <w:jc w:val="center"/>
        </w:trPr>
        <w:tc>
          <w:tcPr>
            <w:tcW w:w="4661" w:type="dxa"/>
            <w:noWrap/>
            <w:vAlign w:val="center"/>
          </w:tcPr>
          <w:p w14:paraId="6A26A05D"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14:paraId="66E2FBC1"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2CE11180"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5169350A"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4C249CCB"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E181C" w:rsidRPr="007D5748" w14:paraId="190220F3" w14:textId="77777777" w:rsidTr="009E181C">
        <w:trPr>
          <w:trHeight w:val="70"/>
          <w:jc w:val="center"/>
        </w:trPr>
        <w:tc>
          <w:tcPr>
            <w:tcW w:w="4661" w:type="dxa"/>
            <w:shd w:val="clear" w:color="auto" w:fill="BFBFBF" w:themeFill="background1" w:themeFillShade="BF"/>
            <w:noWrap/>
            <w:vAlign w:val="center"/>
          </w:tcPr>
          <w:p w14:paraId="1C6AFD7E"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4F8B7E40"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14:paraId="35772EEC"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14:paraId="384FED20"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14:paraId="6D48B2D9"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9E181C" w:rsidRPr="007D5748" w14:paraId="2288126E" w14:textId="77777777" w:rsidTr="009E181C">
        <w:trPr>
          <w:trHeight w:val="70"/>
          <w:jc w:val="center"/>
        </w:trPr>
        <w:tc>
          <w:tcPr>
            <w:tcW w:w="4661" w:type="dxa"/>
            <w:noWrap/>
            <w:vAlign w:val="center"/>
          </w:tcPr>
          <w:p w14:paraId="01B6D655" w14:textId="77777777" w:rsidR="009E181C" w:rsidRPr="007D5748" w:rsidRDefault="009E181C" w:rsidP="009E181C">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14:paraId="5E493C5D"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3A9DB28D"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4ED791E1"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3F044998"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E181C" w:rsidRPr="007D5748" w14:paraId="6C99473E" w14:textId="77777777" w:rsidTr="009E181C">
        <w:trPr>
          <w:trHeight w:val="70"/>
          <w:jc w:val="center"/>
        </w:trPr>
        <w:tc>
          <w:tcPr>
            <w:tcW w:w="4661" w:type="dxa"/>
            <w:noWrap/>
            <w:vAlign w:val="center"/>
          </w:tcPr>
          <w:p w14:paraId="5937C101" w14:textId="77777777" w:rsidR="009E181C" w:rsidRPr="007D5748" w:rsidRDefault="009E181C" w:rsidP="009E181C">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14:paraId="4AF4224C"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12D49CC5"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018EFF45"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65E3BB67"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E181C" w:rsidRPr="007D5748" w14:paraId="0ABE19A4" w14:textId="77777777" w:rsidTr="009E181C">
        <w:trPr>
          <w:trHeight w:val="70"/>
          <w:jc w:val="center"/>
        </w:trPr>
        <w:tc>
          <w:tcPr>
            <w:tcW w:w="4661" w:type="dxa"/>
            <w:noWrap/>
            <w:vAlign w:val="center"/>
          </w:tcPr>
          <w:p w14:paraId="4F4EFF3F" w14:textId="77777777" w:rsidR="009E181C" w:rsidRPr="007D5748" w:rsidRDefault="009E181C" w:rsidP="009E181C">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14:paraId="24A2F91E"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1B3BB696"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5CD8654B"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74B2CF0D"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E181C" w:rsidRPr="007D5748" w14:paraId="24B7DFDC" w14:textId="77777777" w:rsidTr="009E181C">
        <w:trPr>
          <w:trHeight w:val="70"/>
          <w:jc w:val="center"/>
        </w:trPr>
        <w:tc>
          <w:tcPr>
            <w:tcW w:w="4661" w:type="dxa"/>
            <w:noWrap/>
            <w:vAlign w:val="center"/>
          </w:tcPr>
          <w:p w14:paraId="39EA5C0E" w14:textId="77777777" w:rsidR="009E181C" w:rsidRPr="007D5748" w:rsidRDefault="009E181C" w:rsidP="009E181C">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14:paraId="6EDA56C1"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493F29DE"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1735F7F4"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0C75F800"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E181C" w:rsidRPr="007D5748" w14:paraId="4B87312C" w14:textId="77777777" w:rsidTr="009E181C">
        <w:trPr>
          <w:trHeight w:val="70"/>
          <w:jc w:val="center"/>
        </w:trPr>
        <w:tc>
          <w:tcPr>
            <w:tcW w:w="4661" w:type="dxa"/>
            <w:shd w:val="clear" w:color="auto" w:fill="BFBFBF" w:themeFill="background1" w:themeFillShade="BF"/>
            <w:noWrap/>
            <w:vAlign w:val="center"/>
          </w:tcPr>
          <w:p w14:paraId="3D13B5D1" w14:textId="77777777" w:rsidR="009E181C" w:rsidRPr="007D5748" w:rsidRDefault="009E181C" w:rsidP="009E181C">
            <w:pPr>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Vplyv na mzdové výdavky</w:t>
            </w:r>
          </w:p>
        </w:tc>
        <w:tc>
          <w:tcPr>
            <w:tcW w:w="1267" w:type="dxa"/>
            <w:shd w:val="clear" w:color="auto" w:fill="BFBFBF" w:themeFill="background1" w:themeFillShade="BF"/>
            <w:noWrap/>
            <w:vAlign w:val="center"/>
          </w:tcPr>
          <w:p w14:paraId="3832E3ED" w14:textId="77777777" w:rsidR="009E181C" w:rsidRPr="007D5748" w:rsidRDefault="009E181C" w:rsidP="009E181C">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267" w:type="dxa"/>
            <w:shd w:val="clear" w:color="auto" w:fill="BFBFBF" w:themeFill="background1" w:themeFillShade="BF"/>
            <w:noWrap/>
            <w:vAlign w:val="center"/>
          </w:tcPr>
          <w:p w14:paraId="135EBC23" w14:textId="77777777" w:rsidR="009E181C" w:rsidRPr="007D5748" w:rsidRDefault="009E181C" w:rsidP="009E181C">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267" w:type="dxa"/>
            <w:shd w:val="clear" w:color="auto" w:fill="BFBFBF" w:themeFill="background1" w:themeFillShade="BF"/>
            <w:noWrap/>
            <w:vAlign w:val="center"/>
          </w:tcPr>
          <w:p w14:paraId="346457AB" w14:textId="77777777" w:rsidR="009E181C" w:rsidRPr="007D5748" w:rsidRDefault="009E181C" w:rsidP="009E181C">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267" w:type="dxa"/>
            <w:shd w:val="clear" w:color="auto" w:fill="BFBFBF" w:themeFill="background1" w:themeFillShade="BF"/>
            <w:noWrap/>
            <w:vAlign w:val="center"/>
          </w:tcPr>
          <w:p w14:paraId="08840381" w14:textId="77777777" w:rsidR="009E181C" w:rsidRPr="007D5748" w:rsidRDefault="009E181C" w:rsidP="009E181C">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r>
      <w:tr w:rsidR="009E181C" w:rsidRPr="007D5748" w14:paraId="3B864049" w14:textId="77777777" w:rsidTr="009E181C">
        <w:trPr>
          <w:trHeight w:val="70"/>
          <w:jc w:val="center"/>
        </w:trPr>
        <w:tc>
          <w:tcPr>
            <w:tcW w:w="4661" w:type="dxa"/>
            <w:noWrap/>
            <w:vAlign w:val="center"/>
          </w:tcPr>
          <w:p w14:paraId="1C763F80" w14:textId="77777777" w:rsidR="009E181C" w:rsidRPr="007D5748" w:rsidRDefault="009E181C" w:rsidP="009E181C">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14:paraId="7F6ED528"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59F4608E"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0F291FB3"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37B1D006"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E181C" w:rsidRPr="007D5748" w14:paraId="3488484D" w14:textId="77777777" w:rsidTr="009E181C">
        <w:trPr>
          <w:trHeight w:val="70"/>
          <w:jc w:val="center"/>
        </w:trPr>
        <w:tc>
          <w:tcPr>
            <w:tcW w:w="4661" w:type="dxa"/>
            <w:noWrap/>
            <w:vAlign w:val="center"/>
          </w:tcPr>
          <w:p w14:paraId="285CFCA6" w14:textId="77777777" w:rsidR="009E181C" w:rsidRPr="007D5748" w:rsidRDefault="009E181C" w:rsidP="009E181C">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14:paraId="125534C3"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69D5E91D"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4E5CFA4A"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5FFAD348"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E181C" w:rsidRPr="007D5748" w14:paraId="68EDD5CA" w14:textId="77777777" w:rsidTr="009E181C">
        <w:trPr>
          <w:trHeight w:val="70"/>
          <w:jc w:val="center"/>
        </w:trPr>
        <w:tc>
          <w:tcPr>
            <w:tcW w:w="4661" w:type="dxa"/>
            <w:noWrap/>
            <w:vAlign w:val="center"/>
          </w:tcPr>
          <w:p w14:paraId="6B4A6EF6" w14:textId="77777777" w:rsidR="009E181C" w:rsidRPr="007D5748" w:rsidRDefault="009E181C" w:rsidP="009E181C">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14:paraId="218FCE07"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24DFA35C"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328AB878"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0ED3A857"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E181C" w:rsidRPr="007D5748" w14:paraId="722E797B" w14:textId="77777777" w:rsidTr="009E181C">
        <w:trPr>
          <w:trHeight w:val="70"/>
          <w:jc w:val="center"/>
        </w:trPr>
        <w:tc>
          <w:tcPr>
            <w:tcW w:w="4661" w:type="dxa"/>
            <w:noWrap/>
            <w:vAlign w:val="center"/>
          </w:tcPr>
          <w:p w14:paraId="072F8B77"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14:paraId="460608FB"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70935A39"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5FF94320"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14:paraId="78911DBB" w14:textId="77777777" w:rsidR="009E181C" w:rsidRPr="007D5748" w:rsidRDefault="009E181C" w:rsidP="009E181C">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9E181C" w:rsidRPr="007D5748" w14:paraId="1027336A" w14:textId="77777777" w:rsidTr="009E181C">
        <w:trPr>
          <w:trHeight w:val="70"/>
          <w:jc w:val="center"/>
        </w:trPr>
        <w:tc>
          <w:tcPr>
            <w:tcW w:w="4661" w:type="dxa"/>
            <w:shd w:val="clear" w:color="auto" w:fill="C0C0C0"/>
            <w:noWrap/>
            <w:vAlign w:val="center"/>
          </w:tcPr>
          <w:p w14:paraId="7BF748E9"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Financovanie zabezpečené v rozpočte</w:t>
            </w:r>
          </w:p>
        </w:tc>
        <w:tc>
          <w:tcPr>
            <w:tcW w:w="1267" w:type="dxa"/>
            <w:shd w:val="clear" w:color="auto" w:fill="C0C0C0"/>
            <w:noWrap/>
            <w:vAlign w:val="center"/>
          </w:tcPr>
          <w:p w14:paraId="58B4FBC5"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noWrap/>
            <w:vAlign w:val="center"/>
          </w:tcPr>
          <w:p w14:paraId="322B886A"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noWrap/>
            <w:vAlign w:val="center"/>
          </w:tcPr>
          <w:p w14:paraId="4B1D07CC"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noWrap/>
            <w:vAlign w:val="center"/>
          </w:tcPr>
          <w:p w14:paraId="33C10D47"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9E181C" w:rsidRPr="007D5748" w14:paraId="69B8B76C" w14:textId="77777777" w:rsidTr="009E181C">
        <w:trPr>
          <w:trHeight w:val="70"/>
          <w:jc w:val="center"/>
        </w:trPr>
        <w:tc>
          <w:tcPr>
            <w:tcW w:w="4661" w:type="dxa"/>
            <w:noWrap/>
            <w:vAlign w:val="center"/>
          </w:tcPr>
          <w:p w14:paraId="4AEC1C16"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xml:space="preserve">v tom: za </w:t>
            </w:r>
            <w:r>
              <w:rPr>
                <w:rFonts w:ascii="Times New Roman" w:hAnsi="Times New Roman"/>
                <w:sz w:val="24"/>
                <w:szCs w:val="24"/>
                <w:lang w:eastAsia="sk-SK"/>
              </w:rPr>
              <w:t>MPRV SR</w:t>
            </w:r>
          </w:p>
        </w:tc>
        <w:tc>
          <w:tcPr>
            <w:tcW w:w="1267" w:type="dxa"/>
            <w:noWrap/>
            <w:vAlign w:val="center"/>
          </w:tcPr>
          <w:p w14:paraId="5EFE42C5"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5B54640B"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4F8EEA17"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14:paraId="38B74401" w14:textId="77777777" w:rsidR="009E181C" w:rsidRPr="007D5748" w:rsidRDefault="009E181C" w:rsidP="009E181C">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9E181C" w:rsidRPr="007D5748" w14:paraId="4CC727F7" w14:textId="77777777" w:rsidTr="009E181C">
        <w:trPr>
          <w:trHeight w:val="70"/>
          <w:jc w:val="center"/>
        </w:trPr>
        <w:tc>
          <w:tcPr>
            <w:tcW w:w="4661" w:type="dxa"/>
            <w:shd w:val="clear" w:color="auto" w:fill="BFBFBF" w:themeFill="background1" w:themeFillShade="BF"/>
            <w:noWrap/>
            <w:vAlign w:val="center"/>
          </w:tcPr>
          <w:p w14:paraId="6E619B00" w14:textId="77777777" w:rsidR="009E181C" w:rsidRPr="007D5748" w:rsidRDefault="009E181C" w:rsidP="009E181C">
            <w:pPr>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Iné ako rozpočtové zdroje</w:t>
            </w:r>
          </w:p>
        </w:tc>
        <w:tc>
          <w:tcPr>
            <w:tcW w:w="1267" w:type="dxa"/>
            <w:shd w:val="clear" w:color="auto" w:fill="BFBFBF" w:themeFill="background1" w:themeFillShade="BF"/>
            <w:noWrap/>
            <w:vAlign w:val="center"/>
          </w:tcPr>
          <w:p w14:paraId="31843700"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14:paraId="383ED956"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14:paraId="5E248604"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14:paraId="3A36361F"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9E181C" w:rsidRPr="007D5748" w14:paraId="002CD62F" w14:textId="77777777" w:rsidTr="009E181C">
        <w:trPr>
          <w:trHeight w:val="70"/>
          <w:jc w:val="center"/>
        </w:trPr>
        <w:tc>
          <w:tcPr>
            <w:tcW w:w="4661" w:type="dxa"/>
            <w:shd w:val="clear" w:color="auto" w:fill="A6A6A6" w:themeFill="background1" w:themeFillShade="A6"/>
            <w:noWrap/>
            <w:vAlign w:val="center"/>
          </w:tcPr>
          <w:p w14:paraId="0F550D5E"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Rozpočtovo nekrytý vplyv / úspora</w:t>
            </w:r>
          </w:p>
        </w:tc>
        <w:tc>
          <w:tcPr>
            <w:tcW w:w="1267" w:type="dxa"/>
            <w:shd w:val="clear" w:color="auto" w:fill="A6A6A6" w:themeFill="background1" w:themeFillShade="A6"/>
            <w:noWrap/>
            <w:vAlign w:val="center"/>
          </w:tcPr>
          <w:p w14:paraId="4CEE926F"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A6A6A6" w:themeFill="background1" w:themeFillShade="A6"/>
            <w:noWrap/>
            <w:vAlign w:val="center"/>
          </w:tcPr>
          <w:p w14:paraId="77748A82"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A6A6A6" w:themeFill="background1" w:themeFillShade="A6"/>
            <w:noWrap/>
            <w:vAlign w:val="center"/>
          </w:tcPr>
          <w:p w14:paraId="4CF2836E"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A6A6A6" w:themeFill="background1" w:themeFillShade="A6"/>
            <w:noWrap/>
            <w:vAlign w:val="center"/>
          </w:tcPr>
          <w:p w14:paraId="0EA8E383" w14:textId="77777777" w:rsidR="009E181C" w:rsidRPr="007D5748" w:rsidRDefault="009E181C" w:rsidP="009E181C">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bookmarkEnd w:id="1"/>
    </w:tbl>
    <w:p w14:paraId="53218863" w14:textId="77777777" w:rsidR="009E181C" w:rsidRPr="007D5748" w:rsidRDefault="009E181C" w:rsidP="009E181C">
      <w:pPr>
        <w:spacing w:after="0" w:line="240" w:lineRule="auto"/>
        <w:rPr>
          <w:rFonts w:ascii="Times New Roman" w:hAnsi="Times New Roman"/>
          <w:b/>
          <w:bCs/>
          <w:sz w:val="24"/>
          <w:szCs w:val="24"/>
          <w:lang w:eastAsia="sk-SK"/>
        </w:rPr>
      </w:pPr>
    </w:p>
    <w:p w14:paraId="487A2A76" w14:textId="77777777" w:rsidR="009E181C" w:rsidRPr="007D5748" w:rsidRDefault="009E181C" w:rsidP="009E181C">
      <w:pPr>
        <w:rPr>
          <w:rFonts w:ascii="Times New Roman" w:hAnsi="Times New Roman"/>
          <w:b/>
          <w:bCs/>
          <w:sz w:val="24"/>
          <w:szCs w:val="24"/>
          <w:lang w:eastAsia="sk-SK"/>
        </w:rPr>
      </w:pPr>
      <w:r w:rsidRPr="007D5748">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11BBD9B2" w14:textId="77777777" w:rsidR="009E181C" w:rsidRPr="007D5748" w:rsidRDefault="009E181C" w:rsidP="009E181C">
      <w:pPr>
        <w:spacing w:after="0" w:line="240" w:lineRule="auto"/>
        <w:jc w:val="both"/>
        <w:rPr>
          <w:rFonts w:ascii="Times New Roman" w:hAnsi="Times New Roman"/>
          <w:b/>
          <w:bCs/>
          <w:sz w:val="12"/>
          <w:szCs w:val="24"/>
          <w:lang w:eastAsia="sk-SK"/>
        </w:rPr>
      </w:pPr>
    </w:p>
    <w:p w14:paraId="6E9B398F" w14:textId="77777777" w:rsidR="009E181C" w:rsidRDefault="009E181C" w:rsidP="009E181C">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 xml:space="preserve">Návrh zákona upravuje a dopĺňa doterajšie vymedzenie pojmov a spôsob poskytnutia finančných prostriedkov v nadväznosti na novú právnu úpravu vyplývajúcu z nariadenia Európskeho parlamentu a Rady (EÚ) 2021/2115 z 2. decembra 2021, ktorým sa ustanovujú pravidlá podpory strategických plánov, ktoré majú zostaviť členské štáty v rámci Spoločnej poľnohospodárskej politiky (ďalej len Strategické plány SPP). </w:t>
      </w:r>
    </w:p>
    <w:p w14:paraId="53FC101E" w14:textId="77777777" w:rsidR="009E181C" w:rsidRDefault="009E181C" w:rsidP="009E181C">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Implementáciou uvedených právne záväzných aktov EÚ sa zabezpečí riadne fungovanie orgánov štátnej správy pri vykonávaní Strategického plánu SPP na roky 2023 až 2027 v Slovenskej republike.</w:t>
      </w:r>
    </w:p>
    <w:p w14:paraId="080341C4" w14:textId="77777777" w:rsidR="009E181C" w:rsidRDefault="009E181C" w:rsidP="009E181C">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Návrh zákona nemá dodatočný vplyv na rozpočet verejnej správy vzhľadom na skutočnosť, že uvedené opatrenia budú financované v rámci Strategického plánu SPP (ktorý bol schválený uznesením vlády SR č. 94/2022 zo 10.2.2022) zo zdrojov Európskeho poľnohospodárskeho záručného fondu (EPZF) a Európskeho poľnohospodárskeho fondu pre rozvoj vidieka (EPFRV).</w:t>
      </w:r>
    </w:p>
    <w:p w14:paraId="7FFEC122" w14:textId="77777777" w:rsidR="009E181C" w:rsidRPr="004A06FC" w:rsidRDefault="009E181C" w:rsidP="009E181C">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Z</w:t>
      </w:r>
      <w:r w:rsidRPr="00806C9C">
        <w:rPr>
          <w:rFonts w:ascii="Times New Roman" w:hAnsi="Times New Roman"/>
          <w:bCs/>
          <w:sz w:val="24"/>
          <w:szCs w:val="24"/>
          <w:lang w:eastAsia="sk-SK"/>
        </w:rPr>
        <w:t>ákon nadobúda účinnosť 1. januára 2023</w:t>
      </w:r>
      <w:r>
        <w:rPr>
          <w:rFonts w:ascii="Times New Roman" w:hAnsi="Times New Roman"/>
          <w:bCs/>
          <w:sz w:val="24"/>
          <w:szCs w:val="24"/>
          <w:lang w:eastAsia="sk-SK"/>
        </w:rPr>
        <w:t>.</w:t>
      </w:r>
    </w:p>
    <w:p w14:paraId="6B4439BF" w14:textId="77777777" w:rsidR="009E181C" w:rsidRPr="007D5748" w:rsidRDefault="009E181C" w:rsidP="009E181C">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14:paraId="33685317"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14:paraId="44487930" w14:textId="77777777" w:rsidR="009E181C" w:rsidRPr="007D5748" w:rsidRDefault="009E181C" w:rsidP="009E181C">
      <w:pPr>
        <w:spacing w:after="0" w:line="240" w:lineRule="auto"/>
        <w:rPr>
          <w:rFonts w:ascii="Times New Roman" w:hAnsi="Times New Roman"/>
          <w:sz w:val="24"/>
          <w:szCs w:val="24"/>
          <w:lang w:eastAsia="sk-SK"/>
        </w:rPr>
      </w:pPr>
    </w:p>
    <w:p w14:paraId="2B5E0C7E" w14:textId="77777777" w:rsidR="009E181C" w:rsidRPr="007D5748" w:rsidRDefault="009E181C" w:rsidP="009E181C">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14:paraId="52120062" w14:textId="77777777" w:rsidR="009E181C" w:rsidRPr="007D5748" w:rsidRDefault="009E181C" w:rsidP="009E181C">
      <w:pPr>
        <w:spacing w:after="0" w:line="240" w:lineRule="auto"/>
        <w:jc w:val="both"/>
        <w:rPr>
          <w:rFonts w:ascii="Times New Roman" w:hAnsi="Times New Roman"/>
          <w:b/>
          <w:bCs/>
          <w:sz w:val="24"/>
          <w:szCs w:val="24"/>
          <w:lang w:eastAsia="sk-SK"/>
        </w:rPr>
      </w:pPr>
    </w:p>
    <w:p w14:paraId="17A59BCD" w14:textId="77777777" w:rsidR="009E181C" w:rsidRPr="007D5748" w:rsidRDefault="009E181C" w:rsidP="009E181C">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Akú problematiku návrh rieši? Kto bude návrh implementovať? Kde sa budú služby poskytovať?</w:t>
      </w:r>
    </w:p>
    <w:p w14:paraId="4756C60A" w14:textId="77777777" w:rsidR="009E181C" w:rsidRPr="007D5748" w:rsidRDefault="009E181C" w:rsidP="009E181C">
      <w:pPr>
        <w:spacing w:after="0" w:line="240" w:lineRule="auto"/>
        <w:rPr>
          <w:rFonts w:ascii="Times New Roman" w:hAnsi="Times New Roman"/>
          <w:sz w:val="24"/>
          <w:szCs w:val="24"/>
          <w:lang w:eastAsia="sk-SK"/>
        </w:rPr>
      </w:pPr>
    </w:p>
    <w:p w14:paraId="66F83ACF"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w:t>
      </w:r>
    </w:p>
    <w:p w14:paraId="5BF4F47C" w14:textId="77777777" w:rsidR="009E181C" w:rsidRPr="007D5748" w:rsidRDefault="009E181C" w:rsidP="009E181C">
      <w:pPr>
        <w:spacing w:after="0" w:line="240" w:lineRule="auto"/>
        <w:rPr>
          <w:rFonts w:ascii="Times New Roman" w:hAnsi="Times New Roman"/>
          <w:sz w:val="24"/>
          <w:szCs w:val="24"/>
          <w:lang w:eastAsia="sk-SK"/>
        </w:rPr>
      </w:pPr>
    </w:p>
    <w:p w14:paraId="5F54185B"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14:paraId="383736B2" w14:textId="77777777" w:rsidR="009E181C" w:rsidRPr="007D5748" w:rsidRDefault="009E181C" w:rsidP="009E181C">
      <w:pPr>
        <w:spacing w:after="0" w:line="240" w:lineRule="auto"/>
        <w:rPr>
          <w:rFonts w:ascii="Times New Roman" w:hAnsi="Times New Roman"/>
          <w:sz w:val="24"/>
          <w:szCs w:val="24"/>
          <w:lang w:eastAsia="sk-SK"/>
        </w:rPr>
      </w:pPr>
    </w:p>
    <w:p w14:paraId="393A2A20"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14:paraId="076ED0D7"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14:paraId="414E78F5"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14:paraId="7A833953"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14:paraId="173B1BB1"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14:paraId="51A21690" w14:textId="77777777" w:rsidR="009E181C" w:rsidRPr="007D5748" w:rsidRDefault="009E181C" w:rsidP="009E181C">
      <w:pPr>
        <w:spacing w:after="0" w:line="240" w:lineRule="auto"/>
        <w:rPr>
          <w:rFonts w:ascii="Times New Roman" w:hAnsi="Times New Roman"/>
          <w:sz w:val="24"/>
          <w:szCs w:val="24"/>
          <w:lang w:eastAsia="sk-SK"/>
        </w:rPr>
      </w:pPr>
    </w:p>
    <w:p w14:paraId="5248742B" w14:textId="77777777" w:rsidR="009E181C" w:rsidRPr="007D5748" w:rsidRDefault="009E181C" w:rsidP="009E181C">
      <w:pPr>
        <w:spacing w:after="0" w:line="240" w:lineRule="auto"/>
        <w:rPr>
          <w:rFonts w:ascii="Times New Roman" w:hAnsi="Times New Roman"/>
          <w:sz w:val="24"/>
          <w:szCs w:val="24"/>
          <w:lang w:eastAsia="sk-SK"/>
        </w:rPr>
      </w:pPr>
    </w:p>
    <w:p w14:paraId="409D7801"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2.2.3. Predpoklady vývoja objemu aktivít:</w:t>
      </w:r>
    </w:p>
    <w:p w14:paraId="741184CB" w14:textId="77777777" w:rsidR="009E181C" w:rsidRPr="007D5748" w:rsidRDefault="009E181C" w:rsidP="009E181C">
      <w:pPr>
        <w:spacing w:after="0" w:line="240" w:lineRule="auto"/>
        <w:rPr>
          <w:rFonts w:ascii="Times New Roman" w:hAnsi="Times New Roman"/>
          <w:sz w:val="24"/>
          <w:szCs w:val="24"/>
          <w:lang w:eastAsia="sk-SK"/>
        </w:rPr>
      </w:pPr>
    </w:p>
    <w:p w14:paraId="5F20560E" w14:textId="77777777" w:rsidR="009E181C" w:rsidRPr="007D5748" w:rsidRDefault="009E181C" w:rsidP="009E181C">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Jasne popíšte, v prípade potreby použite nižšie uvedenú tabuľku. Uveďte aj odhady základov daní a/alebo poplatkov, ak sa ich táto zmena týka.</w:t>
      </w:r>
    </w:p>
    <w:p w14:paraId="76925018" w14:textId="77777777" w:rsidR="009E181C" w:rsidRPr="007D5748" w:rsidRDefault="009E181C" w:rsidP="009E181C">
      <w:pPr>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9E181C" w:rsidRPr="007D5748" w14:paraId="28A06C53" w14:textId="77777777" w:rsidTr="009E181C">
        <w:trPr>
          <w:cantSplit/>
          <w:trHeight w:val="70"/>
        </w:trPr>
        <w:tc>
          <w:tcPr>
            <w:tcW w:w="4530" w:type="dxa"/>
            <w:vMerge w:val="restart"/>
            <w:shd w:val="clear" w:color="auto" w:fill="BFBFBF" w:themeFill="background1" w:themeFillShade="BF"/>
            <w:vAlign w:val="center"/>
          </w:tcPr>
          <w:p w14:paraId="66178FF8" w14:textId="77777777" w:rsidR="009E181C" w:rsidRPr="007D5748" w:rsidRDefault="009E181C" w:rsidP="009E181C">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14:paraId="30FB029F" w14:textId="77777777" w:rsidR="009E181C" w:rsidRPr="007D5748" w:rsidRDefault="009E181C" w:rsidP="009E181C">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Odhadované objemy</w:t>
            </w:r>
          </w:p>
        </w:tc>
      </w:tr>
      <w:tr w:rsidR="009E181C" w:rsidRPr="007D5748" w14:paraId="4CC79004" w14:textId="77777777" w:rsidTr="009E181C">
        <w:trPr>
          <w:cantSplit/>
          <w:trHeight w:val="70"/>
        </w:trPr>
        <w:tc>
          <w:tcPr>
            <w:tcW w:w="4530" w:type="dxa"/>
            <w:vMerge/>
            <w:shd w:val="clear" w:color="auto" w:fill="BFBFBF" w:themeFill="background1" w:themeFillShade="BF"/>
          </w:tcPr>
          <w:p w14:paraId="2D686879" w14:textId="77777777" w:rsidR="009E181C" w:rsidRPr="007D5748" w:rsidRDefault="009E181C" w:rsidP="009E181C">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14:paraId="197CA5E7" w14:textId="77777777" w:rsidR="009E181C" w:rsidRPr="007D5748" w:rsidRDefault="009E181C" w:rsidP="009E181C">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2022</w:t>
            </w:r>
          </w:p>
        </w:tc>
        <w:tc>
          <w:tcPr>
            <w:tcW w:w="1134" w:type="dxa"/>
            <w:shd w:val="clear" w:color="auto" w:fill="BFBFBF" w:themeFill="background1" w:themeFillShade="BF"/>
            <w:vAlign w:val="center"/>
          </w:tcPr>
          <w:p w14:paraId="5DF54E61" w14:textId="77777777" w:rsidR="009E181C" w:rsidRPr="007D5748" w:rsidRDefault="009E181C" w:rsidP="009E181C">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1134" w:type="dxa"/>
            <w:shd w:val="clear" w:color="auto" w:fill="BFBFBF" w:themeFill="background1" w:themeFillShade="BF"/>
            <w:vAlign w:val="center"/>
          </w:tcPr>
          <w:p w14:paraId="26CCD9AC" w14:textId="77777777" w:rsidR="009E181C" w:rsidRPr="007D5748" w:rsidRDefault="009E181C" w:rsidP="009E181C">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1134" w:type="dxa"/>
            <w:shd w:val="clear" w:color="auto" w:fill="BFBFBF" w:themeFill="background1" w:themeFillShade="BF"/>
            <w:vAlign w:val="center"/>
          </w:tcPr>
          <w:p w14:paraId="1BC76DAF" w14:textId="77777777" w:rsidR="009E181C" w:rsidRPr="007D5748" w:rsidRDefault="009E181C" w:rsidP="009E181C">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2025</w:t>
            </w:r>
          </w:p>
        </w:tc>
      </w:tr>
      <w:tr w:rsidR="009E181C" w:rsidRPr="007D5748" w14:paraId="2908EDF3" w14:textId="77777777" w:rsidTr="009E181C">
        <w:trPr>
          <w:trHeight w:val="70"/>
        </w:trPr>
        <w:tc>
          <w:tcPr>
            <w:tcW w:w="4530" w:type="dxa"/>
          </w:tcPr>
          <w:p w14:paraId="1EECC132" w14:textId="77777777" w:rsidR="009E181C" w:rsidRPr="007D5748" w:rsidRDefault="009E181C" w:rsidP="009E181C">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ABC</w:t>
            </w:r>
          </w:p>
        </w:tc>
        <w:tc>
          <w:tcPr>
            <w:tcW w:w="1134" w:type="dxa"/>
          </w:tcPr>
          <w:p w14:paraId="7BBC6989" w14:textId="77777777" w:rsidR="009E181C" w:rsidRPr="007D5748" w:rsidRDefault="009E181C" w:rsidP="009E181C">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0629ACD3" w14:textId="77777777" w:rsidR="009E181C" w:rsidRPr="007D5748" w:rsidRDefault="009E181C" w:rsidP="009E181C">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07D7DE77" w14:textId="77777777" w:rsidR="009E181C" w:rsidRPr="007D5748" w:rsidRDefault="009E181C" w:rsidP="009E181C">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7F7E3D77" w14:textId="77777777" w:rsidR="009E181C" w:rsidRPr="007D5748" w:rsidRDefault="009E181C" w:rsidP="009E181C">
            <w:pPr>
              <w:autoSpaceDE w:val="0"/>
              <w:autoSpaceDN w:val="0"/>
              <w:adjustRightInd w:val="0"/>
              <w:spacing w:after="0" w:line="240" w:lineRule="auto"/>
              <w:jc w:val="right"/>
              <w:rPr>
                <w:rFonts w:ascii="Times New Roman" w:hAnsi="Times New Roman"/>
                <w:color w:val="000000"/>
                <w:sz w:val="24"/>
                <w:szCs w:val="24"/>
                <w:lang w:eastAsia="sk-SK"/>
              </w:rPr>
            </w:pPr>
          </w:p>
        </w:tc>
      </w:tr>
      <w:tr w:rsidR="009E181C" w:rsidRPr="007D5748" w14:paraId="10F09BE8" w14:textId="77777777" w:rsidTr="009E181C">
        <w:trPr>
          <w:trHeight w:val="70"/>
        </w:trPr>
        <w:tc>
          <w:tcPr>
            <w:tcW w:w="4530" w:type="dxa"/>
          </w:tcPr>
          <w:p w14:paraId="569D5686" w14:textId="77777777" w:rsidR="009E181C" w:rsidRPr="007D5748" w:rsidRDefault="009E181C" w:rsidP="009E181C">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KLM</w:t>
            </w:r>
          </w:p>
        </w:tc>
        <w:tc>
          <w:tcPr>
            <w:tcW w:w="1134" w:type="dxa"/>
          </w:tcPr>
          <w:p w14:paraId="6D0D24F3" w14:textId="77777777" w:rsidR="009E181C" w:rsidRPr="007D5748" w:rsidRDefault="009E181C" w:rsidP="009E181C">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2C4F690D" w14:textId="77777777" w:rsidR="009E181C" w:rsidRPr="007D5748" w:rsidRDefault="009E181C" w:rsidP="009E181C">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7D7DEB6A" w14:textId="77777777" w:rsidR="009E181C" w:rsidRPr="007D5748" w:rsidRDefault="009E181C" w:rsidP="009E181C">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62BD3D96" w14:textId="77777777" w:rsidR="009E181C" w:rsidRPr="007D5748" w:rsidRDefault="009E181C" w:rsidP="009E181C">
            <w:pPr>
              <w:autoSpaceDE w:val="0"/>
              <w:autoSpaceDN w:val="0"/>
              <w:adjustRightInd w:val="0"/>
              <w:spacing w:after="0" w:line="240" w:lineRule="auto"/>
              <w:jc w:val="right"/>
              <w:rPr>
                <w:rFonts w:ascii="Times New Roman" w:hAnsi="Times New Roman"/>
                <w:color w:val="000000"/>
                <w:sz w:val="24"/>
                <w:szCs w:val="24"/>
                <w:lang w:eastAsia="sk-SK"/>
              </w:rPr>
            </w:pPr>
          </w:p>
        </w:tc>
      </w:tr>
      <w:tr w:rsidR="009E181C" w:rsidRPr="007D5748" w14:paraId="3EABE4C5" w14:textId="77777777" w:rsidTr="009E181C">
        <w:trPr>
          <w:trHeight w:val="70"/>
        </w:trPr>
        <w:tc>
          <w:tcPr>
            <w:tcW w:w="4530" w:type="dxa"/>
          </w:tcPr>
          <w:p w14:paraId="7999C2C8" w14:textId="77777777" w:rsidR="009E181C" w:rsidRPr="007D5748" w:rsidRDefault="009E181C" w:rsidP="009E181C">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XYZ</w:t>
            </w:r>
          </w:p>
        </w:tc>
        <w:tc>
          <w:tcPr>
            <w:tcW w:w="1134" w:type="dxa"/>
          </w:tcPr>
          <w:p w14:paraId="1AD27901" w14:textId="77777777" w:rsidR="009E181C" w:rsidRPr="007D5748" w:rsidRDefault="009E181C" w:rsidP="009E181C">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1778E911" w14:textId="77777777" w:rsidR="009E181C" w:rsidRPr="007D5748" w:rsidRDefault="009E181C" w:rsidP="009E181C">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1491F284" w14:textId="77777777" w:rsidR="009E181C" w:rsidRPr="007D5748" w:rsidRDefault="009E181C" w:rsidP="009E181C">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3E11746A" w14:textId="77777777" w:rsidR="009E181C" w:rsidRPr="007D5748" w:rsidRDefault="009E181C" w:rsidP="009E181C">
            <w:pPr>
              <w:autoSpaceDE w:val="0"/>
              <w:autoSpaceDN w:val="0"/>
              <w:adjustRightInd w:val="0"/>
              <w:spacing w:after="0" w:line="240" w:lineRule="auto"/>
              <w:jc w:val="right"/>
              <w:rPr>
                <w:rFonts w:ascii="Times New Roman" w:hAnsi="Times New Roman"/>
                <w:color w:val="000000"/>
                <w:sz w:val="24"/>
                <w:szCs w:val="24"/>
                <w:lang w:eastAsia="sk-SK"/>
              </w:rPr>
            </w:pPr>
          </w:p>
        </w:tc>
      </w:tr>
    </w:tbl>
    <w:p w14:paraId="6374205F" w14:textId="77777777" w:rsidR="009E181C" w:rsidRPr="007D5748" w:rsidRDefault="009E181C" w:rsidP="009E181C">
      <w:pPr>
        <w:spacing w:after="0" w:line="240" w:lineRule="auto"/>
        <w:rPr>
          <w:rFonts w:ascii="Times New Roman" w:hAnsi="Times New Roman"/>
          <w:sz w:val="24"/>
          <w:szCs w:val="24"/>
          <w:lang w:eastAsia="sk-SK"/>
        </w:rPr>
      </w:pPr>
    </w:p>
    <w:p w14:paraId="790ACF4C" w14:textId="77777777" w:rsidR="009E181C" w:rsidRPr="00575AF3"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2.2.4. Výpočty vplyvov na verejné financie</w:t>
      </w:r>
    </w:p>
    <w:p w14:paraId="2EBFA14E" w14:textId="77777777" w:rsidR="009E181C" w:rsidRPr="007D5748" w:rsidRDefault="009E181C" w:rsidP="009E181C">
      <w:pPr>
        <w:tabs>
          <w:tab w:val="num" w:pos="1080"/>
        </w:tabs>
        <w:spacing w:after="0" w:line="240" w:lineRule="auto"/>
        <w:jc w:val="both"/>
        <w:rPr>
          <w:rFonts w:ascii="Times New Roman" w:hAnsi="Times New Roman"/>
          <w:bCs/>
          <w:sz w:val="24"/>
          <w:szCs w:val="24"/>
          <w:lang w:eastAsia="sk-SK"/>
        </w:rPr>
      </w:pPr>
    </w:p>
    <w:p w14:paraId="089BE935" w14:textId="77777777" w:rsidR="009E181C" w:rsidRPr="007D5748" w:rsidRDefault="009E181C" w:rsidP="009E181C">
      <w:pPr>
        <w:tabs>
          <w:tab w:val="num" w:pos="1080"/>
        </w:tabs>
        <w:spacing w:after="0" w:line="240" w:lineRule="auto"/>
        <w:jc w:val="both"/>
        <w:rPr>
          <w:rFonts w:ascii="Times New Roman" w:hAnsi="Times New Roman"/>
          <w:bCs/>
          <w:sz w:val="24"/>
          <w:szCs w:val="20"/>
          <w:lang w:eastAsia="sk-SK"/>
        </w:rPr>
        <w:sectPr w:rsidR="009E181C" w:rsidRPr="007D5748" w:rsidSect="009E181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567" w:gutter="0"/>
          <w:pgNumType w:start="1"/>
          <w:cols w:space="708"/>
          <w:docGrid w:linePitch="360"/>
        </w:sectPr>
      </w:pPr>
    </w:p>
    <w:p w14:paraId="604E4EC0" w14:textId="77777777" w:rsidR="009E181C" w:rsidRPr="007D5748" w:rsidRDefault="009E181C" w:rsidP="009E181C">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lastRenderedPageBreak/>
        <w:t xml:space="preserve">Tabuľka č. 3 </w:t>
      </w:r>
    </w:p>
    <w:p w14:paraId="372FF3F1" w14:textId="77777777" w:rsidR="009E181C" w:rsidRPr="007D5748" w:rsidRDefault="009E181C" w:rsidP="009E181C">
      <w:pPr>
        <w:tabs>
          <w:tab w:val="num" w:pos="1080"/>
        </w:tabs>
        <w:spacing w:after="0" w:line="240" w:lineRule="auto"/>
        <w:jc w:val="both"/>
        <w:rPr>
          <w:rFonts w:ascii="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9E181C" w:rsidRPr="007D5748" w14:paraId="0ED90DDC" w14:textId="77777777" w:rsidTr="009E181C">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AE365F"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4768C1D6"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8E11B17"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9E181C" w:rsidRPr="007D5748" w14:paraId="7B3D9A31" w14:textId="77777777" w:rsidTr="009E181C">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37F575DB" w14:textId="77777777" w:rsidR="009E181C" w:rsidRPr="007D5748" w:rsidRDefault="009E181C" w:rsidP="009E181C">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5EB73098" w14:textId="77777777" w:rsidR="009E181C" w:rsidRPr="007D5748" w:rsidRDefault="009E181C" w:rsidP="009E181C">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14:paraId="34D00F7C" w14:textId="77777777" w:rsidR="009E181C" w:rsidRPr="007D5748" w:rsidRDefault="009E181C" w:rsidP="009E181C">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14:paraId="2CEEE0D7" w14:textId="77777777" w:rsidR="009E181C" w:rsidRPr="007D5748" w:rsidRDefault="009E181C" w:rsidP="009E181C">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633454F2" w14:textId="77777777" w:rsidR="009E181C" w:rsidRPr="007D5748" w:rsidRDefault="009E181C" w:rsidP="009E181C">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14:paraId="69ABB4A2" w14:textId="77777777" w:rsidR="009E181C" w:rsidRPr="007D5748" w:rsidRDefault="009E181C" w:rsidP="009E181C">
            <w:pPr>
              <w:spacing w:after="0" w:line="240" w:lineRule="auto"/>
              <w:rPr>
                <w:rFonts w:ascii="Times New Roman" w:hAnsi="Times New Roman"/>
                <w:b/>
                <w:bCs/>
                <w:color w:val="FFFFFF"/>
                <w:sz w:val="24"/>
                <w:szCs w:val="24"/>
                <w:lang w:eastAsia="sk-SK"/>
              </w:rPr>
            </w:pPr>
          </w:p>
        </w:tc>
      </w:tr>
      <w:tr w:rsidR="009E181C" w:rsidRPr="007D5748" w14:paraId="1267CED7" w14:textId="77777777" w:rsidTr="009E181C">
        <w:trPr>
          <w:trHeight w:val="255"/>
        </w:trPr>
        <w:tc>
          <w:tcPr>
            <w:tcW w:w="4950" w:type="dxa"/>
            <w:tcBorders>
              <w:top w:val="nil"/>
              <w:left w:val="single" w:sz="4" w:space="0" w:color="auto"/>
              <w:bottom w:val="single" w:sz="4" w:space="0" w:color="auto"/>
              <w:right w:val="single" w:sz="4" w:space="0" w:color="auto"/>
            </w:tcBorders>
          </w:tcPr>
          <w:p w14:paraId="055146DC" w14:textId="77777777" w:rsidR="009E181C" w:rsidRPr="007D5748" w:rsidRDefault="009E181C" w:rsidP="009E181C">
            <w:pPr>
              <w:spacing w:after="0" w:line="240" w:lineRule="auto"/>
              <w:rPr>
                <w:rFonts w:ascii="Times New Roman" w:hAnsi="Times New Roman"/>
                <w:b/>
                <w:bCs/>
                <w:sz w:val="24"/>
                <w:szCs w:val="24"/>
                <w:vertAlign w:val="superscript"/>
                <w:lang w:eastAsia="sk-SK"/>
              </w:rPr>
            </w:pPr>
            <w:r w:rsidRPr="007D5748">
              <w:rPr>
                <w:rFonts w:ascii="Times New Roman" w:hAnsi="Times New Roman"/>
                <w:b/>
                <w:bCs/>
                <w:sz w:val="24"/>
                <w:szCs w:val="24"/>
                <w:lang w:eastAsia="sk-SK"/>
              </w:rPr>
              <w:t>Daňové príjmy (100)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1A181F8B"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2A7EE520"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6128B6FE"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72011B37"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2F7E113B"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63087D64" w14:textId="77777777" w:rsidTr="009E181C">
        <w:trPr>
          <w:trHeight w:val="255"/>
        </w:trPr>
        <w:tc>
          <w:tcPr>
            <w:tcW w:w="4950" w:type="dxa"/>
            <w:tcBorders>
              <w:top w:val="nil"/>
              <w:left w:val="single" w:sz="4" w:space="0" w:color="auto"/>
              <w:bottom w:val="single" w:sz="4" w:space="0" w:color="auto"/>
              <w:right w:val="single" w:sz="4" w:space="0" w:color="auto"/>
            </w:tcBorders>
          </w:tcPr>
          <w:p w14:paraId="3376CFBE"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Nedaňové príjmy (200)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00C8A5B"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2C24B933"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17E1A1FC"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46100CD3"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70C8D10B"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10BF6CF8" w14:textId="77777777" w:rsidTr="009E181C">
        <w:trPr>
          <w:trHeight w:val="255"/>
        </w:trPr>
        <w:tc>
          <w:tcPr>
            <w:tcW w:w="4950" w:type="dxa"/>
            <w:tcBorders>
              <w:top w:val="nil"/>
              <w:left w:val="single" w:sz="4" w:space="0" w:color="auto"/>
              <w:bottom w:val="single" w:sz="4" w:space="0" w:color="auto"/>
              <w:right w:val="single" w:sz="4" w:space="0" w:color="auto"/>
            </w:tcBorders>
          </w:tcPr>
          <w:p w14:paraId="57BF62D5"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Granty a transfery (300)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43F68BB"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6FA1C897"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2C992FF5"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0BD1A173"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042B6B48"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6A71103A" w14:textId="77777777" w:rsidTr="009E181C">
        <w:trPr>
          <w:trHeight w:val="255"/>
        </w:trPr>
        <w:tc>
          <w:tcPr>
            <w:tcW w:w="4950" w:type="dxa"/>
            <w:tcBorders>
              <w:top w:val="nil"/>
              <w:left w:val="single" w:sz="4" w:space="0" w:color="auto"/>
              <w:bottom w:val="single" w:sz="4" w:space="0" w:color="auto"/>
              <w:right w:val="single" w:sz="4" w:space="0" w:color="auto"/>
            </w:tcBorders>
          </w:tcPr>
          <w:p w14:paraId="1AC42855"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724C0E3B"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6ACAE6F7"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50B838D"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25C26867"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2E2C0964"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26290E29" w14:textId="77777777" w:rsidTr="009E181C">
        <w:trPr>
          <w:trHeight w:val="255"/>
        </w:trPr>
        <w:tc>
          <w:tcPr>
            <w:tcW w:w="4950" w:type="dxa"/>
            <w:tcBorders>
              <w:top w:val="nil"/>
              <w:left w:val="single" w:sz="4" w:space="0" w:color="auto"/>
              <w:bottom w:val="single" w:sz="4" w:space="0" w:color="auto"/>
              <w:right w:val="single" w:sz="4" w:space="0" w:color="auto"/>
            </w:tcBorders>
          </w:tcPr>
          <w:p w14:paraId="0E88652E"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219E3C9A"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E879DD6"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3BEF5EE"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FED877A"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267308E5"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687F9D56" w14:textId="77777777" w:rsidTr="009E181C">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101113FD"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7A388342"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5107D93"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44AE6152"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70D8565C"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367603E1"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14:paraId="02C3DAD7" w14:textId="77777777" w:rsidR="009E181C" w:rsidRDefault="009E181C" w:rsidP="009E181C">
      <w:pPr>
        <w:tabs>
          <w:tab w:val="num" w:pos="1080"/>
        </w:tabs>
        <w:spacing w:after="0" w:line="240" w:lineRule="auto"/>
        <w:ind w:right="-578"/>
        <w:jc w:val="right"/>
        <w:rPr>
          <w:rFonts w:ascii="Times New Roman" w:hAnsi="Times New Roman"/>
          <w:bCs/>
          <w:sz w:val="20"/>
          <w:szCs w:val="20"/>
          <w:lang w:eastAsia="sk-SK"/>
        </w:rPr>
      </w:pPr>
    </w:p>
    <w:p w14:paraId="2EAF217B" w14:textId="77777777" w:rsidR="009E181C" w:rsidRDefault="009E181C" w:rsidP="009E181C">
      <w:pPr>
        <w:tabs>
          <w:tab w:val="num" w:pos="1080"/>
        </w:tabs>
        <w:spacing w:after="0" w:line="240" w:lineRule="auto"/>
        <w:ind w:right="-578"/>
        <w:jc w:val="right"/>
        <w:rPr>
          <w:rFonts w:ascii="Times New Roman" w:hAnsi="Times New Roman"/>
          <w:bCs/>
          <w:sz w:val="20"/>
          <w:szCs w:val="20"/>
          <w:lang w:eastAsia="sk-SK"/>
        </w:rPr>
      </w:pPr>
    </w:p>
    <w:p w14:paraId="0FA42815" w14:textId="77777777" w:rsidR="009E181C" w:rsidRPr="007D5748" w:rsidRDefault="009E181C" w:rsidP="009E181C">
      <w:pPr>
        <w:tabs>
          <w:tab w:val="num" w:pos="1080"/>
        </w:tabs>
        <w:spacing w:after="0" w:line="240" w:lineRule="auto"/>
        <w:ind w:right="-578"/>
        <w:rPr>
          <w:rFonts w:ascii="Times New Roman" w:hAnsi="Times New Roman"/>
          <w:bCs/>
          <w:sz w:val="24"/>
          <w:szCs w:val="24"/>
          <w:lang w:eastAsia="sk-SK"/>
        </w:rPr>
      </w:pPr>
    </w:p>
    <w:p w14:paraId="27A2612E" w14:textId="77777777" w:rsidR="009E181C" w:rsidRPr="007D5748" w:rsidRDefault="009E181C" w:rsidP="009E181C">
      <w:pPr>
        <w:tabs>
          <w:tab w:val="num" w:pos="1080"/>
        </w:tabs>
        <w:spacing w:after="0" w:line="240" w:lineRule="auto"/>
        <w:ind w:right="-32"/>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4 </w:t>
      </w:r>
    </w:p>
    <w:p w14:paraId="1B76FA5B" w14:textId="77777777" w:rsidR="009E181C" w:rsidRPr="007D5748" w:rsidRDefault="009E181C" w:rsidP="009E181C">
      <w:pPr>
        <w:tabs>
          <w:tab w:val="num" w:pos="1080"/>
        </w:tabs>
        <w:spacing w:after="0" w:line="240" w:lineRule="auto"/>
        <w:jc w:val="both"/>
        <w:rPr>
          <w:rFonts w:ascii="Times New Roman" w:hAnsi="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9E181C" w:rsidRPr="007D5748" w14:paraId="71BFF1E8" w14:textId="77777777" w:rsidTr="009E181C">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3E6F23F7" w14:textId="77777777" w:rsidR="009E181C" w:rsidRPr="007D5748" w:rsidRDefault="009E181C" w:rsidP="009E181C">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48C38954" w14:textId="77777777" w:rsidR="009E181C" w:rsidRPr="007D5748" w:rsidRDefault="009E181C" w:rsidP="009E181C">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0784A1D"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9E181C" w:rsidRPr="007D5748" w14:paraId="18CDD17D" w14:textId="77777777" w:rsidTr="009E181C">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BB03409" w14:textId="77777777" w:rsidR="009E181C" w:rsidRPr="007D5748" w:rsidRDefault="009E181C" w:rsidP="009E181C">
            <w:pPr>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61C926B1" w14:textId="77777777" w:rsidR="009E181C" w:rsidRPr="007D5748" w:rsidRDefault="009E181C" w:rsidP="009E181C">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14:paraId="7CDE4404" w14:textId="77777777" w:rsidR="009E181C" w:rsidRPr="007D5748" w:rsidRDefault="009E181C" w:rsidP="009E181C">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14:paraId="75E446FC" w14:textId="77777777" w:rsidR="009E181C" w:rsidRPr="007D5748" w:rsidRDefault="009E181C" w:rsidP="009E181C">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14:paraId="5184235D" w14:textId="77777777" w:rsidR="009E181C" w:rsidRPr="00786F6E" w:rsidRDefault="009E181C" w:rsidP="009E181C">
            <w:pPr>
              <w:spacing w:after="0" w:line="240" w:lineRule="auto"/>
              <w:jc w:val="center"/>
              <w:rPr>
                <w:rFonts w:ascii="Times New Roman" w:hAnsi="Times New Roman"/>
                <w:b/>
                <w:bCs/>
                <w:sz w:val="20"/>
                <w:szCs w:val="20"/>
                <w:lang w:eastAsia="sk-SK"/>
              </w:rPr>
            </w:pPr>
            <w:r w:rsidRPr="00786F6E">
              <w:rPr>
                <w:rFonts w:ascii="Times New Roman" w:hAnsi="Times New Roman"/>
                <w:b/>
                <w:bCs/>
                <w:sz w:val="20"/>
                <w:szCs w:val="20"/>
                <w:lang w:eastAsia="sk-SK"/>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14:paraId="554D7D54" w14:textId="77777777" w:rsidR="009E181C" w:rsidRPr="007D5748" w:rsidRDefault="009E181C" w:rsidP="009E181C">
            <w:pPr>
              <w:spacing w:after="0" w:line="240" w:lineRule="auto"/>
              <w:rPr>
                <w:rFonts w:ascii="Times New Roman" w:hAnsi="Times New Roman"/>
                <w:b/>
                <w:bCs/>
                <w:color w:val="FFFFFF"/>
                <w:sz w:val="24"/>
                <w:szCs w:val="24"/>
                <w:lang w:eastAsia="sk-SK"/>
              </w:rPr>
            </w:pPr>
          </w:p>
        </w:tc>
      </w:tr>
      <w:tr w:rsidR="009E181C" w:rsidRPr="007D5748" w14:paraId="63447A25" w14:textId="77777777" w:rsidTr="009E181C">
        <w:trPr>
          <w:trHeight w:val="255"/>
        </w:trPr>
        <w:tc>
          <w:tcPr>
            <w:tcW w:w="7070" w:type="dxa"/>
            <w:tcBorders>
              <w:top w:val="nil"/>
              <w:left w:val="single" w:sz="4" w:space="0" w:color="auto"/>
              <w:bottom w:val="single" w:sz="4" w:space="0" w:color="auto"/>
              <w:right w:val="single" w:sz="4" w:space="0" w:color="auto"/>
            </w:tcBorders>
          </w:tcPr>
          <w:p w14:paraId="2AEA7750" w14:textId="77777777" w:rsidR="009E181C" w:rsidRPr="007D5748" w:rsidRDefault="009E181C" w:rsidP="009E181C">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7FEFF5CD" w14:textId="77777777" w:rsidR="009E181C" w:rsidRPr="007D5748" w:rsidRDefault="009E181C" w:rsidP="009E181C">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14:paraId="33B5AD17" w14:textId="77777777" w:rsidR="009E181C" w:rsidRPr="007D5748" w:rsidRDefault="009E181C" w:rsidP="009E181C">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14:paraId="5BBE0952" w14:textId="77777777" w:rsidR="009E181C" w:rsidRPr="007D5748" w:rsidRDefault="009E181C" w:rsidP="009E181C">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14:paraId="247870F2" w14:textId="77777777" w:rsidR="009E181C" w:rsidRPr="00B33C29" w:rsidRDefault="009E181C" w:rsidP="009E181C">
            <w:pPr>
              <w:spacing w:after="0" w:line="240" w:lineRule="auto"/>
              <w:jc w:val="center"/>
              <w:rPr>
                <w:rFonts w:ascii="Times New Roman" w:hAnsi="Times New Roman"/>
                <w:b/>
                <w:bCs/>
                <w:sz w:val="20"/>
                <w:szCs w:val="20"/>
                <w:lang w:eastAsia="sk-SK"/>
              </w:rPr>
            </w:pPr>
            <w:r w:rsidRPr="00B33C29">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3B91CBCE"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5801AC0F" w14:textId="77777777" w:rsidTr="009E181C">
        <w:trPr>
          <w:trHeight w:val="255"/>
        </w:trPr>
        <w:tc>
          <w:tcPr>
            <w:tcW w:w="7070" w:type="dxa"/>
            <w:tcBorders>
              <w:top w:val="nil"/>
              <w:left w:val="single" w:sz="4" w:space="0" w:color="auto"/>
              <w:bottom w:val="single" w:sz="4" w:space="0" w:color="auto"/>
              <w:right w:val="single" w:sz="4" w:space="0" w:color="auto"/>
            </w:tcBorders>
          </w:tcPr>
          <w:p w14:paraId="550ED540" w14:textId="77777777" w:rsidR="009E181C" w:rsidRPr="007D5748" w:rsidRDefault="009E181C" w:rsidP="009E181C">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3517E319"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707010AB"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163C611E"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25666C14" w14:textId="77777777" w:rsidR="009E181C" w:rsidRPr="007D5748" w:rsidRDefault="009E181C" w:rsidP="009E181C">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654D0D3C"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4A9C91A2" w14:textId="77777777" w:rsidTr="009E181C">
        <w:trPr>
          <w:trHeight w:val="255"/>
        </w:trPr>
        <w:tc>
          <w:tcPr>
            <w:tcW w:w="7070" w:type="dxa"/>
            <w:tcBorders>
              <w:top w:val="nil"/>
              <w:left w:val="single" w:sz="4" w:space="0" w:color="auto"/>
              <w:bottom w:val="single" w:sz="4" w:space="0" w:color="auto"/>
              <w:right w:val="single" w:sz="4" w:space="0" w:color="auto"/>
            </w:tcBorders>
          </w:tcPr>
          <w:p w14:paraId="53329F8D" w14:textId="77777777" w:rsidR="009E181C" w:rsidRPr="007D5748" w:rsidRDefault="009E181C" w:rsidP="009E181C">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581FD7D6"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58A810FF"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42A0E1D3"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310437AA" w14:textId="77777777" w:rsidR="009E181C" w:rsidRPr="007D5748" w:rsidRDefault="009E181C" w:rsidP="009E181C">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09D850B3"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25BF6CFD" w14:textId="77777777" w:rsidTr="009E181C">
        <w:trPr>
          <w:trHeight w:val="255"/>
        </w:trPr>
        <w:tc>
          <w:tcPr>
            <w:tcW w:w="7070" w:type="dxa"/>
            <w:tcBorders>
              <w:top w:val="nil"/>
              <w:left w:val="single" w:sz="4" w:space="0" w:color="auto"/>
              <w:bottom w:val="single" w:sz="4" w:space="0" w:color="auto"/>
              <w:right w:val="single" w:sz="4" w:space="0" w:color="auto"/>
            </w:tcBorders>
          </w:tcPr>
          <w:p w14:paraId="738BCCF0" w14:textId="77777777" w:rsidR="009E181C" w:rsidRPr="007D5748" w:rsidRDefault="009E181C" w:rsidP="009E181C">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5421244"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62C396F0"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04826609"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19910984" w14:textId="77777777" w:rsidR="009E181C" w:rsidRPr="007D5748" w:rsidRDefault="009E181C" w:rsidP="009E181C">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6C26C0CD"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51E9D6BF" w14:textId="77777777" w:rsidTr="009E181C">
        <w:trPr>
          <w:trHeight w:val="255"/>
        </w:trPr>
        <w:tc>
          <w:tcPr>
            <w:tcW w:w="7070" w:type="dxa"/>
            <w:tcBorders>
              <w:top w:val="nil"/>
              <w:left w:val="single" w:sz="4" w:space="0" w:color="auto"/>
              <w:bottom w:val="single" w:sz="4" w:space="0" w:color="auto"/>
              <w:right w:val="single" w:sz="4" w:space="0" w:color="auto"/>
            </w:tcBorders>
          </w:tcPr>
          <w:p w14:paraId="3BC4EAC5" w14:textId="77777777" w:rsidR="009E181C" w:rsidRPr="007D5748" w:rsidRDefault="009E181C" w:rsidP="009E181C">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Bežné transfery (640)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0C6F5EA3"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278E493D"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189C8194"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4723CB21" w14:textId="77777777" w:rsidR="009E181C" w:rsidRPr="007D5748" w:rsidRDefault="009E181C" w:rsidP="009E181C">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43348BF4"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645E6AB8" w14:textId="77777777" w:rsidTr="009E181C">
        <w:trPr>
          <w:trHeight w:val="255"/>
        </w:trPr>
        <w:tc>
          <w:tcPr>
            <w:tcW w:w="7070" w:type="dxa"/>
            <w:tcBorders>
              <w:top w:val="nil"/>
              <w:left w:val="single" w:sz="4" w:space="0" w:color="auto"/>
              <w:bottom w:val="single" w:sz="4" w:space="0" w:color="auto"/>
              <w:right w:val="single" w:sz="4" w:space="0" w:color="auto"/>
            </w:tcBorders>
            <w:vAlign w:val="center"/>
          </w:tcPr>
          <w:p w14:paraId="12E045B1" w14:textId="77777777" w:rsidR="009E181C" w:rsidRPr="007D5748" w:rsidRDefault="009E181C" w:rsidP="009E181C">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t xml:space="preserve"> </w:t>
            </w:r>
            <w:r w:rsidRP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0DE44C8"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2A019050"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190A16DF"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331C1944" w14:textId="77777777" w:rsidR="009E181C" w:rsidRPr="007D5748" w:rsidRDefault="009E181C" w:rsidP="009E181C">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58021EA4" w14:textId="77777777" w:rsidR="009E181C" w:rsidRPr="007D5748" w:rsidRDefault="009E181C" w:rsidP="009E181C">
            <w:pPr>
              <w:spacing w:after="0" w:line="240" w:lineRule="auto"/>
              <w:rPr>
                <w:rFonts w:ascii="Times New Roman" w:hAnsi="Times New Roman"/>
                <w:sz w:val="24"/>
                <w:szCs w:val="24"/>
                <w:lang w:eastAsia="sk-SK"/>
              </w:rPr>
            </w:pPr>
          </w:p>
        </w:tc>
      </w:tr>
      <w:tr w:rsidR="009E181C" w:rsidRPr="007D5748" w14:paraId="39F61D45" w14:textId="77777777" w:rsidTr="009E181C">
        <w:trPr>
          <w:trHeight w:val="255"/>
        </w:trPr>
        <w:tc>
          <w:tcPr>
            <w:tcW w:w="7070" w:type="dxa"/>
            <w:tcBorders>
              <w:top w:val="nil"/>
              <w:left w:val="single" w:sz="4" w:space="0" w:color="auto"/>
              <w:bottom w:val="single" w:sz="4" w:space="0" w:color="auto"/>
              <w:right w:val="single" w:sz="4" w:space="0" w:color="auto"/>
            </w:tcBorders>
          </w:tcPr>
          <w:p w14:paraId="1530F953" w14:textId="77777777" w:rsidR="009E181C" w:rsidRPr="007D5748" w:rsidRDefault="009E181C" w:rsidP="009E181C">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12D9AEE3" w14:textId="77777777" w:rsidR="009E181C" w:rsidRPr="007D5748" w:rsidRDefault="009E181C" w:rsidP="009E181C">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14:paraId="4416E3C0" w14:textId="77777777" w:rsidR="009E181C" w:rsidRPr="007D5748" w:rsidRDefault="009E181C" w:rsidP="009E181C">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14:paraId="3D2C19D0" w14:textId="77777777" w:rsidR="009E181C" w:rsidRPr="007D5748" w:rsidRDefault="009E181C" w:rsidP="009E181C">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14:paraId="5FE70AF7"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3D9C8DBB"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3D71D709" w14:textId="77777777" w:rsidTr="009E181C">
        <w:trPr>
          <w:trHeight w:val="255"/>
        </w:trPr>
        <w:tc>
          <w:tcPr>
            <w:tcW w:w="7070" w:type="dxa"/>
            <w:tcBorders>
              <w:top w:val="nil"/>
              <w:left w:val="single" w:sz="4" w:space="0" w:color="auto"/>
              <w:bottom w:val="single" w:sz="4" w:space="0" w:color="auto"/>
              <w:right w:val="single" w:sz="4" w:space="0" w:color="auto"/>
            </w:tcBorders>
          </w:tcPr>
          <w:p w14:paraId="31CDADD8" w14:textId="77777777" w:rsidR="009E181C" w:rsidRPr="007D5748" w:rsidRDefault="009E181C" w:rsidP="009E181C">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3A92FFC6"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346B33A2"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0FA8AC7D"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54EDFAB2" w14:textId="77777777" w:rsidR="009E181C" w:rsidRPr="007D5748" w:rsidRDefault="009E181C" w:rsidP="009E181C">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48B75CD9"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44EB55D4" w14:textId="77777777" w:rsidTr="009E181C">
        <w:trPr>
          <w:trHeight w:val="255"/>
        </w:trPr>
        <w:tc>
          <w:tcPr>
            <w:tcW w:w="7070" w:type="dxa"/>
            <w:tcBorders>
              <w:top w:val="nil"/>
              <w:left w:val="single" w:sz="4" w:space="0" w:color="auto"/>
              <w:bottom w:val="single" w:sz="4" w:space="0" w:color="auto"/>
              <w:right w:val="single" w:sz="4" w:space="0" w:color="auto"/>
            </w:tcBorders>
          </w:tcPr>
          <w:p w14:paraId="535344D1" w14:textId="77777777" w:rsidR="009E181C" w:rsidRPr="007D5748" w:rsidRDefault="009E181C" w:rsidP="009E181C">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3C83E9E1"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2BB0426B"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23F0C902" w14:textId="77777777" w:rsidR="009E181C" w:rsidRPr="007D5748" w:rsidRDefault="009E181C" w:rsidP="009E181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675C05CD" w14:textId="77777777" w:rsidR="009E181C" w:rsidRPr="007D5748" w:rsidRDefault="009E181C" w:rsidP="009E181C">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50576C87"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1C3E22E0" w14:textId="77777777" w:rsidTr="009E181C">
        <w:trPr>
          <w:trHeight w:val="255"/>
        </w:trPr>
        <w:tc>
          <w:tcPr>
            <w:tcW w:w="7070" w:type="dxa"/>
            <w:tcBorders>
              <w:top w:val="nil"/>
              <w:left w:val="single" w:sz="4" w:space="0" w:color="auto"/>
              <w:bottom w:val="single" w:sz="4" w:space="0" w:color="auto"/>
              <w:right w:val="single" w:sz="4" w:space="0" w:color="auto"/>
            </w:tcBorders>
          </w:tcPr>
          <w:p w14:paraId="1348773E" w14:textId="77777777" w:rsidR="009E181C" w:rsidRPr="007D5748" w:rsidRDefault="009E181C" w:rsidP="009E181C">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5E13351A" w14:textId="77777777" w:rsidR="009E181C" w:rsidRPr="007D5748" w:rsidRDefault="009E181C" w:rsidP="009E181C">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21E90D66" w14:textId="77777777" w:rsidR="009E181C" w:rsidRPr="007D5748" w:rsidRDefault="009E181C" w:rsidP="009E181C">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04B3CB90" w14:textId="77777777" w:rsidR="009E181C" w:rsidRPr="007D5748" w:rsidRDefault="009E181C" w:rsidP="009E181C">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00950E0F"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14:paraId="71491882"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6FDF8714" w14:textId="77777777" w:rsidTr="009E181C">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CC9CC1" w14:textId="77777777" w:rsidR="009E181C" w:rsidRPr="007D5748" w:rsidRDefault="009E181C" w:rsidP="009E181C">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2A6667D" w14:textId="77777777" w:rsidR="009E181C" w:rsidRPr="007D5748" w:rsidRDefault="009E181C" w:rsidP="009E181C">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4B6A31A" w14:textId="77777777" w:rsidR="009E181C" w:rsidRPr="007D5748" w:rsidRDefault="009E181C" w:rsidP="009E181C">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D9BE02E" w14:textId="77777777" w:rsidR="009E181C" w:rsidRPr="007D5748" w:rsidRDefault="009E181C" w:rsidP="009E181C">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FF42659"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46FCB86"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14:paraId="6D4DFB54" w14:textId="77777777" w:rsidR="009E181C" w:rsidRPr="007D5748" w:rsidRDefault="009E181C" w:rsidP="009E181C">
      <w:pPr>
        <w:tabs>
          <w:tab w:val="num" w:pos="1080"/>
        </w:tabs>
        <w:spacing w:after="0" w:line="240" w:lineRule="auto"/>
        <w:ind w:left="-900"/>
        <w:jc w:val="both"/>
        <w:rPr>
          <w:rFonts w:ascii="Times New Roman" w:hAnsi="Times New Roman"/>
          <w:bCs/>
          <w:sz w:val="20"/>
          <w:szCs w:val="20"/>
          <w:lang w:eastAsia="sk-SK"/>
        </w:rPr>
      </w:pPr>
    </w:p>
    <w:p w14:paraId="63AFC976" w14:textId="77777777" w:rsidR="009E181C" w:rsidRPr="007D5748" w:rsidRDefault="009E181C" w:rsidP="009E181C">
      <w:pPr>
        <w:tabs>
          <w:tab w:val="num" w:pos="1080"/>
        </w:tabs>
        <w:spacing w:after="0" w:line="240" w:lineRule="auto"/>
        <w:ind w:left="-900"/>
        <w:jc w:val="both"/>
        <w:rPr>
          <w:rFonts w:ascii="Times New Roman" w:hAnsi="Times New Roman"/>
          <w:bCs/>
          <w:sz w:val="20"/>
          <w:szCs w:val="20"/>
          <w:lang w:eastAsia="sk-SK"/>
        </w:rPr>
      </w:pPr>
    </w:p>
    <w:p w14:paraId="69D0AF1F" w14:textId="77777777" w:rsidR="009E181C" w:rsidRPr="007D5748" w:rsidRDefault="009E181C" w:rsidP="009E181C">
      <w:pPr>
        <w:tabs>
          <w:tab w:val="num" w:pos="1080"/>
        </w:tabs>
        <w:spacing w:after="0" w:line="240" w:lineRule="auto"/>
        <w:ind w:left="-900"/>
        <w:jc w:val="both"/>
        <w:rPr>
          <w:rFonts w:ascii="Times New Roman" w:hAnsi="Times New Roman"/>
          <w:bCs/>
          <w:sz w:val="20"/>
          <w:szCs w:val="20"/>
          <w:lang w:eastAsia="sk-SK"/>
        </w:rPr>
      </w:pPr>
    </w:p>
    <w:p w14:paraId="05DB30C0" w14:textId="77777777" w:rsidR="009E181C" w:rsidRPr="007D5748" w:rsidRDefault="009E181C" w:rsidP="009E181C">
      <w:pPr>
        <w:tabs>
          <w:tab w:val="num" w:pos="1080"/>
        </w:tabs>
        <w:spacing w:after="0" w:line="240" w:lineRule="auto"/>
        <w:ind w:left="-900"/>
        <w:jc w:val="both"/>
        <w:rPr>
          <w:rFonts w:ascii="Times New Roman" w:hAnsi="Times New Roman"/>
          <w:bCs/>
          <w:sz w:val="20"/>
          <w:szCs w:val="20"/>
          <w:lang w:eastAsia="sk-SK"/>
        </w:rPr>
      </w:pPr>
    </w:p>
    <w:p w14:paraId="44E9EC39" w14:textId="77777777" w:rsidR="009E181C" w:rsidRPr="007D5748" w:rsidRDefault="009E181C" w:rsidP="009E181C">
      <w:pPr>
        <w:tabs>
          <w:tab w:val="num" w:pos="1080"/>
        </w:tabs>
        <w:spacing w:after="0" w:line="240" w:lineRule="auto"/>
        <w:jc w:val="both"/>
        <w:rPr>
          <w:rFonts w:ascii="Times New Roman" w:hAnsi="Times New Roman"/>
          <w:bCs/>
          <w:sz w:val="20"/>
          <w:szCs w:val="20"/>
          <w:lang w:eastAsia="sk-SK"/>
        </w:rPr>
      </w:pPr>
    </w:p>
    <w:p w14:paraId="5D182291" w14:textId="77777777" w:rsidR="009E181C" w:rsidRPr="007D5748" w:rsidRDefault="009E181C" w:rsidP="009E181C">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Tabuľka č. 5 </w:t>
      </w:r>
    </w:p>
    <w:p w14:paraId="01F3090B" w14:textId="77777777" w:rsidR="009E181C" w:rsidRPr="007D5748" w:rsidRDefault="009E181C" w:rsidP="009E181C">
      <w:pPr>
        <w:tabs>
          <w:tab w:val="num" w:pos="1080"/>
        </w:tabs>
        <w:spacing w:after="0" w:line="240" w:lineRule="auto"/>
        <w:jc w:val="both"/>
        <w:rPr>
          <w:rFonts w:ascii="Times New Roman" w:hAnsi="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9E181C" w:rsidRPr="007D5748" w14:paraId="15FC6D63" w14:textId="77777777" w:rsidTr="009E181C">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AEA1D7"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3D83B3D0"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9602F7"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9E181C" w:rsidRPr="007D5748" w14:paraId="5015E7C8" w14:textId="77777777" w:rsidTr="009E181C">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FD3687" w14:textId="77777777" w:rsidR="009E181C" w:rsidRPr="007D5748" w:rsidRDefault="009E181C" w:rsidP="009E181C">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00218392" w14:textId="77777777" w:rsidR="009E181C" w:rsidRPr="007D5748" w:rsidRDefault="009E181C" w:rsidP="009E181C">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2022</w:t>
            </w:r>
          </w:p>
        </w:tc>
        <w:tc>
          <w:tcPr>
            <w:tcW w:w="1788" w:type="dxa"/>
            <w:tcBorders>
              <w:top w:val="nil"/>
              <w:left w:val="nil"/>
              <w:bottom w:val="single" w:sz="4" w:space="0" w:color="auto"/>
              <w:right w:val="single" w:sz="4" w:space="0" w:color="auto"/>
            </w:tcBorders>
            <w:shd w:val="clear" w:color="auto" w:fill="BFBFBF" w:themeFill="background1" w:themeFillShade="BF"/>
          </w:tcPr>
          <w:p w14:paraId="20C11B72" w14:textId="77777777" w:rsidR="009E181C" w:rsidRPr="007D5748" w:rsidRDefault="009E181C" w:rsidP="009E181C">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2B46A45E" w14:textId="77777777" w:rsidR="009E181C" w:rsidRPr="007D5748" w:rsidRDefault="009E181C" w:rsidP="009E181C">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1722" w:type="dxa"/>
            <w:tcBorders>
              <w:top w:val="nil"/>
              <w:left w:val="nil"/>
              <w:bottom w:val="single" w:sz="4" w:space="0" w:color="auto"/>
              <w:right w:val="single" w:sz="4" w:space="0" w:color="auto"/>
            </w:tcBorders>
            <w:shd w:val="clear" w:color="auto" w:fill="BFBFBF" w:themeFill="background1" w:themeFillShade="BF"/>
          </w:tcPr>
          <w:p w14:paraId="501C805A" w14:textId="77777777" w:rsidR="009E181C" w:rsidRPr="007D5748" w:rsidRDefault="009E181C" w:rsidP="009E181C">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74E8DA" w14:textId="77777777" w:rsidR="009E181C" w:rsidRPr="007D5748" w:rsidRDefault="009E181C" w:rsidP="009E181C">
            <w:pPr>
              <w:spacing w:after="0" w:line="240" w:lineRule="auto"/>
              <w:rPr>
                <w:rFonts w:ascii="Times New Roman" w:hAnsi="Times New Roman"/>
                <w:b/>
                <w:bCs/>
                <w:color w:val="FFFFFF"/>
                <w:sz w:val="24"/>
                <w:szCs w:val="24"/>
                <w:lang w:eastAsia="sk-SK"/>
              </w:rPr>
            </w:pPr>
          </w:p>
        </w:tc>
      </w:tr>
      <w:tr w:rsidR="009E181C" w:rsidRPr="007D5748" w14:paraId="322A6E5D" w14:textId="77777777" w:rsidTr="009E181C">
        <w:trPr>
          <w:trHeight w:val="255"/>
        </w:trPr>
        <w:tc>
          <w:tcPr>
            <w:tcW w:w="6188" w:type="dxa"/>
            <w:tcBorders>
              <w:top w:val="nil"/>
              <w:left w:val="single" w:sz="4" w:space="0" w:color="auto"/>
              <w:bottom w:val="single" w:sz="4" w:space="0" w:color="auto"/>
              <w:right w:val="single" w:sz="4" w:space="0" w:color="auto"/>
            </w:tcBorders>
          </w:tcPr>
          <w:p w14:paraId="7369D5C5"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3E3AD8E8"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14:paraId="72A01D50"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03916886"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14:paraId="7C6383DD"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10C6B56A"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4BA23DFA" w14:textId="77777777" w:rsidTr="009E181C">
        <w:trPr>
          <w:trHeight w:val="255"/>
        </w:trPr>
        <w:tc>
          <w:tcPr>
            <w:tcW w:w="6188" w:type="dxa"/>
            <w:tcBorders>
              <w:top w:val="nil"/>
              <w:left w:val="single" w:sz="4" w:space="0" w:color="auto"/>
              <w:bottom w:val="single" w:sz="4" w:space="0" w:color="auto"/>
              <w:right w:val="single" w:sz="4" w:space="0" w:color="auto"/>
            </w:tcBorders>
          </w:tcPr>
          <w:p w14:paraId="20D8AADF"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331FF29F"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6BAB8DC8"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2F6B318F"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3E591730"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7ADB56EA" w14:textId="77777777" w:rsidR="009E181C" w:rsidRPr="007D5748" w:rsidRDefault="009E181C" w:rsidP="009E181C">
            <w:pPr>
              <w:spacing w:after="0" w:line="240" w:lineRule="auto"/>
              <w:rPr>
                <w:rFonts w:ascii="Times New Roman" w:hAnsi="Times New Roman"/>
                <w:sz w:val="24"/>
                <w:szCs w:val="24"/>
                <w:lang w:eastAsia="sk-SK"/>
              </w:rPr>
            </w:pPr>
          </w:p>
        </w:tc>
      </w:tr>
      <w:tr w:rsidR="009E181C" w:rsidRPr="007D5748" w14:paraId="70B1BAAC" w14:textId="77777777" w:rsidTr="009E181C">
        <w:trPr>
          <w:trHeight w:val="255"/>
        </w:trPr>
        <w:tc>
          <w:tcPr>
            <w:tcW w:w="6188" w:type="dxa"/>
            <w:tcBorders>
              <w:top w:val="nil"/>
              <w:left w:val="single" w:sz="4" w:space="0" w:color="auto"/>
              <w:bottom w:val="single" w:sz="4" w:space="0" w:color="auto"/>
              <w:right w:val="single" w:sz="4" w:space="0" w:color="auto"/>
            </w:tcBorders>
          </w:tcPr>
          <w:p w14:paraId="2A307A1C"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20C9594B"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677352E8"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4E40851E"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1C3FACE3"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51D843E6"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6F117C4A" w14:textId="77777777" w:rsidTr="009E181C">
        <w:trPr>
          <w:trHeight w:val="255"/>
        </w:trPr>
        <w:tc>
          <w:tcPr>
            <w:tcW w:w="6188" w:type="dxa"/>
            <w:tcBorders>
              <w:top w:val="nil"/>
              <w:left w:val="single" w:sz="4" w:space="0" w:color="auto"/>
              <w:bottom w:val="single" w:sz="4" w:space="0" w:color="auto"/>
              <w:right w:val="single" w:sz="4" w:space="0" w:color="auto"/>
            </w:tcBorders>
          </w:tcPr>
          <w:p w14:paraId="6D535CCE"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321C42A6" w14:textId="77777777" w:rsidR="009E181C" w:rsidRPr="007D5748" w:rsidRDefault="009E181C" w:rsidP="009E181C">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01359EDE" w14:textId="77777777" w:rsidR="009E181C" w:rsidRPr="007D5748" w:rsidRDefault="009E181C" w:rsidP="009E181C">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14:paraId="011C65D9" w14:textId="77777777" w:rsidR="009E181C" w:rsidRPr="007D5748" w:rsidRDefault="009E181C" w:rsidP="009E181C">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14:paraId="397BD5FA" w14:textId="77777777" w:rsidR="009E181C" w:rsidRPr="007D5748" w:rsidRDefault="009E181C" w:rsidP="009E181C">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14:paraId="5ECCBA3C"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0D1C998A" w14:textId="77777777" w:rsidTr="009E181C">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0CDA23B0"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2797D3B5"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06A18626"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7DA4068A"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14:paraId="189BD8D1" w14:textId="77777777" w:rsidR="009E181C" w:rsidRPr="007D5748" w:rsidRDefault="009E181C" w:rsidP="009E181C">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2DD986FE"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9E181C" w:rsidRPr="007D5748" w14:paraId="092FC088" w14:textId="77777777" w:rsidTr="009E181C">
        <w:trPr>
          <w:trHeight w:val="255"/>
        </w:trPr>
        <w:tc>
          <w:tcPr>
            <w:tcW w:w="6188" w:type="dxa"/>
            <w:tcBorders>
              <w:top w:val="nil"/>
              <w:left w:val="single" w:sz="4" w:space="0" w:color="auto"/>
              <w:bottom w:val="single" w:sz="4" w:space="0" w:color="auto"/>
              <w:right w:val="single" w:sz="4" w:space="0" w:color="auto"/>
            </w:tcBorders>
          </w:tcPr>
          <w:p w14:paraId="1D3AFFC1"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7B724090"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14:paraId="6923D004"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1DF02576"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14:paraId="20D9EAF3"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63171FE7"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9E181C" w:rsidRPr="007D5748" w14:paraId="5C336066" w14:textId="77777777" w:rsidTr="009E181C">
        <w:trPr>
          <w:trHeight w:val="255"/>
        </w:trPr>
        <w:tc>
          <w:tcPr>
            <w:tcW w:w="6188" w:type="dxa"/>
            <w:tcBorders>
              <w:top w:val="nil"/>
              <w:left w:val="single" w:sz="4" w:space="0" w:color="auto"/>
              <w:bottom w:val="single" w:sz="4" w:space="0" w:color="auto"/>
              <w:right w:val="single" w:sz="4" w:space="0" w:color="auto"/>
            </w:tcBorders>
          </w:tcPr>
          <w:p w14:paraId="07F9CC32"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151B42C7" w14:textId="77777777" w:rsidR="009E181C" w:rsidRPr="007D5748" w:rsidRDefault="009E181C" w:rsidP="009E181C">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14:paraId="51DD9100" w14:textId="77777777" w:rsidR="009E181C" w:rsidRPr="007D5748" w:rsidRDefault="009E181C" w:rsidP="009E181C">
            <w:pPr>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cPr>
          <w:p w14:paraId="3C109C7E" w14:textId="77777777" w:rsidR="009E181C" w:rsidRPr="007D5748" w:rsidRDefault="009E181C" w:rsidP="009E181C">
            <w:pPr>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cPr>
          <w:p w14:paraId="64507266" w14:textId="77777777" w:rsidR="009E181C" w:rsidRPr="007D5748" w:rsidRDefault="009E181C" w:rsidP="009E181C">
            <w:pPr>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7D41B115"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2C1FC8D2" w14:textId="77777777" w:rsidTr="009E181C">
        <w:trPr>
          <w:trHeight w:val="255"/>
        </w:trPr>
        <w:tc>
          <w:tcPr>
            <w:tcW w:w="6188" w:type="dxa"/>
            <w:tcBorders>
              <w:top w:val="nil"/>
              <w:left w:val="single" w:sz="4" w:space="0" w:color="auto"/>
              <w:bottom w:val="single" w:sz="4" w:space="0" w:color="auto"/>
              <w:right w:val="single" w:sz="4" w:space="0" w:color="auto"/>
            </w:tcBorders>
          </w:tcPr>
          <w:p w14:paraId="3A0606F1"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144515E2"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14:paraId="396539C5"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7B661D05"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14:paraId="17743C95" w14:textId="77777777" w:rsidR="009E181C" w:rsidRPr="007D5748" w:rsidRDefault="009E181C" w:rsidP="009E181C">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6144EC08"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9E181C" w:rsidRPr="007D5748" w14:paraId="090E4300" w14:textId="77777777" w:rsidTr="009E181C">
        <w:trPr>
          <w:trHeight w:val="255"/>
        </w:trPr>
        <w:tc>
          <w:tcPr>
            <w:tcW w:w="6188" w:type="dxa"/>
            <w:tcBorders>
              <w:top w:val="nil"/>
              <w:left w:val="single" w:sz="4" w:space="0" w:color="auto"/>
              <w:bottom w:val="single" w:sz="4" w:space="0" w:color="auto"/>
              <w:right w:val="single" w:sz="4" w:space="0" w:color="auto"/>
            </w:tcBorders>
          </w:tcPr>
          <w:p w14:paraId="5A67F8EE"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61C597BA" w14:textId="77777777" w:rsidR="009E181C" w:rsidRPr="007D5748" w:rsidRDefault="009E181C" w:rsidP="009E181C">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14:paraId="745AAF88" w14:textId="77777777" w:rsidR="009E181C" w:rsidRPr="007D5748" w:rsidRDefault="009E181C" w:rsidP="009E181C">
            <w:pPr>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cPr>
          <w:p w14:paraId="560CE300" w14:textId="77777777" w:rsidR="009E181C" w:rsidRPr="007D5748" w:rsidRDefault="009E181C" w:rsidP="009E181C">
            <w:pPr>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cPr>
          <w:p w14:paraId="476D54BC" w14:textId="77777777" w:rsidR="009E181C" w:rsidRPr="007D5748" w:rsidRDefault="009E181C" w:rsidP="009E181C">
            <w:pPr>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4858930D"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9E181C" w:rsidRPr="007D5748" w14:paraId="33E3F521" w14:textId="77777777" w:rsidTr="009E181C">
        <w:trPr>
          <w:trHeight w:val="255"/>
        </w:trPr>
        <w:tc>
          <w:tcPr>
            <w:tcW w:w="6188" w:type="dxa"/>
            <w:tcBorders>
              <w:top w:val="nil"/>
              <w:left w:val="nil"/>
              <w:bottom w:val="nil"/>
              <w:right w:val="nil"/>
            </w:tcBorders>
            <w:noWrap/>
            <w:vAlign w:val="bottom"/>
          </w:tcPr>
          <w:p w14:paraId="032D1259" w14:textId="77777777" w:rsidR="009E181C" w:rsidRPr="007D5748" w:rsidRDefault="009E181C" w:rsidP="009E181C">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14:paraId="73258E69" w14:textId="77777777" w:rsidR="009E181C" w:rsidRPr="007D5748" w:rsidRDefault="009E181C" w:rsidP="009E181C">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14:paraId="02D54730" w14:textId="77777777" w:rsidR="009E181C" w:rsidRPr="007D5748" w:rsidRDefault="009E181C" w:rsidP="009E181C">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14:paraId="4B18BC5A" w14:textId="77777777" w:rsidR="009E181C" w:rsidRPr="007D5748" w:rsidRDefault="009E181C" w:rsidP="009E181C">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14:paraId="0EFEA038" w14:textId="77777777" w:rsidR="009E181C" w:rsidRPr="007D5748" w:rsidRDefault="009E181C" w:rsidP="009E181C">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14:paraId="59552E74" w14:textId="77777777" w:rsidR="009E181C" w:rsidRPr="007D5748" w:rsidRDefault="009E181C" w:rsidP="009E181C">
            <w:pPr>
              <w:spacing w:after="0" w:line="240" w:lineRule="auto"/>
              <w:rPr>
                <w:rFonts w:ascii="Times New Roman" w:hAnsi="Times New Roman"/>
                <w:sz w:val="24"/>
                <w:szCs w:val="24"/>
                <w:lang w:eastAsia="sk-SK"/>
              </w:rPr>
            </w:pPr>
          </w:p>
        </w:tc>
      </w:tr>
      <w:tr w:rsidR="009E181C" w:rsidRPr="007D5748" w14:paraId="7461DAC3" w14:textId="77777777" w:rsidTr="009E181C">
        <w:trPr>
          <w:trHeight w:val="255"/>
        </w:trPr>
        <w:tc>
          <w:tcPr>
            <w:tcW w:w="6188" w:type="dxa"/>
            <w:tcBorders>
              <w:top w:val="nil"/>
              <w:left w:val="nil"/>
              <w:bottom w:val="nil"/>
              <w:right w:val="nil"/>
            </w:tcBorders>
          </w:tcPr>
          <w:p w14:paraId="4B3FB66C" w14:textId="77777777" w:rsidR="009E181C" w:rsidRPr="007D5748" w:rsidRDefault="009E181C" w:rsidP="009E181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Poznámky:</w:t>
            </w:r>
          </w:p>
        </w:tc>
        <w:tc>
          <w:tcPr>
            <w:tcW w:w="1698" w:type="dxa"/>
            <w:tcBorders>
              <w:top w:val="nil"/>
              <w:left w:val="nil"/>
              <w:bottom w:val="nil"/>
              <w:right w:val="nil"/>
            </w:tcBorders>
            <w:noWrap/>
            <w:vAlign w:val="bottom"/>
          </w:tcPr>
          <w:p w14:paraId="6646395B" w14:textId="77777777" w:rsidR="009E181C" w:rsidRPr="007D5748" w:rsidRDefault="009E181C" w:rsidP="009E181C">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14:paraId="2F133605" w14:textId="77777777" w:rsidR="009E181C" w:rsidRPr="007D5748" w:rsidRDefault="009E181C" w:rsidP="009E181C">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14:paraId="0F0C2F1E" w14:textId="77777777" w:rsidR="009E181C" w:rsidRPr="007D5748" w:rsidRDefault="009E181C" w:rsidP="009E181C">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14:paraId="61784872" w14:textId="77777777" w:rsidR="009E181C" w:rsidRPr="007D5748" w:rsidRDefault="009E181C" w:rsidP="009E181C">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14:paraId="5E80203E" w14:textId="77777777" w:rsidR="009E181C" w:rsidRPr="007D5748" w:rsidRDefault="009E181C" w:rsidP="009E181C">
            <w:pPr>
              <w:spacing w:after="0" w:line="240" w:lineRule="auto"/>
              <w:rPr>
                <w:rFonts w:ascii="Times New Roman" w:hAnsi="Times New Roman"/>
                <w:sz w:val="24"/>
                <w:szCs w:val="24"/>
                <w:lang w:eastAsia="sk-SK"/>
              </w:rPr>
            </w:pPr>
          </w:p>
        </w:tc>
      </w:tr>
      <w:tr w:rsidR="009E181C" w:rsidRPr="007D5748" w14:paraId="1868FED9" w14:textId="77777777" w:rsidTr="009E181C">
        <w:trPr>
          <w:trHeight w:val="255"/>
        </w:trPr>
        <w:tc>
          <w:tcPr>
            <w:tcW w:w="13814" w:type="dxa"/>
            <w:gridSpan w:val="6"/>
            <w:tcBorders>
              <w:top w:val="nil"/>
              <w:left w:val="nil"/>
              <w:bottom w:val="nil"/>
              <w:right w:val="nil"/>
            </w:tcBorders>
            <w:noWrap/>
          </w:tcPr>
          <w:p w14:paraId="69126EC9" w14:textId="77777777" w:rsidR="009E181C" w:rsidRPr="007D5748" w:rsidRDefault="009E181C" w:rsidP="009E181C">
            <w:pPr>
              <w:tabs>
                <w:tab w:val="num" w:pos="1080"/>
              </w:tabs>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3311048"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0C4A45EB" w14:textId="77777777" w:rsidR="009E181C" w:rsidRPr="007D5748" w:rsidRDefault="009E181C" w:rsidP="009E181C">
            <w:pPr>
              <w:spacing w:after="0" w:line="240" w:lineRule="auto"/>
              <w:rPr>
                <w:rFonts w:ascii="Times New Roman" w:hAnsi="Times New Roman"/>
                <w:sz w:val="24"/>
                <w:szCs w:val="24"/>
                <w:lang w:eastAsia="sk-SK"/>
              </w:rPr>
            </w:pPr>
          </w:p>
        </w:tc>
      </w:tr>
      <w:tr w:rsidR="009E181C" w:rsidRPr="007D5748" w14:paraId="086F329C" w14:textId="77777777" w:rsidTr="009E181C">
        <w:trPr>
          <w:trHeight w:val="255"/>
        </w:trPr>
        <w:tc>
          <w:tcPr>
            <w:tcW w:w="10394" w:type="dxa"/>
            <w:gridSpan w:val="4"/>
            <w:tcBorders>
              <w:top w:val="nil"/>
              <w:left w:val="nil"/>
              <w:bottom w:val="nil"/>
              <w:right w:val="nil"/>
            </w:tcBorders>
            <w:noWrap/>
            <w:vAlign w:val="bottom"/>
          </w:tcPr>
          <w:p w14:paraId="0F059754" w14:textId="77777777" w:rsidR="009E181C" w:rsidRPr="007D5748" w:rsidRDefault="009E181C" w:rsidP="009E181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648B2733" w14:textId="77777777" w:rsidR="009E181C" w:rsidRPr="007D5748" w:rsidRDefault="009E181C" w:rsidP="009E181C">
            <w:pPr>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vAlign w:val="bottom"/>
          </w:tcPr>
          <w:p w14:paraId="496BC221" w14:textId="77777777" w:rsidR="009E181C" w:rsidRPr="007D5748" w:rsidRDefault="009E181C" w:rsidP="009E181C">
            <w:pPr>
              <w:spacing w:after="0" w:line="240" w:lineRule="auto"/>
              <w:rPr>
                <w:rFonts w:ascii="Times New Roman" w:hAnsi="Times New Roman"/>
                <w:sz w:val="24"/>
                <w:szCs w:val="24"/>
                <w:lang w:eastAsia="sk-SK"/>
              </w:rPr>
            </w:pPr>
          </w:p>
        </w:tc>
        <w:tc>
          <w:tcPr>
            <w:tcW w:w="990" w:type="dxa"/>
            <w:tcBorders>
              <w:top w:val="nil"/>
              <w:left w:val="nil"/>
              <w:bottom w:val="nil"/>
              <w:right w:val="nil"/>
            </w:tcBorders>
            <w:noWrap/>
            <w:vAlign w:val="bottom"/>
          </w:tcPr>
          <w:p w14:paraId="4603520A" w14:textId="77777777" w:rsidR="009E181C" w:rsidRPr="007D5748" w:rsidRDefault="009E181C" w:rsidP="009E181C">
            <w:pPr>
              <w:spacing w:after="0" w:line="240" w:lineRule="auto"/>
              <w:rPr>
                <w:rFonts w:ascii="Times New Roman" w:hAnsi="Times New Roman"/>
                <w:sz w:val="24"/>
                <w:szCs w:val="24"/>
                <w:lang w:eastAsia="sk-SK"/>
              </w:rPr>
            </w:pPr>
          </w:p>
        </w:tc>
      </w:tr>
    </w:tbl>
    <w:p w14:paraId="2CF55082" w14:textId="77777777" w:rsidR="009E181C" w:rsidRDefault="009E181C" w:rsidP="009E181C"/>
    <w:p w14:paraId="6174AF7B" w14:textId="77777777" w:rsidR="009E181C" w:rsidRDefault="009E181C" w:rsidP="006C64B8">
      <w:pPr>
        <w:pageBreakBefore/>
        <w:widowControl w:val="0"/>
        <w:spacing w:after="0" w:line="240" w:lineRule="auto"/>
        <w:jc w:val="center"/>
        <w:rPr>
          <w:rFonts w:ascii="Times New Roman" w:eastAsia="Calibri" w:hAnsi="Times New Roman"/>
          <w:b/>
          <w:sz w:val="24"/>
          <w:szCs w:val="20"/>
          <w:lang w:eastAsia="sk-SK"/>
        </w:rPr>
        <w:sectPr w:rsidR="009E181C" w:rsidSect="009E181C">
          <w:footerReference w:type="default" r:id="rId16"/>
          <w:pgSz w:w="16838" w:h="11906" w:orient="landscape"/>
          <w:pgMar w:top="1418" w:right="1418" w:bottom="1418" w:left="992" w:header="709" w:footer="709" w:gutter="0"/>
          <w:pgNumType w:start="9"/>
          <w:cols w:space="708"/>
          <w:docGrid w:linePitch="360"/>
        </w:sectPr>
      </w:pPr>
    </w:p>
    <w:p w14:paraId="130FE940" w14:textId="0AEA8172" w:rsidR="006C64B8" w:rsidRPr="006C64B8" w:rsidRDefault="006C64B8" w:rsidP="006C64B8">
      <w:pPr>
        <w:pageBreakBefore/>
        <w:widowControl w:val="0"/>
        <w:spacing w:after="0" w:line="240" w:lineRule="auto"/>
        <w:jc w:val="center"/>
        <w:rPr>
          <w:rFonts w:ascii="Times New Roman" w:eastAsia="Calibri" w:hAnsi="Times New Roman"/>
          <w:b/>
          <w:sz w:val="24"/>
          <w:szCs w:val="20"/>
          <w:lang w:eastAsia="sk-SK"/>
        </w:rPr>
      </w:pPr>
      <w:r w:rsidRPr="006C64B8">
        <w:rPr>
          <w:rFonts w:ascii="Times New Roman" w:eastAsia="Calibri" w:hAnsi="Times New Roman"/>
          <w:b/>
          <w:sz w:val="24"/>
          <w:szCs w:val="20"/>
          <w:lang w:eastAsia="sk-SK"/>
        </w:rPr>
        <w:lastRenderedPageBreak/>
        <w:t>Analýza vplyvov na podnikateľské prostredie</w:t>
      </w:r>
    </w:p>
    <w:p w14:paraId="7F4DD0FB" w14:textId="77777777" w:rsidR="006C64B8" w:rsidRDefault="006C64B8" w:rsidP="006C64B8">
      <w:pPr>
        <w:spacing w:after="0" w:line="240" w:lineRule="auto"/>
        <w:jc w:val="both"/>
        <w:rPr>
          <w:rFonts w:ascii="Times New Roman" w:eastAsia="Calibri" w:hAnsi="Times New Roman"/>
          <w:b/>
          <w:sz w:val="20"/>
          <w:szCs w:val="20"/>
          <w:lang w:eastAsia="sk-SK"/>
        </w:rPr>
      </w:pPr>
    </w:p>
    <w:p w14:paraId="6473FCD6" w14:textId="6C54765D" w:rsidR="006C64B8" w:rsidRPr="006C64B8" w:rsidRDefault="006C64B8" w:rsidP="006C64B8">
      <w:pPr>
        <w:spacing w:after="0" w:line="240" w:lineRule="auto"/>
        <w:jc w:val="both"/>
        <w:rPr>
          <w:rFonts w:ascii="Times New Roman" w:eastAsia="Calibri" w:hAnsi="Times New Roman"/>
          <w:sz w:val="20"/>
          <w:szCs w:val="20"/>
          <w:lang w:eastAsia="sk-SK"/>
        </w:rPr>
      </w:pPr>
      <w:r w:rsidRPr="006C64B8">
        <w:rPr>
          <w:rFonts w:ascii="Times New Roman" w:eastAsia="Calibri" w:hAnsi="Times New Roman"/>
          <w:b/>
          <w:sz w:val="20"/>
          <w:szCs w:val="20"/>
          <w:lang w:eastAsia="sk-SK"/>
        </w:rPr>
        <w:t xml:space="preserve">Názov materiálu: </w:t>
      </w:r>
      <w:r w:rsidRPr="006C64B8">
        <w:rPr>
          <w:rFonts w:ascii="Times New Roman" w:eastAsia="Calibri" w:hAnsi="Times New Roman"/>
          <w:sz w:val="20"/>
          <w:szCs w:val="20"/>
          <w:lang w:eastAsia="sk-SK"/>
        </w:rPr>
        <w:t>Návrh zákona, ktorým sa mení a dopĺňa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r w:rsidRPr="006C64B8">
        <w:rPr>
          <w:rFonts w:ascii="Times New Roman" w:eastAsia="Calibri" w:hAnsi="Times New Roman"/>
          <w:b/>
          <w:sz w:val="20"/>
          <w:szCs w:val="20"/>
          <w:lang w:eastAsia="sk-SK"/>
        </w:rPr>
        <w:t xml:space="preserve"> </w:t>
      </w:r>
      <w:r w:rsidRPr="006C64B8">
        <w:rPr>
          <w:rFonts w:ascii="Times New Roman" w:eastAsia="Calibri" w:hAnsi="Times New Roman"/>
          <w:sz w:val="20"/>
          <w:szCs w:val="20"/>
          <w:lang w:eastAsia="sk-SK"/>
        </w:rPr>
        <w:t>v znení neskorších predpisov.</w:t>
      </w:r>
    </w:p>
    <w:p w14:paraId="50B78D9C" w14:textId="77777777" w:rsidR="006C64B8" w:rsidRPr="006C64B8" w:rsidRDefault="006C64B8" w:rsidP="006C64B8">
      <w:pPr>
        <w:spacing w:after="0" w:line="240" w:lineRule="auto"/>
        <w:jc w:val="both"/>
        <w:rPr>
          <w:rFonts w:ascii="Times New Roman" w:eastAsia="Calibri" w:hAnsi="Times New Roman"/>
          <w:b/>
          <w:sz w:val="20"/>
          <w:szCs w:val="20"/>
          <w:lang w:eastAsia="sk-SK"/>
        </w:rPr>
      </w:pPr>
    </w:p>
    <w:p w14:paraId="2CC07AC8" w14:textId="77777777" w:rsidR="006C64B8" w:rsidRPr="006C64B8" w:rsidRDefault="006C64B8" w:rsidP="006C64B8">
      <w:pPr>
        <w:spacing w:after="0" w:line="240" w:lineRule="auto"/>
        <w:jc w:val="both"/>
        <w:rPr>
          <w:rFonts w:ascii="Times New Roman" w:eastAsia="Calibri" w:hAnsi="Times New Roman"/>
          <w:sz w:val="20"/>
          <w:szCs w:val="20"/>
          <w:lang w:eastAsia="sk-SK"/>
        </w:rPr>
      </w:pPr>
      <w:r w:rsidRPr="006C64B8">
        <w:rPr>
          <w:rFonts w:ascii="Times New Roman" w:eastAsia="Calibri" w:hAnsi="Times New Roman"/>
          <w:b/>
          <w:sz w:val="20"/>
          <w:szCs w:val="20"/>
          <w:lang w:eastAsia="sk-SK"/>
        </w:rPr>
        <w:t xml:space="preserve">Predkladateľ: </w:t>
      </w:r>
      <w:r w:rsidRPr="006C64B8">
        <w:rPr>
          <w:rFonts w:ascii="Times New Roman" w:eastAsia="Calibri" w:hAnsi="Times New Roman"/>
          <w:sz w:val="20"/>
          <w:szCs w:val="20"/>
          <w:lang w:eastAsia="sk-SK"/>
        </w:rPr>
        <w:t>Ministerstvo pôdohospodárstva a rozvoja vidieka Slovenskej republiky</w:t>
      </w:r>
    </w:p>
    <w:p w14:paraId="6F330DB7" w14:textId="77777777" w:rsidR="006C64B8" w:rsidRPr="006C64B8" w:rsidRDefault="006C64B8" w:rsidP="006C64B8">
      <w:pPr>
        <w:spacing w:after="0" w:line="240" w:lineRule="auto"/>
        <w:jc w:val="both"/>
        <w:rPr>
          <w:rFonts w:ascii="Times New Roman" w:eastAsia="Calibri" w:hAnsi="Times New Roman"/>
          <w:b/>
          <w:sz w:val="20"/>
          <w:szCs w:val="20"/>
          <w:lang w:eastAsia="sk-SK"/>
        </w:rPr>
      </w:pPr>
    </w:p>
    <w:p w14:paraId="14A21520" w14:textId="77777777" w:rsidR="006C64B8" w:rsidRPr="006C64B8" w:rsidRDefault="006C64B8" w:rsidP="006C64B8">
      <w:pPr>
        <w:spacing w:after="0" w:line="240" w:lineRule="auto"/>
        <w:jc w:val="both"/>
        <w:rPr>
          <w:rFonts w:ascii="Times New Roman" w:eastAsia="Calibri" w:hAnsi="Times New Roman"/>
          <w:b/>
          <w:sz w:val="20"/>
          <w:szCs w:val="20"/>
          <w:lang w:eastAsia="sk-SK"/>
        </w:rPr>
      </w:pPr>
      <w:r w:rsidRPr="006C64B8">
        <w:rPr>
          <w:rFonts w:ascii="Times New Roman" w:eastAsia="Calibri" w:hAnsi="Times New Roman"/>
          <w:b/>
          <w:sz w:val="20"/>
          <w:szCs w:val="20"/>
          <w:lang w:eastAsia="sk-SK"/>
        </w:rPr>
        <w:t>3.1 Náklady regulácie</w:t>
      </w:r>
    </w:p>
    <w:p w14:paraId="291138FB" w14:textId="77777777" w:rsidR="006C64B8" w:rsidRPr="006C64B8" w:rsidRDefault="006C64B8" w:rsidP="006C64B8">
      <w:pPr>
        <w:tabs>
          <w:tab w:val="left" w:pos="8025"/>
        </w:tabs>
        <w:spacing w:after="0" w:line="240" w:lineRule="auto"/>
        <w:rPr>
          <w:rFonts w:ascii="Times New Roman" w:eastAsia="Calibri" w:hAnsi="Times New Roman"/>
          <w:bCs/>
          <w:i/>
          <w:iCs/>
          <w:sz w:val="20"/>
          <w:szCs w:val="20"/>
          <w:lang w:eastAsia="sk-SK"/>
        </w:rPr>
      </w:pPr>
      <w:r w:rsidRPr="006C64B8">
        <w:rPr>
          <w:rFonts w:ascii="Times New Roman" w:eastAsia="Calibri" w:hAnsi="Times New Roman"/>
          <w:b/>
          <w:i/>
          <w:iCs/>
          <w:sz w:val="20"/>
          <w:szCs w:val="20"/>
          <w:lang w:eastAsia="sk-SK"/>
        </w:rPr>
        <w:t xml:space="preserve">3.1.1 Súhrnná tabuľka nákladov regulácie </w:t>
      </w:r>
      <w:r w:rsidRPr="006C64B8">
        <w:rPr>
          <w:rFonts w:ascii="Times New Roman" w:eastAsia="Calibri" w:hAnsi="Times New Roman"/>
          <w:b/>
          <w:i/>
          <w:iCs/>
          <w:sz w:val="20"/>
          <w:szCs w:val="20"/>
          <w:lang w:eastAsia="sk-SK"/>
        </w:rPr>
        <w:tab/>
      </w:r>
    </w:p>
    <w:p w14:paraId="14C3AC2F" w14:textId="77777777" w:rsidR="006C64B8" w:rsidRPr="006C64B8" w:rsidRDefault="006C64B8" w:rsidP="006C64B8">
      <w:pPr>
        <w:spacing w:after="0" w:line="240" w:lineRule="auto"/>
        <w:jc w:val="both"/>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 xml:space="preserve">Tabuľka č. 1: Zmeny nákladov (ročne) v prepočte na podnikateľské prostredie (PP), vyhodnotenie mechanizmu znižovania byrokracie a nákladov. </w:t>
      </w:r>
    </w:p>
    <w:p w14:paraId="31B146FD" w14:textId="77777777" w:rsidR="006C64B8" w:rsidRPr="006C64B8" w:rsidRDefault="006C64B8" w:rsidP="006C64B8">
      <w:pPr>
        <w:spacing w:after="0" w:line="240" w:lineRule="auto"/>
        <w:jc w:val="both"/>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 xml:space="preserve">Nahraďte rovnakou tabuľkou po vyplnení Kalkulačky nákladov podnikateľského prostredia, ktorá je povinnou prílohou tejto analýzy a nájdete ju na </w:t>
      </w:r>
      <w:hyperlink r:id="rId17" w:history="1">
        <w:r w:rsidRPr="006C64B8">
          <w:rPr>
            <w:rFonts w:ascii="Times New Roman" w:eastAsia="Calibri" w:hAnsi="Times New Roman"/>
            <w:i/>
            <w:color w:val="0563C1"/>
            <w:sz w:val="20"/>
            <w:szCs w:val="20"/>
            <w:u w:val="single"/>
            <w:lang w:eastAsia="sk-SK"/>
          </w:rPr>
          <w:t>webovom sídle MH SR</w:t>
        </w:r>
      </w:hyperlink>
      <w:r w:rsidRPr="006C64B8">
        <w:rPr>
          <w:rFonts w:ascii="Times New Roman" w:eastAsia="Calibri" w:hAnsi="Times New Roman"/>
          <w:i/>
          <w:sz w:val="20"/>
          <w:szCs w:val="20"/>
          <w:lang w:eastAsia="sk-SK"/>
        </w:rPr>
        <w:t>, (ďalej len „Kalkulačka nákladov“):</w:t>
      </w:r>
    </w:p>
    <w:tbl>
      <w:tblPr>
        <w:tblStyle w:val="Mriekatabuky2"/>
        <w:tblW w:w="9067" w:type="dxa"/>
        <w:tblLook w:val="04A0" w:firstRow="1" w:lastRow="0" w:firstColumn="1" w:lastColumn="0" w:noHBand="0" w:noVBand="1"/>
      </w:tblPr>
      <w:tblGrid>
        <w:gridCol w:w="3681"/>
        <w:gridCol w:w="2693"/>
        <w:gridCol w:w="2693"/>
      </w:tblGrid>
      <w:tr w:rsidR="006C64B8" w:rsidRPr="006C64B8" w14:paraId="1D025DF0" w14:textId="77777777" w:rsidTr="009E181C">
        <w:tc>
          <w:tcPr>
            <w:tcW w:w="3681" w:type="dxa"/>
          </w:tcPr>
          <w:p w14:paraId="78FD2F6C" w14:textId="77777777" w:rsidR="006C64B8" w:rsidRPr="006C64B8" w:rsidRDefault="006C64B8" w:rsidP="006C64B8">
            <w:pPr>
              <w:spacing w:after="0" w:line="240" w:lineRule="auto"/>
              <w:rPr>
                <w:rFonts w:ascii="Times New Roman" w:eastAsia="Calibri" w:hAnsi="Times New Roman"/>
                <w:b/>
                <w:bCs/>
                <w:i/>
                <w:sz w:val="20"/>
                <w:szCs w:val="20"/>
                <w:lang w:eastAsia="sk-SK"/>
              </w:rPr>
            </w:pPr>
            <w:r w:rsidRPr="006C64B8">
              <w:rPr>
                <w:rFonts w:ascii="Times New Roman" w:eastAsia="Calibri" w:hAnsi="Times New Roman"/>
                <w:b/>
                <w:bCs/>
                <w:i/>
                <w:sz w:val="20"/>
                <w:szCs w:val="20"/>
                <w:lang w:eastAsia="sk-SK"/>
              </w:rPr>
              <w:t>TYP NÁKLADOV</w:t>
            </w:r>
          </w:p>
        </w:tc>
        <w:tc>
          <w:tcPr>
            <w:tcW w:w="2693" w:type="dxa"/>
            <w:shd w:val="clear" w:color="auto" w:fill="FFC000"/>
          </w:tcPr>
          <w:p w14:paraId="2411486F" w14:textId="77777777" w:rsidR="006C64B8" w:rsidRPr="006C64B8" w:rsidRDefault="006C64B8" w:rsidP="006C64B8">
            <w:pPr>
              <w:spacing w:after="0" w:line="240" w:lineRule="auto"/>
              <w:jc w:val="center"/>
              <w:rPr>
                <w:rFonts w:ascii="Times New Roman" w:eastAsia="Calibri" w:hAnsi="Times New Roman"/>
                <w:i/>
                <w:sz w:val="20"/>
                <w:szCs w:val="20"/>
                <w:lang w:eastAsia="sk-SK"/>
              </w:rPr>
            </w:pPr>
            <w:r w:rsidRPr="006C64B8">
              <w:rPr>
                <w:rFonts w:ascii="Times New Roman" w:eastAsia="Calibri" w:hAnsi="Times New Roman"/>
                <w:b/>
                <w:bCs/>
                <w:color w:val="000000"/>
                <w:sz w:val="20"/>
                <w:szCs w:val="20"/>
                <w:lang w:eastAsia="sk-SK"/>
              </w:rPr>
              <w:t>Zvýšenie nákladov v € na PP</w:t>
            </w:r>
          </w:p>
        </w:tc>
        <w:tc>
          <w:tcPr>
            <w:tcW w:w="2693" w:type="dxa"/>
            <w:shd w:val="clear" w:color="auto" w:fill="92D050"/>
          </w:tcPr>
          <w:p w14:paraId="46148A17" w14:textId="77777777" w:rsidR="006C64B8" w:rsidRPr="006C64B8" w:rsidRDefault="006C64B8" w:rsidP="006C64B8">
            <w:pPr>
              <w:spacing w:after="0" w:line="240" w:lineRule="auto"/>
              <w:jc w:val="center"/>
              <w:rPr>
                <w:rFonts w:ascii="Times New Roman" w:eastAsia="Calibri" w:hAnsi="Times New Roman"/>
                <w:b/>
                <w:bCs/>
                <w:color w:val="000000"/>
                <w:sz w:val="20"/>
                <w:szCs w:val="20"/>
                <w:lang w:eastAsia="sk-SK"/>
              </w:rPr>
            </w:pPr>
            <w:r w:rsidRPr="006C64B8">
              <w:rPr>
                <w:rFonts w:ascii="Times New Roman" w:eastAsia="Calibri" w:hAnsi="Times New Roman"/>
                <w:b/>
                <w:bCs/>
                <w:color w:val="000000"/>
                <w:sz w:val="20"/>
                <w:szCs w:val="20"/>
                <w:lang w:eastAsia="sk-SK"/>
              </w:rPr>
              <w:t>Zníženie nákladov v € na PP</w:t>
            </w:r>
          </w:p>
        </w:tc>
      </w:tr>
      <w:tr w:rsidR="006C64B8" w:rsidRPr="006C64B8" w14:paraId="3A8FD472" w14:textId="77777777" w:rsidTr="009E181C">
        <w:trPr>
          <w:trHeight w:val="227"/>
        </w:trPr>
        <w:tc>
          <w:tcPr>
            <w:tcW w:w="3681" w:type="dxa"/>
          </w:tcPr>
          <w:p w14:paraId="7EDA81E5" w14:textId="77777777" w:rsidR="006C64B8" w:rsidRPr="006C64B8" w:rsidRDefault="006C64B8" w:rsidP="006C64B8">
            <w:pPr>
              <w:spacing w:after="0" w:line="240" w:lineRule="auto"/>
              <w:rPr>
                <w:rFonts w:ascii="Times New Roman" w:eastAsia="Calibri" w:hAnsi="Times New Roman"/>
                <w:i/>
                <w:iCs/>
                <w:sz w:val="20"/>
                <w:szCs w:val="20"/>
                <w:lang w:eastAsia="sk-SK"/>
              </w:rPr>
            </w:pPr>
            <w:r w:rsidRPr="006C64B8">
              <w:rPr>
                <w:rFonts w:ascii="Times New Roman" w:eastAsia="Calibri" w:hAnsi="Times New Roman"/>
                <w:i/>
                <w:iCs/>
                <w:color w:val="000000"/>
                <w:sz w:val="20"/>
                <w:szCs w:val="20"/>
                <w:lang w:eastAsia="sk-SK"/>
              </w:rPr>
              <w:t>A. Dane, odvody, clá a poplatky</w:t>
            </w:r>
            <w:r w:rsidRPr="006C64B8">
              <w:rPr>
                <w:rFonts w:ascii="Times New Roman" w:hAnsi="Times New Roman"/>
                <w:sz w:val="20"/>
                <w:szCs w:val="20"/>
                <w:lang w:eastAsia="sk-SK"/>
              </w:rPr>
              <w:t>,</w:t>
            </w:r>
            <w:r w:rsidRPr="006C64B8">
              <w:rPr>
                <w:rFonts w:ascii="Times New Roman" w:hAnsi="Times New Roman"/>
                <w:b/>
                <w:bCs/>
                <w:sz w:val="20"/>
                <w:szCs w:val="20"/>
                <w:lang w:eastAsia="sk-SK"/>
              </w:rPr>
              <w:t xml:space="preserve"> </w:t>
            </w:r>
            <w:r w:rsidRPr="006C64B8">
              <w:rPr>
                <w:rFonts w:ascii="Times New Roman" w:eastAsia="Calibri" w:hAnsi="Times New Roman"/>
                <w:i/>
                <w:iCs/>
                <w:color w:val="000000"/>
                <w:sz w:val="20"/>
                <w:szCs w:val="20"/>
                <w:lang w:eastAsia="sk-SK"/>
              </w:rPr>
              <w:t xml:space="preserve">ktorých cieľom je znižovať negatívne </w:t>
            </w:r>
            <w:proofErr w:type="spellStart"/>
            <w:r w:rsidRPr="006C64B8">
              <w:rPr>
                <w:rFonts w:ascii="Times New Roman" w:eastAsia="Calibri" w:hAnsi="Times New Roman"/>
                <w:i/>
                <w:iCs/>
                <w:color w:val="000000"/>
                <w:sz w:val="20"/>
                <w:szCs w:val="20"/>
                <w:lang w:eastAsia="sk-SK"/>
              </w:rPr>
              <w:t>externality</w:t>
            </w:r>
            <w:proofErr w:type="spellEnd"/>
          </w:p>
        </w:tc>
        <w:tc>
          <w:tcPr>
            <w:tcW w:w="2693" w:type="dxa"/>
            <w:shd w:val="clear" w:color="auto" w:fill="FFC000"/>
          </w:tcPr>
          <w:p w14:paraId="1FB639DC" w14:textId="77777777" w:rsidR="006C64B8" w:rsidRPr="006C64B8" w:rsidRDefault="006C64B8" w:rsidP="006C64B8">
            <w:pPr>
              <w:spacing w:after="0" w:line="240" w:lineRule="auto"/>
              <w:jc w:val="center"/>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0</w:t>
            </w:r>
          </w:p>
        </w:tc>
        <w:tc>
          <w:tcPr>
            <w:tcW w:w="2693" w:type="dxa"/>
            <w:shd w:val="clear" w:color="auto" w:fill="92D050"/>
          </w:tcPr>
          <w:p w14:paraId="2CD67694" w14:textId="77777777" w:rsidR="006C64B8" w:rsidRPr="006C64B8" w:rsidRDefault="006C64B8" w:rsidP="006C64B8">
            <w:pPr>
              <w:spacing w:after="0" w:line="240" w:lineRule="auto"/>
              <w:jc w:val="center"/>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0</w:t>
            </w:r>
          </w:p>
        </w:tc>
      </w:tr>
      <w:tr w:rsidR="006C64B8" w:rsidRPr="006C64B8" w14:paraId="702F77BD" w14:textId="77777777" w:rsidTr="009E181C">
        <w:tc>
          <w:tcPr>
            <w:tcW w:w="3681" w:type="dxa"/>
          </w:tcPr>
          <w:p w14:paraId="3AD5FA99" w14:textId="77777777" w:rsidR="006C64B8" w:rsidRPr="006C64B8" w:rsidRDefault="006C64B8" w:rsidP="006C64B8">
            <w:pPr>
              <w:spacing w:after="0" w:line="240" w:lineRule="auto"/>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B. Iné poplatky</w:t>
            </w:r>
          </w:p>
        </w:tc>
        <w:tc>
          <w:tcPr>
            <w:tcW w:w="2693" w:type="dxa"/>
            <w:shd w:val="clear" w:color="auto" w:fill="FFC000"/>
          </w:tcPr>
          <w:p w14:paraId="3DFB899D" w14:textId="77777777" w:rsidR="006C64B8" w:rsidRPr="006C64B8" w:rsidRDefault="006C64B8" w:rsidP="006C64B8">
            <w:pPr>
              <w:spacing w:after="0" w:line="240" w:lineRule="auto"/>
              <w:jc w:val="center"/>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0</w:t>
            </w:r>
          </w:p>
        </w:tc>
        <w:tc>
          <w:tcPr>
            <w:tcW w:w="2693" w:type="dxa"/>
            <w:shd w:val="clear" w:color="auto" w:fill="92D050"/>
          </w:tcPr>
          <w:p w14:paraId="75DB1131" w14:textId="77777777" w:rsidR="006C64B8" w:rsidRPr="006C64B8" w:rsidRDefault="006C64B8" w:rsidP="006C64B8">
            <w:pPr>
              <w:spacing w:after="0" w:line="240" w:lineRule="auto"/>
              <w:jc w:val="center"/>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0</w:t>
            </w:r>
          </w:p>
        </w:tc>
      </w:tr>
      <w:tr w:rsidR="006C64B8" w:rsidRPr="006C64B8" w14:paraId="6DED6D80" w14:textId="77777777" w:rsidTr="009E181C">
        <w:tc>
          <w:tcPr>
            <w:tcW w:w="3681" w:type="dxa"/>
          </w:tcPr>
          <w:p w14:paraId="68118013" w14:textId="77777777" w:rsidR="006C64B8" w:rsidRPr="006C64B8" w:rsidRDefault="006C64B8" w:rsidP="006C64B8">
            <w:pPr>
              <w:spacing w:after="0" w:line="240" w:lineRule="auto"/>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C. Nepriame finančné náklady</w:t>
            </w:r>
          </w:p>
        </w:tc>
        <w:tc>
          <w:tcPr>
            <w:tcW w:w="2693" w:type="dxa"/>
            <w:shd w:val="clear" w:color="auto" w:fill="FFC000"/>
          </w:tcPr>
          <w:p w14:paraId="026B40D5" w14:textId="77777777" w:rsidR="006C64B8" w:rsidRPr="006C64B8" w:rsidRDefault="006C64B8" w:rsidP="006C64B8">
            <w:pPr>
              <w:spacing w:after="0" w:line="240" w:lineRule="auto"/>
              <w:jc w:val="center"/>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0</w:t>
            </w:r>
          </w:p>
        </w:tc>
        <w:tc>
          <w:tcPr>
            <w:tcW w:w="2693" w:type="dxa"/>
            <w:shd w:val="clear" w:color="auto" w:fill="92D050"/>
          </w:tcPr>
          <w:p w14:paraId="67A2DC61" w14:textId="77777777" w:rsidR="006C64B8" w:rsidRPr="006C64B8" w:rsidRDefault="006C64B8" w:rsidP="006C64B8">
            <w:pPr>
              <w:spacing w:after="0" w:line="240" w:lineRule="auto"/>
              <w:jc w:val="center"/>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0</w:t>
            </w:r>
          </w:p>
        </w:tc>
      </w:tr>
      <w:tr w:rsidR="006C64B8" w:rsidRPr="006C64B8" w14:paraId="0C4311FB" w14:textId="77777777" w:rsidTr="009E181C">
        <w:tc>
          <w:tcPr>
            <w:tcW w:w="3681" w:type="dxa"/>
          </w:tcPr>
          <w:p w14:paraId="488EA66F" w14:textId="77777777" w:rsidR="006C64B8" w:rsidRPr="006C64B8" w:rsidRDefault="006C64B8" w:rsidP="006C64B8">
            <w:pPr>
              <w:spacing w:after="0" w:line="240" w:lineRule="auto"/>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D. Administratívne náklady</w:t>
            </w:r>
          </w:p>
        </w:tc>
        <w:tc>
          <w:tcPr>
            <w:tcW w:w="2693" w:type="dxa"/>
            <w:shd w:val="clear" w:color="auto" w:fill="FFC000"/>
          </w:tcPr>
          <w:p w14:paraId="2393CF8F" w14:textId="77777777" w:rsidR="006C64B8" w:rsidRPr="006C64B8" w:rsidRDefault="006C64B8" w:rsidP="006C64B8">
            <w:pPr>
              <w:spacing w:after="0" w:line="240" w:lineRule="auto"/>
              <w:jc w:val="center"/>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0</w:t>
            </w:r>
          </w:p>
        </w:tc>
        <w:tc>
          <w:tcPr>
            <w:tcW w:w="2693" w:type="dxa"/>
            <w:shd w:val="clear" w:color="auto" w:fill="92D050"/>
          </w:tcPr>
          <w:p w14:paraId="788E759D" w14:textId="77777777" w:rsidR="006C64B8" w:rsidRPr="006C64B8" w:rsidRDefault="006C64B8" w:rsidP="006C64B8">
            <w:pPr>
              <w:spacing w:after="0" w:line="240" w:lineRule="auto"/>
              <w:jc w:val="center"/>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0</w:t>
            </w:r>
          </w:p>
        </w:tc>
      </w:tr>
      <w:tr w:rsidR="006C64B8" w:rsidRPr="006C64B8" w14:paraId="5A7841AB" w14:textId="77777777" w:rsidTr="009E181C">
        <w:tc>
          <w:tcPr>
            <w:tcW w:w="3681" w:type="dxa"/>
          </w:tcPr>
          <w:p w14:paraId="04158D19" w14:textId="77777777" w:rsidR="006C64B8" w:rsidRPr="006C64B8" w:rsidRDefault="006C64B8" w:rsidP="006C64B8">
            <w:pPr>
              <w:spacing w:after="0" w:line="240" w:lineRule="auto"/>
              <w:rPr>
                <w:rFonts w:ascii="Times New Roman" w:eastAsia="Calibri" w:hAnsi="Times New Roman"/>
                <w:b/>
                <w:i/>
                <w:sz w:val="20"/>
                <w:szCs w:val="20"/>
                <w:lang w:eastAsia="sk-SK"/>
              </w:rPr>
            </w:pPr>
            <w:r w:rsidRPr="006C64B8">
              <w:rPr>
                <w:rFonts w:ascii="Times New Roman" w:eastAsia="Calibri" w:hAnsi="Times New Roman"/>
                <w:b/>
                <w:i/>
                <w:sz w:val="20"/>
                <w:szCs w:val="20"/>
                <w:lang w:eastAsia="sk-SK"/>
              </w:rPr>
              <w:t>Spolu = A+B+C+D</w:t>
            </w:r>
          </w:p>
        </w:tc>
        <w:tc>
          <w:tcPr>
            <w:tcW w:w="2693" w:type="dxa"/>
            <w:shd w:val="clear" w:color="auto" w:fill="FFC000"/>
          </w:tcPr>
          <w:p w14:paraId="49D2B36D" w14:textId="77777777" w:rsidR="006C64B8" w:rsidRPr="006C64B8" w:rsidRDefault="006C64B8" w:rsidP="006C64B8">
            <w:pPr>
              <w:spacing w:after="0" w:line="240" w:lineRule="auto"/>
              <w:jc w:val="center"/>
              <w:rPr>
                <w:rFonts w:ascii="Times New Roman" w:eastAsia="Calibri" w:hAnsi="Times New Roman"/>
                <w:b/>
                <w:i/>
                <w:sz w:val="20"/>
                <w:szCs w:val="20"/>
                <w:lang w:eastAsia="sk-SK"/>
              </w:rPr>
            </w:pPr>
            <w:r w:rsidRPr="006C64B8">
              <w:rPr>
                <w:rFonts w:ascii="Times New Roman" w:eastAsia="Calibri" w:hAnsi="Times New Roman"/>
                <w:b/>
                <w:i/>
                <w:sz w:val="20"/>
                <w:szCs w:val="20"/>
                <w:lang w:eastAsia="sk-SK"/>
              </w:rPr>
              <w:t>0</w:t>
            </w:r>
          </w:p>
        </w:tc>
        <w:tc>
          <w:tcPr>
            <w:tcW w:w="2693" w:type="dxa"/>
            <w:shd w:val="clear" w:color="auto" w:fill="92D050"/>
          </w:tcPr>
          <w:p w14:paraId="333A310B" w14:textId="77777777" w:rsidR="006C64B8" w:rsidRPr="006C64B8" w:rsidRDefault="006C64B8" w:rsidP="006C64B8">
            <w:pPr>
              <w:spacing w:after="0" w:line="240" w:lineRule="auto"/>
              <w:jc w:val="center"/>
              <w:rPr>
                <w:rFonts w:ascii="Times New Roman" w:eastAsia="Calibri" w:hAnsi="Times New Roman"/>
                <w:b/>
                <w:i/>
                <w:sz w:val="20"/>
                <w:szCs w:val="20"/>
                <w:lang w:eastAsia="sk-SK"/>
              </w:rPr>
            </w:pPr>
            <w:r w:rsidRPr="006C64B8">
              <w:rPr>
                <w:rFonts w:ascii="Times New Roman" w:eastAsia="Calibri" w:hAnsi="Times New Roman"/>
                <w:b/>
                <w:i/>
                <w:sz w:val="20"/>
                <w:szCs w:val="20"/>
                <w:lang w:eastAsia="sk-SK"/>
              </w:rPr>
              <w:t>0</w:t>
            </w:r>
          </w:p>
        </w:tc>
      </w:tr>
      <w:tr w:rsidR="006C64B8" w:rsidRPr="006C64B8" w14:paraId="1D97C96F" w14:textId="77777777" w:rsidTr="009E181C">
        <w:tc>
          <w:tcPr>
            <w:tcW w:w="3681" w:type="dxa"/>
          </w:tcPr>
          <w:p w14:paraId="527C32AF" w14:textId="77777777" w:rsidR="006C64B8" w:rsidRPr="006C64B8" w:rsidRDefault="006C64B8" w:rsidP="006C64B8">
            <w:pPr>
              <w:spacing w:after="0" w:line="240" w:lineRule="auto"/>
              <w:rPr>
                <w:rFonts w:ascii="Times New Roman" w:eastAsia="Calibri" w:hAnsi="Times New Roman"/>
                <w:b/>
                <w:i/>
                <w:sz w:val="20"/>
                <w:szCs w:val="20"/>
                <w:lang w:eastAsia="sk-SK"/>
              </w:rPr>
            </w:pPr>
            <w:r w:rsidRPr="006C64B8">
              <w:rPr>
                <w:rFonts w:ascii="Times New Roman" w:eastAsia="Calibri" w:hAnsi="Times New Roman"/>
                <w:b/>
                <w:i/>
                <w:sz w:val="20"/>
                <w:szCs w:val="20"/>
                <w:lang w:eastAsia="sk-SK"/>
              </w:rPr>
              <w:t xml:space="preserve"> z toho</w:t>
            </w:r>
          </w:p>
        </w:tc>
        <w:tc>
          <w:tcPr>
            <w:tcW w:w="2693" w:type="dxa"/>
            <w:shd w:val="clear" w:color="auto" w:fill="FFC000"/>
          </w:tcPr>
          <w:p w14:paraId="01B13D31" w14:textId="77777777" w:rsidR="006C64B8" w:rsidRPr="006C64B8" w:rsidRDefault="006C64B8" w:rsidP="006C64B8">
            <w:pPr>
              <w:spacing w:after="0" w:line="240" w:lineRule="auto"/>
              <w:jc w:val="center"/>
              <w:rPr>
                <w:rFonts w:ascii="Times New Roman" w:eastAsia="Calibri" w:hAnsi="Times New Roman"/>
                <w:b/>
                <w:i/>
                <w:sz w:val="20"/>
                <w:szCs w:val="20"/>
                <w:lang w:eastAsia="sk-SK"/>
              </w:rPr>
            </w:pPr>
          </w:p>
        </w:tc>
        <w:tc>
          <w:tcPr>
            <w:tcW w:w="2693" w:type="dxa"/>
            <w:shd w:val="clear" w:color="auto" w:fill="92D050"/>
          </w:tcPr>
          <w:p w14:paraId="07853D92" w14:textId="77777777" w:rsidR="006C64B8" w:rsidRPr="006C64B8" w:rsidRDefault="006C64B8" w:rsidP="006C64B8">
            <w:pPr>
              <w:spacing w:after="0" w:line="240" w:lineRule="auto"/>
              <w:jc w:val="center"/>
              <w:rPr>
                <w:rFonts w:ascii="Times New Roman" w:eastAsia="Calibri" w:hAnsi="Times New Roman"/>
                <w:b/>
                <w:i/>
                <w:sz w:val="20"/>
                <w:szCs w:val="20"/>
                <w:lang w:eastAsia="sk-SK"/>
              </w:rPr>
            </w:pPr>
          </w:p>
        </w:tc>
      </w:tr>
      <w:tr w:rsidR="006C64B8" w:rsidRPr="006C64B8" w14:paraId="78BDE8A8" w14:textId="77777777" w:rsidTr="009E181C">
        <w:tc>
          <w:tcPr>
            <w:tcW w:w="3681" w:type="dxa"/>
          </w:tcPr>
          <w:p w14:paraId="6317650E" w14:textId="77777777" w:rsidR="006C64B8" w:rsidRPr="006C64B8" w:rsidRDefault="006C64B8" w:rsidP="006C64B8">
            <w:pPr>
              <w:spacing w:after="0" w:line="240" w:lineRule="auto"/>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 xml:space="preserve">E. Vplyv na </w:t>
            </w:r>
            <w:proofErr w:type="spellStart"/>
            <w:r w:rsidRPr="006C64B8">
              <w:rPr>
                <w:rFonts w:ascii="Times New Roman" w:eastAsia="Calibri" w:hAnsi="Times New Roman"/>
                <w:i/>
                <w:sz w:val="20"/>
                <w:szCs w:val="20"/>
                <w:lang w:eastAsia="sk-SK"/>
              </w:rPr>
              <w:t>mikro</w:t>
            </w:r>
            <w:proofErr w:type="spellEnd"/>
            <w:r w:rsidRPr="006C64B8">
              <w:rPr>
                <w:rFonts w:ascii="Times New Roman" w:eastAsia="Calibri" w:hAnsi="Times New Roman"/>
                <w:i/>
                <w:sz w:val="20"/>
                <w:szCs w:val="20"/>
                <w:lang w:eastAsia="sk-SK"/>
              </w:rPr>
              <w:t>, malé a stredné podniky</w:t>
            </w:r>
          </w:p>
        </w:tc>
        <w:tc>
          <w:tcPr>
            <w:tcW w:w="2693" w:type="dxa"/>
            <w:shd w:val="clear" w:color="auto" w:fill="FFC000"/>
          </w:tcPr>
          <w:p w14:paraId="138CAE75" w14:textId="77777777" w:rsidR="006C64B8" w:rsidRPr="006C64B8" w:rsidRDefault="006C64B8" w:rsidP="006C64B8">
            <w:pPr>
              <w:spacing w:after="0" w:line="240" w:lineRule="auto"/>
              <w:jc w:val="center"/>
              <w:rPr>
                <w:rFonts w:ascii="Times New Roman" w:eastAsia="Calibri" w:hAnsi="Times New Roman"/>
                <w:b/>
                <w:i/>
                <w:sz w:val="20"/>
                <w:szCs w:val="20"/>
                <w:lang w:eastAsia="sk-SK"/>
              </w:rPr>
            </w:pPr>
            <w:r w:rsidRPr="006C64B8">
              <w:rPr>
                <w:rFonts w:ascii="Times New Roman" w:eastAsia="Calibri" w:hAnsi="Times New Roman"/>
                <w:i/>
                <w:sz w:val="20"/>
                <w:szCs w:val="20"/>
                <w:lang w:eastAsia="sk-SK"/>
              </w:rPr>
              <w:t>0</w:t>
            </w:r>
          </w:p>
        </w:tc>
        <w:tc>
          <w:tcPr>
            <w:tcW w:w="2693" w:type="dxa"/>
            <w:shd w:val="clear" w:color="auto" w:fill="92D050"/>
          </w:tcPr>
          <w:p w14:paraId="170D6A91" w14:textId="77777777" w:rsidR="006C64B8" w:rsidRPr="006C64B8" w:rsidRDefault="006C64B8" w:rsidP="006C64B8">
            <w:pPr>
              <w:spacing w:after="0" w:line="240" w:lineRule="auto"/>
              <w:jc w:val="center"/>
              <w:rPr>
                <w:rFonts w:ascii="Times New Roman" w:eastAsia="Calibri" w:hAnsi="Times New Roman"/>
                <w:b/>
                <w:i/>
                <w:sz w:val="20"/>
                <w:szCs w:val="20"/>
                <w:lang w:eastAsia="sk-SK"/>
              </w:rPr>
            </w:pPr>
            <w:r w:rsidRPr="006C64B8">
              <w:rPr>
                <w:rFonts w:ascii="Times New Roman" w:eastAsia="Calibri" w:hAnsi="Times New Roman"/>
                <w:i/>
                <w:sz w:val="20"/>
                <w:szCs w:val="20"/>
                <w:lang w:eastAsia="sk-SK"/>
              </w:rPr>
              <w:t>0</w:t>
            </w:r>
          </w:p>
        </w:tc>
      </w:tr>
      <w:tr w:rsidR="006C64B8" w:rsidRPr="006C64B8" w14:paraId="251DC26C" w14:textId="77777777" w:rsidTr="009E181C">
        <w:tc>
          <w:tcPr>
            <w:tcW w:w="3681" w:type="dxa"/>
          </w:tcPr>
          <w:p w14:paraId="289366C6" w14:textId="77777777" w:rsidR="006C64B8" w:rsidRPr="006C64B8" w:rsidRDefault="006C64B8" w:rsidP="006C64B8">
            <w:pPr>
              <w:spacing w:after="0" w:line="240" w:lineRule="auto"/>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F. Úplná harmonizácia práva EÚ</w:t>
            </w:r>
          </w:p>
        </w:tc>
        <w:tc>
          <w:tcPr>
            <w:tcW w:w="2693" w:type="dxa"/>
            <w:shd w:val="clear" w:color="auto" w:fill="FFC000"/>
          </w:tcPr>
          <w:p w14:paraId="39DA8994" w14:textId="77777777" w:rsidR="006C64B8" w:rsidRPr="006C64B8" w:rsidRDefault="006C64B8" w:rsidP="006C64B8">
            <w:pPr>
              <w:spacing w:after="0" w:line="240" w:lineRule="auto"/>
              <w:jc w:val="center"/>
              <w:rPr>
                <w:rFonts w:ascii="Times New Roman" w:eastAsia="Calibri" w:hAnsi="Times New Roman"/>
                <w:b/>
                <w:i/>
                <w:sz w:val="20"/>
                <w:szCs w:val="20"/>
                <w:lang w:eastAsia="sk-SK"/>
              </w:rPr>
            </w:pPr>
            <w:r w:rsidRPr="006C64B8">
              <w:rPr>
                <w:rFonts w:ascii="Times New Roman" w:eastAsia="Calibri" w:hAnsi="Times New Roman"/>
                <w:i/>
                <w:sz w:val="20"/>
                <w:szCs w:val="20"/>
                <w:lang w:eastAsia="sk-SK"/>
              </w:rPr>
              <w:t>0</w:t>
            </w:r>
          </w:p>
        </w:tc>
        <w:tc>
          <w:tcPr>
            <w:tcW w:w="2693" w:type="dxa"/>
            <w:shd w:val="clear" w:color="auto" w:fill="92D050"/>
          </w:tcPr>
          <w:p w14:paraId="0FDCCFD4" w14:textId="77777777" w:rsidR="006C64B8" w:rsidRPr="006C64B8" w:rsidRDefault="006C64B8" w:rsidP="006C64B8">
            <w:pPr>
              <w:spacing w:after="0" w:line="240" w:lineRule="auto"/>
              <w:jc w:val="center"/>
              <w:rPr>
                <w:rFonts w:ascii="Times New Roman" w:eastAsia="Calibri" w:hAnsi="Times New Roman"/>
                <w:b/>
                <w:i/>
                <w:sz w:val="20"/>
                <w:szCs w:val="20"/>
                <w:lang w:eastAsia="sk-SK"/>
              </w:rPr>
            </w:pPr>
            <w:r w:rsidRPr="006C64B8">
              <w:rPr>
                <w:rFonts w:ascii="Times New Roman" w:eastAsia="Calibri" w:hAnsi="Times New Roman"/>
                <w:i/>
                <w:sz w:val="20"/>
                <w:szCs w:val="20"/>
                <w:lang w:eastAsia="sk-SK"/>
              </w:rPr>
              <w:t>0</w:t>
            </w:r>
          </w:p>
        </w:tc>
      </w:tr>
      <w:tr w:rsidR="006C64B8" w:rsidRPr="006C64B8" w14:paraId="1AE8CB59" w14:textId="77777777" w:rsidTr="009E181C">
        <w:tc>
          <w:tcPr>
            <w:tcW w:w="9067" w:type="dxa"/>
            <w:gridSpan w:val="3"/>
            <w:shd w:val="clear" w:color="auto" w:fill="auto"/>
          </w:tcPr>
          <w:p w14:paraId="01B86AE0" w14:textId="77777777" w:rsidR="006C64B8" w:rsidRPr="006C64B8" w:rsidRDefault="006C64B8" w:rsidP="006C64B8">
            <w:pPr>
              <w:spacing w:after="0" w:line="240" w:lineRule="auto"/>
              <w:jc w:val="center"/>
              <w:rPr>
                <w:rFonts w:ascii="Times New Roman" w:eastAsia="Calibri" w:hAnsi="Times New Roman"/>
                <w:b/>
                <w:bCs/>
                <w:i/>
                <w:sz w:val="20"/>
                <w:szCs w:val="20"/>
                <w:lang w:eastAsia="sk-SK"/>
              </w:rPr>
            </w:pPr>
          </w:p>
        </w:tc>
      </w:tr>
      <w:tr w:rsidR="006C64B8" w:rsidRPr="006C64B8" w14:paraId="44C3D33F" w14:textId="77777777" w:rsidTr="009E181C">
        <w:tc>
          <w:tcPr>
            <w:tcW w:w="3681" w:type="dxa"/>
          </w:tcPr>
          <w:p w14:paraId="6FCDE31B" w14:textId="77777777" w:rsidR="006C64B8" w:rsidRPr="006C64B8" w:rsidRDefault="006C64B8" w:rsidP="006C64B8">
            <w:pPr>
              <w:spacing w:after="0" w:line="240" w:lineRule="auto"/>
              <w:rPr>
                <w:rFonts w:ascii="Times New Roman" w:eastAsia="Calibri" w:hAnsi="Times New Roman"/>
                <w:b/>
                <w:i/>
                <w:sz w:val="20"/>
                <w:szCs w:val="20"/>
                <w:lang w:eastAsia="sk-SK"/>
              </w:rPr>
            </w:pPr>
            <w:r w:rsidRPr="006C64B8">
              <w:rPr>
                <w:rFonts w:ascii="Times New Roman" w:eastAsia="Calibri" w:hAnsi="Times New Roman"/>
                <w:b/>
                <w:bCs/>
                <w:i/>
                <w:sz w:val="20"/>
                <w:szCs w:val="20"/>
                <w:lang w:eastAsia="sk-SK"/>
              </w:rPr>
              <w:t>VÝPOČET mechanizmu znižovania byrokracie a nákladov</w:t>
            </w:r>
          </w:p>
        </w:tc>
        <w:tc>
          <w:tcPr>
            <w:tcW w:w="2693" w:type="dxa"/>
            <w:shd w:val="clear" w:color="auto" w:fill="FFC000"/>
          </w:tcPr>
          <w:p w14:paraId="488E887B" w14:textId="77777777" w:rsidR="006C64B8" w:rsidRPr="006C64B8" w:rsidRDefault="006C64B8" w:rsidP="006C64B8">
            <w:pPr>
              <w:spacing w:after="0" w:line="240" w:lineRule="auto"/>
              <w:jc w:val="center"/>
              <w:rPr>
                <w:rFonts w:ascii="Times New Roman" w:eastAsia="Calibri" w:hAnsi="Times New Roman"/>
                <w:b/>
                <w:bCs/>
                <w:i/>
                <w:sz w:val="20"/>
                <w:szCs w:val="20"/>
                <w:lang w:eastAsia="sk-SK"/>
              </w:rPr>
            </w:pPr>
            <w:r w:rsidRPr="006C64B8">
              <w:rPr>
                <w:rFonts w:ascii="Times New Roman" w:eastAsia="Calibri" w:hAnsi="Times New Roman"/>
                <w:b/>
                <w:bCs/>
                <w:i/>
                <w:sz w:val="20"/>
                <w:szCs w:val="20"/>
                <w:lang w:eastAsia="sk-SK"/>
              </w:rPr>
              <w:t>IN</w:t>
            </w:r>
          </w:p>
        </w:tc>
        <w:tc>
          <w:tcPr>
            <w:tcW w:w="2693" w:type="dxa"/>
            <w:shd w:val="clear" w:color="auto" w:fill="92D050"/>
          </w:tcPr>
          <w:p w14:paraId="1F16B253" w14:textId="77777777" w:rsidR="006C64B8" w:rsidRPr="006C64B8" w:rsidRDefault="006C64B8" w:rsidP="006C64B8">
            <w:pPr>
              <w:spacing w:after="0" w:line="240" w:lineRule="auto"/>
              <w:jc w:val="center"/>
              <w:rPr>
                <w:rFonts w:ascii="Times New Roman" w:eastAsia="Calibri" w:hAnsi="Times New Roman"/>
                <w:b/>
                <w:bCs/>
                <w:i/>
                <w:sz w:val="20"/>
                <w:szCs w:val="20"/>
                <w:lang w:eastAsia="sk-SK"/>
              </w:rPr>
            </w:pPr>
            <w:r w:rsidRPr="006C64B8">
              <w:rPr>
                <w:rFonts w:ascii="Times New Roman" w:eastAsia="Calibri" w:hAnsi="Times New Roman"/>
                <w:b/>
                <w:bCs/>
                <w:i/>
                <w:sz w:val="20"/>
                <w:szCs w:val="20"/>
                <w:lang w:eastAsia="sk-SK"/>
              </w:rPr>
              <w:t>OUT</w:t>
            </w:r>
          </w:p>
        </w:tc>
      </w:tr>
      <w:tr w:rsidR="006C64B8" w:rsidRPr="006C64B8" w14:paraId="19AA0ED1" w14:textId="77777777" w:rsidTr="009E181C">
        <w:tc>
          <w:tcPr>
            <w:tcW w:w="3681" w:type="dxa"/>
          </w:tcPr>
          <w:p w14:paraId="278C0176" w14:textId="77777777" w:rsidR="006C64B8" w:rsidRPr="006C64B8" w:rsidRDefault="006C64B8" w:rsidP="006C64B8">
            <w:pPr>
              <w:spacing w:after="0" w:line="240" w:lineRule="auto"/>
              <w:rPr>
                <w:rFonts w:ascii="Times New Roman" w:eastAsia="Calibri" w:hAnsi="Times New Roman"/>
                <w:b/>
                <w:i/>
                <w:sz w:val="20"/>
                <w:szCs w:val="20"/>
                <w:lang w:eastAsia="sk-SK"/>
              </w:rPr>
            </w:pPr>
            <w:r w:rsidRPr="006C64B8">
              <w:rPr>
                <w:rFonts w:ascii="Times New Roman" w:eastAsia="Calibri" w:hAnsi="Times New Roman"/>
                <w:b/>
                <w:i/>
                <w:sz w:val="20"/>
                <w:szCs w:val="20"/>
                <w:lang w:eastAsia="sk-SK"/>
              </w:rPr>
              <w:t>G. Náklady okrem výnimiek = B+C+D-F</w:t>
            </w:r>
          </w:p>
        </w:tc>
        <w:tc>
          <w:tcPr>
            <w:tcW w:w="2693" w:type="dxa"/>
            <w:shd w:val="clear" w:color="auto" w:fill="FFC000"/>
          </w:tcPr>
          <w:p w14:paraId="4120E315" w14:textId="77777777" w:rsidR="006C64B8" w:rsidRPr="006C64B8" w:rsidRDefault="006C64B8" w:rsidP="006C64B8">
            <w:pPr>
              <w:spacing w:after="0" w:line="240" w:lineRule="auto"/>
              <w:jc w:val="center"/>
              <w:rPr>
                <w:rFonts w:ascii="Times New Roman" w:eastAsia="Calibri" w:hAnsi="Times New Roman"/>
                <w:b/>
                <w:bCs/>
                <w:i/>
                <w:sz w:val="20"/>
                <w:szCs w:val="20"/>
                <w:lang w:eastAsia="sk-SK"/>
              </w:rPr>
            </w:pPr>
            <w:r w:rsidRPr="006C64B8">
              <w:rPr>
                <w:rFonts w:ascii="Times New Roman" w:eastAsia="Calibri" w:hAnsi="Times New Roman"/>
                <w:b/>
                <w:bCs/>
                <w:i/>
                <w:sz w:val="20"/>
                <w:szCs w:val="20"/>
                <w:lang w:eastAsia="sk-SK"/>
              </w:rPr>
              <w:t>0</w:t>
            </w:r>
          </w:p>
        </w:tc>
        <w:tc>
          <w:tcPr>
            <w:tcW w:w="2693" w:type="dxa"/>
            <w:shd w:val="clear" w:color="auto" w:fill="92D050"/>
          </w:tcPr>
          <w:p w14:paraId="25B486F4" w14:textId="77777777" w:rsidR="006C64B8" w:rsidRPr="006C64B8" w:rsidRDefault="006C64B8" w:rsidP="006C64B8">
            <w:pPr>
              <w:spacing w:after="0" w:line="240" w:lineRule="auto"/>
              <w:jc w:val="center"/>
              <w:rPr>
                <w:rFonts w:ascii="Times New Roman" w:eastAsia="Calibri" w:hAnsi="Times New Roman"/>
                <w:b/>
                <w:bCs/>
                <w:i/>
                <w:sz w:val="20"/>
                <w:szCs w:val="20"/>
                <w:lang w:eastAsia="sk-SK"/>
              </w:rPr>
            </w:pPr>
            <w:r w:rsidRPr="006C64B8">
              <w:rPr>
                <w:rFonts w:ascii="Times New Roman" w:eastAsia="Calibri" w:hAnsi="Times New Roman"/>
                <w:b/>
                <w:bCs/>
                <w:i/>
                <w:sz w:val="20"/>
                <w:szCs w:val="20"/>
                <w:lang w:eastAsia="sk-SK"/>
              </w:rPr>
              <w:t>0</w:t>
            </w:r>
          </w:p>
        </w:tc>
      </w:tr>
    </w:tbl>
    <w:p w14:paraId="2C07290A" w14:textId="77777777" w:rsidR="006C64B8" w:rsidRPr="006C64B8" w:rsidRDefault="006C64B8" w:rsidP="006C64B8">
      <w:pPr>
        <w:spacing w:after="0" w:line="240" w:lineRule="auto"/>
        <w:rPr>
          <w:rFonts w:ascii="Times New Roman" w:eastAsia="Calibri" w:hAnsi="Times New Roman"/>
          <w:i/>
          <w:sz w:val="20"/>
          <w:szCs w:val="20"/>
          <w:lang w:eastAsia="sk-SK"/>
        </w:rPr>
      </w:pPr>
    </w:p>
    <w:p w14:paraId="29BE388E" w14:textId="77777777" w:rsidR="006C64B8" w:rsidRPr="006C64B8" w:rsidRDefault="006C64B8" w:rsidP="006C64B8">
      <w:pPr>
        <w:spacing w:after="0" w:line="240" w:lineRule="auto"/>
        <w:rPr>
          <w:rFonts w:ascii="Times New Roman" w:eastAsia="Calibri" w:hAnsi="Times New Roman"/>
          <w:b/>
          <w:sz w:val="20"/>
          <w:szCs w:val="20"/>
          <w:lang w:eastAsia="sk-SK"/>
        </w:rPr>
      </w:pPr>
    </w:p>
    <w:p w14:paraId="018C63DA" w14:textId="77777777" w:rsidR="006C64B8" w:rsidRPr="006C64B8" w:rsidRDefault="006C64B8" w:rsidP="006C64B8">
      <w:pPr>
        <w:spacing w:after="0" w:line="240" w:lineRule="auto"/>
        <w:rPr>
          <w:rFonts w:ascii="Times New Roman" w:eastAsia="Calibri" w:hAnsi="Times New Roman"/>
          <w:b/>
          <w:sz w:val="20"/>
          <w:szCs w:val="20"/>
          <w:lang w:eastAsia="sk-SK"/>
        </w:rPr>
        <w:sectPr w:rsidR="006C64B8" w:rsidRPr="006C64B8" w:rsidSect="009E181C">
          <w:pgSz w:w="11906" w:h="16838"/>
          <w:pgMar w:top="992" w:right="1418" w:bottom="1418" w:left="1418" w:header="709" w:footer="709" w:gutter="0"/>
          <w:pgNumType w:start="11"/>
          <w:cols w:space="708"/>
          <w:docGrid w:linePitch="360"/>
        </w:sectPr>
      </w:pPr>
    </w:p>
    <w:p w14:paraId="01DF4185" w14:textId="77777777" w:rsidR="006C64B8" w:rsidRPr="006C64B8" w:rsidRDefault="006C64B8" w:rsidP="006C64B8">
      <w:pPr>
        <w:spacing w:after="0" w:line="240" w:lineRule="auto"/>
        <w:rPr>
          <w:rFonts w:ascii="Times New Roman" w:eastAsia="Calibri" w:hAnsi="Times New Roman"/>
          <w:b/>
          <w:i/>
          <w:iCs/>
          <w:sz w:val="20"/>
          <w:szCs w:val="20"/>
          <w:lang w:eastAsia="sk-SK"/>
        </w:rPr>
      </w:pPr>
      <w:r w:rsidRPr="006C64B8">
        <w:rPr>
          <w:rFonts w:ascii="Times New Roman" w:eastAsia="Calibri" w:hAnsi="Times New Roman"/>
          <w:b/>
          <w:i/>
          <w:iCs/>
          <w:sz w:val="20"/>
          <w:szCs w:val="20"/>
          <w:lang w:eastAsia="sk-SK"/>
        </w:rPr>
        <w:lastRenderedPageBreak/>
        <w:t>3.1.2 Výpočty vplyvov jednotlivých regulácií na zmeny v nákladoch podnikateľov</w:t>
      </w:r>
      <w:r w:rsidRPr="006C64B8">
        <w:rPr>
          <w:rFonts w:ascii="Times New Roman" w:eastAsia="Calibri" w:hAnsi="Times New Roman"/>
          <w:i/>
          <w:sz w:val="20"/>
          <w:szCs w:val="20"/>
          <w:lang w:eastAsia="sk-SK"/>
        </w:rPr>
        <w:tab/>
      </w:r>
      <w:r w:rsidRPr="006C64B8">
        <w:rPr>
          <w:rFonts w:ascii="Times New Roman" w:eastAsia="Calibri" w:hAnsi="Times New Roman"/>
          <w:i/>
          <w:sz w:val="20"/>
          <w:szCs w:val="20"/>
          <w:lang w:eastAsia="sk-SK"/>
        </w:rPr>
        <w:tab/>
      </w:r>
      <w:r w:rsidRPr="006C64B8">
        <w:rPr>
          <w:rFonts w:ascii="Times New Roman" w:eastAsia="Calibri" w:hAnsi="Times New Roman"/>
          <w:i/>
          <w:sz w:val="20"/>
          <w:szCs w:val="20"/>
          <w:lang w:eastAsia="sk-SK"/>
        </w:rPr>
        <w:tab/>
      </w:r>
      <w:r w:rsidRPr="006C64B8">
        <w:rPr>
          <w:rFonts w:ascii="Times New Roman" w:eastAsia="Calibri" w:hAnsi="Times New Roman"/>
          <w:i/>
          <w:sz w:val="20"/>
          <w:szCs w:val="20"/>
          <w:lang w:eastAsia="sk-SK"/>
        </w:rPr>
        <w:tab/>
      </w:r>
      <w:r w:rsidRPr="006C64B8">
        <w:rPr>
          <w:rFonts w:ascii="Times New Roman" w:eastAsia="Calibri" w:hAnsi="Times New Roman"/>
          <w:i/>
          <w:sz w:val="20"/>
          <w:szCs w:val="20"/>
          <w:lang w:eastAsia="sk-SK"/>
        </w:rPr>
        <w:tab/>
      </w:r>
      <w:r w:rsidRPr="006C64B8">
        <w:rPr>
          <w:rFonts w:ascii="Times New Roman" w:eastAsia="Calibri" w:hAnsi="Times New Roman"/>
          <w:i/>
          <w:sz w:val="20"/>
          <w:szCs w:val="20"/>
          <w:lang w:eastAsia="sk-SK"/>
        </w:rPr>
        <w:tab/>
      </w:r>
      <w:r w:rsidRPr="006C64B8">
        <w:rPr>
          <w:rFonts w:ascii="Times New Roman" w:eastAsia="Calibri" w:hAnsi="Times New Roman"/>
          <w:i/>
          <w:sz w:val="20"/>
          <w:szCs w:val="20"/>
          <w:lang w:eastAsia="sk-SK"/>
        </w:rPr>
        <w:tab/>
      </w:r>
      <w:r w:rsidRPr="006C64B8">
        <w:rPr>
          <w:rFonts w:ascii="Times New Roman" w:eastAsia="Calibri" w:hAnsi="Times New Roman"/>
          <w:i/>
          <w:sz w:val="20"/>
          <w:szCs w:val="20"/>
          <w:lang w:eastAsia="sk-SK"/>
        </w:rPr>
        <w:tab/>
      </w:r>
    </w:p>
    <w:p w14:paraId="6CE13BF2" w14:textId="77777777" w:rsidR="006C64B8" w:rsidRPr="006C64B8" w:rsidRDefault="006C64B8" w:rsidP="006C64B8">
      <w:pPr>
        <w:spacing w:after="0" w:line="240" w:lineRule="auto"/>
        <w:jc w:val="both"/>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
        <w:gridCol w:w="2690"/>
        <w:gridCol w:w="1677"/>
        <w:gridCol w:w="1129"/>
        <w:gridCol w:w="1246"/>
        <w:gridCol w:w="934"/>
        <w:gridCol w:w="1677"/>
        <w:gridCol w:w="974"/>
        <w:gridCol w:w="974"/>
        <w:gridCol w:w="982"/>
        <w:gridCol w:w="992"/>
        <w:gridCol w:w="1107"/>
      </w:tblGrid>
      <w:tr w:rsidR="006C64B8" w:rsidRPr="006C64B8" w14:paraId="7BF2E6E5" w14:textId="77777777" w:rsidTr="009E181C">
        <w:trPr>
          <w:trHeight w:val="1885"/>
        </w:trPr>
        <w:tc>
          <w:tcPr>
            <w:tcW w:w="479" w:type="dxa"/>
            <w:shd w:val="clear" w:color="auto" w:fill="BFBFBF"/>
            <w:vAlign w:val="center"/>
          </w:tcPr>
          <w:p w14:paraId="17C593D6" w14:textId="77777777" w:rsidR="006C64B8" w:rsidRPr="006C64B8" w:rsidRDefault="006C64B8" w:rsidP="006C64B8">
            <w:pPr>
              <w:spacing w:after="0" w:line="240" w:lineRule="auto"/>
              <w:jc w:val="center"/>
              <w:rPr>
                <w:rFonts w:ascii="Times New Roman" w:hAnsi="Times New Roman"/>
                <w:b/>
                <w:bCs/>
                <w:color w:val="000000"/>
                <w:sz w:val="20"/>
                <w:szCs w:val="20"/>
                <w:lang w:eastAsia="sk-SK"/>
              </w:rPr>
            </w:pPr>
            <w:proofErr w:type="spellStart"/>
            <w:r w:rsidRPr="006C64B8">
              <w:rPr>
                <w:rFonts w:ascii="Times New Roman" w:hAnsi="Times New Roman"/>
                <w:b/>
                <w:bCs/>
                <w:color w:val="000000"/>
                <w:sz w:val="20"/>
                <w:szCs w:val="20"/>
                <w:lang w:eastAsia="sk-SK"/>
              </w:rPr>
              <w:t>P.č</w:t>
            </w:r>
            <w:proofErr w:type="spellEnd"/>
            <w:r w:rsidRPr="006C64B8">
              <w:rPr>
                <w:rFonts w:ascii="Times New Roman" w:hAnsi="Times New Roman"/>
                <w:b/>
                <w:bCs/>
                <w:color w:val="000000"/>
                <w:sz w:val="20"/>
                <w:szCs w:val="20"/>
                <w:lang w:eastAsia="sk-SK"/>
              </w:rPr>
              <w:t>.</w:t>
            </w:r>
          </w:p>
        </w:tc>
        <w:tc>
          <w:tcPr>
            <w:tcW w:w="2690" w:type="dxa"/>
            <w:shd w:val="clear" w:color="auto" w:fill="BFBFBF"/>
            <w:vAlign w:val="center"/>
            <w:hideMark/>
          </w:tcPr>
          <w:p w14:paraId="11C526AD" w14:textId="77777777" w:rsidR="006C64B8" w:rsidRPr="006C64B8" w:rsidRDefault="006C64B8" w:rsidP="006C64B8">
            <w:pPr>
              <w:spacing w:after="0" w:line="240" w:lineRule="auto"/>
              <w:jc w:val="center"/>
              <w:rPr>
                <w:rFonts w:ascii="Times New Roman" w:hAnsi="Times New Roman"/>
                <w:b/>
                <w:bCs/>
                <w:color w:val="000000"/>
                <w:sz w:val="20"/>
                <w:szCs w:val="20"/>
                <w:lang w:eastAsia="sk-SK"/>
              </w:rPr>
            </w:pPr>
            <w:r w:rsidRPr="006C64B8">
              <w:rPr>
                <w:rFonts w:ascii="Times New Roman" w:hAnsi="Times New Roman"/>
                <w:b/>
                <w:bCs/>
                <w:color w:val="000000"/>
                <w:sz w:val="20"/>
                <w:szCs w:val="20"/>
                <w:lang w:eastAsia="sk-SK"/>
              </w:rPr>
              <w:t>Zrozumiteľný a stručný opis regulácie vyjadrujúci dôvod zvýšenia/zníženia nákladov na PP</w:t>
            </w:r>
          </w:p>
        </w:tc>
        <w:tc>
          <w:tcPr>
            <w:tcW w:w="1677" w:type="dxa"/>
            <w:shd w:val="clear" w:color="auto" w:fill="BFBFBF"/>
          </w:tcPr>
          <w:p w14:paraId="53697B96" w14:textId="77777777" w:rsidR="006C64B8" w:rsidRPr="006C64B8" w:rsidRDefault="006C64B8" w:rsidP="006C64B8">
            <w:pPr>
              <w:spacing w:after="0" w:line="240" w:lineRule="auto"/>
              <w:jc w:val="center"/>
              <w:rPr>
                <w:rFonts w:ascii="Times New Roman" w:hAnsi="Times New Roman"/>
                <w:b/>
                <w:bCs/>
                <w:color w:val="000000"/>
                <w:sz w:val="20"/>
                <w:szCs w:val="20"/>
                <w:lang w:eastAsia="sk-SK"/>
              </w:rPr>
            </w:pPr>
          </w:p>
          <w:p w14:paraId="10B700F0" w14:textId="77777777" w:rsidR="006C64B8" w:rsidRPr="006C64B8" w:rsidRDefault="006C64B8" w:rsidP="006C64B8">
            <w:pPr>
              <w:spacing w:after="0" w:line="240" w:lineRule="auto"/>
              <w:jc w:val="center"/>
              <w:rPr>
                <w:rFonts w:ascii="Times New Roman" w:hAnsi="Times New Roman"/>
                <w:b/>
                <w:bCs/>
                <w:color w:val="000000"/>
                <w:sz w:val="20"/>
                <w:szCs w:val="20"/>
                <w:lang w:eastAsia="sk-SK"/>
              </w:rPr>
            </w:pPr>
            <w:r w:rsidRPr="006C64B8">
              <w:rPr>
                <w:rFonts w:ascii="Times New Roman" w:hAnsi="Times New Roman"/>
                <w:b/>
                <w:bCs/>
                <w:color w:val="000000"/>
                <w:sz w:val="20"/>
                <w:szCs w:val="20"/>
                <w:lang w:eastAsia="sk-SK"/>
              </w:rPr>
              <w:t>Číslo normy</w:t>
            </w:r>
          </w:p>
          <w:p w14:paraId="57ABA9B0" w14:textId="77777777" w:rsidR="006C64B8" w:rsidRPr="006C64B8" w:rsidRDefault="006C64B8" w:rsidP="006C64B8">
            <w:pPr>
              <w:spacing w:after="0" w:line="240" w:lineRule="auto"/>
              <w:jc w:val="center"/>
              <w:rPr>
                <w:rFonts w:ascii="Times New Roman" w:hAnsi="Times New Roman"/>
                <w:bCs/>
                <w:color w:val="000000"/>
                <w:sz w:val="20"/>
                <w:szCs w:val="20"/>
                <w:lang w:eastAsia="sk-SK"/>
              </w:rPr>
            </w:pPr>
            <w:r w:rsidRPr="006C64B8">
              <w:rPr>
                <w:rFonts w:ascii="Times New Roman" w:hAnsi="Times New Roman"/>
                <w:bCs/>
                <w:color w:val="000000"/>
                <w:sz w:val="20"/>
                <w:szCs w:val="20"/>
                <w:lang w:eastAsia="sk-SK"/>
              </w:rPr>
              <w:t>(zákona, vyhlášky a pod.)</w:t>
            </w:r>
          </w:p>
        </w:tc>
        <w:tc>
          <w:tcPr>
            <w:tcW w:w="1129" w:type="dxa"/>
            <w:shd w:val="clear" w:color="auto" w:fill="BFBFBF"/>
            <w:vAlign w:val="center"/>
            <w:hideMark/>
          </w:tcPr>
          <w:p w14:paraId="6F99AF1C" w14:textId="77777777" w:rsidR="006C64B8" w:rsidRPr="006C64B8" w:rsidRDefault="006C64B8" w:rsidP="006C64B8">
            <w:pPr>
              <w:spacing w:after="0" w:line="240" w:lineRule="auto"/>
              <w:jc w:val="center"/>
              <w:rPr>
                <w:rFonts w:ascii="Times New Roman" w:hAnsi="Times New Roman"/>
                <w:b/>
                <w:bCs/>
                <w:color w:val="000000"/>
                <w:sz w:val="20"/>
                <w:szCs w:val="20"/>
                <w:lang w:eastAsia="sk-SK"/>
              </w:rPr>
            </w:pPr>
            <w:r w:rsidRPr="006C64B8">
              <w:rPr>
                <w:rFonts w:ascii="Times New Roman" w:hAnsi="Times New Roman"/>
                <w:b/>
                <w:bCs/>
                <w:color w:val="000000"/>
                <w:sz w:val="20"/>
                <w:szCs w:val="20"/>
                <w:lang w:eastAsia="sk-SK"/>
              </w:rPr>
              <w:t xml:space="preserve">Lokalizácia </w:t>
            </w:r>
            <w:r w:rsidRPr="006C64B8">
              <w:rPr>
                <w:rFonts w:ascii="Times New Roman" w:hAnsi="Times New Roman"/>
                <w:bCs/>
                <w:color w:val="000000"/>
                <w:sz w:val="20"/>
                <w:szCs w:val="20"/>
                <w:lang w:eastAsia="sk-SK"/>
              </w:rPr>
              <w:t>(§, ods.)</w:t>
            </w:r>
          </w:p>
        </w:tc>
        <w:tc>
          <w:tcPr>
            <w:tcW w:w="1246" w:type="dxa"/>
            <w:shd w:val="clear" w:color="auto" w:fill="BFBFBF"/>
            <w:vAlign w:val="center"/>
          </w:tcPr>
          <w:p w14:paraId="75DFADC5" w14:textId="77777777" w:rsidR="006C64B8" w:rsidRPr="006C64B8" w:rsidRDefault="006C64B8" w:rsidP="006C64B8">
            <w:pPr>
              <w:spacing w:after="0" w:line="240" w:lineRule="auto"/>
              <w:jc w:val="center"/>
              <w:rPr>
                <w:rFonts w:ascii="Times New Roman" w:hAnsi="Times New Roman"/>
                <w:b/>
                <w:bCs/>
                <w:color w:val="000000"/>
                <w:sz w:val="20"/>
                <w:szCs w:val="20"/>
                <w:lang w:eastAsia="sk-SK"/>
              </w:rPr>
            </w:pPr>
            <w:r w:rsidRPr="006C64B8">
              <w:rPr>
                <w:rFonts w:ascii="Times New Roman" w:hAnsi="Times New Roman"/>
                <w:b/>
                <w:bCs/>
                <w:color w:val="000000"/>
                <w:sz w:val="20"/>
                <w:szCs w:val="20"/>
                <w:lang w:eastAsia="sk-SK"/>
              </w:rPr>
              <w:t>Pôvod regulácie:</w:t>
            </w:r>
          </w:p>
          <w:p w14:paraId="211A4E49" w14:textId="77777777" w:rsidR="006C64B8" w:rsidRPr="006C64B8" w:rsidRDefault="006C64B8" w:rsidP="006C64B8">
            <w:pPr>
              <w:spacing w:after="0" w:line="240" w:lineRule="auto"/>
              <w:jc w:val="center"/>
              <w:rPr>
                <w:rFonts w:ascii="Times New Roman" w:hAnsi="Times New Roman"/>
                <w:color w:val="000000"/>
                <w:sz w:val="20"/>
                <w:szCs w:val="20"/>
                <w:lang w:eastAsia="sk-SK"/>
              </w:rPr>
            </w:pPr>
            <w:r w:rsidRPr="006C64B8">
              <w:rPr>
                <w:rFonts w:ascii="Times New Roman" w:hAnsi="Times New Roman"/>
                <w:color w:val="000000"/>
                <w:sz w:val="20"/>
                <w:szCs w:val="20"/>
                <w:lang w:eastAsia="sk-SK"/>
              </w:rPr>
              <w:t xml:space="preserve">SK/EÚ úplná </w:t>
            </w:r>
            <w:proofErr w:type="spellStart"/>
            <w:r w:rsidRPr="006C64B8">
              <w:rPr>
                <w:rFonts w:ascii="Times New Roman" w:hAnsi="Times New Roman"/>
                <w:color w:val="000000"/>
                <w:sz w:val="20"/>
                <w:szCs w:val="20"/>
                <w:lang w:eastAsia="sk-SK"/>
              </w:rPr>
              <w:t>harm</w:t>
            </w:r>
            <w:proofErr w:type="spellEnd"/>
            <w:r w:rsidRPr="006C64B8">
              <w:rPr>
                <w:rFonts w:ascii="Times New Roman" w:hAnsi="Times New Roman"/>
                <w:color w:val="000000"/>
                <w:sz w:val="20"/>
                <w:szCs w:val="20"/>
                <w:lang w:eastAsia="sk-SK"/>
              </w:rPr>
              <w:t xml:space="preserve">./EÚ </w:t>
            </w:r>
            <w:proofErr w:type="spellStart"/>
            <w:r w:rsidRPr="006C64B8">
              <w:rPr>
                <w:rFonts w:ascii="Times New Roman" w:hAnsi="Times New Roman"/>
                <w:color w:val="000000"/>
                <w:sz w:val="20"/>
                <w:szCs w:val="20"/>
                <w:lang w:eastAsia="sk-SK"/>
              </w:rPr>
              <w:t>harm</w:t>
            </w:r>
            <w:proofErr w:type="spellEnd"/>
            <w:r w:rsidRPr="006C64B8">
              <w:rPr>
                <w:rFonts w:ascii="Times New Roman" w:hAnsi="Times New Roman"/>
                <w:color w:val="000000"/>
                <w:sz w:val="20"/>
                <w:szCs w:val="20"/>
                <w:lang w:eastAsia="sk-SK"/>
              </w:rPr>
              <w:t>. s možnosťou voľby</w:t>
            </w:r>
          </w:p>
        </w:tc>
        <w:tc>
          <w:tcPr>
            <w:tcW w:w="934" w:type="dxa"/>
            <w:shd w:val="clear" w:color="auto" w:fill="BFBFBF"/>
            <w:vAlign w:val="center"/>
            <w:hideMark/>
          </w:tcPr>
          <w:p w14:paraId="093A19C5" w14:textId="77777777" w:rsidR="006C64B8" w:rsidRPr="006C64B8" w:rsidRDefault="006C64B8" w:rsidP="006C64B8">
            <w:pPr>
              <w:spacing w:after="0" w:line="240" w:lineRule="auto"/>
              <w:jc w:val="center"/>
              <w:rPr>
                <w:rFonts w:ascii="Times New Roman" w:hAnsi="Times New Roman"/>
                <w:b/>
                <w:bCs/>
                <w:color w:val="000000"/>
                <w:sz w:val="20"/>
                <w:szCs w:val="20"/>
                <w:lang w:eastAsia="sk-SK"/>
              </w:rPr>
            </w:pPr>
            <w:r w:rsidRPr="006C64B8">
              <w:rPr>
                <w:rFonts w:ascii="Times New Roman" w:hAnsi="Times New Roman"/>
                <w:b/>
                <w:bCs/>
                <w:color w:val="000000"/>
                <w:sz w:val="20"/>
                <w:szCs w:val="20"/>
                <w:lang w:eastAsia="sk-SK"/>
              </w:rPr>
              <w:t>Účinnosť</w:t>
            </w:r>
          </w:p>
          <w:p w14:paraId="14FB467A" w14:textId="77777777" w:rsidR="006C64B8" w:rsidRPr="006C64B8" w:rsidRDefault="006C64B8" w:rsidP="006C64B8">
            <w:pPr>
              <w:spacing w:after="0" w:line="240" w:lineRule="auto"/>
              <w:jc w:val="center"/>
              <w:rPr>
                <w:rFonts w:ascii="Times New Roman" w:hAnsi="Times New Roman"/>
                <w:b/>
                <w:bCs/>
                <w:color w:val="000000"/>
                <w:sz w:val="20"/>
                <w:szCs w:val="20"/>
                <w:lang w:eastAsia="sk-SK"/>
              </w:rPr>
            </w:pPr>
            <w:r w:rsidRPr="006C64B8">
              <w:rPr>
                <w:rFonts w:ascii="Times New Roman" w:hAnsi="Times New Roman"/>
                <w:b/>
                <w:bCs/>
                <w:color w:val="000000"/>
                <w:sz w:val="20"/>
                <w:szCs w:val="20"/>
                <w:lang w:eastAsia="sk-SK"/>
              </w:rPr>
              <w:t>regulácie</w:t>
            </w:r>
          </w:p>
          <w:p w14:paraId="06CB7ABC" w14:textId="77777777" w:rsidR="006C64B8" w:rsidRPr="006C64B8" w:rsidRDefault="006C64B8" w:rsidP="006C64B8">
            <w:pPr>
              <w:spacing w:after="0" w:line="240" w:lineRule="auto"/>
              <w:jc w:val="center"/>
              <w:rPr>
                <w:rFonts w:ascii="Times New Roman" w:hAnsi="Times New Roman"/>
                <w:bCs/>
                <w:color w:val="000000"/>
                <w:sz w:val="20"/>
                <w:szCs w:val="20"/>
                <w:lang w:eastAsia="sk-SK"/>
              </w:rPr>
            </w:pPr>
          </w:p>
        </w:tc>
        <w:tc>
          <w:tcPr>
            <w:tcW w:w="1677" w:type="dxa"/>
            <w:shd w:val="clear" w:color="auto" w:fill="BFBFBF"/>
            <w:vAlign w:val="center"/>
          </w:tcPr>
          <w:p w14:paraId="47302B8E" w14:textId="77777777" w:rsidR="006C64B8" w:rsidRPr="006C64B8" w:rsidRDefault="006C64B8" w:rsidP="006C64B8">
            <w:pPr>
              <w:spacing w:after="0" w:line="240" w:lineRule="auto"/>
              <w:jc w:val="center"/>
              <w:rPr>
                <w:rFonts w:ascii="Times New Roman" w:hAnsi="Times New Roman"/>
                <w:b/>
                <w:bCs/>
                <w:color w:val="000000"/>
                <w:sz w:val="20"/>
                <w:szCs w:val="20"/>
                <w:lang w:eastAsia="sk-SK"/>
              </w:rPr>
            </w:pPr>
            <w:r w:rsidRPr="006C64B8">
              <w:rPr>
                <w:rFonts w:ascii="Times New Roman" w:hAnsi="Times New Roman"/>
                <w:b/>
                <w:bCs/>
                <w:color w:val="000000"/>
                <w:sz w:val="20"/>
                <w:szCs w:val="20"/>
                <w:lang w:eastAsia="sk-SK"/>
              </w:rPr>
              <w:t xml:space="preserve">Kategória </w:t>
            </w:r>
            <w:proofErr w:type="spellStart"/>
            <w:r w:rsidRPr="006C64B8">
              <w:rPr>
                <w:rFonts w:ascii="Times New Roman" w:hAnsi="Times New Roman"/>
                <w:b/>
                <w:bCs/>
                <w:color w:val="000000"/>
                <w:sz w:val="20"/>
                <w:szCs w:val="20"/>
                <w:lang w:eastAsia="sk-SK"/>
              </w:rPr>
              <w:t>dotk</w:t>
            </w:r>
            <w:proofErr w:type="spellEnd"/>
            <w:r w:rsidRPr="006C64B8">
              <w:rPr>
                <w:rFonts w:ascii="Times New Roman" w:hAnsi="Times New Roman"/>
                <w:b/>
                <w:bCs/>
                <w:color w:val="000000"/>
                <w:sz w:val="20"/>
                <w:szCs w:val="20"/>
                <w:lang w:eastAsia="sk-SK"/>
              </w:rPr>
              <w:t>. subjektov</w:t>
            </w:r>
          </w:p>
        </w:tc>
        <w:tc>
          <w:tcPr>
            <w:tcW w:w="974" w:type="dxa"/>
            <w:shd w:val="clear" w:color="auto" w:fill="BFBFBF"/>
            <w:vAlign w:val="center"/>
          </w:tcPr>
          <w:p w14:paraId="1E03B557" w14:textId="77777777" w:rsidR="006C64B8" w:rsidRPr="006C64B8" w:rsidRDefault="006C64B8" w:rsidP="006C64B8">
            <w:pPr>
              <w:spacing w:after="0" w:line="240" w:lineRule="auto"/>
              <w:jc w:val="center"/>
              <w:rPr>
                <w:rFonts w:ascii="Times New Roman" w:hAnsi="Times New Roman"/>
                <w:b/>
                <w:bCs/>
                <w:color w:val="000000"/>
                <w:sz w:val="20"/>
                <w:szCs w:val="20"/>
                <w:lang w:eastAsia="sk-SK"/>
              </w:rPr>
            </w:pPr>
            <w:r w:rsidRPr="006C64B8">
              <w:rPr>
                <w:rFonts w:ascii="Times New Roman" w:hAnsi="Times New Roman"/>
                <w:b/>
                <w:bCs/>
                <w:color w:val="000000"/>
                <w:sz w:val="20"/>
                <w:szCs w:val="20"/>
                <w:lang w:eastAsia="sk-SK"/>
              </w:rPr>
              <w:t>Počet  subjektov v </w:t>
            </w:r>
            <w:proofErr w:type="spellStart"/>
            <w:r w:rsidRPr="006C64B8">
              <w:rPr>
                <w:rFonts w:ascii="Times New Roman" w:hAnsi="Times New Roman"/>
                <w:b/>
                <w:bCs/>
                <w:color w:val="000000"/>
                <w:sz w:val="20"/>
                <w:szCs w:val="20"/>
                <w:lang w:eastAsia="sk-SK"/>
              </w:rPr>
              <w:t>dotk</w:t>
            </w:r>
            <w:proofErr w:type="spellEnd"/>
            <w:r w:rsidRPr="006C64B8">
              <w:rPr>
                <w:rFonts w:ascii="Times New Roman" w:hAnsi="Times New Roman"/>
                <w:b/>
                <w:bCs/>
                <w:color w:val="000000"/>
                <w:sz w:val="20"/>
                <w:szCs w:val="20"/>
                <w:lang w:eastAsia="sk-SK"/>
              </w:rPr>
              <w:t xml:space="preserve">. kategórii </w:t>
            </w:r>
          </w:p>
        </w:tc>
        <w:tc>
          <w:tcPr>
            <w:tcW w:w="974" w:type="dxa"/>
            <w:shd w:val="clear" w:color="auto" w:fill="BFBFBF"/>
            <w:vAlign w:val="center"/>
            <w:hideMark/>
          </w:tcPr>
          <w:p w14:paraId="0F507A6A" w14:textId="77777777" w:rsidR="006C64B8" w:rsidRPr="006C64B8" w:rsidRDefault="006C64B8" w:rsidP="006C64B8">
            <w:pPr>
              <w:spacing w:after="0" w:line="240" w:lineRule="auto"/>
              <w:jc w:val="center"/>
              <w:rPr>
                <w:rFonts w:ascii="Times New Roman" w:hAnsi="Times New Roman"/>
                <w:b/>
                <w:bCs/>
                <w:color w:val="000000"/>
                <w:sz w:val="20"/>
                <w:szCs w:val="20"/>
                <w:lang w:eastAsia="sk-SK"/>
              </w:rPr>
            </w:pPr>
            <w:r w:rsidRPr="006C64B8">
              <w:rPr>
                <w:rFonts w:ascii="Times New Roman" w:hAnsi="Times New Roman"/>
                <w:b/>
                <w:bCs/>
                <w:color w:val="000000"/>
                <w:sz w:val="20"/>
                <w:szCs w:val="20"/>
                <w:lang w:eastAsia="sk-SK"/>
              </w:rPr>
              <w:t>Počet subjektov MSP v </w:t>
            </w:r>
            <w:proofErr w:type="spellStart"/>
            <w:r w:rsidRPr="006C64B8">
              <w:rPr>
                <w:rFonts w:ascii="Times New Roman" w:hAnsi="Times New Roman"/>
                <w:b/>
                <w:bCs/>
                <w:color w:val="000000"/>
                <w:sz w:val="20"/>
                <w:szCs w:val="20"/>
                <w:lang w:eastAsia="sk-SK"/>
              </w:rPr>
              <w:t>dotk</w:t>
            </w:r>
            <w:proofErr w:type="spellEnd"/>
            <w:r w:rsidRPr="006C64B8">
              <w:rPr>
                <w:rFonts w:ascii="Times New Roman" w:hAnsi="Times New Roman"/>
                <w:b/>
                <w:bCs/>
                <w:color w:val="000000"/>
                <w:sz w:val="20"/>
                <w:szCs w:val="20"/>
                <w:lang w:eastAsia="sk-SK"/>
              </w:rPr>
              <w:t xml:space="preserve">. kategórii </w:t>
            </w:r>
          </w:p>
        </w:tc>
        <w:tc>
          <w:tcPr>
            <w:tcW w:w="982" w:type="dxa"/>
            <w:shd w:val="clear" w:color="auto" w:fill="BFBFBF"/>
            <w:vAlign w:val="center"/>
            <w:hideMark/>
          </w:tcPr>
          <w:p w14:paraId="1D74E3A4" w14:textId="77777777" w:rsidR="006C64B8" w:rsidRPr="006C64B8" w:rsidRDefault="006C64B8" w:rsidP="006C64B8">
            <w:pPr>
              <w:spacing w:after="0" w:line="240" w:lineRule="auto"/>
              <w:jc w:val="center"/>
              <w:rPr>
                <w:rFonts w:ascii="Times New Roman" w:hAnsi="Times New Roman"/>
                <w:b/>
                <w:bCs/>
                <w:color w:val="000000"/>
                <w:sz w:val="20"/>
                <w:szCs w:val="20"/>
                <w:lang w:eastAsia="sk-SK"/>
              </w:rPr>
            </w:pPr>
            <w:r w:rsidRPr="006C64B8">
              <w:rPr>
                <w:rFonts w:ascii="Times New Roman" w:hAnsi="Times New Roman"/>
                <w:b/>
                <w:bCs/>
                <w:color w:val="000000"/>
                <w:sz w:val="20"/>
                <w:szCs w:val="20"/>
                <w:lang w:eastAsia="sk-SK"/>
              </w:rPr>
              <w:t>Vplyv na 1 podnik. v €</w:t>
            </w:r>
          </w:p>
        </w:tc>
        <w:tc>
          <w:tcPr>
            <w:tcW w:w="992" w:type="dxa"/>
            <w:shd w:val="clear" w:color="auto" w:fill="BFBFBF"/>
            <w:vAlign w:val="center"/>
            <w:hideMark/>
          </w:tcPr>
          <w:p w14:paraId="284DC7B9" w14:textId="77777777" w:rsidR="006C64B8" w:rsidRPr="006C64B8" w:rsidRDefault="006C64B8" w:rsidP="006C64B8">
            <w:pPr>
              <w:spacing w:after="0" w:line="240" w:lineRule="auto"/>
              <w:jc w:val="center"/>
              <w:rPr>
                <w:rFonts w:ascii="Times New Roman" w:hAnsi="Times New Roman"/>
                <w:b/>
                <w:bCs/>
                <w:color w:val="000000"/>
                <w:sz w:val="20"/>
                <w:szCs w:val="20"/>
                <w:lang w:eastAsia="sk-SK"/>
              </w:rPr>
            </w:pPr>
            <w:r w:rsidRPr="006C64B8">
              <w:rPr>
                <w:rFonts w:ascii="Times New Roman" w:hAnsi="Times New Roman"/>
                <w:b/>
                <w:bCs/>
                <w:color w:val="000000"/>
                <w:sz w:val="20"/>
                <w:szCs w:val="20"/>
                <w:lang w:eastAsia="sk-SK"/>
              </w:rPr>
              <w:t xml:space="preserve">Vplyv na kategóriu </w:t>
            </w:r>
            <w:proofErr w:type="spellStart"/>
            <w:r w:rsidRPr="006C64B8">
              <w:rPr>
                <w:rFonts w:ascii="Times New Roman" w:hAnsi="Times New Roman"/>
                <w:b/>
                <w:bCs/>
                <w:color w:val="000000"/>
                <w:sz w:val="20"/>
                <w:szCs w:val="20"/>
                <w:lang w:eastAsia="sk-SK"/>
              </w:rPr>
              <w:t>dotk</w:t>
            </w:r>
            <w:proofErr w:type="spellEnd"/>
            <w:r w:rsidRPr="006C64B8">
              <w:rPr>
                <w:rFonts w:ascii="Times New Roman" w:hAnsi="Times New Roman"/>
                <w:b/>
                <w:bCs/>
                <w:color w:val="000000"/>
                <w:sz w:val="20"/>
                <w:szCs w:val="20"/>
                <w:lang w:eastAsia="sk-SK"/>
              </w:rPr>
              <w:t>. subjektov v €</w:t>
            </w:r>
          </w:p>
        </w:tc>
        <w:tc>
          <w:tcPr>
            <w:tcW w:w="1107" w:type="dxa"/>
            <w:shd w:val="clear" w:color="auto" w:fill="BFBFBF"/>
            <w:vAlign w:val="center"/>
          </w:tcPr>
          <w:p w14:paraId="4AF3C013" w14:textId="77777777" w:rsidR="006C64B8" w:rsidRPr="006C64B8" w:rsidRDefault="006C64B8" w:rsidP="006C64B8">
            <w:pPr>
              <w:spacing w:after="0" w:line="240" w:lineRule="auto"/>
              <w:jc w:val="center"/>
              <w:rPr>
                <w:rFonts w:ascii="Times New Roman" w:hAnsi="Times New Roman"/>
                <w:b/>
                <w:bCs/>
                <w:color w:val="000000"/>
                <w:sz w:val="20"/>
                <w:szCs w:val="20"/>
                <w:lang w:eastAsia="sk-SK"/>
              </w:rPr>
            </w:pPr>
            <w:r w:rsidRPr="006C64B8">
              <w:rPr>
                <w:rFonts w:ascii="Times New Roman" w:hAnsi="Times New Roman"/>
                <w:b/>
                <w:bCs/>
                <w:color w:val="000000"/>
                <w:sz w:val="20"/>
                <w:szCs w:val="20"/>
                <w:lang w:eastAsia="sk-SK"/>
              </w:rPr>
              <w:t>Druh vplyvu</w:t>
            </w:r>
          </w:p>
          <w:p w14:paraId="041C77C4" w14:textId="77777777" w:rsidR="006C64B8" w:rsidRPr="006C64B8" w:rsidRDefault="006C64B8" w:rsidP="006C64B8">
            <w:pPr>
              <w:spacing w:after="0" w:line="240" w:lineRule="auto"/>
              <w:jc w:val="center"/>
              <w:rPr>
                <w:rFonts w:ascii="Times New Roman" w:hAnsi="Times New Roman"/>
                <w:bCs/>
                <w:color w:val="000000"/>
                <w:sz w:val="20"/>
                <w:szCs w:val="20"/>
                <w:lang w:eastAsia="sk-SK"/>
              </w:rPr>
            </w:pPr>
            <w:r w:rsidRPr="006C64B8">
              <w:rPr>
                <w:rFonts w:ascii="Times New Roman" w:hAnsi="Times New Roman"/>
                <w:bCs/>
                <w:color w:val="000000"/>
                <w:sz w:val="20"/>
                <w:szCs w:val="20"/>
                <w:lang w:eastAsia="sk-SK"/>
              </w:rPr>
              <w:t xml:space="preserve">In (zvyšuje náklady) / </w:t>
            </w:r>
          </w:p>
          <w:p w14:paraId="532B4C08" w14:textId="77777777" w:rsidR="006C64B8" w:rsidRPr="006C64B8" w:rsidRDefault="006C64B8" w:rsidP="006C64B8">
            <w:pPr>
              <w:spacing w:after="0" w:line="240" w:lineRule="auto"/>
              <w:jc w:val="center"/>
              <w:rPr>
                <w:rFonts w:ascii="Times New Roman" w:hAnsi="Times New Roman"/>
                <w:b/>
                <w:bCs/>
                <w:color w:val="000000"/>
                <w:sz w:val="20"/>
                <w:szCs w:val="20"/>
                <w:lang w:eastAsia="sk-SK"/>
              </w:rPr>
            </w:pPr>
            <w:proofErr w:type="spellStart"/>
            <w:r w:rsidRPr="006C64B8">
              <w:rPr>
                <w:rFonts w:ascii="Times New Roman" w:hAnsi="Times New Roman"/>
                <w:bCs/>
                <w:color w:val="000000"/>
                <w:sz w:val="20"/>
                <w:szCs w:val="20"/>
                <w:lang w:eastAsia="sk-SK"/>
              </w:rPr>
              <w:t>Out</w:t>
            </w:r>
            <w:proofErr w:type="spellEnd"/>
            <w:r w:rsidRPr="006C64B8">
              <w:rPr>
                <w:rFonts w:ascii="Times New Roman" w:hAnsi="Times New Roman"/>
                <w:bCs/>
                <w:color w:val="000000"/>
                <w:sz w:val="20"/>
                <w:szCs w:val="20"/>
                <w:lang w:eastAsia="sk-SK"/>
              </w:rPr>
              <w:t xml:space="preserve"> (znižuje náklady</w:t>
            </w:r>
            <w:r w:rsidRPr="006C64B8">
              <w:rPr>
                <w:rFonts w:ascii="Times New Roman" w:hAnsi="Times New Roman"/>
                <w:b/>
                <w:bCs/>
                <w:color w:val="000000"/>
                <w:sz w:val="20"/>
                <w:szCs w:val="20"/>
                <w:lang w:eastAsia="sk-SK"/>
              </w:rPr>
              <w:t>)</w:t>
            </w:r>
          </w:p>
          <w:p w14:paraId="3F10A0BA" w14:textId="77777777" w:rsidR="006C64B8" w:rsidRPr="006C64B8" w:rsidRDefault="006C64B8" w:rsidP="006C64B8">
            <w:pPr>
              <w:spacing w:after="0" w:line="240" w:lineRule="auto"/>
              <w:jc w:val="center"/>
              <w:rPr>
                <w:rFonts w:ascii="Times New Roman" w:hAnsi="Times New Roman"/>
                <w:b/>
                <w:bCs/>
                <w:color w:val="000000"/>
                <w:sz w:val="20"/>
                <w:szCs w:val="20"/>
                <w:lang w:eastAsia="sk-SK"/>
              </w:rPr>
            </w:pPr>
          </w:p>
        </w:tc>
      </w:tr>
      <w:tr w:rsidR="006C64B8" w:rsidRPr="006C64B8" w14:paraId="7BC3014F" w14:textId="77777777" w:rsidTr="009E181C">
        <w:trPr>
          <w:trHeight w:val="612"/>
        </w:trPr>
        <w:tc>
          <w:tcPr>
            <w:tcW w:w="479" w:type="dxa"/>
            <w:vAlign w:val="center"/>
          </w:tcPr>
          <w:p w14:paraId="3090CB8A" w14:textId="77777777" w:rsidR="006C64B8" w:rsidRPr="006C64B8" w:rsidRDefault="006C64B8" w:rsidP="006C64B8">
            <w:pPr>
              <w:spacing w:after="0" w:line="240" w:lineRule="auto"/>
              <w:rPr>
                <w:rFonts w:ascii="Times New Roman" w:hAnsi="Times New Roman"/>
                <w:sz w:val="20"/>
                <w:szCs w:val="20"/>
                <w:lang w:eastAsia="sk-SK"/>
              </w:rPr>
            </w:pPr>
          </w:p>
        </w:tc>
        <w:tc>
          <w:tcPr>
            <w:tcW w:w="2690" w:type="dxa"/>
            <w:shd w:val="clear" w:color="auto" w:fill="auto"/>
            <w:vAlign w:val="center"/>
          </w:tcPr>
          <w:p w14:paraId="3DDD39C9" w14:textId="77777777" w:rsidR="006C64B8" w:rsidRPr="006C64B8" w:rsidRDefault="006C64B8" w:rsidP="006C64B8">
            <w:pPr>
              <w:spacing w:after="0" w:line="240" w:lineRule="auto"/>
              <w:rPr>
                <w:rFonts w:ascii="Times New Roman" w:hAnsi="Times New Roman"/>
                <w:sz w:val="20"/>
                <w:szCs w:val="20"/>
                <w:lang w:eastAsia="sk-SK"/>
              </w:rPr>
            </w:pPr>
          </w:p>
          <w:p w14:paraId="6AFEA6E3" w14:textId="77777777" w:rsidR="006C64B8" w:rsidRPr="006C64B8" w:rsidRDefault="006C64B8" w:rsidP="006C64B8">
            <w:pPr>
              <w:spacing w:after="0" w:line="240" w:lineRule="auto"/>
              <w:rPr>
                <w:rFonts w:ascii="Times New Roman" w:hAnsi="Times New Roman"/>
                <w:sz w:val="20"/>
                <w:szCs w:val="20"/>
                <w:lang w:eastAsia="sk-SK"/>
              </w:rPr>
            </w:pPr>
          </w:p>
        </w:tc>
        <w:tc>
          <w:tcPr>
            <w:tcW w:w="1677" w:type="dxa"/>
          </w:tcPr>
          <w:p w14:paraId="46554E9F" w14:textId="77777777" w:rsidR="006C64B8" w:rsidRPr="006C64B8" w:rsidRDefault="006C64B8" w:rsidP="006C64B8">
            <w:pPr>
              <w:spacing w:after="0" w:line="240" w:lineRule="auto"/>
              <w:rPr>
                <w:rFonts w:ascii="Times New Roman" w:hAnsi="Times New Roman"/>
                <w:sz w:val="20"/>
                <w:szCs w:val="20"/>
                <w:lang w:eastAsia="sk-SK"/>
              </w:rPr>
            </w:pPr>
          </w:p>
        </w:tc>
        <w:tc>
          <w:tcPr>
            <w:tcW w:w="1129" w:type="dxa"/>
            <w:shd w:val="clear" w:color="auto" w:fill="auto"/>
            <w:vAlign w:val="center"/>
          </w:tcPr>
          <w:p w14:paraId="51B602DA" w14:textId="77777777" w:rsidR="006C64B8" w:rsidRPr="006C64B8" w:rsidRDefault="006C64B8" w:rsidP="006C64B8">
            <w:pPr>
              <w:spacing w:after="0" w:line="240" w:lineRule="auto"/>
              <w:rPr>
                <w:rFonts w:ascii="Times New Roman" w:hAnsi="Times New Roman"/>
                <w:sz w:val="20"/>
                <w:szCs w:val="20"/>
                <w:lang w:eastAsia="sk-SK"/>
              </w:rPr>
            </w:pPr>
          </w:p>
        </w:tc>
        <w:tc>
          <w:tcPr>
            <w:tcW w:w="1246" w:type="dxa"/>
            <w:vAlign w:val="center"/>
          </w:tcPr>
          <w:p w14:paraId="4E983DE9" w14:textId="77777777" w:rsidR="006C64B8" w:rsidRPr="006C64B8" w:rsidRDefault="006C64B8" w:rsidP="006C64B8">
            <w:pPr>
              <w:spacing w:after="0" w:line="240" w:lineRule="auto"/>
              <w:rPr>
                <w:rFonts w:ascii="Times New Roman" w:hAnsi="Times New Roman"/>
                <w:color w:val="000000"/>
                <w:sz w:val="20"/>
                <w:szCs w:val="20"/>
                <w:lang w:eastAsia="sk-SK"/>
              </w:rPr>
            </w:pPr>
          </w:p>
        </w:tc>
        <w:tc>
          <w:tcPr>
            <w:tcW w:w="934" w:type="dxa"/>
            <w:shd w:val="clear" w:color="auto" w:fill="auto"/>
            <w:noWrap/>
            <w:vAlign w:val="center"/>
          </w:tcPr>
          <w:p w14:paraId="418BEFE2" w14:textId="77777777" w:rsidR="006C64B8" w:rsidRPr="006C64B8" w:rsidRDefault="006C64B8" w:rsidP="006C64B8">
            <w:pPr>
              <w:spacing w:after="0" w:line="240" w:lineRule="auto"/>
              <w:rPr>
                <w:rFonts w:ascii="Times New Roman" w:hAnsi="Times New Roman"/>
                <w:color w:val="000000"/>
                <w:sz w:val="20"/>
                <w:szCs w:val="20"/>
                <w:lang w:eastAsia="sk-SK"/>
              </w:rPr>
            </w:pPr>
          </w:p>
        </w:tc>
        <w:tc>
          <w:tcPr>
            <w:tcW w:w="1677" w:type="dxa"/>
            <w:vAlign w:val="center"/>
          </w:tcPr>
          <w:p w14:paraId="307E7B95" w14:textId="77777777" w:rsidR="006C64B8" w:rsidRPr="006C64B8" w:rsidRDefault="006C64B8" w:rsidP="006C64B8">
            <w:pPr>
              <w:spacing w:after="0" w:line="240" w:lineRule="auto"/>
              <w:rPr>
                <w:rFonts w:ascii="Times New Roman" w:hAnsi="Times New Roman"/>
                <w:sz w:val="20"/>
                <w:szCs w:val="20"/>
                <w:lang w:eastAsia="sk-SK"/>
              </w:rPr>
            </w:pPr>
          </w:p>
          <w:p w14:paraId="7F57CBBB" w14:textId="77777777" w:rsidR="006C64B8" w:rsidRPr="006C64B8" w:rsidRDefault="006C64B8" w:rsidP="006C64B8">
            <w:pPr>
              <w:spacing w:after="0" w:line="240" w:lineRule="auto"/>
              <w:rPr>
                <w:rFonts w:ascii="Times New Roman" w:hAnsi="Times New Roman"/>
                <w:sz w:val="20"/>
                <w:szCs w:val="20"/>
                <w:lang w:eastAsia="sk-SK"/>
              </w:rPr>
            </w:pPr>
          </w:p>
          <w:p w14:paraId="662FC582" w14:textId="77777777" w:rsidR="006C64B8" w:rsidRPr="006C64B8" w:rsidRDefault="006C64B8" w:rsidP="006C64B8">
            <w:pPr>
              <w:spacing w:after="0" w:line="240" w:lineRule="auto"/>
              <w:rPr>
                <w:rFonts w:ascii="Times New Roman" w:hAnsi="Times New Roman"/>
                <w:sz w:val="20"/>
                <w:szCs w:val="20"/>
                <w:lang w:eastAsia="sk-SK"/>
              </w:rPr>
            </w:pPr>
          </w:p>
          <w:p w14:paraId="51B900BD" w14:textId="77777777" w:rsidR="006C64B8" w:rsidRPr="006C64B8" w:rsidRDefault="006C64B8" w:rsidP="006C64B8">
            <w:pPr>
              <w:spacing w:after="0" w:line="240" w:lineRule="auto"/>
              <w:rPr>
                <w:rFonts w:ascii="Times New Roman" w:hAnsi="Times New Roman"/>
                <w:sz w:val="20"/>
                <w:szCs w:val="20"/>
                <w:lang w:eastAsia="sk-SK"/>
              </w:rPr>
            </w:pPr>
          </w:p>
          <w:p w14:paraId="415E3DCF" w14:textId="77777777" w:rsidR="006C64B8" w:rsidRPr="006C64B8" w:rsidRDefault="006C64B8" w:rsidP="006C64B8">
            <w:pPr>
              <w:spacing w:after="0" w:line="240" w:lineRule="auto"/>
              <w:rPr>
                <w:rFonts w:ascii="Times New Roman" w:hAnsi="Times New Roman"/>
                <w:sz w:val="20"/>
                <w:szCs w:val="20"/>
                <w:lang w:eastAsia="sk-SK"/>
              </w:rPr>
            </w:pPr>
          </w:p>
          <w:p w14:paraId="5775FE4C" w14:textId="77777777" w:rsidR="006C64B8" w:rsidRPr="006C64B8" w:rsidRDefault="006C64B8" w:rsidP="006C64B8">
            <w:pPr>
              <w:spacing w:after="0" w:line="240" w:lineRule="auto"/>
              <w:rPr>
                <w:rFonts w:ascii="Times New Roman" w:hAnsi="Times New Roman"/>
                <w:sz w:val="20"/>
                <w:szCs w:val="20"/>
                <w:lang w:eastAsia="sk-SK"/>
              </w:rPr>
            </w:pPr>
          </w:p>
          <w:p w14:paraId="64A98A1D" w14:textId="77777777" w:rsidR="006C64B8" w:rsidRPr="006C64B8" w:rsidRDefault="006C64B8" w:rsidP="006C64B8">
            <w:pPr>
              <w:spacing w:after="0" w:line="240" w:lineRule="auto"/>
              <w:rPr>
                <w:rFonts w:ascii="Times New Roman" w:hAnsi="Times New Roman"/>
                <w:sz w:val="20"/>
                <w:szCs w:val="20"/>
                <w:lang w:eastAsia="sk-SK"/>
              </w:rPr>
            </w:pPr>
          </w:p>
          <w:p w14:paraId="572478F0" w14:textId="77777777" w:rsidR="006C64B8" w:rsidRPr="006C64B8" w:rsidRDefault="006C64B8" w:rsidP="006C64B8">
            <w:pPr>
              <w:spacing w:after="0" w:line="240" w:lineRule="auto"/>
              <w:rPr>
                <w:rFonts w:ascii="Times New Roman" w:hAnsi="Times New Roman"/>
                <w:sz w:val="20"/>
                <w:szCs w:val="20"/>
                <w:lang w:eastAsia="sk-SK"/>
              </w:rPr>
            </w:pPr>
          </w:p>
          <w:p w14:paraId="2D407970" w14:textId="77777777" w:rsidR="006C64B8" w:rsidRPr="006C64B8" w:rsidRDefault="006C64B8" w:rsidP="006C64B8">
            <w:pPr>
              <w:spacing w:after="0" w:line="240" w:lineRule="auto"/>
              <w:rPr>
                <w:rFonts w:ascii="Times New Roman" w:hAnsi="Times New Roman"/>
                <w:sz w:val="20"/>
                <w:szCs w:val="20"/>
                <w:lang w:eastAsia="sk-SK"/>
              </w:rPr>
            </w:pPr>
          </w:p>
          <w:p w14:paraId="1D7F86E5" w14:textId="77777777" w:rsidR="006C64B8" w:rsidRPr="006C64B8" w:rsidRDefault="006C64B8" w:rsidP="006C64B8">
            <w:pPr>
              <w:spacing w:after="0" w:line="240" w:lineRule="auto"/>
              <w:rPr>
                <w:rFonts w:ascii="Times New Roman" w:hAnsi="Times New Roman"/>
                <w:sz w:val="20"/>
                <w:szCs w:val="20"/>
                <w:lang w:eastAsia="sk-SK"/>
              </w:rPr>
            </w:pPr>
          </w:p>
          <w:p w14:paraId="4066C46D" w14:textId="77777777" w:rsidR="006C64B8" w:rsidRPr="006C64B8" w:rsidRDefault="006C64B8" w:rsidP="006C64B8">
            <w:pPr>
              <w:spacing w:after="0" w:line="240" w:lineRule="auto"/>
              <w:rPr>
                <w:rFonts w:ascii="Times New Roman" w:hAnsi="Times New Roman"/>
                <w:sz w:val="20"/>
                <w:szCs w:val="20"/>
                <w:lang w:eastAsia="sk-SK"/>
              </w:rPr>
            </w:pPr>
          </w:p>
          <w:p w14:paraId="418A5D25" w14:textId="77777777" w:rsidR="006C64B8" w:rsidRPr="006C64B8" w:rsidRDefault="006C64B8" w:rsidP="006C64B8">
            <w:pPr>
              <w:spacing w:after="0" w:line="240" w:lineRule="auto"/>
              <w:rPr>
                <w:rFonts w:ascii="Times New Roman" w:hAnsi="Times New Roman"/>
                <w:sz w:val="20"/>
                <w:szCs w:val="20"/>
                <w:lang w:eastAsia="sk-SK"/>
              </w:rPr>
            </w:pPr>
          </w:p>
          <w:p w14:paraId="74241C38" w14:textId="77777777" w:rsidR="006C64B8" w:rsidRPr="006C64B8" w:rsidRDefault="006C64B8" w:rsidP="006C64B8">
            <w:pPr>
              <w:spacing w:after="0" w:line="240" w:lineRule="auto"/>
              <w:rPr>
                <w:rFonts w:ascii="Times New Roman" w:hAnsi="Times New Roman"/>
                <w:sz w:val="20"/>
                <w:szCs w:val="20"/>
                <w:lang w:eastAsia="sk-SK"/>
              </w:rPr>
            </w:pPr>
          </w:p>
          <w:p w14:paraId="285B90FF" w14:textId="77777777" w:rsidR="006C64B8" w:rsidRPr="006C64B8" w:rsidRDefault="006C64B8" w:rsidP="006C64B8">
            <w:pPr>
              <w:spacing w:after="0" w:line="240" w:lineRule="auto"/>
              <w:rPr>
                <w:rFonts w:ascii="Times New Roman" w:hAnsi="Times New Roman"/>
                <w:sz w:val="20"/>
                <w:szCs w:val="20"/>
                <w:lang w:eastAsia="sk-SK"/>
              </w:rPr>
            </w:pPr>
          </w:p>
          <w:p w14:paraId="5BD65BD4" w14:textId="77777777" w:rsidR="006C64B8" w:rsidRPr="006C64B8" w:rsidRDefault="006C64B8" w:rsidP="006C64B8">
            <w:pPr>
              <w:spacing w:after="0" w:line="240" w:lineRule="auto"/>
              <w:rPr>
                <w:rFonts w:ascii="Times New Roman" w:hAnsi="Times New Roman"/>
                <w:sz w:val="20"/>
                <w:szCs w:val="20"/>
                <w:lang w:eastAsia="sk-SK"/>
              </w:rPr>
            </w:pPr>
          </w:p>
          <w:p w14:paraId="498DC203" w14:textId="77777777" w:rsidR="006C64B8" w:rsidRPr="006C64B8" w:rsidRDefault="006C64B8" w:rsidP="006C64B8">
            <w:pPr>
              <w:spacing w:after="0" w:line="240" w:lineRule="auto"/>
              <w:rPr>
                <w:rFonts w:ascii="Times New Roman" w:hAnsi="Times New Roman"/>
                <w:sz w:val="20"/>
                <w:szCs w:val="20"/>
                <w:lang w:eastAsia="sk-SK"/>
              </w:rPr>
            </w:pPr>
          </w:p>
          <w:p w14:paraId="5E58B971" w14:textId="77777777" w:rsidR="006C64B8" w:rsidRPr="006C64B8" w:rsidRDefault="006C64B8" w:rsidP="006C64B8">
            <w:pPr>
              <w:spacing w:after="0" w:line="240" w:lineRule="auto"/>
              <w:rPr>
                <w:rFonts w:ascii="Times New Roman" w:hAnsi="Times New Roman"/>
                <w:sz w:val="20"/>
                <w:szCs w:val="20"/>
                <w:lang w:eastAsia="sk-SK"/>
              </w:rPr>
            </w:pPr>
          </w:p>
          <w:p w14:paraId="0CCF016A" w14:textId="77777777" w:rsidR="006C64B8" w:rsidRPr="006C64B8" w:rsidRDefault="006C64B8" w:rsidP="006C64B8">
            <w:pPr>
              <w:spacing w:after="0" w:line="240" w:lineRule="auto"/>
              <w:rPr>
                <w:rFonts w:ascii="Times New Roman" w:hAnsi="Times New Roman"/>
                <w:sz w:val="20"/>
                <w:szCs w:val="20"/>
                <w:lang w:eastAsia="sk-SK"/>
              </w:rPr>
            </w:pPr>
          </w:p>
          <w:p w14:paraId="7C75FF6B" w14:textId="77777777" w:rsidR="006C64B8" w:rsidRPr="006C64B8" w:rsidRDefault="006C64B8" w:rsidP="006C64B8">
            <w:pPr>
              <w:spacing w:after="0" w:line="240" w:lineRule="auto"/>
              <w:rPr>
                <w:rFonts w:ascii="Times New Roman" w:hAnsi="Times New Roman"/>
                <w:sz w:val="20"/>
                <w:szCs w:val="20"/>
                <w:lang w:eastAsia="sk-SK"/>
              </w:rPr>
            </w:pPr>
          </w:p>
          <w:p w14:paraId="55D4A9C0" w14:textId="77777777" w:rsidR="006C64B8" w:rsidRPr="006C64B8" w:rsidRDefault="006C64B8" w:rsidP="006C64B8">
            <w:pPr>
              <w:spacing w:after="0" w:line="240" w:lineRule="auto"/>
              <w:rPr>
                <w:rFonts w:ascii="Times New Roman" w:hAnsi="Times New Roman"/>
                <w:sz w:val="20"/>
                <w:szCs w:val="20"/>
                <w:lang w:eastAsia="sk-SK"/>
              </w:rPr>
            </w:pPr>
          </w:p>
        </w:tc>
        <w:tc>
          <w:tcPr>
            <w:tcW w:w="974" w:type="dxa"/>
            <w:shd w:val="clear" w:color="auto" w:fill="auto"/>
            <w:noWrap/>
            <w:vAlign w:val="center"/>
          </w:tcPr>
          <w:p w14:paraId="5A810A95" w14:textId="77777777" w:rsidR="006C64B8" w:rsidRPr="006C64B8" w:rsidRDefault="006C64B8" w:rsidP="006C64B8">
            <w:pPr>
              <w:spacing w:after="0" w:line="240" w:lineRule="auto"/>
              <w:rPr>
                <w:rFonts w:ascii="Times New Roman" w:hAnsi="Times New Roman"/>
                <w:sz w:val="20"/>
                <w:szCs w:val="20"/>
                <w:lang w:eastAsia="sk-SK"/>
              </w:rPr>
            </w:pPr>
          </w:p>
        </w:tc>
        <w:tc>
          <w:tcPr>
            <w:tcW w:w="974" w:type="dxa"/>
            <w:shd w:val="clear" w:color="auto" w:fill="auto"/>
            <w:noWrap/>
            <w:vAlign w:val="center"/>
          </w:tcPr>
          <w:p w14:paraId="237FDC2F" w14:textId="77777777" w:rsidR="006C64B8" w:rsidRPr="006C64B8" w:rsidRDefault="006C64B8" w:rsidP="006C64B8">
            <w:pPr>
              <w:spacing w:after="0" w:line="240" w:lineRule="auto"/>
              <w:rPr>
                <w:rFonts w:ascii="Times New Roman" w:hAnsi="Times New Roman"/>
                <w:color w:val="000000"/>
                <w:sz w:val="20"/>
                <w:szCs w:val="20"/>
                <w:lang w:eastAsia="sk-SK"/>
              </w:rPr>
            </w:pPr>
          </w:p>
        </w:tc>
        <w:tc>
          <w:tcPr>
            <w:tcW w:w="982" w:type="dxa"/>
            <w:shd w:val="clear" w:color="auto" w:fill="auto"/>
            <w:noWrap/>
            <w:vAlign w:val="center"/>
          </w:tcPr>
          <w:p w14:paraId="7B2EB9AF" w14:textId="77777777" w:rsidR="006C64B8" w:rsidRPr="006C64B8" w:rsidRDefault="006C64B8" w:rsidP="006C64B8">
            <w:pPr>
              <w:spacing w:after="0" w:line="240" w:lineRule="auto"/>
              <w:rPr>
                <w:rFonts w:ascii="Times New Roman" w:hAnsi="Times New Roman"/>
                <w:sz w:val="20"/>
                <w:szCs w:val="20"/>
                <w:lang w:eastAsia="sk-SK"/>
              </w:rPr>
            </w:pPr>
          </w:p>
        </w:tc>
        <w:tc>
          <w:tcPr>
            <w:tcW w:w="992" w:type="dxa"/>
            <w:shd w:val="clear" w:color="auto" w:fill="auto"/>
            <w:noWrap/>
            <w:vAlign w:val="center"/>
          </w:tcPr>
          <w:p w14:paraId="4A965AC5" w14:textId="77777777" w:rsidR="006C64B8" w:rsidRPr="006C64B8" w:rsidRDefault="006C64B8" w:rsidP="006C64B8">
            <w:pPr>
              <w:spacing w:after="0" w:line="240" w:lineRule="auto"/>
              <w:rPr>
                <w:rFonts w:ascii="Times New Roman" w:hAnsi="Times New Roman"/>
                <w:color w:val="000000"/>
                <w:sz w:val="20"/>
                <w:szCs w:val="20"/>
                <w:lang w:eastAsia="sk-SK"/>
              </w:rPr>
            </w:pPr>
          </w:p>
        </w:tc>
        <w:tc>
          <w:tcPr>
            <w:tcW w:w="1107" w:type="dxa"/>
            <w:vAlign w:val="center"/>
          </w:tcPr>
          <w:p w14:paraId="05251C80" w14:textId="77777777" w:rsidR="006C64B8" w:rsidRPr="006C64B8" w:rsidRDefault="006C64B8" w:rsidP="006C64B8">
            <w:pPr>
              <w:spacing w:after="0" w:line="240" w:lineRule="auto"/>
              <w:rPr>
                <w:rFonts w:ascii="Times New Roman" w:hAnsi="Times New Roman"/>
                <w:sz w:val="20"/>
                <w:szCs w:val="20"/>
                <w:lang w:eastAsia="sk-SK"/>
              </w:rPr>
            </w:pPr>
          </w:p>
        </w:tc>
      </w:tr>
    </w:tbl>
    <w:p w14:paraId="0316375A" w14:textId="77777777" w:rsidR="006C64B8" w:rsidRPr="006C64B8" w:rsidRDefault="006C64B8" w:rsidP="006C64B8">
      <w:pPr>
        <w:spacing w:after="0" w:line="240" w:lineRule="auto"/>
        <w:jc w:val="both"/>
        <w:rPr>
          <w:rFonts w:ascii="Times New Roman" w:eastAsia="Calibri" w:hAnsi="Times New Roman"/>
          <w:i/>
          <w:sz w:val="20"/>
          <w:szCs w:val="20"/>
          <w:lang w:eastAsia="sk-SK"/>
        </w:rPr>
      </w:pPr>
    </w:p>
    <w:p w14:paraId="065630B8" w14:textId="77777777" w:rsidR="006C64B8" w:rsidRPr="006C64B8" w:rsidRDefault="006C64B8" w:rsidP="006C64B8">
      <w:pPr>
        <w:spacing w:after="0" w:line="240" w:lineRule="auto"/>
        <w:jc w:val="both"/>
        <w:rPr>
          <w:rFonts w:ascii="Times New Roman" w:eastAsia="Calibri" w:hAnsi="Times New Roman"/>
          <w:b/>
          <w:bCs/>
          <w:i/>
          <w:sz w:val="20"/>
          <w:szCs w:val="20"/>
          <w:lang w:eastAsia="sk-SK"/>
        </w:rPr>
        <w:sectPr w:rsidR="006C64B8" w:rsidRPr="006C64B8" w:rsidSect="009E181C">
          <w:pgSz w:w="16838" w:h="11906" w:orient="landscape"/>
          <w:pgMar w:top="1418" w:right="1418" w:bottom="1418" w:left="992" w:header="709" w:footer="709" w:gutter="0"/>
          <w:cols w:space="708"/>
          <w:docGrid w:linePitch="360"/>
        </w:sectPr>
      </w:pPr>
    </w:p>
    <w:p w14:paraId="3397BF17" w14:textId="77777777" w:rsidR="006C64B8" w:rsidRPr="006C64B8" w:rsidRDefault="006C64B8" w:rsidP="006C64B8">
      <w:pPr>
        <w:spacing w:after="0" w:line="240" w:lineRule="auto"/>
        <w:jc w:val="both"/>
        <w:rPr>
          <w:rFonts w:ascii="Times New Roman" w:eastAsia="Calibri" w:hAnsi="Times New Roman"/>
          <w:b/>
          <w:bCs/>
          <w:i/>
          <w:sz w:val="20"/>
          <w:szCs w:val="20"/>
          <w:u w:val="single"/>
          <w:lang w:eastAsia="sk-SK"/>
        </w:rPr>
      </w:pPr>
      <w:r w:rsidRPr="006C64B8">
        <w:rPr>
          <w:rFonts w:ascii="Times New Roman" w:eastAsia="Calibri" w:hAnsi="Times New Roman"/>
          <w:b/>
          <w:bCs/>
          <w:i/>
          <w:sz w:val="20"/>
          <w:szCs w:val="20"/>
          <w:u w:val="single"/>
          <w:lang w:eastAsia="sk-SK"/>
        </w:rPr>
        <w:lastRenderedPageBreak/>
        <w:t xml:space="preserve">Doplňujúce informácie k spôsobu výpočtu vplyvov jednotlivých regulácií na zmenu nákladov </w:t>
      </w:r>
    </w:p>
    <w:p w14:paraId="5F8AA152" w14:textId="77777777" w:rsidR="006C64B8" w:rsidRPr="006C64B8" w:rsidRDefault="006C64B8" w:rsidP="006C64B8">
      <w:pPr>
        <w:spacing w:after="0" w:line="240" w:lineRule="auto"/>
        <w:jc w:val="both"/>
        <w:rPr>
          <w:rFonts w:ascii="Times New Roman" w:eastAsia="Calibri" w:hAnsi="Times New Roman"/>
          <w:bCs/>
          <w:i/>
          <w:iCs/>
          <w:color w:val="000000"/>
          <w:sz w:val="20"/>
          <w:szCs w:val="20"/>
          <w:lang w:eastAsia="sk-SK"/>
        </w:rPr>
      </w:pPr>
      <w:r w:rsidRPr="006C64B8">
        <w:rPr>
          <w:rFonts w:ascii="Times New Roman" w:eastAsia="Calibri" w:hAnsi="Times New Roman"/>
          <w:bCs/>
          <w:i/>
          <w:iCs/>
          <w:color w:val="000000"/>
          <w:sz w:val="20"/>
          <w:szCs w:val="20"/>
          <w:lang w:eastAsia="sk-SK"/>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6C64B8">
        <w:rPr>
          <w:rFonts w:ascii="Times New Roman" w:eastAsia="Calibri" w:hAnsi="Times New Roman"/>
          <w:bCs/>
          <w:i/>
          <w:iCs/>
          <w:color w:val="000000"/>
          <w:sz w:val="20"/>
          <w:szCs w:val="20"/>
          <w:lang w:eastAsia="sk-SK"/>
        </w:rPr>
        <w:t>link</w:t>
      </w:r>
      <w:proofErr w:type="spellEnd"/>
      <w:r w:rsidRPr="006C64B8">
        <w:rPr>
          <w:rFonts w:ascii="Times New Roman" w:eastAsia="Calibri" w:hAnsi="Times New Roman"/>
          <w:bCs/>
          <w:i/>
          <w:iCs/>
          <w:color w:val="000000"/>
          <w:sz w:val="20"/>
          <w:szCs w:val="20"/>
          <w:lang w:eastAsia="sk-SK"/>
        </w:rPr>
        <w:t xml:space="preserve"> na konkrétne štatistiky, ak sú dostupné na internete). Jednotlivé regulácie môžu mať jeden alebo viac typov nákladov (A. Dane, odvody, clá a poplatky, ktorých cieľom je znižovať negatívne </w:t>
      </w:r>
      <w:proofErr w:type="spellStart"/>
      <w:r w:rsidRPr="006C64B8">
        <w:rPr>
          <w:rFonts w:ascii="Times New Roman" w:eastAsia="Calibri" w:hAnsi="Times New Roman"/>
          <w:bCs/>
          <w:i/>
          <w:iCs/>
          <w:color w:val="000000"/>
          <w:sz w:val="20"/>
          <w:szCs w:val="20"/>
          <w:lang w:eastAsia="sk-SK"/>
        </w:rPr>
        <w:t>externality</w:t>
      </w:r>
      <w:proofErr w:type="spellEnd"/>
      <w:r w:rsidRPr="006C64B8">
        <w:rPr>
          <w:rFonts w:ascii="Times New Roman" w:eastAsia="Calibri" w:hAnsi="Times New Roman"/>
          <w:bCs/>
          <w:i/>
          <w:iCs/>
          <w:color w:val="000000"/>
          <w:sz w:val="20"/>
          <w:szCs w:val="20"/>
          <w:lang w:eastAsia="sk-SK"/>
        </w:rPr>
        <w:t xml:space="preserve">, B. Iné poplatky, C. Nepriame finančné náklady, D. Administratívne náklady). Rozčleňte ich a vypočítajte v súlade s metodickým postupom. </w:t>
      </w:r>
    </w:p>
    <w:p w14:paraId="16C57D18" w14:textId="77777777" w:rsidR="006C64B8" w:rsidRDefault="006C64B8" w:rsidP="006C64B8">
      <w:pPr>
        <w:spacing w:after="0" w:line="240" w:lineRule="auto"/>
        <w:jc w:val="both"/>
        <w:rPr>
          <w:rFonts w:ascii="Times New Roman" w:eastAsia="Calibri" w:hAnsi="Times New Roman"/>
          <w:b/>
          <w:sz w:val="20"/>
          <w:szCs w:val="20"/>
          <w:lang w:eastAsia="sk-SK"/>
        </w:rPr>
      </w:pPr>
    </w:p>
    <w:p w14:paraId="645BBEC9" w14:textId="67572F7B" w:rsidR="006C64B8" w:rsidRPr="006C64B8" w:rsidRDefault="006C64B8" w:rsidP="006C64B8">
      <w:pPr>
        <w:spacing w:after="0" w:line="240" w:lineRule="auto"/>
        <w:jc w:val="both"/>
        <w:rPr>
          <w:rFonts w:ascii="Times New Roman" w:eastAsia="Calibri" w:hAnsi="Times New Roman"/>
          <w:b/>
          <w:sz w:val="20"/>
          <w:szCs w:val="20"/>
          <w:lang w:eastAsia="sk-SK"/>
        </w:rPr>
      </w:pPr>
      <w:r w:rsidRPr="006C64B8">
        <w:rPr>
          <w:rFonts w:ascii="Times New Roman" w:eastAsia="Calibri" w:hAnsi="Times New Roman"/>
          <w:b/>
          <w:sz w:val="20"/>
          <w:szCs w:val="20"/>
          <w:lang w:eastAsia="sk-SK"/>
        </w:rPr>
        <w:t>3.2 Vyhodnotenie konzultácií s podnikateľskými subjektmi pred predbežným pripomienkovým konaním</w:t>
      </w:r>
    </w:p>
    <w:p w14:paraId="2EB30E12" w14:textId="77777777" w:rsidR="006C64B8" w:rsidRPr="006C64B8" w:rsidRDefault="006C64B8" w:rsidP="006C64B8">
      <w:pPr>
        <w:spacing w:after="0" w:line="240" w:lineRule="auto"/>
        <w:jc w:val="both"/>
        <w:rPr>
          <w:rFonts w:ascii="Times New Roman" w:eastAsia="Calibri" w:hAnsi="Times New Roman"/>
          <w:sz w:val="20"/>
          <w:szCs w:val="20"/>
          <w:lang w:eastAsia="sk-SK"/>
        </w:rPr>
      </w:pPr>
      <w:bookmarkStart w:id="2" w:name="_Hlk47698091"/>
      <w:r w:rsidRPr="006C64B8">
        <w:rPr>
          <w:rFonts w:ascii="Times New Roman" w:eastAsia="Calibri" w:hAnsi="Times New Roman"/>
          <w:sz w:val="20"/>
          <w:szCs w:val="20"/>
          <w:lang w:eastAsia="sk-SK"/>
        </w:rPr>
        <w:t>Predbežná informácia bola dňa 7. apríla 2022 uverejnená na webovom sídle Ministerstva pôdohospodárstva a rozvoja vidieka Slovenskej republiky.</w:t>
      </w:r>
    </w:p>
    <w:p w14:paraId="262F9558" w14:textId="77777777" w:rsidR="006C64B8" w:rsidRPr="006C64B8" w:rsidRDefault="006C64B8" w:rsidP="006C64B8">
      <w:pPr>
        <w:spacing w:after="0" w:line="240" w:lineRule="auto"/>
        <w:jc w:val="both"/>
        <w:rPr>
          <w:rFonts w:ascii="Times New Roman" w:eastAsia="Calibri" w:hAnsi="Times New Roman"/>
          <w:sz w:val="20"/>
          <w:szCs w:val="20"/>
          <w:lang w:eastAsia="sk-SK"/>
        </w:rPr>
      </w:pPr>
      <w:r w:rsidRPr="006C64B8">
        <w:rPr>
          <w:rFonts w:ascii="Times New Roman" w:eastAsia="Calibri" w:hAnsi="Times New Roman"/>
          <w:sz w:val="20"/>
          <w:szCs w:val="20"/>
          <w:lang w:eastAsia="sk-SK"/>
        </w:rPr>
        <w:t>Podklad na konzultácie k širšej verzii návrhu zákona bol zároveň uverejnený dňa 7. apríla 2022 na webovom sídle Ministerstva pôdohospodárstva a rozvoja vidieka Slovenskej republiky s dobou trvania konzultácií od 7. apríla 2022 do 7. mája 2022. O konzultáciu nepožiadali žiadne subjekty.</w:t>
      </w:r>
    </w:p>
    <w:p w14:paraId="0A810B6B" w14:textId="77777777" w:rsidR="006C64B8" w:rsidRPr="006C64B8" w:rsidRDefault="006C64B8" w:rsidP="006C64B8">
      <w:pPr>
        <w:spacing w:after="0" w:line="240" w:lineRule="auto"/>
        <w:jc w:val="both"/>
        <w:rPr>
          <w:rFonts w:ascii="Times New Roman" w:eastAsia="Calibri" w:hAnsi="Times New Roman"/>
          <w:sz w:val="20"/>
          <w:szCs w:val="20"/>
          <w:lang w:eastAsia="sk-SK"/>
        </w:rPr>
      </w:pPr>
    </w:p>
    <w:p w14:paraId="139FAF10" w14:textId="77777777" w:rsidR="006C64B8" w:rsidRPr="006C64B8" w:rsidRDefault="006C64B8" w:rsidP="006C64B8">
      <w:pPr>
        <w:spacing w:after="0" w:line="240" w:lineRule="auto"/>
        <w:jc w:val="both"/>
        <w:rPr>
          <w:rFonts w:ascii="Times New Roman" w:eastAsia="Calibri" w:hAnsi="Times New Roman"/>
          <w:b/>
          <w:sz w:val="20"/>
          <w:szCs w:val="20"/>
          <w:lang w:eastAsia="sk-SK"/>
        </w:rPr>
      </w:pPr>
      <w:r w:rsidRPr="006C64B8">
        <w:rPr>
          <w:rFonts w:ascii="Times New Roman" w:eastAsia="Calibri" w:hAnsi="Times New Roman"/>
          <w:b/>
          <w:sz w:val="20"/>
          <w:szCs w:val="20"/>
          <w:lang w:eastAsia="sk-SK"/>
        </w:rPr>
        <w:t>3.3 Vplyvy na konkurencieschopnosť a produktivitu</w:t>
      </w:r>
    </w:p>
    <w:bookmarkEnd w:id="2"/>
    <w:p w14:paraId="700BAC36" w14:textId="77777777" w:rsidR="006C64B8" w:rsidRPr="006C64B8" w:rsidRDefault="006C64B8" w:rsidP="006C64B8">
      <w:pPr>
        <w:spacing w:after="0" w:line="240" w:lineRule="auto"/>
        <w:jc w:val="both"/>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 xml:space="preserve">Dochádza k vytvoreniu resp. k zmene bariér na trhu? </w:t>
      </w:r>
    </w:p>
    <w:p w14:paraId="0ADA84B0" w14:textId="77777777" w:rsidR="006C64B8" w:rsidRPr="006C64B8" w:rsidRDefault="006C64B8" w:rsidP="006C64B8">
      <w:pPr>
        <w:spacing w:after="0" w:line="240" w:lineRule="auto"/>
        <w:jc w:val="both"/>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 xml:space="preserve">Bude sa s niektorými podnikmi alebo produktmi zaobchádzať v porovnateľnej situácii rôzne (napr. špeciálne režimy pre </w:t>
      </w:r>
      <w:proofErr w:type="spellStart"/>
      <w:r w:rsidRPr="006C64B8">
        <w:rPr>
          <w:rFonts w:ascii="Times New Roman" w:eastAsia="Calibri" w:hAnsi="Times New Roman"/>
          <w:i/>
          <w:sz w:val="20"/>
          <w:szCs w:val="20"/>
          <w:lang w:eastAsia="sk-SK"/>
        </w:rPr>
        <w:t>mikro</w:t>
      </w:r>
      <w:proofErr w:type="spellEnd"/>
      <w:r w:rsidRPr="006C64B8">
        <w:rPr>
          <w:rFonts w:ascii="Times New Roman" w:eastAsia="Calibri" w:hAnsi="Times New Roman"/>
          <w:i/>
          <w:sz w:val="20"/>
          <w:szCs w:val="20"/>
          <w:lang w:eastAsia="sk-SK"/>
        </w:rPr>
        <w:t xml:space="preserve">, malé a stredné podniky tzv. MSP)? </w:t>
      </w:r>
    </w:p>
    <w:p w14:paraId="7C210B28" w14:textId="77777777" w:rsidR="006C64B8" w:rsidRPr="006C64B8" w:rsidRDefault="006C64B8" w:rsidP="006C64B8">
      <w:pPr>
        <w:spacing w:after="0" w:line="240" w:lineRule="auto"/>
        <w:jc w:val="both"/>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 xml:space="preserve">Ovplyvňuje zmena regulácie cezhraničné investície (príliv/odliv zahraničných investícií resp. uplatnenie slovenských podnikov na zahraničných trhoch)? </w:t>
      </w:r>
    </w:p>
    <w:p w14:paraId="1AB5F8B7" w14:textId="77777777" w:rsidR="006C64B8" w:rsidRPr="006C64B8" w:rsidRDefault="006C64B8" w:rsidP="006C64B8">
      <w:pPr>
        <w:spacing w:after="0" w:line="240" w:lineRule="auto"/>
        <w:jc w:val="both"/>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 xml:space="preserve">Ovplyvní dostupnosť základných zdrojov (financie, pracovná sila, suroviny, mechanizmy, energie atď.)? </w:t>
      </w:r>
    </w:p>
    <w:p w14:paraId="52134FA2" w14:textId="77777777" w:rsidR="006C64B8" w:rsidRPr="006C64B8" w:rsidRDefault="006C64B8" w:rsidP="006C64B8">
      <w:pPr>
        <w:spacing w:after="0" w:line="240" w:lineRule="auto"/>
        <w:jc w:val="both"/>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Ovplyvňuje zmena regulácie inovácie, vedu a výskum?</w:t>
      </w:r>
    </w:p>
    <w:p w14:paraId="49E2DACF" w14:textId="77777777" w:rsidR="006C64B8" w:rsidRPr="006C64B8" w:rsidRDefault="006C64B8" w:rsidP="006C64B8">
      <w:pPr>
        <w:spacing w:after="0" w:line="240" w:lineRule="auto"/>
        <w:jc w:val="both"/>
        <w:rPr>
          <w:rFonts w:ascii="Times New Roman" w:eastAsia="Calibri" w:hAnsi="Times New Roman"/>
          <w:i/>
          <w:sz w:val="20"/>
          <w:szCs w:val="20"/>
          <w:lang w:eastAsia="sk-SK"/>
        </w:rPr>
      </w:pPr>
      <w:r w:rsidRPr="006C64B8">
        <w:rPr>
          <w:rFonts w:ascii="Times New Roman" w:eastAsia="Calibri" w:hAnsi="Times New Roman"/>
          <w:i/>
          <w:iCs/>
          <w:sz w:val="20"/>
          <w:szCs w:val="20"/>
          <w:lang w:eastAsia="sk-SK"/>
        </w:rPr>
        <w:t>Ako prispieva zmena regulácie k cieľu Slovenska mať najlepšie podnikateľské prostredie spomedzi susediacich krajín EÚ?</w:t>
      </w:r>
    </w:p>
    <w:p w14:paraId="1EF112B0" w14:textId="77777777" w:rsidR="006C64B8" w:rsidRPr="006C64B8" w:rsidRDefault="006C64B8" w:rsidP="006C64B8">
      <w:pPr>
        <w:spacing w:after="0" w:line="240" w:lineRule="auto"/>
        <w:jc w:val="both"/>
        <w:rPr>
          <w:rFonts w:ascii="Times New Roman" w:eastAsia="Calibri" w:hAnsi="Times New Roman"/>
          <w:i/>
          <w:sz w:val="20"/>
          <w:szCs w:val="20"/>
          <w:lang w:eastAsia="sk-SK"/>
        </w:rPr>
      </w:pPr>
    </w:p>
    <w:p w14:paraId="2166BB76" w14:textId="77777777" w:rsidR="006C64B8" w:rsidRPr="006C64B8" w:rsidRDefault="006C64B8" w:rsidP="006C64B8">
      <w:pPr>
        <w:spacing w:after="0" w:line="240" w:lineRule="auto"/>
        <w:jc w:val="both"/>
        <w:rPr>
          <w:rFonts w:ascii="Times New Roman" w:eastAsia="Calibri" w:hAnsi="Times New Roman"/>
          <w:b/>
          <w:i/>
          <w:sz w:val="20"/>
          <w:szCs w:val="20"/>
          <w:lang w:eastAsia="sk-SK"/>
        </w:rPr>
      </w:pPr>
      <w:r w:rsidRPr="006C64B8">
        <w:rPr>
          <w:rFonts w:ascii="Times New Roman" w:eastAsia="Calibri" w:hAnsi="Times New Roman"/>
          <w:b/>
          <w:i/>
          <w:sz w:val="20"/>
          <w:szCs w:val="20"/>
          <w:lang w:eastAsia="sk-SK"/>
        </w:rPr>
        <w:t>Konkurencieschopnosť:</w:t>
      </w:r>
    </w:p>
    <w:p w14:paraId="7D326951" w14:textId="77777777" w:rsidR="006C64B8" w:rsidRPr="006C64B8" w:rsidRDefault="006C64B8" w:rsidP="006C64B8">
      <w:pPr>
        <w:spacing w:after="0" w:line="240" w:lineRule="auto"/>
        <w:jc w:val="both"/>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Na základe uvedených odpovedí zaškrtnite a popíšte, či materiál konkurencieschopnosť:</w:t>
      </w:r>
    </w:p>
    <w:p w14:paraId="11FF4542" w14:textId="77777777" w:rsidR="006C64B8" w:rsidRPr="006C64B8" w:rsidRDefault="009E181C" w:rsidP="006C64B8">
      <w:pPr>
        <w:spacing w:after="0" w:line="240" w:lineRule="auto"/>
        <w:jc w:val="both"/>
        <w:rPr>
          <w:rFonts w:ascii="Times New Roman" w:eastAsia="Calibri" w:hAnsi="Times New Roman"/>
          <w:i/>
          <w:sz w:val="20"/>
          <w:szCs w:val="20"/>
          <w:lang w:eastAsia="sk-SK"/>
        </w:rPr>
      </w:pPr>
      <w:sdt>
        <w:sdtPr>
          <w:rPr>
            <w:rFonts w:ascii="Times New Roman" w:eastAsia="Calibri" w:hAnsi="Times New Roman"/>
            <w:i/>
            <w:sz w:val="20"/>
            <w:szCs w:val="20"/>
            <w:lang w:eastAsia="sk-SK"/>
          </w:rPr>
          <w:id w:val="798576880"/>
        </w:sdtPr>
        <w:sdtContent>
          <w:sdt>
            <w:sdtPr>
              <w:rPr>
                <w:rFonts w:ascii="Times New Roman" w:eastAsia="Calibri" w:hAnsi="Times New Roman"/>
                <w:i/>
                <w:sz w:val="20"/>
                <w:szCs w:val="20"/>
                <w:lang w:eastAsia="sk-SK"/>
              </w:rPr>
              <w:id w:val="1729873660"/>
            </w:sdtPr>
            <w:sdtContent>
              <w:r w:rsidR="006C64B8" w:rsidRPr="006C64B8">
                <w:rPr>
                  <w:rFonts w:ascii="Segoe UI Symbol" w:eastAsia="Calibri" w:hAnsi="Segoe UI Symbol" w:cs="Segoe UI Symbol"/>
                  <w:i/>
                  <w:sz w:val="20"/>
                  <w:szCs w:val="20"/>
                  <w:lang w:eastAsia="sk-SK"/>
                </w:rPr>
                <w:t>☐</w:t>
              </w:r>
            </w:sdtContent>
          </w:sdt>
        </w:sdtContent>
      </w:sdt>
      <w:r w:rsidR="006C64B8" w:rsidRPr="006C64B8">
        <w:rPr>
          <w:rFonts w:ascii="Times New Roman" w:eastAsia="Calibri" w:hAnsi="Times New Roman"/>
          <w:i/>
          <w:sz w:val="20"/>
          <w:szCs w:val="20"/>
          <w:lang w:eastAsia="sk-SK"/>
        </w:rPr>
        <w:t xml:space="preserve"> zvyšuje  </w:t>
      </w:r>
      <w:r w:rsidR="006C64B8" w:rsidRPr="006C64B8">
        <w:rPr>
          <w:rFonts w:ascii="Times New Roman" w:eastAsia="Calibri" w:hAnsi="Times New Roman"/>
          <w:i/>
          <w:sz w:val="20"/>
          <w:szCs w:val="20"/>
          <w:lang w:eastAsia="sk-SK"/>
        </w:rPr>
        <w:tab/>
      </w:r>
      <w:sdt>
        <w:sdtPr>
          <w:rPr>
            <w:rFonts w:ascii="Times New Roman" w:hAnsi="Times New Roman"/>
            <w:i/>
            <w:sz w:val="20"/>
            <w:szCs w:val="20"/>
            <w:lang w:eastAsia="sk-SK"/>
          </w:rPr>
          <w:id w:val="-386717170"/>
          <w14:checkbox>
            <w14:checked w14:val="1"/>
            <w14:checkedState w14:val="2612" w14:font="MS Gothic"/>
            <w14:uncheckedState w14:val="2610" w14:font="MS Gothic"/>
          </w14:checkbox>
        </w:sdtPr>
        <w:sdtContent>
          <w:r w:rsidR="006C64B8" w:rsidRPr="006C64B8">
            <w:rPr>
              <w:rFonts w:ascii="Segoe UI Symbol" w:eastAsia="MS Gothic" w:hAnsi="Segoe UI Symbol" w:cs="Segoe UI Symbol"/>
              <w:i/>
              <w:sz w:val="20"/>
              <w:szCs w:val="20"/>
              <w:lang w:eastAsia="sk-SK"/>
            </w:rPr>
            <w:t>☒</w:t>
          </w:r>
        </w:sdtContent>
      </w:sdt>
      <w:r w:rsidR="006C64B8" w:rsidRPr="006C64B8" w:rsidDel="004B47F7">
        <w:rPr>
          <w:rFonts w:ascii="Times New Roman" w:eastAsia="Calibri" w:hAnsi="Times New Roman"/>
          <w:i/>
          <w:sz w:val="20"/>
          <w:szCs w:val="20"/>
          <w:lang w:eastAsia="sk-SK"/>
        </w:rPr>
        <w:t xml:space="preserve"> </w:t>
      </w:r>
      <w:r w:rsidR="006C64B8" w:rsidRPr="006C64B8">
        <w:rPr>
          <w:rFonts w:ascii="Times New Roman" w:eastAsia="Calibri" w:hAnsi="Times New Roman"/>
          <w:i/>
          <w:sz w:val="20"/>
          <w:szCs w:val="20"/>
          <w:lang w:eastAsia="sk-SK"/>
        </w:rPr>
        <w:t>nemení</w:t>
      </w:r>
      <w:r w:rsidR="006C64B8" w:rsidRPr="006C64B8">
        <w:rPr>
          <w:rFonts w:ascii="Times New Roman" w:eastAsia="Calibri" w:hAnsi="Times New Roman"/>
          <w:i/>
          <w:sz w:val="20"/>
          <w:szCs w:val="20"/>
          <w:lang w:eastAsia="sk-SK"/>
        </w:rPr>
        <w:tab/>
      </w:r>
      <w:sdt>
        <w:sdtPr>
          <w:rPr>
            <w:rFonts w:ascii="Times New Roman" w:eastAsia="Calibri" w:hAnsi="Times New Roman"/>
            <w:i/>
            <w:sz w:val="20"/>
            <w:szCs w:val="20"/>
            <w:lang w:eastAsia="sk-SK"/>
          </w:rPr>
          <w:id w:val="-474604883"/>
        </w:sdtPr>
        <w:sdtContent>
          <w:sdt>
            <w:sdtPr>
              <w:rPr>
                <w:rFonts w:ascii="Times New Roman" w:eastAsia="Calibri" w:hAnsi="Times New Roman"/>
                <w:i/>
                <w:sz w:val="20"/>
                <w:szCs w:val="20"/>
                <w:lang w:eastAsia="sk-SK"/>
              </w:rPr>
              <w:id w:val="-1706551548"/>
            </w:sdtPr>
            <w:sdtContent>
              <w:r w:rsidR="006C64B8" w:rsidRPr="006C64B8">
                <w:rPr>
                  <w:rFonts w:ascii="Segoe UI Symbol" w:eastAsia="Calibri" w:hAnsi="Segoe UI Symbol" w:cs="Segoe UI Symbol"/>
                  <w:i/>
                  <w:sz w:val="20"/>
                  <w:szCs w:val="20"/>
                  <w:lang w:eastAsia="sk-SK"/>
                </w:rPr>
                <w:t>☐</w:t>
              </w:r>
            </w:sdtContent>
          </w:sdt>
        </w:sdtContent>
      </w:sdt>
      <w:r w:rsidR="006C64B8" w:rsidRPr="006C64B8">
        <w:rPr>
          <w:rFonts w:ascii="Times New Roman" w:eastAsia="Calibri" w:hAnsi="Times New Roman"/>
          <w:i/>
          <w:sz w:val="20"/>
          <w:szCs w:val="20"/>
          <w:lang w:eastAsia="sk-SK"/>
        </w:rPr>
        <w:t xml:space="preserve"> znižuje</w:t>
      </w:r>
    </w:p>
    <w:p w14:paraId="0910C022" w14:textId="77777777" w:rsidR="006C64B8" w:rsidRPr="006C64B8" w:rsidRDefault="006C64B8" w:rsidP="006C64B8">
      <w:pPr>
        <w:spacing w:after="0" w:line="240" w:lineRule="auto"/>
        <w:jc w:val="both"/>
        <w:rPr>
          <w:rFonts w:ascii="Times New Roman" w:eastAsia="Calibri" w:hAnsi="Times New Roman"/>
          <w:i/>
          <w:sz w:val="20"/>
          <w:szCs w:val="20"/>
          <w:lang w:eastAsia="sk-SK"/>
        </w:rPr>
      </w:pPr>
    </w:p>
    <w:p w14:paraId="62A792F2" w14:textId="77777777" w:rsidR="006C64B8" w:rsidRPr="006C64B8" w:rsidRDefault="006C64B8" w:rsidP="006C64B8">
      <w:pPr>
        <w:spacing w:after="0" w:line="240" w:lineRule="auto"/>
        <w:jc w:val="both"/>
        <w:rPr>
          <w:rFonts w:ascii="Times New Roman" w:eastAsia="Calibri" w:hAnsi="Times New Roman"/>
          <w:b/>
          <w:i/>
          <w:sz w:val="20"/>
          <w:szCs w:val="20"/>
          <w:lang w:eastAsia="sk-SK"/>
        </w:rPr>
      </w:pPr>
      <w:r w:rsidRPr="006C64B8">
        <w:rPr>
          <w:rFonts w:ascii="Times New Roman" w:eastAsia="Calibri" w:hAnsi="Times New Roman"/>
          <w:b/>
          <w:i/>
          <w:sz w:val="20"/>
          <w:szCs w:val="20"/>
          <w:lang w:eastAsia="sk-SK"/>
        </w:rPr>
        <w:t>Produktivita:</w:t>
      </w:r>
    </w:p>
    <w:p w14:paraId="51BD2967" w14:textId="77777777" w:rsidR="006C64B8" w:rsidRPr="006C64B8" w:rsidRDefault="006C64B8" w:rsidP="006C64B8">
      <w:pPr>
        <w:spacing w:after="0" w:line="240" w:lineRule="auto"/>
        <w:jc w:val="both"/>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 xml:space="preserve">Aký má materiál vplyv na zmenu pomeru medzi produkciou podnikov a ich nákladmi? </w:t>
      </w:r>
    </w:p>
    <w:p w14:paraId="60EA25F0" w14:textId="77777777" w:rsidR="006C64B8" w:rsidRPr="006C64B8" w:rsidRDefault="006C64B8" w:rsidP="006C64B8">
      <w:pPr>
        <w:spacing w:after="0" w:line="240" w:lineRule="auto"/>
        <w:jc w:val="both"/>
        <w:rPr>
          <w:rFonts w:ascii="Times New Roman" w:eastAsia="Calibri" w:hAnsi="Times New Roman"/>
          <w:i/>
          <w:sz w:val="20"/>
          <w:szCs w:val="20"/>
          <w:lang w:eastAsia="sk-SK"/>
        </w:rPr>
      </w:pPr>
    </w:p>
    <w:p w14:paraId="11BE5A02" w14:textId="77777777" w:rsidR="006C64B8" w:rsidRPr="006C64B8" w:rsidRDefault="006C64B8" w:rsidP="006C64B8">
      <w:pPr>
        <w:spacing w:after="0" w:line="240" w:lineRule="auto"/>
        <w:jc w:val="both"/>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Na základe uvedenej odpovede zaškrtnite a popíšte, či materiál produktivitu:</w:t>
      </w:r>
    </w:p>
    <w:p w14:paraId="4E8FAED4" w14:textId="77777777" w:rsidR="006C64B8" w:rsidRPr="006C64B8" w:rsidRDefault="009E181C" w:rsidP="006C64B8">
      <w:pPr>
        <w:spacing w:after="0" w:line="240" w:lineRule="auto"/>
        <w:jc w:val="both"/>
        <w:rPr>
          <w:rFonts w:ascii="Times New Roman" w:eastAsia="Calibri" w:hAnsi="Times New Roman"/>
          <w:i/>
          <w:sz w:val="20"/>
          <w:szCs w:val="20"/>
          <w:lang w:eastAsia="sk-SK"/>
        </w:rPr>
      </w:pPr>
      <w:sdt>
        <w:sdtPr>
          <w:rPr>
            <w:rFonts w:ascii="Times New Roman" w:eastAsia="Calibri" w:hAnsi="Times New Roman"/>
            <w:i/>
            <w:sz w:val="20"/>
            <w:szCs w:val="20"/>
            <w:lang w:eastAsia="sk-SK"/>
          </w:rPr>
          <w:id w:val="-1545903528"/>
        </w:sdtPr>
        <w:sdtContent>
          <w:sdt>
            <w:sdtPr>
              <w:rPr>
                <w:rFonts w:ascii="Times New Roman" w:eastAsia="Calibri" w:hAnsi="Times New Roman"/>
                <w:i/>
                <w:sz w:val="20"/>
                <w:szCs w:val="20"/>
                <w:lang w:eastAsia="sk-SK"/>
              </w:rPr>
              <w:id w:val="825715010"/>
            </w:sdtPr>
            <w:sdtContent>
              <w:r w:rsidR="006C64B8" w:rsidRPr="006C64B8">
                <w:rPr>
                  <w:rFonts w:ascii="Segoe UI Symbol" w:eastAsia="Calibri" w:hAnsi="Segoe UI Symbol" w:cs="Segoe UI Symbol"/>
                  <w:i/>
                  <w:sz w:val="20"/>
                  <w:szCs w:val="20"/>
                  <w:lang w:eastAsia="sk-SK"/>
                </w:rPr>
                <w:t>☐</w:t>
              </w:r>
            </w:sdtContent>
          </w:sdt>
        </w:sdtContent>
      </w:sdt>
      <w:r w:rsidR="006C64B8" w:rsidRPr="006C64B8">
        <w:rPr>
          <w:rFonts w:ascii="Times New Roman" w:eastAsia="Calibri" w:hAnsi="Times New Roman"/>
          <w:i/>
          <w:sz w:val="20"/>
          <w:szCs w:val="20"/>
          <w:lang w:eastAsia="sk-SK"/>
        </w:rPr>
        <w:t xml:space="preserve"> zvyšuje  </w:t>
      </w:r>
      <w:r w:rsidR="006C64B8" w:rsidRPr="006C64B8">
        <w:rPr>
          <w:rFonts w:ascii="Times New Roman" w:eastAsia="Calibri" w:hAnsi="Times New Roman"/>
          <w:i/>
          <w:sz w:val="20"/>
          <w:szCs w:val="20"/>
          <w:lang w:eastAsia="sk-SK"/>
        </w:rPr>
        <w:tab/>
      </w:r>
      <w:sdt>
        <w:sdtPr>
          <w:rPr>
            <w:rFonts w:ascii="Times New Roman" w:hAnsi="Times New Roman"/>
            <w:i/>
            <w:sz w:val="20"/>
            <w:szCs w:val="20"/>
            <w:lang w:eastAsia="sk-SK"/>
          </w:rPr>
          <w:id w:val="-2142414335"/>
          <w14:checkbox>
            <w14:checked w14:val="1"/>
            <w14:checkedState w14:val="2612" w14:font="MS Gothic"/>
            <w14:uncheckedState w14:val="2610" w14:font="MS Gothic"/>
          </w14:checkbox>
        </w:sdtPr>
        <w:sdtContent>
          <w:r w:rsidR="006C64B8" w:rsidRPr="006C64B8">
            <w:rPr>
              <w:rFonts w:ascii="Segoe UI Symbol" w:eastAsia="MS Gothic" w:hAnsi="Segoe UI Symbol" w:cs="Segoe UI Symbol"/>
              <w:i/>
              <w:sz w:val="20"/>
              <w:szCs w:val="20"/>
              <w:lang w:eastAsia="sk-SK"/>
            </w:rPr>
            <w:t>☒</w:t>
          </w:r>
        </w:sdtContent>
      </w:sdt>
      <w:r w:rsidR="006C64B8" w:rsidRPr="006C64B8" w:rsidDel="004B47F7">
        <w:rPr>
          <w:rFonts w:ascii="Times New Roman" w:eastAsia="Calibri" w:hAnsi="Times New Roman"/>
          <w:i/>
          <w:sz w:val="20"/>
          <w:szCs w:val="20"/>
          <w:lang w:eastAsia="sk-SK"/>
        </w:rPr>
        <w:t xml:space="preserve"> </w:t>
      </w:r>
      <w:r w:rsidR="006C64B8" w:rsidRPr="006C64B8">
        <w:rPr>
          <w:rFonts w:ascii="Times New Roman" w:eastAsia="Calibri" w:hAnsi="Times New Roman"/>
          <w:i/>
          <w:sz w:val="20"/>
          <w:szCs w:val="20"/>
          <w:lang w:eastAsia="sk-SK"/>
        </w:rPr>
        <w:t>nemení</w:t>
      </w:r>
      <w:r w:rsidR="006C64B8" w:rsidRPr="006C64B8">
        <w:rPr>
          <w:rFonts w:ascii="Times New Roman" w:eastAsia="Calibri" w:hAnsi="Times New Roman"/>
          <w:i/>
          <w:sz w:val="20"/>
          <w:szCs w:val="20"/>
          <w:lang w:eastAsia="sk-SK"/>
        </w:rPr>
        <w:tab/>
      </w:r>
      <w:sdt>
        <w:sdtPr>
          <w:rPr>
            <w:rFonts w:ascii="Times New Roman" w:eastAsia="Calibri" w:hAnsi="Times New Roman"/>
            <w:i/>
            <w:sz w:val="20"/>
            <w:szCs w:val="20"/>
            <w:lang w:eastAsia="sk-SK"/>
          </w:rPr>
          <w:id w:val="-1457723544"/>
        </w:sdtPr>
        <w:sdtContent>
          <w:sdt>
            <w:sdtPr>
              <w:rPr>
                <w:rFonts w:ascii="Times New Roman" w:eastAsia="Calibri" w:hAnsi="Times New Roman"/>
                <w:i/>
                <w:sz w:val="20"/>
                <w:szCs w:val="20"/>
                <w:lang w:eastAsia="sk-SK"/>
              </w:rPr>
              <w:id w:val="-623767955"/>
            </w:sdtPr>
            <w:sdtContent>
              <w:r w:rsidR="006C64B8" w:rsidRPr="006C64B8">
                <w:rPr>
                  <w:rFonts w:ascii="Segoe UI Symbol" w:eastAsia="Calibri" w:hAnsi="Segoe UI Symbol" w:cs="Segoe UI Symbol"/>
                  <w:i/>
                  <w:sz w:val="20"/>
                  <w:szCs w:val="20"/>
                  <w:lang w:eastAsia="sk-SK"/>
                </w:rPr>
                <w:t>☐</w:t>
              </w:r>
            </w:sdtContent>
          </w:sdt>
        </w:sdtContent>
      </w:sdt>
      <w:r w:rsidR="006C64B8" w:rsidRPr="006C64B8">
        <w:rPr>
          <w:rFonts w:ascii="Times New Roman" w:eastAsia="Calibri" w:hAnsi="Times New Roman"/>
          <w:i/>
          <w:sz w:val="20"/>
          <w:szCs w:val="20"/>
          <w:lang w:eastAsia="sk-SK"/>
        </w:rPr>
        <w:t xml:space="preserve"> znižuje</w:t>
      </w:r>
    </w:p>
    <w:p w14:paraId="7932EC61" w14:textId="77777777" w:rsidR="006C64B8" w:rsidRPr="006C64B8" w:rsidRDefault="006C64B8" w:rsidP="006C64B8">
      <w:pPr>
        <w:spacing w:after="0" w:line="240" w:lineRule="auto"/>
        <w:jc w:val="both"/>
        <w:rPr>
          <w:rFonts w:ascii="Times New Roman" w:eastAsia="Calibri" w:hAnsi="Times New Roman"/>
          <w:i/>
          <w:sz w:val="20"/>
          <w:szCs w:val="20"/>
          <w:lang w:eastAsia="sk-SK"/>
        </w:rPr>
      </w:pPr>
    </w:p>
    <w:p w14:paraId="31A33EA0" w14:textId="77777777" w:rsidR="006C64B8" w:rsidRPr="006C64B8" w:rsidRDefault="006C64B8" w:rsidP="006C64B8">
      <w:pPr>
        <w:spacing w:after="0" w:line="240" w:lineRule="auto"/>
        <w:jc w:val="both"/>
        <w:rPr>
          <w:rFonts w:ascii="Times New Roman" w:eastAsia="Calibri" w:hAnsi="Times New Roman"/>
          <w:b/>
          <w:sz w:val="20"/>
          <w:szCs w:val="20"/>
          <w:lang w:eastAsia="sk-SK"/>
        </w:rPr>
      </w:pPr>
      <w:r w:rsidRPr="006C64B8">
        <w:rPr>
          <w:rFonts w:ascii="Times New Roman" w:eastAsia="Calibri" w:hAnsi="Times New Roman"/>
          <w:b/>
          <w:sz w:val="20"/>
          <w:szCs w:val="20"/>
          <w:lang w:eastAsia="sk-SK"/>
        </w:rPr>
        <w:t xml:space="preserve">3.4  Iné vplyvy na podnikateľské prostredie </w:t>
      </w:r>
    </w:p>
    <w:p w14:paraId="5EA63D7D" w14:textId="77777777" w:rsidR="006C64B8" w:rsidRPr="006C64B8" w:rsidRDefault="006C64B8" w:rsidP="006C64B8">
      <w:pPr>
        <w:spacing w:after="0" w:line="240" w:lineRule="auto"/>
        <w:jc w:val="both"/>
        <w:rPr>
          <w:rFonts w:ascii="Times New Roman" w:eastAsia="Calibri" w:hAnsi="Times New Roman"/>
          <w:i/>
          <w:sz w:val="20"/>
          <w:szCs w:val="20"/>
          <w:lang w:eastAsia="sk-SK"/>
        </w:rPr>
      </w:pPr>
      <w:r w:rsidRPr="006C64B8">
        <w:rPr>
          <w:rFonts w:ascii="Times New Roman" w:eastAsia="Calibri" w:hAnsi="Times New Roman"/>
          <w:i/>
          <w:sz w:val="20"/>
          <w:szCs w:val="20"/>
          <w:lang w:eastAsia="sk-SK"/>
        </w:rPr>
        <w:t xml:space="preserve">Ak má materiál vplyvy na PP, ktoré nemožno zaradiť do predchádzajúcich častí, či už pozitívne alebo negatívne, tu ich uveďte.  Patria sem: </w:t>
      </w:r>
    </w:p>
    <w:p w14:paraId="2A91DB8C" w14:textId="77777777" w:rsidR="006C64B8" w:rsidRPr="006C64B8" w:rsidRDefault="006C64B8" w:rsidP="006C64B8">
      <w:pPr>
        <w:numPr>
          <w:ilvl w:val="0"/>
          <w:numId w:val="5"/>
        </w:numPr>
        <w:spacing w:after="0" w:line="254" w:lineRule="auto"/>
        <w:contextualSpacing/>
        <w:jc w:val="both"/>
        <w:rPr>
          <w:rFonts w:ascii="Times New Roman" w:eastAsia="Calibri" w:hAnsi="Times New Roman"/>
          <w:i/>
          <w:sz w:val="20"/>
          <w:szCs w:val="20"/>
        </w:rPr>
      </w:pPr>
      <w:r w:rsidRPr="006C64B8">
        <w:rPr>
          <w:rFonts w:ascii="Times New Roman" w:eastAsia="Calibri" w:hAnsi="Times New Roman"/>
          <w:i/>
          <w:sz w:val="20"/>
          <w:szCs w:val="20"/>
        </w:rPr>
        <w:t>sankcie alebo pokuty, ako dôsledok porušenia právne záväzných ustanovení;</w:t>
      </w:r>
    </w:p>
    <w:p w14:paraId="38A05C5B" w14:textId="77777777" w:rsidR="006C64B8" w:rsidRPr="006C64B8" w:rsidRDefault="006C64B8" w:rsidP="006C64B8">
      <w:pPr>
        <w:numPr>
          <w:ilvl w:val="0"/>
          <w:numId w:val="5"/>
        </w:numPr>
        <w:spacing w:after="0" w:line="254" w:lineRule="auto"/>
        <w:contextualSpacing/>
        <w:jc w:val="both"/>
        <w:rPr>
          <w:rFonts w:ascii="Times New Roman" w:eastAsia="Calibri" w:hAnsi="Times New Roman"/>
          <w:i/>
          <w:sz w:val="20"/>
          <w:szCs w:val="20"/>
        </w:rPr>
      </w:pPr>
      <w:r w:rsidRPr="006C64B8">
        <w:rPr>
          <w:rFonts w:ascii="Times New Roman" w:eastAsia="Calibri" w:hAnsi="Times New Roman"/>
          <w:i/>
          <w:sz w:val="20"/>
          <w:szCs w:val="20"/>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B03E85F" w14:textId="77777777" w:rsidR="006C64B8" w:rsidRPr="006C64B8" w:rsidRDefault="006C64B8" w:rsidP="006C64B8">
      <w:pPr>
        <w:numPr>
          <w:ilvl w:val="0"/>
          <w:numId w:val="5"/>
        </w:numPr>
        <w:spacing w:after="0" w:line="254" w:lineRule="auto"/>
        <w:contextualSpacing/>
        <w:jc w:val="both"/>
        <w:rPr>
          <w:rFonts w:ascii="Times New Roman" w:eastAsia="Calibri" w:hAnsi="Times New Roman"/>
          <w:i/>
          <w:sz w:val="20"/>
          <w:szCs w:val="20"/>
        </w:rPr>
      </w:pPr>
      <w:r w:rsidRPr="006C64B8">
        <w:rPr>
          <w:rFonts w:ascii="Times New Roman" w:eastAsia="Calibri" w:hAnsi="Times New Roman"/>
          <w:i/>
          <w:sz w:val="20"/>
          <w:szCs w:val="20"/>
        </w:rPr>
        <w:t>regulované ceny podľa zákona č. 18/1996 Z. z. o cenách;</w:t>
      </w:r>
    </w:p>
    <w:p w14:paraId="5FF67221" w14:textId="77777777" w:rsidR="006C64B8" w:rsidRPr="006C64B8" w:rsidRDefault="006C64B8" w:rsidP="006C64B8">
      <w:pPr>
        <w:numPr>
          <w:ilvl w:val="0"/>
          <w:numId w:val="5"/>
        </w:numPr>
        <w:spacing w:after="0" w:line="254" w:lineRule="auto"/>
        <w:contextualSpacing/>
        <w:jc w:val="both"/>
        <w:rPr>
          <w:rFonts w:ascii="Times New Roman" w:eastAsia="Calibri" w:hAnsi="Times New Roman"/>
          <w:i/>
          <w:sz w:val="20"/>
          <w:szCs w:val="20"/>
        </w:rPr>
      </w:pPr>
      <w:r w:rsidRPr="006C64B8">
        <w:rPr>
          <w:rFonts w:ascii="Times New Roman" w:eastAsia="Calibri" w:hAnsi="Times New Roman"/>
          <w:i/>
          <w:sz w:val="20"/>
          <w:szCs w:val="20"/>
        </w:rPr>
        <w:t xml:space="preserve">iné vplyvy, ktoré predpokladá materiál, ale nemožno ich zaradiť do častí 3.1 a 3.3. </w:t>
      </w:r>
    </w:p>
    <w:p w14:paraId="0C85524E" w14:textId="77777777" w:rsidR="006C64B8" w:rsidRPr="006C64B8" w:rsidRDefault="006C64B8" w:rsidP="006C64B8">
      <w:pPr>
        <w:spacing w:after="0" w:line="240" w:lineRule="auto"/>
        <w:jc w:val="both"/>
        <w:rPr>
          <w:rFonts w:ascii="Times New Roman" w:eastAsia="Calibri" w:hAnsi="Times New Roman"/>
          <w:i/>
          <w:color w:val="0070C0"/>
          <w:sz w:val="20"/>
          <w:szCs w:val="20"/>
          <w:lang w:eastAsia="sk-SK"/>
        </w:rPr>
      </w:pPr>
    </w:p>
    <w:p w14:paraId="71B3268A" w14:textId="77777777" w:rsidR="006C64B8" w:rsidRPr="006C64B8" w:rsidRDefault="006C64B8" w:rsidP="006C64B8">
      <w:pPr>
        <w:spacing w:after="0" w:line="240" w:lineRule="auto"/>
        <w:jc w:val="both"/>
        <w:rPr>
          <w:rFonts w:ascii="Times New Roman" w:eastAsia="Calibri" w:hAnsi="Times New Roman"/>
          <w:sz w:val="20"/>
          <w:szCs w:val="20"/>
          <w:lang w:eastAsia="sk-SK"/>
        </w:rPr>
      </w:pPr>
      <w:r w:rsidRPr="006C64B8">
        <w:rPr>
          <w:rFonts w:ascii="Times New Roman" w:hAnsi="Times New Roman"/>
          <w:sz w:val="20"/>
          <w:szCs w:val="20"/>
          <w:lang w:eastAsia="sk-SK"/>
        </w:rPr>
        <w:t>Dochádza k úprave v elektronickej komunikácii a poskytovaní elektronických služieb žiadateľa s Pôdohospodárskou platobnou agentúrou</w:t>
      </w:r>
      <w:r w:rsidRPr="006C64B8">
        <w:rPr>
          <w:rFonts w:ascii="Times New Roman" w:eastAsia="Calibri" w:hAnsi="Times New Roman"/>
          <w:sz w:val="20"/>
          <w:szCs w:val="20"/>
          <w:lang w:eastAsia="sk-SK"/>
        </w:rPr>
        <w:t>.</w:t>
      </w:r>
    </w:p>
    <w:p w14:paraId="00DA82C8" w14:textId="77777777" w:rsidR="006C64B8" w:rsidRPr="006C64B8" w:rsidRDefault="006C64B8" w:rsidP="006C64B8">
      <w:pPr>
        <w:spacing w:after="0" w:line="240" w:lineRule="auto"/>
        <w:jc w:val="both"/>
        <w:rPr>
          <w:rFonts w:ascii="Times New Roman" w:eastAsia="Calibri" w:hAnsi="Times New Roman"/>
          <w:sz w:val="20"/>
          <w:szCs w:val="20"/>
          <w:lang w:eastAsia="sk-SK"/>
        </w:rPr>
      </w:pPr>
    </w:p>
    <w:p w14:paraId="3998C392" w14:textId="77777777" w:rsidR="006C64B8" w:rsidRDefault="006C64B8" w:rsidP="001B53DF">
      <w:pPr>
        <w:widowControl w:val="0"/>
        <w:spacing w:after="0" w:line="240" w:lineRule="auto"/>
        <w:rPr>
          <w:rFonts w:ascii="Times New Roman" w:hAnsi="Times New Roman"/>
          <w:b/>
          <w:bCs/>
          <w:sz w:val="24"/>
          <w:szCs w:val="24"/>
        </w:rPr>
      </w:pPr>
    </w:p>
    <w:p w14:paraId="1EA37B4B" w14:textId="77777777" w:rsidR="009E181C" w:rsidRPr="006817D4" w:rsidRDefault="009E181C" w:rsidP="006E49D9">
      <w:pPr>
        <w:pageBreakBefore/>
        <w:widowControl w:val="0"/>
        <w:tabs>
          <w:tab w:val="left" w:pos="3290"/>
        </w:tabs>
        <w:spacing w:after="0" w:line="240" w:lineRule="auto"/>
        <w:rPr>
          <w:rFonts w:ascii="Times New Roman" w:hAnsi="Times New Roman"/>
          <w:b/>
          <w:bCs/>
          <w:sz w:val="24"/>
          <w:szCs w:val="24"/>
        </w:rPr>
      </w:pPr>
      <w:r w:rsidRPr="006817D4">
        <w:rPr>
          <w:rFonts w:ascii="Times New Roman" w:hAnsi="Times New Roman"/>
          <w:b/>
          <w:bCs/>
          <w:sz w:val="24"/>
          <w:szCs w:val="24"/>
        </w:rPr>
        <w:lastRenderedPageBreak/>
        <w:t>B. Osobitná časť</w:t>
      </w:r>
    </w:p>
    <w:p w14:paraId="00BD9EAD" w14:textId="77777777" w:rsidR="009E181C" w:rsidRPr="006817D4" w:rsidRDefault="009E181C" w:rsidP="009E181C">
      <w:pPr>
        <w:widowControl w:val="0"/>
        <w:tabs>
          <w:tab w:val="left" w:pos="3290"/>
        </w:tabs>
        <w:spacing w:before="120" w:after="0" w:line="240" w:lineRule="auto"/>
        <w:jc w:val="both"/>
        <w:rPr>
          <w:rFonts w:ascii="Times New Roman" w:hAnsi="Times New Roman"/>
          <w:b/>
          <w:bCs/>
          <w:sz w:val="24"/>
          <w:szCs w:val="24"/>
        </w:rPr>
      </w:pPr>
      <w:r w:rsidRPr="006817D4">
        <w:rPr>
          <w:rFonts w:ascii="Times New Roman" w:hAnsi="Times New Roman"/>
          <w:b/>
          <w:bCs/>
          <w:sz w:val="24"/>
          <w:szCs w:val="24"/>
        </w:rPr>
        <w:t>K čl. I</w:t>
      </w:r>
    </w:p>
    <w:p w14:paraId="057D0FB1" w14:textId="77777777" w:rsidR="009E181C" w:rsidRPr="006817D4" w:rsidRDefault="009E181C" w:rsidP="009E181C">
      <w:pPr>
        <w:widowControl w:val="0"/>
        <w:tabs>
          <w:tab w:val="left" w:pos="3290"/>
        </w:tabs>
        <w:spacing w:before="120" w:after="0" w:line="240" w:lineRule="auto"/>
        <w:jc w:val="both"/>
        <w:rPr>
          <w:rFonts w:ascii="Times New Roman" w:hAnsi="Times New Roman"/>
          <w:sz w:val="24"/>
          <w:szCs w:val="24"/>
          <w:lang w:eastAsia="sk-SK"/>
        </w:rPr>
      </w:pPr>
      <w:r w:rsidRPr="006817D4">
        <w:rPr>
          <w:rFonts w:ascii="Times New Roman" w:hAnsi="Times New Roman"/>
          <w:b/>
          <w:sz w:val="24"/>
          <w:szCs w:val="24"/>
          <w:lang w:eastAsia="sk-SK"/>
        </w:rPr>
        <w:t>K </w:t>
      </w:r>
      <w:r w:rsidRPr="006817D4">
        <w:rPr>
          <w:rFonts w:ascii="Times New Roman" w:hAnsi="Times New Roman"/>
          <w:b/>
          <w:bCs/>
          <w:sz w:val="24"/>
          <w:szCs w:val="24"/>
        </w:rPr>
        <w:t>bodu</w:t>
      </w:r>
      <w:r w:rsidRPr="006817D4">
        <w:rPr>
          <w:rFonts w:ascii="Times New Roman" w:hAnsi="Times New Roman"/>
          <w:b/>
          <w:sz w:val="24"/>
          <w:szCs w:val="24"/>
          <w:lang w:eastAsia="sk-SK"/>
        </w:rPr>
        <w:t xml:space="preserve"> 1</w:t>
      </w:r>
    </w:p>
    <w:p w14:paraId="29CFBFA9" w14:textId="77777777" w:rsidR="009E181C" w:rsidRPr="006817D4" w:rsidRDefault="009E181C" w:rsidP="009E181C">
      <w:pPr>
        <w:pStyle w:val="Default"/>
        <w:widowControl w:val="0"/>
        <w:tabs>
          <w:tab w:val="left" w:pos="3290"/>
        </w:tabs>
        <w:ind w:firstLine="567"/>
        <w:jc w:val="both"/>
        <w:rPr>
          <w:rFonts w:eastAsia="Times New Roman"/>
          <w:lang w:eastAsia="sk-SK"/>
        </w:rPr>
      </w:pPr>
      <w:r w:rsidRPr="006817D4">
        <w:rPr>
          <w:rFonts w:eastAsia="Times New Roman"/>
          <w:lang w:eastAsia="sk-SK"/>
        </w:rPr>
        <w:t>Návrh zákona v § 2 ods. 1 zavádza jasnú definíciu finančnej podpory na neprojektové opatrenia, ktoré zahŕňajú aj podporu na investície založené na veľkosti plochy podmienené prijatím viacročného záväzku. V súčasnom znení sa v zákone definujú len neprojektové opatrenia bez vymedzenia podpory investície ako možného prvku administrovaného v rámci integrovaného administratívneho a kontrolného systému (ďalej len „IACS“). Vzhľadom na dobrú prax pri neprojektových opatreniach plošného charakteru s IACS, sa v návrhu zákona uvádza aj podpora na investície, ktoré majú charakter plošných platieb, a sú založené na veľkosti plochy a zároveň sú tieto podmienené prijatím viacročného záväzku. Dôvodom pre zahrnutie investícií do neprojektových opatrení administrovaných v rámci IACS, je zabezpečenie rovnakého systému riadenia platieb. Eliminuje sa administratívna náročnosť a zároveň sa zabezpečí potrebná kontinuita pre úspešnú implementáciu opatrení s náležitým administratívnym a kontrolným mechanizmom.</w:t>
      </w:r>
    </w:p>
    <w:p w14:paraId="21F88AE0" w14:textId="77777777" w:rsidR="009E181C" w:rsidRPr="006817D4" w:rsidRDefault="009E181C" w:rsidP="009E181C">
      <w:pPr>
        <w:pStyle w:val="Default"/>
        <w:widowControl w:val="0"/>
        <w:tabs>
          <w:tab w:val="left" w:pos="3290"/>
        </w:tabs>
        <w:ind w:firstLine="567"/>
        <w:jc w:val="both"/>
        <w:rPr>
          <w:rFonts w:eastAsia="Times New Roman"/>
          <w:b/>
          <w:lang w:eastAsia="sk-SK"/>
        </w:rPr>
      </w:pPr>
      <w:r w:rsidRPr="006817D4">
        <w:rPr>
          <w:rFonts w:eastAsia="Times New Roman"/>
          <w:lang w:eastAsia="sk-SK"/>
        </w:rPr>
        <w:t>Ide o zmeny, ktoré umožnia administrovať vybrané investičné opatrenia (</w:t>
      </w:r>
      <w:proofErr w:type="spellStart"/>
      <w:r w:rsidRPr="006817D4">
        <w:rPr>
          <w:rFonts w:eastAsia="Times New Roman"/>
          <w:lang w:eastAsia="sk-SK"/>
        </w:rPr>
        <w:t>agrolesníctvo</w:t>
      </w:r>
      <w:proofErr w:type="spellEnd"/>
      <w:r w:rsidRPr="006817D4">
        <w:rPr>
          <w:rFonts w:eastAsia="Times New Roman"/>
          <w:lang w:eastAsia="sk-SK"/>
        </w:rPr>
        <w:t xml:space="preserve"> a pod.) procesom, ako ostatné neprojektové opatrenia a priame platby. V prípade, ak nebude zákon zmenený v tejto </w:t>
      </w:r>
      <w:r w:rsidRPr="006817D4">
        <w:rPr>
          <w:color w:val="auto"/>
        </w:rPr>
        <w:t>časti</w:t>
      </w:r>
      <w:r w:rsidRPr="006817D4">
        <w:rPr>
          <w:rFonts w:eastAsia="Times New Roman"/>
          <w:lang w:eastAsia="sk-SK"/>
        </w:rPr>
        <w:t>, uvedené investičné opatrenia nebude možné v roku 2023 zaradiť do výzvy a posunie sa implementácia, čo bude v rozpore so Spoločnou poľnohospodárskou politikou (ďalej len „SPP“).</w:t>
      </w:r>
      <w:r w:rsidRPr="006817D4">
        <w:rPr>
          <w:rFonts w:eastAsia="Times New Roman"/>
          <w:b/>
          <w:lang w:eastAsia="sk-SK"/>
        </w:rPr>
        <w:t xml:space="preserve"> </w:t>
      </w:r>
    </w:p>
    <w:p w14:paraId="56F46AB5" w14:textId="77777777" w:rsidR="009E181C" w:rsidRDefault="009E181C" w:rsidP="009E181C">
      <w:pPr>
        <w:widowControl w:val="0"/>
        <w:tabs>
          <w:tab w:val="left" w:pos="3290"/>
        </w:tabs>
        <w:spacing w:before="120" w:after="0" w:line="240" w:lineRule="auto"/>
        <w:jc w:val="both"/>
        <w:rPr>
          <w:rFonts w:ascii="Times New Roman" w:hAnsi="Times New Roman"/>
          <w:sz w:val="24"/>
          <w:szCs w:val="24"/>
          <w:lang w:eastAsia="sk-SK"/>
        </w:rPr>
      </w:pPr>
      <w:r w:rsidRPr="006817D4">
        <w:rPr>
          <w:rFonts w:ascii="Times New Roman" w:hAnsi="Times New Roman"/>
          <w:b/>
          <w:sz w:val="24"/>
          <w:szCs w:val="24"/>
          <w:lang w:eastAsia="sk-SK"/>
        </w:rPr>
        <w:t>K bodom 2 až 8</w:t>
      </w:r>
      <w:r>
        <w:rPr>
          <w:rFonts w:ascii="Times New Roman" w:hAnsi="Times New Roman"/>
          <w:b/>
          <w:sz w:val="24"/>
          <w:szCs w:val="24"/>
          <w:lang w:eastAsia="sk-SK"/>
        </w:rPr>
        <w:t xml:space="preserve"> a 17</w:t>
      </w:r>
    </w:p>
    <w:p w14:paraId="79AE9434" w14:textId="77777777" w:rsidR="009E181C" w:rsidRPr="006817D4" w:rsidRDefault="009E181C" w:rsidP="009E181C">
      <w:pPr>
        <w:pStyle w:val="Default"/>
        <w:widowControl w:val="0"/>
        <w:tabs>
          <w:tab w:val="left" w:pos="3290"/>
        </w:tabs>
        <w:ind w:firstLine="567"/>
        <w:jc w:val="both"/>
        <w:rPr>
          <w:rFonts w:eastAsia="Times New Roman"/>
          <w:lang w:eastAsia="sk-SK"/>
        </w:rPr>
      </w:pPr>
      <w:r w:rsidRPr="006817D4">
        <w:rPr>
          <w:rFonts w:eastAsia="Times New Roman"/>
          <w:lang w:eastAsia="sk-SK"/>
        </w:rPr>
        <w:t xml:space="preserve">Upravuje a dopĺňa sa doterajšie vymedzenie pojmov podpora, neprojektové opatrenie, priama podpora,  systém riadenia a systém finančného riadenia v nadväznosti na novú právnu úpravu vyplývajúcu z nariadenia Európskeho parlamentu a Rady (EÚ) 2021/2115 z 2. decembra 2021, ktorým sa stanovujú pravidlá podpory strategických plánov, ktoré majú zostaviť členské štáty v </w:t>
      </w:r>
      <w:r w:rsidRPr="006817D4">
        <w:rPr>
          <w:color w:val="auto"/>
        </w:rPr>
        <w:t>rámci</w:t>
      </w:r>
      <w:r w:rsidRPr="006817D4">
        <w:rPr>
          <w:rFonts w:eastAsia="Times New Roman"/>
          <w:lang w:eastAsia="sk-SK"/>
        </w:rPr>
        <w:t xml:space="preserve">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a nariadenia Európskeho parlamentu a Rady (EÚ) 2021/2116 z 2. decembra 2021 o financovaní, riadení a monitorovaní spoločnej poľnohospodárskej politiky a o zrušení nariadenia (EÚ) č. 1306/2013, ako aj nariadenia Európskeho parlamentu a Rady (EÚ) 2020/2220, ktorým sa stanovujú určité prechodné ustanovenia týkajúce sa podpory z Európskeho poľnohospodárskeho fondu pre rozvoj vidieka (EPFRV) a Európskeho poľnohospodárskeho záručného fondu (EPZF) v rokoch 2021 a 2022 a ktorým sa menia nariadenia (EÚ) č. 1305/2013, (EÚ) č. 1306/2013 a (EÚ) č. 1307/2013, pokiaľ ide o zdroje a uplatňovanie v rokoch 2021 a 2022, a nariadenie (EÚ) č. 1308/2013, pokiaľ ide o zdroje a distribúciu tejto podpory v rokoch 2021 a 2022. Návrh zákona v § 3 písm. a) ustanovuje pre neprojektové opatrenia trvanie plnenia viacročných záväzkov na dobu minimálne 5 rokov.</w:t>
      </w:r>
    </w:p>
    <w:p w14:paraId="39788D5F" w14:textId="77777777" w:rsidR="009E181C" w:rsidRPr="006817D4" w:rsidRDefault="009E181C" w:rsidP="009E181C">
      <w:pPr>
        <w:pStyle w:val="Default"/>
        <w:widowControl w:val="0"/>
        <w:tabs>
          <w:tab w:val="left" w:pos="3290"/>
        </w:tabs>
        <w:ind w:firstLine="567"/>
        <w:jc w:val="both"/>
        <w:rPr>
          <w:rFonts w:eastAsia="Times New Roman"/>
          <w:lang w:eastAsia="sk-SK"/>
        </w:rPr>
      </w:pPr>
      <w:r w:rsidRPr="006817D4">
        <w:rPr>
          <w:rFonts w:eastAsia="Times New Roman"/>
          <w:lang w:eastAsia="sk-SK"/>
        </w:rPr>
        <w:t xml:space="preserve">Návrh zákona v § 3 písm. c) a d) ustanovuje za priame podpory okrem priamych platieb aj podpory patriace k neprojektovým opatreniam. Zároveň sa deklaruje, že podporou sú finančné prostriedky založené na veľkosti plochy podmienené prijatím viacročného záväzku poskytované z Európskeho </w:t>
      </w:r>
      <w:r w:rsidRPr="006817D4">
        <w:rPr>
          <w:color w:val="auto"/>
        </w:rPr>
        <w:t>poľnohospodárskeho</w:t>
      </w:r>
      <w:r w:rsidRPr="006817D4">
        <w:rPr>
          <w:rFonts w:eastAsia="Times New Roman"/>
          <w:lang w:eastAsia="sk-SK"/>
        </w:rPr>
        <w:t xml:space="preserve">  fondu  pre  rozvoj  vidieka  a finančné prostriedky poskytované zo štátneho rozpočtu určené na spolufinancovanie spoločných programov Slovenskej republiky a Európskej únie pre podporovanie pôdohospodárstva, rozvoja vidieka a rybného hospodárstva podľa osobitných predpisov. Návrh zákona v § 3 písm. n) stanovuje, že pod neprojektové opatrenia sú zahrnuté aj investície na plochu, ktoré sa vyplácajú formou paušálnej sumy a tieto budú administrované v rámci IACS.</w:t>
      </w:r>
    </w:p>
    <w:p w14:paraId="60D4405D" w14:textId="77777777" w:rsidR="009E181C" w:rsidRDefault="009E181C" w:rsidP="009E181C">
      <w:pPr>
        <w:widowControl w:val="0"/>
        <w:tabs>
          <w:tab w:val="left" w:pos="3290"/>
        </w:tabs>
        <w:spacing w:before="120" w:after="0" w:line="240" w:lineRule="auto"/>
        <w:jc w:val="both"/>
        <w:rPr>
          <w:rFonts w:ascii="Times New Roman" w:hAnsi="Times New Roman"/>
          <w:b/>
          <w:sz w:val="24"/>
          <w:szCs w:val="24"/>
          <w:lang w:eastAsia="sk-SK"/>
        </w:rPr>
      </w:pPr>
      <w:r w:rsidRPr="006817D4">
        <w:rPr>
          <w:rFonts w:ascii="Times New Roman" w:hAnsi="Times New Roman"/>
          <w:b/>
          <w:sz w:val="24"/>
          <w:szCs w:val="24"/>
          <w:lang w:eastAsia="sk-SK"/>
        </w:rPr>
        <w:t>K bodom 9 až 16</w:t>
      </w:r>
      <w:r>
        <w:rPr>
          <w:rFonts w:ascii="Times New Roman" w:hAnsi="Times New Roman"/>
          <w:b/>
          <w:sz w:val="24"/>
          <w:szCs w:val="24"/>
          <w:lang w:eastAsia="sk-SK"/>
        </w:rPr>
        <w:t xml:space="preserve"> a 22</w:t>
      </w:r>
    </w:p>
    <w:p w14:paraId="49B61B3B" w14:textId="77777777" w:rsidR="009E181C" w:rsidRPr="006817D4" w:rsidRDefault="009E181C" w:rsidP="009E181C">
      <w:pPr>
        <w:pStyle w:val="Default"/>
        <w:widowControl w:val="0"/>
        <w:tabs>
          <w:tab w:val="left" w:pos="3290"/>
        </w:tabs>
        <w:ind w:firstLine="567"/>
        <w:jc w:val="both"/>
      </w:pPr>
      <w:r w:rsidRPr="00CA5A95">
        <w:rPr>
          <w:rFonts w:eastAsia="Times New Roman"/>
          <w:lang w:eastAsia="sk-SK"/>
        </w:rPr>
        <w:t>Vzhľadom</w:t>
      </w:r>
      <w:r w:rsidRPr="006817D4">
        <w:t xml:space="preserve"> na to, že nariadenie (EÚ) 2021/2115 a nariadenie (EÚ) 2021/2116 stanovujú pre členské štáty </w:t>
      </w:r>
      <w:r w:rsidRPr="006817D4">
        <w:rPr>
          <w:color w:val="auto"/>
        </w:rPr>
        <w:t>povinnosti</w:t>
      </w:r>
      <w:r w:rsidRPr="006817D4">
        <w:t xml:space="preserve"> vo vzťahu k vykonávaniu strategického plánu SPP, je potrebné v predkladanom návrhu novely zákona určiť, v akom postavení sú vláda SR, Ministerstvo pôdohospodárstva Slovenskej republiky (ďalej len „ministerstvo“) a Pôdohospodárska platobná agentúra (ďalej len „platobná agentúra“). Návrh novely zákona vymedzuje vládu SR ako orgán, ktorý schvaľuje systém riadenia strategického plánu. Ďalej určuje, že ministerstvo plní úlohy riadiaceho orgánu Programu rozvoja vidieka SR 2014 – 2022 a strategického plánu a je orgánom finančného riadenia. Návrh novely zákona ďalej stanovuje, že ministerstvo zriaďuje národný výbor na monitorovanie vykonávania strategického plánu a národnú sieť SPP. Návrh novely zákona zároveň precizuje niektoré úlohy ministerstva v nadväznosti na novú právnu úpravu vyplývajúcu z nariadenia (EÚ) 2021/2115 a nariadenia (EÚ) 2021/2116. Návrh zákona v § 10 ods. 1 písm. d) upravuje pôvodné znenie v zmysle zavedenej definície pojmu neprojektové opatrenie. </w:t>
      </w:r>
    </w:p>
    <w:p w14:paraId="6A3F9267" w14:textId="77777777" w:rsidR="009E181C" w:rsidRDefault="009E181C" w:rsidP="009E181C">
      <w:pPr>
        <w:widowControl w:val="0"/>
        <w:tabs>
          <w:tab w:val="left" w:pos="3290"/>
        </w:tabs>
        <w:spacing w:before="120" w:after="0" w:line="240" w:lineRule="auto"/>
        <w:jc w:val="both"/>
        <w:rPr>
          <w:b/>
        </w:rPr>
      </w:pPr>
      <w:r>
        <w:rPr>
          <w:rFonts w:ascii="Times New Roman" w:hAnsi="Times New Roman"/>
          <w:b/>
          <w:sz w:val="24"/>
          <w:szCs w:val="24"/>
        </w:rPr>
        <w:t xml:space="preserve">K </w:t>
      </w:r>
      <w:r>
        <w:rPr>
          <w:rFonts w:ascii="Times New Roman" w:hAnsi="Times New Roman"/>
          <w:b/>
          <w:sz w:val="24"/>
          <w:szCs w:val="24"/>
          <w:lang w:eastAsia="sk-SK"/>
        </w:rPr>
        <w:t>bodom</w:t>
      </w:r>
      <w:r>
        <w:rPr>
          <w:rFonts w:ascii="Times New Roman" w:hAnsi="Times New Roman"/>
          <w:b/>
          <w:sz w:val="24"/>
          <w:szCs w:val="24"/>
        </w:rPr>
        <w:t xml:space="preserve"> 18 a</w:t>
      </w:r>
      <w:r>
        <w:rPr>
          <w:b/>
        </w:rPr>
        <w:t> </w:t>
      </w:r>
      <w:r>
        <w:rPr>
          <w:rFonts w:ascii="Times New Roman" w:hAnsi="Times New Roman"/>
          <w:b/>
          <w:sz w:val="24"/>
          <w:szCs w:val="24"/>
        </w:rPr>
        <w:t>19</w:t>
      </w:r>
    </w:p>
    <w:p w14:paraId="23E06FCF" w14:textId="77777777" w:rsidR="009E181C" w:rsidRDefault="009E181C" w:rsidP="009E181C">
      <w:pPr>
        <w:pStyle w:val="Default"/>
        <w:widowControl w:val="0"/>
        <w:tabs>
          <w:tab w:val="left" w:pos="3290"/>
        </w:tabs>
        <w:ind w:firstLine="567"/>
        <w:jc w:val="both"/>
        <w:rPr>
          <w:b/>
        </w:rPr>
      </w:pPr>
      <w:r>
        <w:t xml:space="preserve">Upravuje sa doterajšie vymedzenie pôdohospodárskeho </w:t>
      </w:r>
      <w:r>
        <w:rPr>
          <w:rFonts w:eastAsia="Times New Roman"/>
          <w:lang w:eastAsia="sk-SK"/>
        </w:rPr>
        <w:t>poradenského</w:t>
      </w:r>
      <w:r>
        <w:t xml:space="preserve"> systému v nadväznosti na novú právnu úpravu vyplývajúcu z nariadenia (EÚ) 2021/2115.</w:t>
      </w:r>
      <w:r>
        <w:rPr>
          <w:b/>
        </w:rPr>
        <w:t xml:space="preserve"> </w:t>
      </w:r>
      <w:r>
        <w:rPr>
          <w:rFonts w:eastAsia="Times New Roman"/>
          <w:lang w:eastAsia="sk-SK"/>
        </w:rPr>
        <w:t xml:space="preserve">Dopĺňa sa oprávnenosť platobnej agentúry spracúvať v informačnom systéme o žiadateľovi o priame </w:t>
      </w:r>
      <w:r>
        <w:rPr>
          <w:color w:val="auto"/>
        </w:rPr>
        <w:t>podpory</w:t>
      </w:r>
      <w:r>
        <w:rPr>
          <w:rFonts w:eastAsia="Times New Roman"/>
          <w:lang w:eastAsia="sk-SK"/>
        </w:rPr>
        <w:t xml:space="preserve"> a prijímateľovi podľa článku 44 ods. 1 písm. b) až e) nariadenia (EÚ) 2022/128.</w:t>
      </w:r>
    </w:p>
    <w:p w14:paraId="742E0B5F" w14:textId="77777777" w:rsidR="009E181C" w:rsidRDefault="009E181C" w:rsidP="009E181C">
      <w:pPr>
        <w:widowControl w:val="0"/>
        <w:tabs>
          <w:tab w:val="left" w:pos="3290"/>
        </w:tabs>
        <w:spacing w:before="120" w:after="0" w:line="240" w:lineRule="auto"/>
        <w:jc w:val="both"/>
        <w:rPr>
          <w:b/>
        </w:rPr>
      </w:pPr>
      <w:r w:rsidRPr="006817D4">
        <w:rPr>
          <w:rFonts w:ascii="Times New Roman" w:hAnsi="Times New Roman"/>
          <w:b/>
          <w:sz w:val="24"/>
          <w:szCs w:val="24"/>
        </w:rPr>
        <w:t>K </w:t>
      </w:r>
      <w:r w:rsidRPr="00CA5A95">
        <w:rPr>
          <w:rFonts w:ascii="Times New Roman" w:hAnsi="Times New Roman"/>
          <w:b/>
          <w:sz w:val="24"/>
          <w:szCs w:val="24"/>
          <w:lang w:eastAsia="sk-SK"/>
        </w:rPr>
        <w:t>bodu</w:t>
      </w:r>
      <w:r w:rsidRPr="006817D4">
        <w:rPr>
          <w:rFonts w:ascii="Times New Roman" w:hAnsi="Times New Roman"/>
          <w:b/>
          <w:sz w:val="24"/>
          <w:szCs w:val="24"/>
        </w:rPr>
        <w:t xml:space="preserve"> 20</w:t>
      </w:r>
    </w:p>
    <w:p w14:paraId="25773E0A" w14:textId="77777777" w:rsidR="009E181C" w:rsidRPr="006817D4" w:rsidRDefault="009E181C" w:rsidP="009E181C">
      <w:pPr>
        <w:pStyle w:val="Default"/>
        <w:widowControl w:val="0"/>
        <w:tabs>
          <w:tab w:val="left" w:pos="3290"/>
        </w:tabs>
        <w:ind w:firstLine="567"/>
        <w:jc w:val="both"/>
      </w:pPr>
      <w:r w:rsidRPr="006817D4">
        <w:t xml:space="preserve">Upravuje sa ustanovenie § 24 ods. 2 tak, aby žiadateľom mohol byť aj obhospodarovateľ </w:t>
      </w:r>
      <w:r w:rsidRPr="00CA5A95">
        <w:rPr>
          <w:rFonts w:eastAsia="Times New Roman"/>
          <w:lang w:eastAsia="sk-SK"/>
        </w:rPr>
        <w:t>lesa</w:t>
      </w:r>
      <w:r w:rsidRPr="006817D4">
        <w:t xml:space="preserve"> na neprojektové opatrenia. </w:t>
      </w:r>
    </w:p>
    <w:p w14:paraId="6A93C94A" w14:textId="77777777" w:rsidR="009E181C" w:rsidRDefault="009E181C" w:rsidP="009E181C">
      <w:pPr>
        <w:widowControl w:val="0"/>
        <w:tabs>
          <w:tab w:val="left" w:pos="3290"/>
        </w:tabs>
        <w:spacing w:before="120" w:after="0" w:line="240" w:lineRule="auto"/>
        <w:jc w:val="both"/>
        <w:rPr>
          <w:b/>
        </w:rPr>
      </w:pPr>
      <w:r w:rsidRPr="006817D4">
        <w:rPr>
          <w:rFonts w:ascii="Times New Roman" w:hAnsi="Times New Roman"/>
          <w:b/>
          <w:sz w:val="24"/>
          <w:szCs w:val="24"/>
        </w:rPr>
        <w:t>K </w:t>
      </w:r>
      <w:r w:rsidRPr="00CA5A95">
        <w:rPr>
          <w:rFonts w:ascii="Times New Roman" w:hAnsi="Times New Roman"/>
          <w:b/>
          <w:sz w:val="24"/>
          <w:szCs w:val="24"/>
          <w:lang w:eastAsia="sk-SK"/>
        </w:rPr>
        <w:t>bodu</w:t>
      </w:r>
      <w:r w:rsidRPr="006817D4">
        <w:rPr>
          <w:rFonts w:ascii="Times New Roman" w:hAnsi="Times New Roman"/>
          <w:b/>
          <w:sz w:val="24"/>
          <w:szCs w:val="24"/>
        </w:rPr>
        <w:t xml:space="preserve"> 21</w:t>
      </w:r>
    </w:p>
    <w:p w14:paraId="429E1CE9" w14:textId="77777777" w:rsidR="009E181C" w:rsidRDefault="009E181C" w:rsidP="009E181C">
      <w:pPr>
        <w:pStyle w:val="Default"/>
        <w:widowControl w:val="0"/>
        <w:tabs>
          <w:tab w:val="left" w:pos="3290"/>
        </w:tabs>
        <w:ind w:firstLine="567"/>
        <w:jc w:val="both"/>
      </w:pPr>
      <w:r w:rsidRPr="00CA5A95">
        <w:rPr>
          <w:rFonts w:eastAsia="Times New Roman"/>
          <w:lang w:eastAsia="sk-SK"/>
        </w:rPr>
        <w:t>Upravuje</w:t>
      </w:r>
      <w:r w:rsidRPr="006817D4">
        <w:t xml:space="preserve"> sa nová kompetencia vzhľadom na potreby poskytovania priamych platieb.</w:t>
      </w:r>
    </w:p>
    <w:p w14:paraId="46C7E83E" w14:textId="77777777" w:rsidR="009E181C" w:rsidRPr="006817D4" w:rsidRDefault="009E181C" w:rsidP="009E181C">
      <w:pPr>
        <w:pStyle w:val="Default"/>
        <w:widowControl w:val="0"/>
        <w:tabs>
          <w:tab w:val="left" w:pos="3290"/>
        </w:tabs>
        <w:ind w:firstLine="567"/>
        <w:jc w:val="both"/>
      </w:pPr>
    </w:p>
    <w:p w14:paraId="7E2564F1" w14:textId="77777777" w:rsidR="009E181C" w:rsidRPr="006817D4" w:rsidRDefault="009E181C" w:rsidP="009E181C">
      <w:pPr>
        <w:widowControl w:val="0"/>
        <w:tabs>
          <w:tab w:val="left" w:pos="3290"/>
        </w:tabs>
        <w:spacing w:before="120" w:after="0" w:line="240" w:lineRule="auto"/>
        <w:jc w:val="both"/>
        <w:rPr>
          <w:rFonts w:ascii="Times New Roman" w:hAnsi="Times New Roman"/>
          <w:b/>
          <w:bCs/>
          <w:sz w:val="24"/>
          <w:szCs w:val="24"/>
        </w:rPr>
      </w:pPr>
      <w:r w:rsidRPr="006817D4">
        <w:rPr>
          <w:rFonts w:ascii="Times New Roman" w:hAnsi="Times New Roman"/>
          <w:b/>
          <w:bCs/>
          <w:sz w:val="24"/>
          <w:szCs w:val="24"/>
        </w:rPr>
        <w:t>K čl. II</w:t>
      </w:r>
    </w:p>
    <w:p w14:paraId="7B9E6A42" w14:textId="77777777" w:rsidR="009E181C" w:rsidRPr="006817D4" w:rsidRDefault="009E181C" w:rsidP="009E181C">
      <w:pPr>
        <w:widowControl w:val="0"/>
        <w:tabs>
          <w:tab w:val="left" w:pos="3290"/>
        </w:tabs>
        <w:spacing w:after="0" w:line="240" w:lineRule="auto"/>
        <w:ind w:firstLine="567"/>
        <w:jc w:val="both"/>
        <w:rPr>
          <w:rFonts w:ascii="Times New Roman" w:hAnsi="Times New Roman"/>
          <w:b/>
          <w:bCs/>
          <w:sz w:val="24"/>
          <w:szCs w:val="24"/>
        </w:rPr>
      </w:pPr>
      <w:r w:rsidRPr="00CA5A95">
        <w:rPr>
          <w:rFonts w:ascii="Times New Roman" w:hAnsi="Times New Roman"/>
          <w:sz w:val="24"/>
          <w:szCs w:val="24"/>
        </w:rPr>
        <w:t>Dátum nadobudnutia účinnosti dňa 1. januára 2023 je navrhnutý tak, aby príslušné orgány mohli plniť svoje úlohy odo dňa začiatku realizácie Strategického plánu Slovenskej republiky Spoločnej poľnohospodárskej politiky na roky 2023 až 2027</w:t>
      </w:r>
      <w:r w:rsidRPr="006817D4">
        <w:rPr>
          <w:rFonts w:ascii="Times New Roman" w:hAnsi="Times New Roman"/>
          <w:bCs/>
          <w:sz w:val="24"/>
          <w:szCs w:val="24"/>
        </w:rPr>
        <w:t>.</w:t>
      </w:r>
    </w:p>
    <w:p w14:paraId="3087F8A4" w14:textId="77777777" w:rsidR="001B53DF" w:rsidRDefault="001B53DF" w:rsidP="001B53DF">
      <w:pPr>
        <w:widowControl w:val="0"/>
        <w:spacing w:after="0" w:line="240" w:lineRule="auto"/>
        <w:jc w:val="both"/>
        <w:rPr>
          <w:rFonts w:ascii="Times New Roman" w:hAnsi="Times New Roman"/>
          <w:bCs/>
          <w:sz w:val="24"/>
          <w:szCs w:val="24"/>
        </w:rPr>
      </w:pPr>
    </w:p>
    <w:p w14:paraId="6B5A7E4C" w14:textId="0203A4FF" w:rsidR="00335F00" w:rsidRPr="00335F00" w:rsidRDefault="00335F00" w:rsidP="00335F00">
      <w:pPr>
        <w:spacing w:after="0" w:line="240" w:lineRule="auto"/>
        <w:ind w:firstLine="709"/>
        <w:rPr>
          <w:rFonts w:ascii="Times New Roman" w:hAnsi="Times New Roman"/>
          <w:sz w:val="24"/>
          <w:szCs w:val="24"/>
        </w:rPr>
      </w:pPr>
      <w:r w:rsidRPr="006E49D9">
        <w:rPr>
          <w:rFonts w:ascii="Times New Roman" w:hAnsi="Times New Roman"/>
          <w:sz w:val="24"/>
          <w:szCs w:val="24"/>
        </w:rPr>
        <w:t xml:space="preserve">Bratislava, </w:t>
      </w:r>
      <w:r w:rsidR="006E49D9" w:rsidRPr="006E49D9">
        <w:rPr>
          <w:rFonts w:ascii="Times New Roman" w:hAnsi="Times New Roman"/>
          <w:sz w:val="24"/>
          <w:szCs w:val="24"/>
        </w:rPr>
        <w:t>12</w:t>
      </w:r>
      <w:r w:rsidRPr="006E49D9">
        <w:rPr>
          <w:rFonts w:ascii="Times New Roman" w:hAnsi="Times New Roman"/>
          <w:sz w:val="24"/>
          <w:szCs w:val="24"/>
        </w:rPr>
        <w:t xml:space="preserve">. </w:t>
      </w:r>
      <w:r w:rsidR="006C64B8" w:rsidRPr="006E49D9">
        <w:rPr>
          <w:rFonts w:ascii="Times New Roman" w:hAnsi="Times New Roman"/>
          <w:sz w:val="24"/>
          <w:szCs w:val="24"/>
        </w:rPr>
        <w:t>októbra</w:t>
      </w:r>
      <w:r>
        <w:rPr>
          <w:rFonts w:ascii="Times New Roman" w:hAnsi="Times New Roman"/>
          <w:sz w:val="24"/>
          <w:szCs w:val="24"/>
        </w:rPr>
        <w:t xml:space="preserve"> 202</w:t>
      </w:r>
      <w:r w:rsidR="006C64B8">
        <w:rPr>
          <w:rFonts w:ascii="Times New Roman" w:hAnsi="Times New Roman"/>
          <w:sz w:val="24"/>
          <w:szCs w:val="24"/>
        </w:rPr>
        <w:t>2</w:t>
      </w:r>
      <w:r>
        <w:rPr>
          <w:rFonts w:ascii="Times New Roman" w:hAnsi="Times New Roman"/>
          <w:sz w:val="24"/>
          <w:szCs w:val="24"/>
        </w:rPr>
        <w:t xml:space="preserve"> </w:t>
      </w:r>
    </w:p>
    <w:p w14:paraId="09AC17D5" w14:textId="77777777" w:rsidR="00335F00" w:rsidRPr="00335F00" w:rsidRDefault="00335F00" w:rsidP="00335F00">
      <w:pPr>
        <w:spacing w:after="0" w:line="240" w:lineRule="auto"/>
        <w:ind w:firstLine="709"/>
        <w:rPr>
          <w:rFonts w:ascii="Times New Roman" w:hAnsi="Times New Roman"/>
          <w:sz w:val="24"/>
          <w:szCs w:val="24"/>
        </w:rPr>
      </w:pPr>
    </w:p>
    <w:p w14:paraId="2A1B0159" w14:textId="77777777" w:rsidR="00335F00" w:rsidRPr="00335F00" w:rsidRDefault="00335F00" w:rsidP="00335F00">
      <w:pPr>
        <w:spacing w:after="0" w:line="240" w:lineRule="auto"/>
        <w:ind w:firstLine="709"/>
        <w:jc w:val="center"/>
        <w:rPr>
          <w:rFonts w:ascii="Times New Roman" w:hAnsi="Times New Roman"/>
          <w:bCs/>
          <w:sz w:val="24"/>
          <w:szCs w:val="24"/>
        </w:rPr>
      </w:pPr>
    </w:p>
    <w:p w14:paraId="690F8B4C" w14:textId="77777777" w:rsidR="00335F00" w:rsidRPr="00335F00" w:rsidRDefault="00335F00" w:rsidP="00335F00">
      <w:pPr>
        <w:spacing w:after="0" w:line="240" w:lineRule="auto"/>
        <w:ind w:firstLine="709"/>
        <w:jc w:val="center"/>
        <w:rPr>
          <w:rFonts w:ascii="Times New Roman" w:hAnsi="Times New Roman"/>
          <w:bCs/>
          <w:sz w:val="24"/>
          <w:szCs w:val="24"/>
        </w:rPr>
      </w:pPr>
    </w:p>
    <w:p w14:paraId="145FC5E4" w14:textId="77777777" w:rsidR="00335F00" w:rsidRPr="00335F00" w:rsidRDefault="00335F00" w:rsidP="00335F00">
      <w:pPr>
        <w:spacing w:after="0" w:line="240" w:lineRule="auto"/>
        <w:ind w:firstLine="709"/>
        <w:jc w:val="center"/>
        <w:rPr>
          <w:rFonts w:ascii="Times New Roman" w:hAnsi="Times New Roman"/>
          <w:bCs/>
          <w:sz w:val="24"/>
          <w:szCs w:val="24"/>
        </w:rPr>
      </w:pPr>
    </w:p>
    <w:p w14:paraId="39378928" w14:textId="77777777" w:rsidR="00335F00" w:rsidRPr="00335F00" w:rsidRDefault="00335F00" w:rsidP="00335F00">
      <w:pPr>
        <w:spacing w:after="0" w:line="240" w:lineRule="auto"/>
        <w:jc w:val="center"/>
        <w:rPr>
          <w:rFonts w:ascii="Times New Roman" w:hAnsi="Times New Roman"/>
          <w:bCs/>
          <w:sz w:val="24"/>
          <w:szCs w:val="24"/>
        </w:rPr>
      </w:pPr>
      <w:r>
        <w:rPr>
          <w:rFonts w:ascii="Times New Roman" w:hAnsi="Times New Roman"/>
          <w:bCs/>
          <w:sz w:val="24"/>
          <w:szCs w:val="24"/>
        </w:rPr>
        <w:t xml:space="preserve">Eduard Heger </w:t>
      </w:r>
      <w:r w:rsidR="00891434">
        <w:rPr>
          <w:rFonts w:ascii="Times New Roman" w:hAnsi="Times New Roman"/>
          <w:bCs/>
          <w:sz w:val="24"/>
          <w:szCs w:val="24"/>
        </w:rPr>
        <w:t xml:space="preserve">v. r. </w:t>
      </w:r>
    </w:p>
    <w:p w14:paraId="22958864" w14:textId="77777777" w:rsidR="00335F00" w:rsidRPr="00335F00" w:rsidRDefault="00335F00" w:rsidP="00335F00">
      <w:pPr>
        <w:spacing w:after="0" w:line="240" w:lineRule="auto"/>
        <w:jc w:val="center"/>
        <w:rPr>
          <w:rFonts w:ascii="Times New Roman" w:hAnsi="Times New Roman"/>
          <w:sz w:val="24"/>
          <w:szCs w:val="24"/>
        </w:rPr>
      </w:pPr>
      <w:r w:rsidRPr="00335F00">
        <w:rPr>
          <w:rFonts w:ascii="Times New Roman" w:hAnsi="Times New Roman"/>
          <w:sz w:val="24"/>
          <w:szCs w:val="24"/>
        </w:rPr>
        <w:t>predseda vlády</w:t>
      </w:r>
    </w:p>
    <w:p w14:paraId="5D9E3B65" w14:textId="77777777" w:rsidR="00335F00" w:rsidRPr="00335F00" w:rsidRDefault="00335F00" w:rsidP="00335F00">
      <w:pPr>
        <w:spacing w:after="0" w:line="240" w:lineRule="auto"/>
        <w:jc w:val="center"/>
        <w:rPr>
          <w:rFonts w:ascii="Times New Roman" w:hAnsi="Times New Roman"/>
          <w:sz w:val="24"/>
          <w:szCs w:val="24"/>
        </w:rPr>
      </w:pPr>
      <w:r w:rsidRPr="00335F00">
        <w:rPr>
          <w:rFonts w:ascii="Times New Roman" w:hAnsi="Times New Roman"/>
          <w:sz w:val="24"/>
          <w:szCs w:val="24"/>
        </w:rPr>
        <w:t>Slovenskej republiky</w:t>
      </w:r>
    </w:p>
    <w:p w14:paraId="1A596E15" w14:textId="77777777" w:rsidR="00335F00" w:rsidRPr="00335F00" w:rsidRDefault="00335F00" w:rsidP="00335F00">
      <w:pPr>
        <w:spacing w:after="0" w:line="240" w:lineRule="auto"/>
        <w:rPr>
          <w:rFonts w:ascii="Times New Roman" w:hAnsi="Times New Roman"/>
          <w:sz w:val="24"/>
          <w:szCs w:val="24"/>
        </w:rPr>
      </w:pPr>
    </w:p>
    <w:p w14:paraId="73E0CDAE" w14:textId="77777777" w:rsidR="00335F00" w:rsidRPr="00335F00" w:rsidRDefault="00335F00" w:rsidP="00335F00">
      <w:pPr>
        <w:spacing w:after="0" w:line="240" w:lineRule="auto"/>
        <w:rPr>
          <w:rFonts w:ascii="Times New Roman" w:hAnsi="Times New Roman"/>
          <w:sz w:val="24"/>
          <w:szCs w:val="24"/>
        </w:rPr>
      </w:pPr>
    </w:p>
    <w:p w14:paraId="123F72F1" w14:textId="77777777" w:rsidR="00335F00" w:rsidRPr="00335F00" w:rsidRDefault="00335F00" w:rsidP="00335F00">
      <w:pPr>
        <w:spacing w:after="0" w:line="240" w:lineRule="auto"/>
        <w:rPr>
          <w:rFonts w:ascii="Times New Roman" w:hAnsi="Times New Roman"/>
          <w:sz w:val="24"/>
          <w:szCs w:val="24"/>
        </w:rPr>
      </w:pPr>
    </w:p>
    <w:p w14:paraId="27293C3A" w14:textId="77777777" w:rsidR="00335F00" w:rsidRPr="00335F00" w:rsidRDefault="00335F00" w:rsidP="00335F00">
      <w:pPr>
        <w:spacing w:after="0" w:line="240" w:lineRule="auto"/>
        <w:rPr>
          <w:rFonts w:ascii="Times New Roman" w:hAnsi="Times New Roman"/>
          <w:sz w:val="24"/>
          <w:szCs w:val="24"/>
        </w:rPr>
      </w:pPr>
    </w:p>
    <w:p w14:paraId="73F84B25" w14:textId="77777777" w:rsidR="00335F00" w:rsidRPr="00335F00" w:rsidRDefault="00335F00" w:rsidP="00335F00">
      <w:pPr>
        <w:spacing w:after="0" w:line="240" w:lineRule="auto"/>
        <w:rPr>
          <w:rFonts w:ascii="Times New Roman" w:hAnsi="Times New Roman"/>
          <w:sz w:val="24"/>
          <w:szCs w:val="24"/>
        </w:rPr>
      </w:pPr>
    </w:p>
    <w:p w14:paraId="1767AEA0" w14:textId="77777777" w:rsidR="00335F00" w:rsidRPr="00335F00" w:rsidRDefault="00335F00" w:rsidP="00335F00">
      <w:pPr>
        <w:spacing w:after="0" w:line="240" w:lineRule="auto"/>
        <w:jc w:val="center"/>
        <w:rPr>
          <w:rFonts w:ascii="Times New Roman" w:hAnsi="Times New Roman"/>
          <w:bCs/>
          <w:sz w:val="24"/>
          <w:szCs w:val="24"/>
        </w:rPr>
      </w:pPr>
      <w:r>
        <w:rPr>
          <w:rFonts w:ascii="Times New Roman" w:hAnsi="Times New Roman"/>
          <w:bCs/>
          <w:sz w:val="24"/>
          <w:szCs w:val="24"/>
        </w:rPr>
        <w:t xml:space="preserve">Samuel Vlčan </w:t>
      </w:r>
      <w:r w:rsidR="00891434">
        <w:rPr>
          <w:rFonts w:ascii="Times New Roman" w:hAnsi="Times New Roman"/>
          <w:bCs/>
          <w:sz w:val="24"/>
          <w:szCs w:val="24"/>
        </w:rPr>
        <w:t xml:space="preserve">v. r. </w:t>
      </w:r>
    </w:p>
    <w:p w14:paraId="7FA2DE0D" w14:textId="77777777" w:rsidR="00335F00" w:rsidRPr="00335F00" w:rsidRDefault="00335F00" w:rsidP="00335F00">
      <w:pPr>
        <w:spacing w:after="0" w:line="240" w:lineRule="auto"/>
        <w:jc w:val="center"/>
        <w:rPr>
          <w:rFonts w:ascii="Times New Roman" w:hAnsi="Times New Roman"/>
          <w:sz w:val="24"/>
          <w:szCs w:val="24"/>
        </w:rPr>
      </w:pPr>
      <w:r w:rsidRPr="00335F00">
        <w:rPr>
          <w:rFonts w:ascii="Times New Roman" w:hAnsi="Times New Roman"/>
          <w:sz w:val="24"/>
          <w:szCs w:val="24"/>
        </w:rPr>
        <w:t>minister pôdohospodárstva</w:t>
      </w:r>
    </w:p>
    <w:p w14:paraId="262DA630" w14:textId="77777777" w:rsidR="00335F00" w:rsidRPr="00335F00" w:rsidRDefault="00335F00" w:rsidP="00335F00">
      <w:pPr>
        <w:spacing w:after="0" w:line="240" w:lineRule="auto"/>
        <w:jc w:val="center"/>
        <w:rPr>
          <w:rFonts w:ascii="Times New Roman" w:hAnsi="Times New Roman"/>
          <w:sz w:val="24"/>
          <w:szCs w:val="24"/>
        </w:rPr>
      </w:pPr>
      <w:r w:rsidRPr="00335F00">
        <w:rPr>
          <w:rFonts w:ascii="Times New Roman" w:hAnsi="Times New Roman"/>
          <w:sz w:val="24"/>
          <w:szCs w:val="24"/>
        </w:rPr>
        <w:t>a rozvoja vidieka Slovenskej republiky</w:t>
      </w:r>
    </w:p>
    <w:p w14:paraId="404D56E1" w14:textId="77777777" w:rsidR="001B53DF" w:rsidRPr="001B53DF" w:rsidRDefault="001B53DF" w:rsidP="001B53DF">
      <w:pPr>
        <w:widowControl w:val="0"/>
        <w:spacing w:after="0" w:line="240" w:lineRule="auto"/>
        <w:jc w:val="both"/>
        <w:rPr>
          <w:rFonts w:ascii="Times New Roman" w:hAnsi="Times New Roman"/>
          <w:bCs/>
          <w:sz w:val="24"/>
          <w:szCs w:val="24"/>
        </w:rPr>
      </w:pPr>
    </w:p>
    <w:p w14:paraId="720ACE9A" w14:textId="77777777" w:rsidR="002D09B0" w:rsidRDefault="002D09B0"/>
    <w:sectPr w:rsidR="002D09B0" w:rsidSect="009E181C">
      <w:footerReference w:type="default" r:id="rId18"/>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1BB70" w14:textId="77777777" w:rsidR="009E181C" w:rsidRDefault="009E181C" w:rsidP="007E2775">
      <w:pPr>
        <w:spacing w:after="0" w:line="240" w:lineRule="auto"/>
      </w:pPr>
      <w:r>
        <w:separator/>
      </w:r>
    </w:p>
  </w:endnote>
  <w:endnote w:type="continuationSeparator" w:id="0">
    <w:p w14:paraId="017C5B75" w14:textId="77777777" w:rsidR="009E181C" w:rsidRDefault="009E181C" w:rsidP="007E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DFCD" w14:textId="77777777" w:rsidR="009E181C" w:rsidRDefault="009E181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373C7EAF" w14:textId="77777777" w:rsidR="009E181C" w:rsidRDefault="009E181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EDB5" w14:textId="3CDB251B" w:rsidR="009E181C" w:rsidRPr="009E181C" w:rsidRDefault="009E181C" w:rsidP="009E181C">
    <w:pPr>
      <w:pStyle w:val="Pta"/>
      <w:jc w:val="center"/>
      <w:rPr>
        <w:rFonts w:ascii="Times New Roman" w:hAnsi="Times New Roman"/>
        <w:sz w:val="24"/>
      </w:rPr>
    </w:pPr>
    <w:r w:rsidRPr="009E181C">
      <w:rPr>
        <w:rFonts w:ascii="Times New Roman" w:hAnsi="Times New Roman"/>
        <w:sz w:val="24"/>
      </w:rPr>
      <w:fldChar w:fldCharType="begin"/>
    </w:r>
    <w:r w:rsidRPr="009E181C">
      <w:rPr>
        <w:rFonts w:ascii="Times New Roman" w:hAnsi="Times New Roman"/>
        <w:sz w:val="24"/>
      </w:rPr>
      <w:instrText>PAGE   \* MERGEFORMAT</w:instrText>
    </w:r>
    <w:r w:rsidRPr="009E181C">
      <w:rPr>
        <w:rFonts w:ascii="Times New Roman" w:hAnsi="Times New Roman"/>
        <w:sz w:val="24"/>
      </w:rPr>
      <w:fldChar w:fldCharType="separate"/>
    </w:r>
    <w:r w:rsidR="003B4B83">
      <w:rPr>
        <w:rFonts w:ascii="Times New Roman" w:hAnsi="Times New Roman"/>
        <w:noProof/>
        <w:sz w:val="24"/>
      </w:rPr>
      <w:t>8</w:t>
    </w:r>
    <w:r w:rsidRPr="009E181C">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EE69" w14:textId="77777777" w:rsidR="009E181C" w:rsidRDefault="009E181C">
    <w:pPr>
      <w:pStyle w:val="Pta"/>
      <w:jc w:val="right"/>
    </w:pPr>
    <w:r>
      <w:fldChar w:fldCharType="begin"/>
    </w:r>
    <w:r>
      <w:instrText>PAGE   \* MERGEFORMAT</w:instrText>
    </w:r>
    <w:r>
      <w:fldChar w:fldCharType="separate"/>
    </w:r>
    <w:r>
      <w:rPr>
        <w:noProof/>
      </w:rPr>
      <w:t>0</w:t>
    </w:r>
    <w:r>
      <w:fldChar w:fldCharType="end"/>
    </w:r>
  </w:p>
  <w:p w14:paraId="7F7E1E30" w14:textId="77777777" w:rsidR="009E181C" w:rsidRDefault="009E181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1569638813"/>
      <w:docPartObj>
        <w:docPartGallery w:val="Page Numbers (Bottom of Page)"/>
        <w:docPartUnique/>
      </w:docPartObj>
    </w:sdtPr>
    <w:sdtEndPr>
      <w:rPr>
        <w:noProof/>
      </w:rPr>
    </w:sdtEndPr>
    <w:sdtContent>
      <w:p w14:paraId="59D7F5DE" w14:textId="2DD9F063" w:rsidR="009E181C" w:rsidRPr="0044447C" w:rsidRDefault="009E181C" w:rsidP="009E181C">
        <w:pPr>
          <w:pStyle w:val="Pta"/>
          <w:jc w:val="center"/>
          <w:rPr>
            <w:rFonts w:ascii="Times New Roman" w:hAnsi="Times New Roman"/>
            <w:noProof/>
            <w:sz w:val="24"/>
          </w:rPr>
        </w:pPr>
        <w:r w:rsidRPr="0044447C">
          <w:rPr>
            <w:rFonts w:ascii="Times New Roman" w:hAnsi="Times New Roman"/>
            <w:noProof/>
            <w:sz w:val="24"/>
          </w:rPr>
          <w:fldChar w:fldCharType="begin"/>
        </w:r>
        <w:r w:rsidRPr="0044447C">
          <w:rPr>
            <w:rFonts w:ascii="Times New Roman" w:hAnsi="Times New Roman"/>
            <w:noProof/>
            <w:sz w:val="24"/>
          </w:rPr>
          <w:instrText>PAGE   \* MERGEFORMAT</w:instrText>
        </w:r>
        <w:r w:rsidRPr="0044447C">
          <w:rPr>
            <w:rFonts w:ascii="Times New Roman" w:hAnsi="Times New Roman"/>
            <w:noProof/>
            <w:sz w:val="24"/>
          </w:rPr>
          <w:fldChar w:fldCharType="separate"/>
        </w:r>
        <w:r w:rsidR="003B4B83">
          <w:rPr>
            <w:rFonts w:ascii="Times New Roman" w:hAnsi="Times New Roman"/>
            <w:noProof/>
            <w:sz w:val="24"/>
          </w:rPr>
          <w:t>12</w:t>
        </w:r>
        <w:r w:rsidRPr="0044447C">
          <w:rPr>
            <w:rFonts w:ascii="Times New Roman" w:hAnsi="Times New Roman"/>
            <w:noProof/>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1639949732"/>
      <w:docPartObj>
        <w:docPartGallery w:val="Page Numbers (Bottom of Page)"/>
        <w:docPartUnique/>
      </w:docPartObj>
    </w:sdtPr>
    <w:sdtContent>
      <w:p w14:paraId="4FE7DAAF" w14:textId="22E81DCE" w:rsidR="009E181C" w:rsidRPr="00D338A5" w:rsidRDefault="009E181C" w:rsidP="007E2775">
        <w:pPr>
          <w:pStyle w:val="Pta"/>
          <w:jc w:val="center"/>
          <w:rPr>
            <w:rFonts w:ascii="Times New Roman" w:hAnsi="Times New Roman"/>
            <w:sz w:val="24"/>
          </w:rPr>
        </w:pPr>
        <w:r w:rsidRPr="00D338A5">
          <w:rPr>
            <w:rFonts w:ascii="Times New Roman" w:hAnsi="Times New Roman"/>
            <w:sz w:val="24"/>
          </w:rPr>
          <w:fldChar w:fldCharType="begin"/>
        </w:r>
        <w:r w:rsidRPr="00D338A5">
          <w:rPr>
            <w:rFonts w:ascii="Times New Roman" w:hAnsi="Times New Roman"/>
            <w:sz w:val="24"/>
          </w:rPr>
          <w:instrText>PAGE   \* MERGEFORMAT</w:instrText>
        </w:r>
        <w:r w:rsidRPr="00D338A5">
          <w:rPr>
            <w:rFonts w:ascii="Times New Roman" w:hAnsi="Times New Roman"/>
            <w:sz w:val="24"/>
          </w:rPr>
          <w:fldChar w:fldCharType="separate"/>
        </w:r>
        <w:r w:rsidR="003B4B83">
          <w:rPr>
            <w:rFonts w:ascii="Times New Roman" w:hAnsi="Times New Roman"/>
            <w:noProof/>
            <w:sz w:val="24"/>
          </w:rPr>
          <w:t>15</w:t>
        </w:r>
        <w:r w:rsidRPr="00D338A5">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4D41F" w14:textId="77777777" w:rsidR="009E181C" w:rsidRDefault="009E181C" w:rsidP="007E2775">
      <w:pPr>
        <w:spacing w:after="0" w:line="240" w:lineRule="auto"/>
      </w:pPr>
      <w:r>
        <w:separator/>
      </w:r>
    </w:p>
  </w:footnote>
  <w:footnote w:type="continuationSeparator" w:id="0">
    <w:p w14:paraId="5EADB6B9" w14:textId="77777777" w:rsidR="009E181C" w:rsidRDefault="009E181C" w:rsidP="007E2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49CA" w14:textId="77777777" w:rsidR="009E181C" w:rsidRDefault="009E181C" w:rsidP="009E181C">
    <w:pPr>
      <w:pStyle w:val="Hlavika"/>
      <w:jc w:val="right"/>
      <w:rPr>
        <w:sz w:val="24"/>
        <w:szCs w:val="24"/>
      </w:rPr>
    </w:pPr>
    <w:r>
      <w:rPr>
        <w:sz w:val="24"/>
        <w:szCs w:val="24"/>
      </w:rPr>
      <w:t>Príloha č. 2</w:t>
    </w:r>
  </w:p>
  <w:p w14:paraId="5701BDEC" w14:textId="77777777" w:rsidR="009E181C" w:rsidRPr="00EB59C8" w:rsidRDefault="009E181C" w:rsidP="009E181C">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B7320" w14:textId="77777777" w:rsidR="009E181C" w:rsidRPr="0024067A" w:rsidRDefault="009E181C">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F5394" w14:textId="77777777" w:rsidR="009E181C" w:rsidRPr="000A15AE" w:rsidRDefault="009E181C" w:rsidP="009E181C">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5E6C"/>
    <w:multiLevelType w:val="hybridMultilevel"/>
    <w:tmpl w:val="AFCEF4E0"/>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30D05BCC"/>
    <w:multiLevelType w:val="hybridMultilevel"/>
    <w:tmpl w:val="2C32D7E4"/>
    <w:lvl w:ilvl="0" w:tplc="96D29FA6">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71812D1"/>
    <w:multiLevelType w:val="hybridMultilevel"/>
    <w:tmpl w:val="F1F61E1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CB"/>
    <w:rsid w:val="00004450"/>
    <w:rsid w:val="00014CA5"/>
    <w:rsid w:val="000E0026"/>
    <w:rsid w:val="001B06EF"/>
    <w:rsid w:val="001B53DF"/>
    <w:rsid w:val="0020531A"/>
    <w:rsid w:val="00221086"/>
    <w:rsid w:val="002635EB"/>
    <w:rsid w:val="002C25EE"/>
    <w:rsid w:val="002D09B0"/>
    <w:rsid w:val="00334440"/>
    <w:rsid w:val="00335F00"/>
    <w:rsid w:val="00352397"/>
    <w:rsid w:val="00387CC9"/>
    <w:rsid w:val="003B4B83"/>
    <w:rsid w:val="003F1A15"/>
    <w:rsid w:val="0041423E"/>
    <w:rsid w:val="0044447C"/>
    <w:rsid w:val="00446DB6"/>
    <w:rsid w:val="00574424"/>
    <w:rsid w:val="005D494E"/>
    <w:rsid w:val="005F25D8"/>
    <w:rsid w:val="005F5533"/>
    <w:rsid w:val="006067EE"/>
    <w:rsid w:val="00606FA4"/>
    <w:rsid w:val="0065038D"/>
    <w:rsid w:val="006C64B8"/>
    <w:rsid w:val="006E49D9"/>
    <w:rsid w:val="00737FF7"/>
    <w:rsid w:val="007430C0"/>
    <w:rsid w:val="00775EAC"/>
    <w:rsid w:val="00780F44"/>
    <w:rsid w:val="007B54FC"/>
    <w:rsid w:val="007E2775"/>
    <w:rsid w:val="00891434"/>
    <w:rsid w:val="00907401"/>
    <w:rsid w:val="009504D4"/>
    <w:rsid w:val="009E181C"/>
    <w:rsid w:val="009E351F"/>
    <w:rsid w:val="009F00D4"/>
    <w:rsid w:val="00A27F99"/>
    <w:rsid w:val="00A4475F"/>
    <w:rsid w:val="00AB65CB"/>
    <w:rsid w:val="00B25B70"/>
    <w:rsid w:val="00BD4F38"/>
    <w:rsid w:val="00BF0620"/>
    <w:rsid w:val="00C03E8E"/>
    <w:rsid w:val="00C27D73"/>
    <w:rsid w:val="00CB5755"/>
    <w:rsid w:val="00CD5AE8"/>
    <w:rsid w:val="00CE2710"/>
    <w:rsid w:val="00D02D47"/>
    <w:rsid w:val="00D338A5"/>
    <w:rsid w:val="00E34889"/>
    <w:rsid w:val="00E972A0"/>
    <w:rsid w:val="00F614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228F"/>
  <w15:docId w15:val="{8F5EFBB6-6F71-431F-9839-01CE6DE6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475F"/>
    <w:pPr>
      <w:spacing w:after="200" w:line="27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A4475F"/>
    <w:pPr>
      <w:ind w:left="720"/>
      <w:contextualSpacing/>
    </w:pPr>
  </w:style>
  <w:style w:type="paragraph" w:styleId="Normlnywebov">
    <w:name w:val="Normal (Web)"/>
    <w:basedOn w:val="Normlny"/>
    <w:uiPriority w:val="99"/>
    <w:unhideWhenUsed/>
    <w:rsid w:val="00A4475F"/>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90740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401"/>
    <w:rPr>
      <w:rFonts w:ascii="Tahoma" w:eastAsia="Times New Roman" w:hAnsi="Tahoma" w:cs="Tahoma"/>
      <w:sz w:val="16"/>
      <w:szCs w:val="16"/>
    </w:rPr>
  </w:style>
  <w:style w:type="paragraph" w:styleId="Hlavika">
    <w:name w:val="header"/>
    <w:basedOn w:val="Normlny"/>
    <w:link w:val="HlavikaChar"/>
    <w:uiPriority w:val="99"/>
    <w:unhideWhenUsed/>
    <w:rsid w:val="007E277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E2775"/>
    <w:rPr>
      <w:rFonts w:ascii="Calibri" w:eastAsia="Times New Roman" w:hAnsi="Calibri" w:cs="Times New Roman"/>
    </w:rPr>
  </w:style>
  <w:style w:type="paragraph" w:styleId="Pta">
    <w:name w:val="footer"/>
    <w:basedOn w:val="Normlny"/>
    <w:link w:val="PtaChar"/>
    <w:uiPriority w:val="99"/>
    <w:unhideWhenUsed/>
    <w:rsid w:val="007E2775"/>
    <w:pPr>
      <w:tabs>
        <w:tab w:val="center" w:pos="4536"/>
        <w:tab w:val="right" w:pos="9072"/>
      </w:tabs>
      <w:spacing w:after="0" w:line="240" w:lineRule="auto"/>
    </w:pPr>
  </w:style>
  <w:style w:type="character" w:customStyle="1" w:styleId="PtaChar">
    <w:name w:val="Päta Char"/>
    <w:basedOn w:val="Predvolenpsmoodseku"/>
    <w:link w:val="Pta"/>
    <w:uiPriority w:val="99"/>
    <w:rsid w:val="007E2775"/>
    <w:rPr>
      <w:rFonts w:ascii="Calibri" w:eastAsia="Times New Roman" w:hAnsi="Calibri" w:cs="Times New Roman"/>
    </w:rPr>
  </w:style>
  <w:style w:type="table" w:customStyle="1" w:styleId="Mriekatabuky1">
    <w:name w:val="Mriežka tabuľky1"/>
    <w:basedOn w:val="Normlnatabuka"/>
    <w:next w:val="Mriekatabuky"/>
    <w:uiPriority w:val="59"/>
    <w:rsid w:val="001B5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5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239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Mriekatabuky2">
    <w:name w:val="Mriežka tabuľky2"/>
    <w:basedOn w:val="Normlnatabuka"/>
    <w:next w:val="Mriekatabuky"/>
    <w:uiPriority w:val="59"/>
    <w:rsid w:val="006C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9E1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9E18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1843">
      <w:bodyDiv w:val="1"/>
      <w:marLeft w:val="0"/>
      <w:marRight w:val="0"/>
      <w:marTop w:val="0"/>
      <w:marBottom w:val="0"/>
      <w:divBdr>
        <w:top w:val="none" w:sz="0" w:space="0" w:color="auto"/>
        <w:left w:val="none" w:sz="0" w:space="0" w:color="auto"/>
        <w:bottom w:val="none" w:sz="0" w:space="0" w:color="auto"/>
        <w:right w:val="none" w:sz="0" w:space="0" w:color="auto"/>
      </w:divBdr>
    </w:div>
    <w:div w:id="8527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turiak@land.gov.sk"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martin.illas@land.gov.sk" TargetMode="External"/><Relationship Id="rId12" Type="http://schemas.openxmlformats.org/officeDocument/2006/relationships/footer" Target="footer1.xml"/><Relationship Id="rId17" Type="http://schemas.openxmlformats.org/officeDocument/2006/relationships/hyperlink" Target="https://www.mhsr.sk/podnikatelske-prostredie/lepsia-regulacia/regulacne-zatazenie/kalkulacka-nakladov-regulacie"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lan.vavrinsky@land.gov.sk"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5007</Words>
  <Characters>28543</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Círia František</dc:creator>
  <cp:keywords/>
  <dc:description/>
  <cp:lastModifiedBy>Illáš Martin</cp:lastModifiedBy>
  <cp:revision>12</cp:revision>
  <cp:lastPrinted>2021-07-15T11:48:00Z</cp:lastPrinted>
  <dcterms:created xsi:type="dcterms:W3CDTF">2021-07-15T11:46:00Z</dcterms:created>
  <dcterms:modified xsi:type="dcterms:W3CDTF">2022-10-12T19:06:00Z</dcterms:modified>
</cp:coreProperties>
</file>