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8288" w14:textId="77777777" w:rsidR="002E4BFD" w:rsidRDefault="002E4BFD" w:rsidP="002E4BF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30"/>
          <w:sz w:val="24"/>
          <w:szCs w:val="24"/>
        </w:rPr>
        <w:t>NÁRODNÁ RADA SLOVENSKEJ REPUBLIKY</w:t>
      </w:r>
    </w:p>
    <w:p w14:paraId="1A3559D3" w14:textId="77777777" w:rsidR="002E4BFD" w:rsidRDefault="002E4BFD" w:rsidP="002E4BFD">
      <w:pPr>
        <w:keepNext/>
        <w:keepLines/>
        <w:widowControl w:val="0"/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VIII. volebné obdobie</w:t>
      </w:r>
    </w:p>
    <w:p w14:paraId="0BC3B2E5" w14:textId="77777777" w:rsidR="002E4BFD" w:rsidRDefault="002E4BFD" w:rsidP="002E4BF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B2BA5A" w14:textId="1B5546A6" w:rsidR="002E4BFD" w:rsidRDefault="00FF7773" w:rsidP="002E4BF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77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1273</w:t>
      </w:r>
    </w:p>
    <w:p w14:paraId="7CA4139D" w14:textId="77777777" w:rsidR="002E4BFD" w:rsidRDefault="002E4BFD" w:rsidP="002E4BF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91773B" w14:textId="77777777" w:rsidR="002E4BFD" w:rsidRDefault="002E4BFD" w:rsidP="002E4BF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VLÁDNY NÁVRH</w:t>
      </w:r>
    </w:p>
    <w:p w14:paraId="1097DC64" w14:textId="77777777" w:rsidR="002E4BFD" w:rsidRDefault="002E4BFD" w:rsidP="002E4BF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E63643" w14:textId="77777777" w:rsidR="004E3E0B" w:rsidRPr="00077F3E" w:rsidRDefault="004E3E0B" w:rsidP="000A6D7B">
      <w:pPr>
        <w:pStyle w:val="Nadpis1"/>
        <w:keepNext w:val="0"/>
        <w:keepLines w:val="0"/>
        <w:widowControl w:val="0"/>
        <w:spacing w:before="0" w:after="240"/>
      </w:pPr>
      <w:r w:rsidRPr="00077F3E">
        <w:t>ZÁKON</w:t>
      </w:r>
    </w:p>
    <w:p w14:paraId="61BC9030" w14:textId="34A7DE70" w:rsidR="004E3E0B" w:rsidRPr="00077F3E" w:rsidRDefault="00EA1591" w:rsidP="000A6D7B">
      <w:pPr>
        <w:pStyle w:val="Nadpis2"/>
        <w:keepNext w:val="0"/>
        <w:keepLines w:val="0"/>
        <w:widowControl w:val="0"/>
        <w:spacing w:before="0" w:after="240"/>
      </w:pPr>
      <w:r w:rsidRPr="002C796E">
        <w:t>z ... 202</w:t>
      </w:r>
      <w:r w:rsidR="00730345">
        <w:t>2</w:t>
      </w:r>
      <w:r w:rsidR="004E3E0B" w:rsidRPr="00077F3E">
        <w:t>,</w:t>
      </w:r>
    </w:p>
    <w:p w14:paraId="19F4785A" w14:textId="77777777" w:rsidR="004E3E0B" w:rsidRPr="00077F3E" w:rsidRDefault="004E3E0B" w:rsidP="000A6D7B">
      <w:pPr>
        <w:pStyle w:val="Nadpis2"/>
        <w:keepNext w:val="0"/>
        <w:keepLines w:val="0"/>
        <w:widowControl w:val="0"/>
        <w:spacing w:before="0" w:after="240"/>
      </w:pPr>
      <w:r w:rsidRPr="00077F3E">
        <w:t>ktorým sa mení a dopĺňa zákon č. 280/2017 Z. z. o poskytovaní podpory a dotácie v</w:t>
      </w:r>
      <w:r w:rsidR="00CE601D">
        <w:t> </w:t>
      </w:r>
      <w:r w:rsidRPr="00077F3E">
        <w:t>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</w:p>
    <w:p w14:paraId="0EC71F8B" w14:textId="77777777" w:rsidR="006B0EC0" w:rsidRDefault="006B0EC0" w:rsidP="006B0EC0">
      <w:pPr>
        <w:widowControl w:val="0"/>
        <w:spacing w:before="360" w:after="4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7F3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811CCEC" w14:textId="77777777" w:rsidR="006B0EC0" w:rsidRPr="00CE601D" w:rsidRDefault="006B0EC0" w:rsidP="006B0EC0">
      <w:pPr>
        <w:pStyle w:val="Odsekzoznamu"/>
        <w:widowControl w:val="0"/>
        <w:numPr>
          <w:ilvl w:val="0"/>
          <w:numId w:val="4"/>
        </w:numPr>
        <w:spacing w:before="360" w:after="36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F40C5" w14:textId="17F81E61" w:rsidR="006B0EC0" w:rsidRPr="00B353F1" w:rsidRDefault="006B0EC0" w:rsidP="006B0E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zákona č. 113/2018 Z. z., zákona č. 154/2019 Z. z., zákona č.</w:t>
      </w:r>
      <w:r w:rsidR="0094765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309/2021 Z. z. a zákona č. 503/2021 Z. z. sa mení a dopĺňa takto:</w:t>
      </w:r>
    </w:p>
    <w:p w14:paraId="4E948089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V § 2 odsek 1 znie:</w:t>
      </w:r>
    </w:p>
    <w:p w14:paraId="3213DFBD" w14:textId="77777777" w:rsidR="006B0EC0" w:rsidRPr="00B353F1" w:rsidRDefault="006B0EC0" w:rsidP="006B0EC0">
      <w:pPr>
        <w:widowControl w:val="0"/>
        <w:spacing w:before="60" w:after="120" w:line="240" w:lineRule="auto"/>
        <w:ind w:lef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Podporou sú finančné prostriedky poskytované z Európskeho poľnohospodárskeho záručného fondu, finančné prostriedky na rozvoj vidieka v rámci integrovaného systému podľa osobitných predpisov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) poskytované z Európskeho poľnohospodárskeho fondu pre rozvoj vidieka, finančné prostriedky na investície podľa osobitného predpisu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2a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) založené na veľkosti plochy a podmienené prijatím viacročného záväzku, poskytované z Európskeho poľnohospodárskeho fondu pre rozvoj vidieka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prostriedky poskytované zo štátneho rozpočtu určené na spolufinancovanie spoločných programov Slovenskej republiky a Európskej únie pre podporovanie pôdohospodárstva, rozvoja vidieka a rybného hospodárstva podľa osobitných predpisov.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)”.</w:t>
      </w:r>
    </w:p>
    <w:p w14:paraId="3F7B1294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Poznámky pod čiarou k odkazom 2 a 2a znejú:</w:t>
      </w:r>
    </w:p>
    <w:p w14:paraId="6F848517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B353F1">
        <w:rPr>
          <w:rFonts w:ascii="Times New Roman" w:eastAsia="Georgia" w:hAnsi="Times New Roman" w:cs="Times New Roman"/>
          <w:sz w:val="24"/>
          <w:szCs w:val="24"/>
          <w:lang w:eastAsia="sk-SK"/>
        </w:rPr>
        <w:t>Čl. 21 ods. 1 písm. a) a b), čl. 28 až 31 a čl. 33 a 34 nariadenia Európskeho parlamentu a Rady (EÚ) č. 1305/2013 zo 17. decembra 2013 o podpore rozvoja vidieka prostredníctvom Európskeho poľnohospodárskeho fondu pre rozvoj vidieka (EPFRV) a o zrušení nariadenia Rady (ES) č. 1698/2005 (Ú. v. EÚ L 347, 20. 12. 2013) v platnom znení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9F2AE94" w14:textId="77777777" w:rsidR="006B0EC0" w:rsidRPr="00B353F1" w:rsidRDefault="006B0EC0" w:rsidP="006B0EC0">
      <w:pPr>
        <w:widowControl w:val="0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Čl. 70 až 72 nariadenia Európskeho parlamentu a Rady (EÚ) 2021/2115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1307/2013 (Ú. v. EÚ L 435, 6.12.2021) v platnom znení.</w:t>
      </w:r>
    </w:p>
    <w:p w14:paraId="7E203AE7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lastRenderedPageBreak/>
        <w:t>2a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B353F1">
        <w:rPr>
          <w:rFonts w:ascii="Times New Roman" w:hAnsi="Times New Roman" w:cs="Times New Roman"/>
          <w:sz w:val="24"/>
          <w:szCs w:val="24"/>
        </w:rPr>
        <w:t xml:space="preserve"> 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Čl. 73 ods. 4 písm. c) bod i) a čl. 83 ods. 1 písm. b) nariadenia (EÚ) 2021/2115 v platnom znení.”.</w:t>
      </w:r>
    </w:p>
    <w:p w14:paraId="3580B9A3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 xml:space="preserve">V § 3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písm</w:t>
      </w:r>
      <w:r w:rsidRPr="00B353F1">
        <w:rPr>
          <w:rFonts w:ascii="Times New Roman" w:hAnsi="Times New Roman" w:cs="Times New Roman"/>
          <w:sz w:val="24"/>
          <w:szCs w:val="24"/>
        </w:rPr>
        <w:t>. a) sa slová „opatrením s viacročnými záväzkami opatrenie“ nahrádzajú slovami „neprojektovým opatrením s viacročnými záväzkami neprojektové opatrenie“.</w:t>
      </w:r>
    </w:p>
    <w:p w14:paraId="265E76A9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V § 3 písm. b) prvom bode sa číslo „2020“ nahrádza číslom „2022“.</w:t>
      </w:r>
    </w:p>
    <w:p w14:paraId="10FB0013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V § 3 písm. b) sa za prvý bod vkladá nový druhý bod, ktorý znie:</w:t>
      </w:r>
    </w:p>
    <w:p w14:paraId="083E81BE" w14:textId="77777777" w:rsidR="006B0EC0" w:rsidRPr="00B353F1" w:rsidRDefault="006B0EC0" w:rsidP="006B0EC0">
      <w:pPr>
        <w:widowControl w:val="0"/>
        <w:spacing w:before="6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„2. 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Strategický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 plán spoločnej poľnohospodárskej politiky 2023 – 2027 (ďalej len „strategický plán“),“.</w:t>
      </w:r>
    </w:p>
    <w:p w14:paraId="61040946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Doterajš</w:t>
      </w:r>
      <w:r>
        <w:rPr>
          <w:rFonts w:ascii="Times New Roman" w:eastAsia="Times New Roman" w:hAnsi="Times New Roman" w:cs="Times New Roman"/>
          <w:sz w:val="24"/>
          <w:szCs w:val="24"/>
        </w:rPr>
        <w:t>í druhý a tretí bod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 sa označujú ako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tretí a štvrtý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bod.</w:t>
      </w:r>
    </w:p>
    <w:p w14:paraId="72E4A58F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V § 3 písm. b) štvrtom bode sa slovo „druhom“ nahrádza slovom „treťom“.</w:t>
      </w:r>
    </w:p>
    <w:p w14:paraId="48B044B4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 xml:space="preserve"> V § 3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písmená</w:t>
      </w:r>
      <w:r w:rsidRPr="00B353F1">
        <w:rPr>
          <w:rFonts w:ascii="Times New Roman" w:hAnsi="Times New Roman" w:cs="Times New Roman"/>
          <w:sz w:val="24"/>
          <w:szCs w:val="24"/>
        </w:rPr>
        <w:t xml:space="preserve"> c) a d) znejú:</w:t>
      </w:r>
    </w:p>
    <w:p w14:paraId="2D487AA5" w14:textId="77777777" w:rsidR="006B0EC0" w:rsidRPr="00B353F1" w:rsidRDefault="006B0EC0" w:rsidP="006B0EC0">
      <w:pPr>
        <w:pStyle w:val="Default"/>
        <w:widowControl w:val="0"/>
        <w:tabs>
          <w:tab w:val="left" w:pos="851"/>
        </w:tabs>
        <w:ind w:left="709" w:hanging="283"/>
        <w:jc w:val="both"/>
        <w:rPr>
          <w:color w:val="auto"/>
        </w:rPr>
      </w:pPr>
      <w:r w:rsidRPr="00B353F1">
        <w:rPr>
          <w:color w:val="auto"/>
        </w:rPr>
        <w:t>„</w:t>
      </w:r>
      <w:r w:rsidRPr="00B353F1">
        <w:rPr>
          <w:rFonts w:eastAsia="Georgia"/>
          <w:color w:val="auto"/>
        </w:rPr>
        <w:t>c) priamymi podporami priame platby podľa osobitného predpisu</w:t>
      </w:r>
      <w:r w:rsidRPr="00B353F1">
        <w:rPr>
          <w:color w:val="auto"/>
          <w:vertAlign w:val="superscript"/>
          <w:lang w:eastAsia="sk-SK"/>
        </w:rPr>
        <w:t>8</w:t>
      </w:r>
      <w:r w:rsidRPr="00B353F1">
        <w:rPr>
          <w:color w:val="auto"/>
          <w:lang w:eastAsia="sk-SK"/>
        </w:rPr>
        <w:t>)</w:t>
      </w:r>
      <w:r w:rsidRPr="00B353F1">
        <w:rPr>
          <w:rFonts w:eastAsia="Georgia"/>
          <w:color w:val="auto"/>
        </w:rPr>
        <w:t xml:space="preserve"> a finančné prostriedky na neprojektové opatrenia,</w:t>
      </w:r>
    </w:p>
    <w:p w14:paraId="5095C9D5" w14:textId="77777777" w:rsidR="006B0EC0" w:rsidRPr="00B353F1" w:rsidRDefault="006B0EC0" w:rsidP="006B0EC0">
      <w:pPr>
        <w:pStyle w:val="Default"/>
        <w:widowControl w:val="0"/>
        <w:tabs>
          <w:tab w:val="left" w:pos="426"/>
          <w:tab w:val="left" w:pos="851"/>
        </w:tabs>
        <w:ind w:left="709" w:hanging="283"/>
        <w:jc w:val="both"/>
        <w:rPr>
          <w:rFonts w:eastAsia="Georgia"/>
          <w:color w:val="auto"/>
        </w:rPr>
      </w:pPr>
      <w:r w:rsidRPr="00B353F1">
        <w:rPr>
          <w:rFonts w:eastAsia="Georgia"/>
          <w:color w:val="auto"/>
        </w:rPr>
        <w:t>d) priamymi podporami na plochu priame platby na plochu podľa osobitného predpisu</w:t>
      </w:r>
      <w:r w:rsidRPr="00B353F1">
        <w:rPr>
          <w:color w:val="auto"/>
          <w:vertAlign w:val="superscript"/>
        </w:rPr>
        <w:t>9</w:t>
      </w:r>
      <w:r w:rsidRPr="00B353F1">
        <w:rPr>
          <w:color w:val="auto"/>
        </w:rPr>
        <w:t>)</w:t>
      </w:r>
      <w:r w:rsidRPr="00B353F1">
        <w:rPr>
          <w:rFonts w:eastAsia="Georgia"/>
          <w:color w:val="auto"/>
        </w:rPr>
        <w:t xml:space="preserve"> a</w:t>
      </w:r>
      <w:r>
        <w:rPr>
          <w:rFonts w:eastAsia="Georgia"/>
          <w:color w:val="auto"/>
        </w:rPr>
        <w:t> </w:t>
      </w:r>
      <w:r w:rsidRPr="00B353F1">
        <w:rPr>
          <w:rFonts w:eastAsia="Georgia"/>
          <w:color w:val="auto"/>
        </w:rPr>
        <w:t>finančné prostriedky na neprojektové opatrenia založené na veľkosti nahlásenej plochy,“.</w:t>
      </w:r>
    </w:p>
    <w:p w14:paraId="1D6CCB92" w14:textId="37B155EC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Poznámky pod čiarou k odkazom 8</w:t>
      </w:r>
      <w:r w:rsidR="0094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a 9 znejú:</w:t>
      </w:r>
    </w:p>
    <w:p w14:paraId="71CA55AF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„</w:t>
      </w:r>
      <w:r w:rsidRPr="00B353F1">
        <w:rPr>
          <w:rFonts w:ascii="Times New Roman" w:eastAsia="Georgia" w:hAnsi="Times New Roman" w:cs="Times New Roman"/>
          <w:sz w:val="24"/>
          <w:szCs w:val="24"/>
          <w:vertAlign w:val="superscript"/>
        </w:rPr>
        <w:t>8</w:t>
      </w:r>
      <w:r w:rsidRPr="00B353F1">
        <w:rPr>
          <w:rFonts w:ascii="Times New Roman" w:eastAsia="Georgia" w:hAnsi="Times New Roman" w:cs="Times New Roman"/>
          <w:sz w:val="24"/>
          <w:szCs w:val="24"/>
        </w:rPr>
        <w:t>) Čl. 16 nariadenia (EÚ) č. 2021/2115 v platnom znení.</w:t>
      </w:r>
    </w:p>
    <w:p w14:paraId="7A461CDF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353F1">
        <w:rPr>
          <w:rFonts w:ascii="Times New Roman" w:eastAsia="Georgia" w:hAnsi="Times New Roman" w:cs="Times New Roman"/>
          <w:sz w:val="24"/>
          <w:szCs w:val="24"/>
          <w:vertAlign w:val="superscript"/>
        </w:rPr>
        <w:t>9</w:t>
      </w:r>
      <w:r w:rsidRPr="00B353F1">
        <w:rPr>
          <w:rFonts w:ascii="Times New Roman" w:eastAsia="Georgia" w:hAnsi="Times New Roman" w:cs="Times New Roman"/>
          <w:sz w:val="24"/>
          <w:szCs w:val="24"/>
        </w:rPr>
        <w:t xml:space="preserve">) Čl. 65 </w:t>
      </w:r>
      <w:r w:rsidRPr="00B353F1">
        <w:rPr>
          <w:rFonts w:ascii="Times New Roman" w:hAnsi="Times New Roman" w:cs="Times New Roman"/>
          <w:sz w:val="24"/>
          <w:szCs w:val="24"/>
          <w:lang w:eastAsia="sk-SK"/>
        </w:rPr>
        <w:t>nariadenia Európskeho parlamentu a Rady (EÚ) 2021/2116 z 2. decembra 2021 o financovaní, riadení a monitorovaní spoločnej poľnohospodárskej politiky a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B353F1">
        <w:rPr>
          <w:rFonts w:ascii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B353F1">
        <w:rPr>
          <w:rFonts w:ascii="Times New Roman" w:hAnsi="Times New Roman" w:cs="Times New Roman"/>
          <w:sz w:val="24"/>
          <w:szCs w:val="24"/>
          <w:lang w:eastAsia="sk-SK"/>
        </w:rPr>
        <w:t>zrušení nariadenia (EÚ) č. 1306/2013 (Ú. v. EÚ L 435, 6.12.2021) v platnom znení.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6ECE926B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V § 3 písm. e) sa slová „podľa § 26“ nahrádzajú slovami „o podpore“.</w:t>
      </w:r>
    </w:p>
    <w:p w14:paraId="05D3F302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§ 3 sa dopĺňa písmenami l) až n), ktoré znejú:</w:t>
      </w:r>
    </w:p>
    <w:p w14:paraId="2F1E4900" w14:textId="77777777" w:rsidR="006B0EC0" w:rsidRPr="00B353F1" w:rsidRDefault="006B0EC0" w:rsidP="006B0EC0">
      <w:pPr>
        <w:pStyle w:val="Default"/>
        <w:widowControl w:val="0"/>
        <w:tabs>
          <w:tab w:val="left" w:pos="851"/>
        </w:tabs>
        <w:ind w:left="709" w:hanging="283"/>
        <w:jc w:val="both"/>
        <w:rPr>
          <w:color w:val="auto"/>
          <w:lang w:eastAsia="sk-SK"/>
        </w:rPr>
      </w:pPr>
      <w:r w:rsidRPr="00B353F1">
        <w:rPr>
          <w:color w:val="auto"/>
          <w:lang w:eastAsia="sk-SK"/>
        </w:rPr>
        <w:t xml:space="preserve">„l) </w:t>
      </w:r>
      <w:r w:rsidRPr="00B353F1">
        <w:rPr>
          <w:rFonts w:eastAsia="Georgia"/>
          <w:color w:val="auto"/>
        </w:rPr>
        <w:t>systémom</w:t>
      </w:r>
      <w:r w:rsidRPr="00B353F1">
        <w:rPr>
          <w:color w:val="auto"/>
          <w:lang w:eastAsia="sk-SK"/>
        </w:rPr>
        <w:t xml:space="preserve"> riadenia</w:t>
      </w:r>
      <w:r w:rsidRPr="00B353F1">
        <w:rPr>
          <w:color w:val="auto"/>
          <w:vertAlign w:val="superscript"/>
          <w:lang w:eastAsia="sk-SK"/>
        </w:rPr>
        <w:t>12b</w:t>
      </w:r>
      <w:r w:rsidRPr="00B353F1">
        <w:rPr>
          <w:color w:val="auto"/>
          <w:lang w:eastAsia="sk-SK"/>
        </w:rPr>
        <w:t>) strategického plánu pravidlá, postupy a činnosti, ktoré súvisia s</w:t>
      </w:r>
      <w:r>
        <w:rPr>
          <w:color w:val="auto"/>
          <w:lang w:eastAsia="sk-SK"/>
        </w:rPr>
        <w:t> </w:t>
      </w:r>
      <w:r w:rsidRPr="00B353F1">
        <w:rPr>
          <w:color w:val="auto"/>
          <w:lang w:eastAsia="sk-SK"/>
        </w:rPr>
        <w:t>poskytovaním podpory,</w:t>
      </w:r>
    </w:p>
    <w:p w14:paraId="37E36476" w14:textId="77777777" w:rsidR="006B0EC0" w:rsidRPr="00B353F1" w:rsidRDefault="006B0EC0" w:rsidP="006B0EC0">
      <w:pPr>
        <w:pStyle w:val="Default"/>
        <w:widowControl w:val="0"/>
        <w:tabs>
          <w:tab w:val="left" w:pos="851"/>
        </w:tabs>
        <w:ind w:left="709" w:hanging="283"/>
        <w:jc w:val="both"/>
        <w:rPr>
          <w:color w:val="auto"/>
          <w:lang w:eastAsia="sk-SK"/>
        </w:rPr>
      </w:pPr>
      <w:r w:rsidRPr="00B353F1">
        <w:rPr>
          <w:color w:val="auto"/>
          <w:lang w:eastAsia="sk-SK"/>
        </w:rPr>
        <w:t>m)</w:t>
      </w:r>
      <w:r w:rsidRPr="00B353F1">
        <w:rPr>
          <w:color w:val="auto"/>
        </w:rPr>
        <w:tab/>
      </w:r>
      <w:r w:rsidRPr="00B353F1">
        <w:rPr>
          <w:color w:val="auto"/>
          <w:lang w:eastAsia="sk-SK"/>
        </w:rPr>
        <w:t>systémom finančného riadenia</w:t>
      </w:r>
      <w:r w:rsidRPr="00B353F1">
        <w:rPr>
          <w:color w:val="auto"/>
          <w:vertAlign w:val="superscript"/>
          <w:lang w:eastAsia="sk-SK"/>
        </w:rPr>
        <w:t>12c</w:t>
      </w:r>
      <w:r w:rsidRPr="00B353F1">
        <w:rPr>
          <w:color w:val="auto"/>
          <w:lang w:eastAsia="sk-SK"/>
        </w:rPr>
        <w:t>) súhrn pravidiel, postupov a činností financovania podpory, ktorý zahŕňa finančné plánovanie a rozpočtovanie, riadenie, overovanie a</w:t>
      </w:r>
      <w:r>
        <w:rPr>
          <w:color w:val="auto"/>
          <w:lang w:eastAsia="sk-SK"/>
        </w:rPr>
        <w:t> </w:t>
      </w:r>
      <w:r w:rsidRPr="00B353F1">
        <w:rPr>
          <w:color w:val="auto"/>
          <w:lang w:eastAsia="sk-SK"/>
        </w:rPr>
        <w:t>realizáciu toku finančných prostriedkov, účtovanie, výkazníctvo a monitorovanie finančných tokov a vysporiadanie finančných vzťahov voči Slovenskej republike a</w:t>
      </w:r>
      <w:r>
        <w:rPr>
          <w:color w:val="auto"/>
          <w:lang w:eastAsia="sk-SK"/>
        </w:rPr>
        <w:t> </w:t>
      </w:r>
      <w:r w:rsidRPr="00B353F1">
        <w:rPr>
          <w:color w:val="auto"/>
          <w:lang w:eastAsia="sk-SK"/>
        </w:rPr>
        <w:t>voči Európskej komisii (ďalej len „Komisia“),</w:t>
      </w:r>
    </w:p>
    <w:p w14:paraId="2991C614" w14:textId="77777777" w:rsidR="006B0EC0" w:rsidRPr="00B353F1" w:rsidRDefault="006B0EC0" w:rsidP="006B0EC0">
      <w:pPr>
        <w:pStyle w:val="Default"/>
        <w:widowControl w:val="0"/>
        <w:tabs>
          <w:tab w:val="left" w:pos="851"/>
        </w:tabs>
        <w:ind w:left="709" w:hanging="283"/>
        <w:jc w:val="both"/>
        <w:rPr>
          <w:color w:val="auto"/>
          <w:lang w:eastAsia="sk-SK"/>
        </w:rPr>
      </w:pPr>
      <w:r w:rsidRPr="00B353F1">
        <w:rPr>
          <w:color w:val="auto"/>
          <w:lang w:eastAsia="sk-SK"/>
        </w:rPr>
        <w:t xml:space="preserve">n) </w:t>
      </w:r>
      <w:r w:rsidRPr="00B353F1">
        <w:rPr>
          <w:rFonts w:eastAsia="Georgia"/>
          <w:color w:val="auto"/>
        </w:rPr>
        <w:t>neprojektovým</w:t>
      </w:r>
      <w:r w:rsidRPr="00B353F1">
        <w:rPr>
          <w:color w:val="auto"/>
          <w:lang w:eastAsia="sk-SK"/>
        </w:rPr>
        <w:t xml:space="preserve"> opatrením opatrenie na rozvoj vidieka v rámci integrovaného systému podľa osobitných predpisov;</w:t>
      </w:r>
      <w:r w:rsidRPr="00B353F1">
        <w:rPr>
          <w:color w:val="auto"/>
          <w:vertAlign w:val="superscript"/>
          <w:lang w:eastAsia="sk-SK"/>
        </w:rPr>
        <w:t>2</w:t>
      </w:r>
      <w:r w:rsidRPr="00B353F1">
        <w:rPr>
          <w:color w:val="auto"/>
          <w:lang w:eastAsia="sk-SK"/>
        </w:rPr>
        <w:t>) neprojektovým opatrením je aj investícia podľa osobitného predpisu</w:t>
      </w:r>
      <w:r w:rsidRPr="00B353F1">
        <w:rPr>
          <w:color w:val="auto"/>
          <w:vertAlign w:val="superscript"/>
          <w:lang w:eastAsia="sk-SK"/>
        </w:rPr>
        <w:t>2a</w:t>
      </w:r>
      <w:r w:rsidRPr="00B353F1">
        <w:rPr>
          <w:color w:val="auto"/>
          <w:lang w:eastAsia="sk-SK"/>
        </w:rPr>
        <w:t>) založená na veľkosti plochy podmienená prijatím viacročného záväzku, na ktorú sa finančné prostriedky poskytujú formou paušálnej sumy.”.</w:t>
      </w:r>
    </w:p>
    <w:p w14:paraId="5868C47B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Poznámky pod čiarou k odkazom 12b a 12c znejú:</w:t>
      </w:r>
    </w:p>
    <w:p w14:paraId="46468D02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A85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12b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Čl. 113 </w:t>
      </w:r>
      <w:r w:rsidRPr="00B353F1">
        <w:rPr>
          <w:rFonts w:ascii="Times New Roman" w:eastAsia="Georgia" w:hAnsi="Times New Roman" w:cs="Times New Roman"/>
          <w:sz w:val="24"/>
          <w:szCs w:val="24"/>
          <w:lang w:eastAsia="sk-SK"/>
        </w:rPr>
        <w:t>nariadenia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(EÚ) 2021/2115 v platnom znení.</w:t>
      </w:r>
    </w:p>
    <w:p w14:paraId="1B9C55E7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12c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Hlava III </w:t>
      </w:r>
      <w:r w:rsidRPr="00B353F1">
        <w:rPr>
          <w:rFonts w:ascii="Times New Roman" w:eastAsia="Georgia" w:hAnsi="Times New Roman" w:cs="Times New Roman"/>
          <w:sz w:val="24"/>
          <w:szCs w:val="24"/>
          <w:lang w:eastAsia="sk-SK"/>
        </w:rPr>
        <w:t>nariadenia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(EÚ) 2021/2116 v platnom znení.“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7984008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Za § 3 sa vkladá § 3a, ktorý znie:</w:t>
      </w:r>
    </w:p>
    <w:p w14:paraId="06DD46D4" w14:textId="77777777" w:rsidR="006B0EC0" w:rsidRPr="00B353F1" w:rsidRDefault="006B0EC0" w:rsidP="006B0E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353F1">
        <w:rPr>
          <w:rFonts w:ascii="Times New Roman" w:eastAsia="Times New Roman" w:hAnsi="Times New Roman" w:cs="Times New Roman"/>
          <w:b/>
          <w:sz w:val="24"/>
          <w:szCs w:val="24"/>
        </w:rPr>
        <w:t>§ 3a</w:t>
      </w:r>
    </w:p>
    <w:p w14:paraId="71F2F746" w14:textId="77777777" w:rsidR="006B0EC0" w:rsidRPr="00B353F1" w:rsidRDefault="006B0EC0" w:rsidP="006B0EC0">
      <w:pPr>
        <w:widowControl w:val="0"/>
        <w:spacing w:before="120" w:after="120" w:line="240" w:lineRule="auto"/>
        <w:ind w:lef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Vláda Slovenskej republiky na návrh Ministerstva pôdohospodárstva a rozvoja vidieka Slovenskej </w:t>
      </w:r>
      <w:r w:rsidRPr="00B353F1">
        <w:rPr>
          <w:rFonts w:ascii="Times New Roman" w:hAnsi="Times New Roman" w:cs="Times New Roman"/>
          <w:sz w:val="24"/>
          <w:szCs w:val="24"/>
          <w:lang w:eastAsia="sk-SK"/>
        </w:rPr>
        <w:t>republiky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 (ďalej len „ministerstvo pôdohospodárstva“) schvaľuje systém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lastRenderedPageBreak/>
        <w:t>riadenia strategického plánu.“.</w:t>
      </w:r>
    </w:p>
    <w:p w14:paraId="1105247B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V § 4 sa slová „</w:t>
      </w:r>
      <w:r w:rsidRPr="00B353F1">
        <w:rPr>
          <w:rFonts w:ascii="Times New Roman" w:hAnsi="Times New Roman" w:cs="Times New Roman"/>
          <w:sz w:val="24"/>
          <w:szCs w:val="24"/>
          <w:shd w:val="clear" w:color="auto" w:fill="FFFFFF"/>
        </w:rPr>
        <w:t>Ministerstvo pôdohospodárstva a rozvoja vidieka Slovenskej republiky (ďalej len „ministerstvo pôdohospodárstva“)“ nahrádzajú slovami „ministerstvo pôdohospodárstva“.</w:t>
      </w:r>
    </w:p>
    <w:p w14:paraId="0D553377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V § 5 odsek 1 znie:</w:t>
      </w:r>
    </w:p>
    <w:p w14:paraId="18A4193A" w14:textId="77777777" w:rsidR="006B0EC0" w:rsidRPr="00B353F1" w:rsidRDefault="006B0EC0" w:rsidP="006B0EC0">
      <w:pPr>
        <w:widowControl w:val="0"/>
        <w:spacing w:before="60" w:after="12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353F1">
        <w:rPr>
          <w:rFonts w:ascii="Times New Roman" w:hAnsi="Times New Roman" w:cs="Times New Roman"/>
          <w:sz w:val="24"/>
          <w:szCs w:val="24"/>
          <w:lang w:eastAsia="sk-SK"/>
        </w:rPr>
        <w:t xml:space="preserve">„(1) Ministerstvo pôdohospodárstva je riadiacim orgánom Programu rozvoja vidieka SR 2014 – 2022 a 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strategického</w:t>
      </w:r>
      <w:r w:rsidRPr="00B353F1">
        <w:rPr>
          <w:rFonts w:ascii="Times New Roman" w:hAnsi="Times New Roman" w:cs="Times New Roman"/>
          <w:sz w:val="24"/>
          <w:szCs w:val="24"/>
          <w:lang w:eastAsia="sk-SK"/>
        </w:rPr>
        <w:t xml:space="preserve"> plánu. V rámci programov plní ministerstvo pôdohospodárstva úlohy príslušného orgánu podľa osobitných predpisov</w:t>
      </w:r>
      <w:r w:rsidRPr="00B353F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13</w:t>
      </w:r>
      <w:r w:rsidRPr="00B353F1">
        <w:rPr>
          <w:rFonts w:ascii="Times New Roman" w:hAnsi="Times New Roman" w:cs="Times New Roman"/>
          <w:sz w:val="24"/>
          <w:szCs w:val="24"/>
          <w:lang w:eastAsia="sk-SK"/>
        </w:rPr>
        <w:t>) a je orgánom finančného riadenia.“.</w:t>
      </w:r>
    </w:p>
    <w:p w14:paraId="6A687400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A6D7B">
        <w:rPr>
          <w:rFonts w:ascii="Times New Roman" w:eastAsia="Times New Roman" w:hAnsi="Times New Roman" w:cs="Times New Roman"/>
          <w:sz w:val="24"/>
          <w:szCs w:val="24"/>
        </w:rPr>
        <w:t>Poznámka</w:t>
      </w:r>
      <w:r w:rsidRPr="00B353F1">
        <w:rPr>
          <w:rFonts w:ascii="Times New Roman" w:hAnsi="Times New Roman" w:cs="Times New Roman"/>
          <w:sz w:val="24"/>
          <w:szCs w:val="24"/>
        </w:rPr>
        <w:t xml:space="preserve"> pod čiarou k odkazu 13 znie:</w:t>
      </w:r>
    </w:p>
    <w:p w14:paraId="44370B1A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5A85">
        <w:rPr>
          <w:rFonts w:ascii="Times New Roman" w:hAnsi="Times New Roman" w:cs="Times New Roman"/>
          <w:sz w:val="24"/>
          <w:szCs w:val="24"/>
        </w:rPr>
        <w:t>„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353F1">
        <w:rPr>
          <w:rFonts w:ascii="Times New Roman" w:hAnsi="Times New Roman" w:cs="Times New Roman"/>
          <w:sz w:val="24"/>
          <w:szCs w:val="24"/>
        </w:rPr>
        <w:t xml:space="preserve">) Napríklad čl. 8 nariadenia (EÚ) 2021/2116 v platnom znení, čl. 1, 2 a 5 vykonávacieho nariadenia Komisie (EÚ) 2022/128 z 21. decembra 2021, ktorým sa stanovujú pravidlá </w:t>
      </w:r>
      <w:r w:rsidRPr="00B353F1">
        <w:rPr>
          <w:rFonts w:ascii="Times New Roman" w:eastAsia="Georgia" w:hAnsi="Times New Roman" w:cs="Times New Roman"/>
          <w:sz w:val="24"/>
          <w:szCs w:val="24"/>
          <w:lang w:eastAsia="sk-SK"/>
        </w:rPr>
        <w:t>uplatňovania</w:t>
      </w:r>
      <w:r w:rsidRPr="00B353F1">
        <w:rPr>
          <w:rFonts w:ascii="Times New Roman" w:hAnsi="Times New Roman" w:cs="Times New Roman"/>
          <w:sz w:val="24"/>
          <w:szCs w:val="24"/>
        </w:rPr>
        <w:t xml:space="preserve"> nariadenia (EÚ) Európskeho parlamentu a Rady (EÚ) 2021/2116 vzhľadom na platobné agentúry a ostatné orgány, finančné riadenie, schvaľovanie účtov, kontroly, zábezpeky a transparentnosť (Ú. v. EÚ L 20, 31.1.2022).“.</w:t>
      </w:r>
    </w:p>
    <w:p w14:paraId="0EB1BBE4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V § 5 ods. 2 sa za písmeno b) vkladajú nové písmená c) a d), ktoré znejú:</w:t>
      </w:r>
    </w:p>
    <w:p w14:paraId="5381CC54" w14:textId="77777777" w:rsidR="006B0EC0" w:rsidRPr="00B353F1" w:rsidRDefault="006B0EC0" w:rsidP="006B0EC0">
      <w:pPr>
        <w:pStyle w:val="Default"/>
        <w:widowControl w:val="0"/>
        <w:tabs>
          <w:tab w:val="left" w:pos="851"/>
        </w:tabs>
        <w:ind w:left="709" w:hanging="283"/>
        <w:jc w:val="both"/>
        <w:rPr>
          <w:color w:val="auto"/>
        </w:rPr>
      </w:pPr>
      <w:r w:rsidRPr="00B353F1">
        <w:rPr>
          <w:color w:val="auto"/>
        </w:rPr>
        <w:t xml:space="preserve">„c) zriaďuje národný výbor na monitorovanie vykonávania strategického plánu podľa </w:t>
      </w:r>
      <w:r w:rsidRPr="00B353F1">
        <w:rPr>
          <w:rFonts w:eastAsia="Georgia"/>
          <w:color w:val="auto"/>
        </w:rPr>
        <w:t>osobitného</w:t>
      </w:r>
      <w:r w:rsidRPr="00B353F1">
        <w:rPr>
          <w:color w:val="auto"/>
        </w:rPr>
        <w:t xml:space="preserve"> predpisu,</w:t>
      </w:r>
      <w:r w:rsidRPr="00B353F1">
        <w:rPr>
          <w:color w:val="auto"/>
          <w:vertAlign w:val="superscript"/>
        </w:rPr>
        <w:t>13a</w:t>
      </w:r>
      <w:r w:rsidRPr="00B353F1">
        <w:rPr>
          <w:color w:val="auto"/>
        </w:rPr>
        <w:t>)</w:t>
      </w:r>
    </w:p>
    <w:p w14:paraId="35889CB1" w14:textId="77777777" w:rsidR="006B0EC0" w:rsidRPr="00B353F1" w:rsidRDefault="006B0EC0" w:rsidP="006B0EC0">
      <w:pPr>
        <w:pStyle w:val="Default"/>
        <w:widowControl w:val="0"/>
        <w:tabs>
          <w:tab w:val="left" w:pos="851"/>
        </w:tabs>
        <w:ind w:left="709" w:hanging="283"/>
        <w:jc w:val="both"/>
        <w:rPr>
          <w:color w:val="auto"/>
        </w:rPr>
      </w:pPr>
      <w:r w:rsidRPr="00B353F1">
        <w:rPr>
          <w:color w:val="auto"/>
        </w:rPr>
        <w:t>d) zriaďuje národnú sieť spoločnej poľnohospodárskej politiky podľa osobitného predpisu,</w:t>
      </w:r>
      <w:r w:rsidRPr="00B353F1">
        <w:rPr>
          <w:color w:val="auto"/>
          <w:vertAlign w:val="superscript"/>
        </w:rPr>
        <w:t>13b</w:t>
      </w:r>
      <w:r w:rsidRPr="00B353F1">
        <w:rPr>
          <w:color w:val="auto"/>
        </w:rPr>
        <w:t>)“.</w:t>
      </w:r>
    </w:p>
    <w:p w14:paraId="54EFF489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Poznámky pod čiarou k odkazom 13a a 13b znejú:</w:t>
      </w:r>
    </w:p>
    <w:p w14:paraId="14851B7E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13a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Čl. 124 nariadenia (EÚ) 2021/2115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v platnom znení.</w:t>
      </w:r>
    </w:p>
    <w:p w14:paraId="517C5D94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13b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) Čl. 126 </w:t>
      </w:r>
      <w:r w:rsidRPr="00B353F1">
        <w:rPr>
          <w:rFonts w:ascii="Times New Roman" w:eastAsia="Georgia" w:hAnsi="Times New Roman" w:cs="Times New Roman"/>
          <w:sz w:val="24"/>
          <w:szCs w:val="24"/>
          <w:lang w:eastAsia="sk-SK"/>
        </w:rPr>
        <w:t>nariadenia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 (EÚ) 2021/2115 v platnom znení.“.</w:t>
      </w:r>
    </w:p>
    <w:p w14:paraId="2B1EE86F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Doterajšie písmená c) až k) sa označujú ako písmená e) až m).</w:t>
      </w:r>
    </w:p>
    <w:p w14:paraId="5BC7B2DA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V § 5 ods. 2 písm. e) sa slová „krížového plnenia podľa osobitného predpisu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)“ nahrádzajú slovami „krížového plnenia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kondicionality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14a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17254ECF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Poznámka pod čiarou k odkazu 14a znie:</w:t>
      </w:r>
    </w:p>
    <w:p w14:paraId="0D4D071C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14a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) Čl. 83 až 89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353F1">
        <w:rPr>
          <w:rFonts w:ascii="Times New Roman" w:eastAsia="Georgia" w:hAnsi="Times New Roman" w:cs="Times New Roman"/>
          <w:sz w:val="24"/>
          <w:szCs w:val="24"/>
          <w:lang w:eastAsia="sk-SK"/>
        </w:rPr>
        <w:t>nariadenia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(EÚ) 2021/2116 v platnom znení.“.</w:t>
      </w:r>
    </w:p>
    <w:p w14:paraId="5F168194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V § 5 sa odsek 2 dopĺňa písmenom n), ktoré znie:</w:t>
      </w:r>
    </w:p>
    <w:p w14:paraId="7D7604BF" w14:textId="77777777" w:rsidR="006B0EC0" w:rsidRPr="00B353F1" w:rsidRDefault="006B0EC0" w:rsidP="006B0EC0">
      <w:pPr>
        <w:pStyle w:val="Default"/>
        <w:widowControl w:val="0"/>
        <w:tabs>
          <w:tab w:val="left" w:pos="851"/>
        </w:tabs>
        <w:ind w:left="709" w:hanging="283"/>
        <w:jc w:val="both"/>
        <w:rPr>
          <w:color w:val="auto"/>
        </w:rPr>
      </w:pPr>
      <w:r w:rsidRPr="00B353F1">
        <w:rPr>
          <w:color w:val="auto"/>
        </w:rPr>
        <w:t xml:space="preserve">„n) zverejňuje vo Vestníku Ministerstva pôdohospodárstva a rozvoja vidieka Slovenskej </w:t>
      </w:r>
      <w:r w:rsidRPr="00B353F1">
        <w:rPr>
          <w:rFonts w:eastAsia="Georgia"/>
          <w:color w:val="auto"/>
        </w:rPr>
        <w:t>republiky</w:t>
      </w:r>
      <w:r w:rsidRPr="00B353F1">
        <w:rPr>
          <w:color w:val="auto"/>
        </w:rPr>
        <w:t xml:space="preserve"> zoznam území, na ktoré možno poskytnúť podporu na neprojektové opatrenia.</w:t>
      </w:r>
      <w:r w:rsidRPr="00B353F1">
        <w:rPr>
          <w:color w:val="auto"/>
          <w:vertAlign w:val="superscript"/>
        </w:rPr>
        <w:t>18a</w:t>
      </w:r>
      <w:r w:rsidRPr="00B353F1">
        <w:rPr>
          <w:color w:val="auto"/>
        </w:rPr>
        <w:t>)“.</w:t>
      </w:r>
    </w:p>
    <w:p w14:paraId="33A10880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Poznámka</w:t>
      </w:r>
      <w:r w:rsidRPr="00B353F1">
        <w:rPr>
          <w:rFonts w:ascii="Times New Roman" w:hAnsi="Times New Roman" w:cs="Times New Roman"/>
          <w:sz w:val="24"/>
          <w:szCs w:val="24"/>
        </w:rPr>
        <w:t xml:space="preserve"> pod čiarou k odkazu 18a znie:</w:t>
      </w:r>
    </w:p>
    <w:p w14:paraId="43CFECBE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„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B353F1">
        <w:rPr>
          <w:rFonts w:ascii="Times New Roman" w:hAnsi="Times New Roman" w:cs="Times New Roman"/>
          <w:sz w:val="24"/>
          <w:szCs w:val="24"/>
        </w:rPr>
        <w:t>) Čl. 70 až 72 nariadenia (EÚ) 2021/2116 v platnom znení.“.</w:t>
      </w:r>
    </w:p>
    <w:p w14:paraId="1ABA117D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V § 5 ods. 3 písm. b) sa slová „Európskou komisiou (ďalej len „Komisia“)“ nahrádzajú slovom „Komisiou“.</w:t>
      </w:r>
    </w:p>
    <w:p w14:paraId="6F3DA16E" w14:textId="77777777" w:rsidR="006B0EC0" w:rsidRPr="0041618D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V § 10 ods. 1 písm. d) sa slov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41618D">
        <w:rPr>
          <w:rFonts w:ascii="Times New Roman" w:eastAsia="Times New Roman" w:hAnsi="Times New Roman" w:cs="Times New Roman"/>
          <w:sz w:val="24"/>
          <w:szCs w:val="24"/>
        </w:rPr>
        <w:t>do opatrení s jednoročnými záväzkami a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nahrádzajú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 slov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41618D">
        <w:rPr>
          <w:rFonts w:ascii="Times New Roman" w:eastAsia="Times New Roman" w:hAnsi="Times New Roman" w:cs="Times New Roman"/>
          <w:sz w:val="24"/>
          <w:szCs w:val="24"/>
        </w:rPr>
        <w:t>na neprojektové opatrenia do neprojektových opatrení s jednoročnými záväzkami alebo neprojektových opatrení s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2A66DB91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10 ods. 1 písm. p) sa slovo „druhom“ nahrádza slovom „treťom“.</w:t>
      </w:r>
    </w:p>
    <w:p w14:paraId="47022503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6250288"/>
      <w:r w:rsidRPr="00B353F1">
        <w:rPr>
          <w:rFonts w:ascii="Times New Roman" w:eastAsia="Times New Roman" w:hAnsi="Times New Roman" w:cs="Times New Roman"/>
          <w:sz w:val="24"/>
          <w:szCs w:val="24"/>
        </w:rPr>
        <w:lastRenderedPageBreak/>
        <w:t>V § 17 sa odsek 3 dopĺňa písmenom e), ktoré znie:</w:t>
      </w:r>
    </w:p>
    <w:p w14:paraId="3852CE0A" w14:textId="77777777" w:rsidR="006B0EC0" w:rsidRPr="00B353F1" w:rsidRDefault="006B0EC0" w:rsidP="006B0EC0">
      <w:pPr>
        <w:pStyle w:val="Default"/>
        <w:widowControl w:val="0"/>
        <w:tabs>
          <w:tab w:val="left" w:pos="851"/>
        </w:tabs>
        <w:ind w:left="709" w:hanging="283"/>
        <w:jc w:val="both"/>
        <w:rPr>
          <w:color w:val="auto"/>
        </w:rPr>
      </w:pPr>
      <w:r w:rsidRPr="00B353F1">
        <w:rPr>
          <w:color w:val="auto"/>
        </w:rPr>
        <w:t xml:space="preserve">„e) údaje </w:t>
      </w:r>
      <w:r w:rsidRPr="00B353F1">
        <w:rPr>
          <w:rFonts w:eastAsia="Georgia"/>
          <w:color w:val="auto"/>
        </w:rPr>
        <w:t>v</w:t>
      </w:r>
      <w:r w:rsidRPr="00B353F1">
        <w:rPr>
          <w:color w:val="auto"/>
        </w:rPr>
        <w:t> </w:t>
      </w:r>
      <w:r w:rsidRPr="00B353F1">
        <w:rPr>
          <w:rFonts w:eastAsia="Georgia"/>
          <w:color w:val="auto"/>
          <w:lang w:eastAsia="sk-SK"/>
        </w:rPr>
        <w:t>rozsahu</w:t>
      </w:r>
      <w:r w:rsidRPr="00B353F1">
        <w:rPr>
          <w:color w:val="auto"/>
        </w:rPr>
        <w:t xml:space="preserve"> podľa osobitného predpisu</w:t>
      </w:r>
      <w:r>
        <w:rPr>
          <w:color w:val="auto"/>
        </w:rPr>
        <w:t>.</w:t>
      </w:r>
      <w:r w:rsidRPr="00B353F1">
        <w:rPr>
          <w:color w:val="auto"/>
          <w:vertAlign w:val="superscript"/>
        </w:rPr>
        <w:t>8</w:t>
      </w:r>
      <w:r>
        <w:rPr>
          <w:color w:val="auto"/>
          <w:vertAlign w:val="superscript"/>
        </w:rPr>
        <w:t>1a</w:t>
      </w:r>
      <w:r w:rsidRPr="00B353F1">
        <w:rPr>
          <w:color w:val="auto"/>
        </w:rPr>
        <w:t>)</w:t>
      </w:r>
      <w:r>
        <w:rPr>
          <w:color w:val="auto"/>
        </w:rPr>
        <w:t>“.</w:t>
      </w:r>
    </w:p>
    <w:p w14:paraId="5BB72954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Poznámka pod čiarou k odkazu 8</w:t>
      </w:r>
      <w:r>
        <w:rPr>
          <w:rFonts w:ascii="Times New Roman" w:eastAsia="Times New Roman" w:hAnsi="Times New Roman" w:cs="Times New Roman"/>
          <w:sz w:val="24"/>
          <w:szCs w:val="24"/>
        </w:rPr>
        <w:t>1a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14:paraId="1CB9513C" w14:textId="77777777" w:rsidR="006B0EC0" w:rsidRPr="00EC6ECC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bookmarkStart w:id="1" w:name="_Hlk116249881"/>
      <w:r w:rsidRPr="00B353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44 ods. 1 písm. b) až e) nariadenia (EÚ) 2022/128.</w:t>
      </w:r>
      <w:bookmarkEnd w:id="1"/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bookmarkEnd w:id="0"/>
    <w:p w14:paraId="0C6E3CD9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 xml:space="preserve">V §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353F1">
        <w:rPr>
          <w:rFonts w:ascii="Times New Roman" w:hAnsi="Times New Roman" w:cs="Times New Roman"/>
          <w:sz w:val="24"/>
          <w:szCs w:val="24"/>
        </w:rPr>
        <w:t xml:space="preserve"> odsek 2 znie:</w:t>
      </w:r>
    </w:p>
    <w:p w14:paraId="7C210055" w14:textId="77777777" w:rsidR="006B0EC0" w:rsidRPr="00B353F1" w:rsidRDefault="006B0EC0" w:rsidP="006B0EC0">
      <w:pPr>
        <w:widowControl w:val="0"/>
        <w:spacing w:before="6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„(2)</w:t>
      </w:r>
      <w:r w:rsidRPr="00B353F1">
        <w:rPr>
          <w:rFonts w:ascii="Times New Roman" w:hAnsi="Times New Roman" w:cs="Times New Roman"/>
          <w:sz w:val="24"/>
          <w:szCs w:val="24"/>
        </w:rPr>
        <w:tab/>
        <w:t xml:space="preserve">Poľnohospodársky poradenský systém zabezpečuje pomoc poľnohospodárom v rozsahu podľa </w:t>
      </w:r>
      <w:r w:rsidRPr="00B353F1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</w:t>
      </w:r>
      <w:r w:rsidRPr="00B353F1">
        <w:rPr>
          <w:rFonts w:ascii="Times New Roman" w:hAnsi="Times New Roman" w:cs="Times New Roman"/>
          <w:sz w:val="24"/>
          <w:szCs w:val="24"/>
        </w:rPr>
        <w:t xml:space="preserve"> predpisu.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94)</w:t>
      </w:r>
      <w:r w:rsidRPr="00B353F1">
        <w:rPr>
          <w:rFonts w:ascii="Times New Roman" w:hAnsi="Times New Roman" w:cs="Times New Roman"/>
          <w:sz w:val="24"/>
          <w:szCs w:val="24"/>
        </w:rPr>
        <w:t>“.</w:t>
      </w:r>
    </w:p>
    <w:p w14:paraId="1916C33A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eastAsia="Times New Roman" w:hAnsi="Times New Roman" w:cs="Times New Roman"/>
          <w:sz w:val="24"/>
          <w:szCs w:val="24"/>
        </w:rPr>
        <w:t>Poznámka</w:t>
      </w:r>
      <w:r w:rsidRPr="00B353F1">
        <w:rPr>
          <w:rFonts w:ascii="Times New Roman" w:hAnsi="Times New Roman" w:cs="Times New Roman"/>
          <w:sz w:val="24"/>
          <w:szCs w:val="24"/>
        </w:rPr>
        <w:t xml:space="preserve"> pod čiarou k odkazu 94 znie:</w:t>
      </w:r>
    </w:p>
    <w:p w14:paraId="194C55C6" w14:textId="77777777" w:rsidR="006B0EC0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„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Pr="00B353F1">
        <w:rPr>
          <w:rFonts w:ascii="Times New Roman" w:hAnsi="Times New Roman" w:cs="Times New Roman"/>
          <w:sz w:val="24"/>
          <w:szCs w:val="24"/>
        </w:rPr>
        <w:t xml:space="preserve">) Čl. 15 ods. 4 </w:t>
      </w:r>
      <w:r w:rsidRPr="00B353F1">
        <w:rPr>
          <w:rFonts w:ascii="Times New Roman" w:eastAsia="Georgia" w:hAnsi="Times New Roman" w:cs="Times New Roman"/>
          <w:sz w:val="24"/>
          <w:szCs w:val="24"/>
          <w:lang w:eastAsia="sk-SK"/>
        </w:rPr>
        <w:t>nariadenie</w:t>
      </w:r>
      <w:r w:rsidRPr="00B353F1">
        <w:rPr>
          <w:rFonts w:ascii="Times New Roman" w:hAnsi="Times New Roman" w:cs="Times New Roman"/>
          <w:sz w:val="24"/>
          <w:szCs w:val="24"/>
        </w:rPr>
        <w:t xml:space="preserve"> (EÚ) 2021/2115 v platnom znení.“.</w:t>
      </w:r>
    </w:p>
    <w:p w14:paraId="20834E45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1618D">
        <w:rPr>
          <w:rFonts w:ascii="Times New Roman" w:hAnsi="Times New Roman" w:cs="Times New Roman"/>
          <w:sz w:val="24"/>
          <w:szCs w:val="24"/>
        </w:rPr>
        <w:t>Poznámka pod čiarou k odkazu 95 sa vypúšťa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E6F87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V § 24 ods. 2 sa za slová „poľnohospodár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Pr="00B353F1">
        <w:rPr>
          <w:rFonts w:ascii="Times New Roman" w:hAnsi="Times New Roman" w:cs="Times New Roman"/>
          <w:sz w:val="24"/>
          <w:szCs w:val="24"/>
        </w:rPr>
        <w:t>)“ vkladajú slová „alebo obhospodarovateľ lesa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99a</w:t>
      </w:r>
      <w:r w:rsidRPr="00B353F1">
        <w:rPr>
          <w:rFonts w:ascii="Times New Roman" w:hAnsi="Times New Roman" w:cs="Times New Roman"/>
          <w:sz w:val="24"/>
          <w:szCs w:val="24"/>
        </w:rPr>
        <w:t>)“ a slová „ktorý predkladá“ sa nahrádzajú slovami „ktorí predkladajú“.</w:t>
      </w:r>
    </w:p>
    <w:p w14:paraId="09E96C4E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A6D7B">
        <w:rPr>
          <w:rFonts w:ascii="Times New Roman" w:eastAsia="Times New Roman" w:hAnsi="Times New Roman" w:cs="Times New Roman"/>
          <w:sz w:val="24"/>
          <w:szCs w:val="24"/>
        </w:rPr>
        <w:t>Poznámka</w:t>
      </w:r>
      <w:r w:rsidRPr="00B353F1">
        <w:rPr>
          <w:rFonts w:ascii="Times New Roman" w:hAnsi="Times New Roman" w:cs="Times New Roman"/>
          <w:sz w:val="24"/>
          <w:szCs w:val="24"/>
        </w:rPr>
        <w:t xml:space="preserve">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353F1">
        <w:rPr>
          <w:rFonts w:ascii="Times New Roman" w:hAnsi="Times New Roman" w:cs="Times New Roman"/>
          <w:sz w:val="24"/>
          <w:szCs w:val="24"/>
        </w:rPr>
        <w:t xml:space="preserve"> čiarou k odkazu 99a znie:</w:t>
      </w:r>
    </w:p>
    <w:p w14:paraId="5AECB324" w14:textId="77777777" w:rsidR="006B0EC0" w:rsidRPr="00B353F1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„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99a</w:t>
      </w:r>
      <w:r w:rsidRPr="00B353F1">
        <w:rPr>
          <w:rFonts w:ascii="Times New Roman" w:hAnsi="Times New Roman" w:cs="Times New Roman"/>
          <w:sz w:val="24"/>
          <w:szCs w:val="24"/>
        </w:rPr>
        <w:t>) § 2 písm. p) zákona č. 326/2005 Z. z. v znení neskorších predpisov.“. </w:t>
      </w:r>
    </w:p>
    <w:p w14:paraId="45A15EDE" w14:textId="77777777" w:rsidR="006B0EC0" w:rsidRPr="00B353F1" w:rsidRDefault="006B0EC0" w:rsidP="006B0EC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 xml:space="preserve">V § 39 </w:t>
      </w:r>
      <w:r w:rsidRPr="00B353F1">
        <w:rPr>
          <w:rFonts w:ascii="Times New Roman" w:eastAsia="Times New Roman" w:hAnsi="Times New Roman" w:cs="Times New Roman"/>
          <w:sz w:val="24"/>
          <w:szCs w:val="24"/>
        </w:rPr>
        <w:t>ods</w:t>
      </w:r>
      <w:r w:rsidRPr="00B353F1">
        <w:rPr>
          <w:rFonts w:ascii="Times New Roman" w:hAnsi="Times New Roman" w:cs="Times New Roman"/>
          <w:sz w:val="24"/>
          <w:szCs w:val="24"/>
        </w:rPr>
        <w:t>. 2 sa za slovo „oznámi“ vkladajú slová „jednotkové sumy podpory pre priame platby určené podľa osobitného predpisu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127aa</w:t>
      </w:r>
      <w:r w:rsidRPr="00B353F1">
        <w:rPr>
          <w:rFonts w:ascii="Times New Roman" w:hAnsi="Times New Roman" w:cs="Times New Roman"/>
          <w:sz w:val="24"/>
          <w:szCs w:val="24"/>
        </w:rPr>
        <w:t xml:space="preserve">) a“. </w:t>
      </w:r>
    </w:p>
    <w:p w14:paraId="5AC14EFA" w14:textId="77777777" w:rsidR="006B0EC0" w:rsidRPr="00B353F1" w:rsidRDefault="006B0EC0" w:rsidP="006B0EC0">
      <w:pPr>
        <w:widowControl w:val="0"/>
        <w:autoSpaceDE w:val="0"/>
        <w:autoSpaceDN w:val="0"/>
        <w:adjustRightInd w:val="0"/>
        <w:spacing w:before="120" w:after="6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A6D7B">
        <w:rPr>
          <w:rFonts w:ascii="Times New Roman" w:eastAsia="Times New Roman" w:hAnsi="Times New Roman" w:cs="Times New Roman"/>
          <w:sz w:val="24"/>
          <w:szCs w:val="24"/>
        </w:rPr>
        <w:t>Poznámka</w:t>
      </w:r>
      <w:r w:rsidRPr="00B353F1">
        <w:rPr>
          <w:rFonts w:ascii="Times New Roman" w:hAnsi="Times New Roman" w:cs="Times New Roman"/>
          <w:sz w:val="24"/>
          <w:szCs w:val="24"/>
        </w:rPr>
        <w:t xml:space="preserve"> pod čiarou k odkazu 127aa znie:</w:t>
      </w:r>
    </w:p>
    <w:p w14:paraId="44FFAEFA" w14:textId="7CA52016" w:rsidR="006B0EC0" w:rsidRDefault="006B0EC0" w:rsidP="006B0EC0">
      <w:pPr>
        <w:widowControl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53F1">
        <w:rPr>
          <w:rFonts w:ascii="Times New Roman" w:hAnsi="Times New Roman" w:cs="Times New Roman"/>
          <w:sz w:val="24"/>
          <w:szCs w:val="24"/>
        </w:rPr>
        <w:t>„</w:t>
      </w:r>
      <w:r w:rsidRPr="00B353F1">
        <w:rPr>
          <w:rFonts w:ascii="Times New Roman" w:hAnsi="Times New Roman" w:cs="Times New Roman"/>
          <w:sz w:val="24"/>
          <w:szCs w:val="24"/>
          <w:vertAlign w:val="superscript"/>
        </w:rPr>
        <w:t>127aa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353F1">
        <w:rPr>
          <w:rFonts w:ascii="Times New Roman" w:hAnsi="Times New Roman" w:cs="Times New Roman"/>
          <w:sz w:val="24"/>
          <w:szCs w:val="24"/>
        </w:rPr>
        <w:t xml:space="preserve">Hlava IV </w:t>
      </w:r>
      <w:r w:rsidRPr="00B353F1">
        <w:rPr>
          <w:rFonts w:ascii="Times New Roman" w:eastAsia="Georgia" w:hAnsi="Times New Roman" w:cs="Times New Roman"/>
          <w:sz w:val="24"/>
          <w:szCs w:val="24"/>
          <w:lang w:eastAsia="sk-SK"/>
        </w:rPr>
        <w:t>nariadenia</w:t>
      </w:r>
      <w:r w:rsidRPr="00B353F1">
        <w:rPr>
          <w:rFonts w:ascii="Times New Roman" w:hAnsi="Times New Roman" w:cs="Times New Roman"/>
          <w:sz w:val="24"/>
          <w:szCs w:val="24"/>
        </w:rPr>
        <w:t xml:space="preserve"> Európskeho parlamentu a Rady (EÚ) 2021/2115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53F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53F1">
        <w:rPr>
          <w:rFonts w:ascii="Times New Roman" w:hAnsi="Times New Roman" w:cs="Times New Roman"/>
          <w:sz w:val="24"/>
          <w:szCs w:val="24"/>
        </w:rPr>
        <w:t>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61EBD">
        <w:rPr>
          <w:rFonts w:ascii="Times New Roman" w:hAnsi="Times New Roman" w:cs="Times New Roman"/>
          <w:sz w:val="24"/>
          <w:szCs w:val="24"/>
        </w:rPr>
        <w:t>1307/2013 (</w:t>
      </w:r>
      <w:bookmarkStart w:id="2" w:name="_GoBack"/>
      <w:bookmarkEnd w:id="2"/>
      <w:r w:rsidRPr="00B353F1">
        <w:rPr>
          <w:rFonts w:ascii="Times New Roman" w:hAnsi="Times New Roman" w:cs="Times New Roman"/>
          <w:sz w:val="24"/>
          <w:szCs w:val="24"/>
        </w:rPr>
        <w:t>Ú. v. ES L 435, 6.12.2021)</w:t>
      </w:r>
      <w:r>
        <w:rPr>
          <w:rFonts w:ascii="Times New Roman" w:hAnsi="Times New Roman" w:cs="Times New Roman"/>
          <w:sz w:val="24"/>
          <w:szCs w:val="24"/>
        </w:rPr>
        <w:t xml:space="preserve"> v platnom znení.</w:t>
      </w:r>
      <w:r w:rsidRPr="00B353F1">
        <w:rPr>
          <w:rFonts w:ascii="Times New Roman" w:hAnsi="Times New Roman" w:cs="Times New Roman"/>
          <w:sz w:val="24"/>
          <w:szCs w:val="24"/>
        </w:rPr>
        <w:t>“.</w:t>
      </w:r>
    </w:p>
    <w:p w14:paraId="1FE884B7" w14:textId="179A4CD0" w:rsidR="006B0EC0" w:rsidRPr="00730345" w:rsidRDefault="006B0EC0" w:rsidP="00F5708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40 ods. 2 písm. b) sa slová „</w:t>
      </w:r>
      <w:r w:rsidR="00F57084" w:rsidRPr="00F57084">
        <w:rPr>
          <w:rFonts w:ascii="Times New Roman" w:hAnsi="Times New Roman" w:cs="Times New Roman"/>
          <w:sz w:val="24"/>
          <w:szCs w:val="24"/>
        </w:rPr>
        <w:t>podpory do opat</w:t>
      </w:r>
      <w:r w:rsidR="00C50419">
        <w:rPr>
          <w:rFonts w:ascii="Times New Roman" w:hAnsi="Times New Roman" w:cs="Times New Roman"/>
          <w:sz w:val="24"/>
          <w:szCs w:val="24"/>
        </w:rPr>
        <w:t>rení s jednoročnými záväzkami a </w:t>
      </w:r>
      <w:r w:rsidR="00F57084" w:rsidRPr="00F57084">
        <w:rPr>
          <w:rFonts w:ascii="Times New Roman" w:hAnsi="Times New Roman" w:cs="Times New Roman"/>
          <w:sz w:val="24"/>
          <w:szCs w:val="24"/>
        </w:rPr>
        <w:t>viacročnými záväzkami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="00F57084" w:rsidRPr="00F57084">
        <w:rPr>
          <w:rFonts w:ascii="Times New Roman" w:hAnsi="Times New Roman" w:cs="Times New Roman"/>
          <w:sz w:val="24"/>
          <w:szCs w:val="24"/>
        </w:rPr>
        <w:t>podpo</w:t>
      </w:r>
      <w:r w:rsidR="00C50419">
        <w:rPr>
          <w:rFonts w:ascii="Times New Roman" w:hAnsi="Times New Roman" w:cs="Times New Roman"/>
          <w:sz w:val="24"/>
          <w:szCs w:val="24"/>
        </w:rPr>
        <w:t>ry na neprojektové opatrenia do </w:t>
      </w:r>
      <w:r w:rsidR="00F57084" w:rsidRPr="00F57084">
        <w:rPr>
          <w:rFonts w:ascii="Times New Roman" w:hAnsi="Times New Roman" w:cs="Times New Roman"/>
          <w:sz w:val="24"/>
          <w:szCs w:val="24"/>
        </w:rPr>
        <w:t xml:space="preserve">neprojektových opatrení s jednoročnými záväzkami </w:t>
      </w:r>
      <w:r w:rsidR="00C50419">
        <w:rPr>
          <w:rFonts w:ascii="Times New Roman" w:hAnsi="Times New Roman" w:cs="Times New Roman"/>
          <w:sz w:val="24"/>
          <w:szCs w:val="24"/>
        </w:rPr>
        <w:t>alebo neprojektových opatrení s </w:t>
      </w:r>
      <w:r w:rsidR="00F57084" w:rsidRPr="00F57084">
        <w:rPr>
          <w:rFonts w:ascii="Times New Roman" w:hAnsi="Times New Roman" w:cs="Times New Roman"/>
          <w:sz w:val="24"/>
          <w:szCs w:val="24"/>
        </w:rPr>
        <w:t>viacročnými záväzkami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638166E" w14:textId="77777777" w:rsidR="006B0EC0" w:rsidRPr="00390DEE" w:rsidRDefault="006B0EC0" w:rsidP="006B0EC0">
      <w:pPr>
        <w:pStyle w:val="Odsekzoznamu"/>
        <w:widowControl w:val="0"/>
        <w:numPr>
          <w:ilvl w:val="0"/>
          <w:numId w:val="4"/>
        </w:numPr>
        <w:spacing w:before="360" w:after="36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C14B69" w14:textId="77777777" w:rsidR="006B0EC0" w:rsidRPr="00CE601D" w:rsidRDefault="006B0EC0" w:rsidP="006B0EC0">
      <w:pPr>
        <w:widowControl w:val="0"/>
        <w:spacing w:before="360" w:after="4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DEE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 w:cs="Times New Roman"/>
          <w:sz w:val="24"/>
          <w:szCs w:val="24"/>
        </w:rPr>
        <w:t>januára</w:t>
      </w:r>
      <w:r w:rsidRPr="00390DE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0DEE">
        <w:rPr>
          <w:rFonts w:ascii="Times New Roman" w:hAnsi="Times New Roman" w:cs="Times New Roman"/>
          <w:sz w:val="24"/>
          <w:szCs w:val="24"/>
        </w:rPr>
        <w:t>.</w:t>
      </w:r>
    </w:p>
    <w:p w14:paraId="2405DCEF" w14:textId="65E14955" w:rsidR="002D09B0" w:rsidRPr="00CE601D" w:rsidRDefault="002D09B0" w:rsidP="006B0EC0">
      <w:pPr>
        <w:widowControl w:val="0"/>
        <w:spacing w:before="360" w:after="4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D09B0" w:rsidRPr="00CE601D" w:rsidSect="00A27C36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E8FAB" w14:textId="77777777" w:rsidR="00F7764B" w:rsidRDefault="00F7764B" w:rsidP="00525DD2">
      <w:pPr>
        <w:spacing w:after="0" w:line="240" w:lineRule="auto"/>
      </w:pPr>
      <w:r>
        <w:separator/>
      </w:r>
    </w:p>
  </w:endnote>
  <w:endnote w:type="continuationSeparator" w:id="0">
    <w:p w14:paraId="1C1BF067" w14:textId="77777777" w:rsidR="00F7764B" w:rsidRDefault="00F7764B" w:rsidP="005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631288555"/>
      <w:docPartObj>
        <w:docPartGallery w:val="Page Numbers (Bottom of Page)"/>
        <w:docPartUnique/>
      </w:docPartObj>
    </w:sdtPr>
    <w:sdtEndPr/>
    <w:sdtContent>
      <w:p w14:paraId="65E03259" w14:textId="0BB2DEFB" w:rsidR="00A27C36" w:rsidRPr="00B9257A" w:rsidRDefault="00330E64" w:rsidP="00B9257A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9257A">
          <w:rPr>
            <w:rFonts w:ascii="Times New Roman" w:hAnsi="Times New Roman" w:cs="Times New Roman"/>
            <w:sz w:val="24"/>
          </w:rPr>
          <w:fldChar w:fldCharType="begin"/>
        </w:r>
        <w:r w:rsidR="00CB45AD" w:rsidRPr="00B9257A">
          <w:rPr>
            <w:rFonts w:ascii="Times New Roman" w:hAnsi="Times New Roman" w:cs="Times New Roman"/>
            <w:sz w:val="24"/>
          </w:rPr>
          <w:instrText>PAGE   \* MERGEFORMAT</w:instrText>
        </w:r>
        <w:r w:rsidRPr="00B9257A">
          <w:rPr>
            <w:rFonts w:ascii="Times New Roman" w:hAnsi="Times New Roman" w:cs="Times New Roman"/>
            <w:sz w:val="24"/>
          </w:rPr>
          <w:fldChar w:fldCharType="separate"/>
        </w:r>
        <w:r w:rsidR="00761EBD">
          <w:rPr>
            <w:rFonts w:ascii="Times New Roman" w:hAnsi="Times New Roman" w:cs="Times New Roman"/>
            <w:noProof/>
            <w:sz w:val="24"/>
          </w:rPr>
          <w:t>3</w:t>
        </w:r>
        <w:r w:rsidRPr="00B9257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7061" w14:textId="77777777" w:rsidR="00F7764B" w:rsidRDefault="00F7764B" w:rsidP="00525DD2">
      <w:pPr>
        <w:spacing w:after="0" w:line="240" w:lineRule="auto"/>
      </w:pPr>
      <w:r>
        <w:separator/>
      </w:r>
    </w:p>
  </w:footnote>
  <w:footnote w:type="continuationSeparator" w:id="0">
    <w:p w14:paraId="414FFC39" w14:textId="77777777" w:rsidR="00F7764B" w:rsidRDefault="00F7764B" w:rsidP="0052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7A4"/>
    <w:multiLevelType w:val="hybridMultilevel"/>
    <w:tmpl w:val="6D5C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058"/>
    <w:multiLevelType w:val="hybridMultilevel"/>
    <w:tmpl w:val="607278D8"/>
    <w:lvl w:ilvl="0" w:tplc="041B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617" w:hanging="360"/>
      </w:pPr>
    </w:lvl>
    <w:lvl w:ilvl="2" w:tplc="041B001B" w:tentative="1">
      <w:start w:val="1"/>
      <w:numFmt w:val="lowerRoman"/>
      <w:lvlText w:val="%3."/>
      <w:lvlJc w:val="right"/>
      <w:pPr>
        <w:ind w:left="6337" w:hanging="180"/>
      </w:pPr>
    </w:lvl>
    <w:lvl w:ilvl="3" w:tplc="041B000F" w:tentative="1">
      <w:start w:val="1"/>
      <w:numFmt w:val="decimal"/>
      <w:lvlText w:val="%4."/>
      <w:lvlJc w:val="left"/>
      <w:pPr>
        <w:ind w:left="7057" w:hanging="360"/>
      </w:pPr>
    </w:lvl>
    <w:lvl w:ilvl="4" w:tplc="041B0019" w:tentative="1">
      <w:start w:val="1"/>
      <w:numFmt w:val="lowerLetter"/>
      <w:lvlText w:val="%5."/>
      <w:lvlJc w:val="left"/>
      <w:pPr>
        <w:ind w:left="7777" w:hanging="360"/>
      </w:pPr>
    </w:lvl>
    <w:lvl w:ilvl="5" w:tplc="041B001B" w:tentative="1">
      <w:start w:val="1"/>
      <w:numFmt w:val="lowerRoman"/>
      <w:lvlText w:val="%6."/>
      <w:lvlJc w:val="right"/>
      <w:pPr>
        <w:ind w:left="8497" w:hanging="180"/>
      </w:pPr>
    </w:lvl>
    <w:lvl w:ilvl="6" w:tplc="041B000F" w:tentative="1">
      <w:start w:val="1"/>
      <w:numFmt w:val="decimal"/>
      <w:lvlText w:val="%7."/>
      <w:lvlJc w:val="left"/>
      <w:pPr>
        <w:ind w:left="9217" w:hanging="360"/>
      </w:pPr>
    </w:lvl>
    <w:lvl w:ilvl="7" w:tplc="041B0019" w:tentative="1">
      <w:start w:val="1"/>
      <w:numFmt w:val="lowerLetter"/>
      <w:lvlText w:val="%8."/>
      <w:lvlJc w:val="left"/>
      <w:pPr>
        <w:ind w:left="9937" w:hanging="360"/>
      </w:pPr>
    </w:lvl>
    <w:lvl w:ilvl="8" w:tplc="041B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628E1F81"/>
    <w:multiLevelType w:val="hybridMultilevel"/>
    <w:tmpl w:val="8A6CEB7A"/>
    <w:lvl w:ilvl="0" w:tplc="8C9CD1A8">
      <w:start w:val="1"/>
      <w:numFmt w:val="upperRoman"/>
      <w:lvlText w:val="Čl. %1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72992"/>
    <w:multiLevelType w:val="hybridMultilevel"/>
    <w:tmpl w:val="19F8C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4287"/>
    <w:multiLevelType w:val="hybridMultilevel"/>
    <w:tmpl w:val="A1467F7C"/>
    <w:lvl w:ilvl="0" w:tplc="1E82B3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B"/>
    <w:rsid w:val="00000167"/>
    <w:rsid w:val="00007710"/>
    <w:rsid w:val="00012DC4"/>
    <w:rsid w:val="000224A3"/>
    <w:rsid w:val="00023465"/>
    <w:rsid w:val="000244CA"/>
    <w:rsid w:val="00094975"/>
    <w:rsid w:val="000A6D7B"/>
    <w:rsid w:val="000C1431"/>
    <w:rsid w:val="000C453A"/>
    <w:rsid w:val="00101C44"/>
    <w:rsid w:val="0010227C"/>
    <w:rsid w:val="00126899"/>
    <w:rsid w:val="001415A3"/>
    <w:rsid w:val="00150EC0"/>
    <w:rsid w:val="00164934"/>
    <w:rsid w:val="00174AB0"/>
    <w:rsid w:val="00174FB4"/>
    <w:rsid w:val="00190F24"/>
    <w:rsid w:val="001B1D59"/>
    <w:rsid w:val="001D58AF"/>
    <w:rsid w:val="00200C66"/>
    <w:rsid w:val="00212288"/>
    <w:rsid w:val="0021457D"/>
    <w:rsid w:val="00224E9B"/>
    <w:rsid w:val="00225249"/>
    <w:rsid w:val="00232946"/>
    <w:rsid w:val="002C796E"/>
    <w:rsid w:val="002D09B0"/>
    <w:rsid w:val="002E3A53"/>
    <w:rsid w:val="002E4BFD"/>
    <w:rsid w:val="002F1743"/>
    <w:rsid w:val="002F5616"/>
    <w:rsid w:val="00302289"/>
    <w:rsid w:val="00305F1E"/>
    <w:rsid w:val="00320745"/>
    <w:rsid w:val="00330E64"/>
    <w:rsid w:val="003503E1"/>
    <w:rsid w:val="0036343F"/>
    <w:rsid w:val="00364485"/>
    <w:rsid w:val="00373DC8"/>
    <w:rsid w:val="00384C5C"/>
    <w:rsid w:val="003C111F"/>
    <w:rsid w:val="003D33A0"/>
    <w:rsid w:val="003E0246"/>
    <w:rsid w:val="004038D7"/>
    <w:rsid w:val="00404FDB"/>
    <w:rsid w:val="0041365A"/>
    <w:rsid w:val="004222EA"/>
    <w:rsid w:val="00430027"/>
    <w:rsid w:val="004914E6"/>
    <w:rsid w:val="00496A98"/>
    <w:rsid w:val="004C5891"/>
    <w:rsid w:val="004C7F98"/>
    <w:rsid w:val="004E3E0B"/>
    <w:rsid w:val="004E70FA"/>
    <w:rsid w:val="004F6370"/>
    <w:rsid w:val="00511136"/>
    <w:rsid w:val="00525DD2"/>
    <w:rsid w:val="0052656C"/>
    <w:rsid w:val="00556FDE"/>
    <w:rsid w:val="005720D9"/>
    <w:rsid w:val="00581385"/>
    <w:rsid w:val="00582F36"/>
    <w:rsid w:val="005B29A1"/>
    <w:rsid w:val="005D0CD3"/>
    <w:rsid w:val="005D2A04"/>
    <w:rsid w:val="005D6321"/>
    <w:rsid w:val="005D76D8"/>
    <w:rsid w:val="005F43EA"/>
    <w:rsid w:val="00601013"/>
    <w:rsid w:val="0062679C"/>
    <w:rsid w:val="006569D5"/>
    <w:rsid w:val="00673C6C"/>
    <w:rsid w:val="00676A23"/>
    <w:rsid w:val="006A4115"/>
    <w:rsid w:val="006B086A"/>
    <w:rsid w:val="006B0EC0"/>
    <w:rsid w:val="006E2031"/>
    <w:rsid w:val="006E45A3"/>
    <w:rsid w:val="0071070B"/>
    <w:rsid w:val="00720562"/>
    <w:rsid w:val="00730345"/>
    <w:rsid w:val="00761EBD"/>
    <w:rsid w:val="00770AB6"/>
    <w:rsid w:val="00780601"/>
    <w:rsid w:val="007A4F55"/>
    <w:rsid w:val="00804A9E"/>
    <w:rsid w:val="00817D6E"/>
    <w:rsid w:val="0083052F"/>
    <w:rsid w:val="00842C4F"/>
    <w:rsid w:val="0084312C"/>
    <w:rsid w:val="00855911"/>
    <w:rsid w:val="008609C6"/>
    <w:rsid w:val="00874FA1"/>
    <w:rsid w:val="008A296F"/>
    <w:rsid w:val="008C3AE6"/>
    <w:rsid w:val="008C6BB6"/>
    <w:rsid w:val="008D554B"/>
    <w:rsid w:val="008E67D4"/>
    <w:rsid w:val="008E6D8F"/>
    <w:rsid w:val="00900C2B"/>
    <w:rsid w:val="00904DF7"/>
    <w:rsid w:val="00913114"/>
    <w:rsid w:val="00927213"/>
    <w:rsid w:val="00947659"/>
    <w:rsid w:val="009638D6"/>
    <w:rsid w:val="009876C6"/>
    <w:rsid w:val="00987C98"/>
    <w:rsid w:val="009B7A50"/>
    <w:rsid w:val="009C6EF4"/>
    <w:rsid w:val="009C777D"/>
    <w:rsid w:val="009D588C"/>
    <w:rsid w:val="009E7111"/>
    <w:rsid w:val="009F53A5"/>
    <w:rsid w:val="00A06339"/>
    <w:rsid w:val="00A15798"/>
    <w:rsid w:val="00A27C36"/>
    <w:rsid w:val="00A404EB"/>
    <w:rsid w:val="00A44699"/>
    <w:rsid w:val="00A64494"/>
    <w:rsid w:val="00A657EC"/>
    <w:rsid w:val="00A97CD2"/>
    <w:rsid w:val="00AA1751"/>
    <w:rsid w:val="00AA38C3"/>
    <w:rsid w:val="00AB4B96"/>
    <w:rsid w:val="00AB65CB"/>
    <w:rsid w:val="00AD78CA"/>
    <w:rsid w:val="00AE433C"/>
    <w:rsid w:val="00AE4C9B"/>
    <w:rsid w:val="00AE6B3C"/>
    <w:rsid w:val="00B522C0"/>
    <w:rsid w:val="00B651F9"/>
    <w:rsid w:val="00B81263"/>
    <w:rsid w:val="00B9257A"/>
    <w:rsid w:val="00BA577E"/>
    <w:rsid w:val="00BE2778"/>
    <w:rsid w:val="00BE5FA0"/>
    <w:rsid w:val="00C0176F"/>
    <w:rsid w:val="00C24A24"/>
    <w:rsid w:val="00C27A4F"/>
    <w:rsid w:val="00C335E1"/>
    <w:rsid w:val="00C36772"/>
    <w:rsid w:val="00C47E1D"/>
    <w:rsid w:val="00C47EAB"/>
    <w:rsid w:val="00C50419"/>
    <w:rsid w:val="00C54E92"/>
    <w:rsid w:val="00C619C9"/>
    <w:rsid w:val="00C83F06"/>
    <w:rsid w:val="00CA04FC"/>
    <w:rsid w:val="00CB45AD"/>
    <w:rsid w:val="00CC2555"/>
    <w:rsid w:val="00CD3F17"/>
    <w:rsid w:val="00CE477E"/>
    <w:rsid w:val="00CE601D"/>
    <w:rsid w:val="00CE75C2"/>
    <w:rsid w:val="00CF0CB0"/>
    <w:rsid w:val="00D02851"/>
    <w:rsid w:val="00D067A3"/>
    <w:rsid w:val="00D13488"/>
    <w:rsid w:val="00D159BD"/>
    <w:rsid w:val="00D540E0"/>
    <w:rsid w:val="00D77505"/>
    <w:rsid w:val="00D8110B"/>
    <w:rsid w:val="00D93291"/>
    <w:rsid w:val="00DA54DB"/>
    <w:rsid w:val="00DB1A46"/>
    <w:rsid w:val="00DB6772"/>
    <w:rsid w:val="00DC33D3"/>
    <w:rsid w:val="00DD03A4"/>
    <w:rsid w:val="00DD3B5F"/>
    <w:rsid w:val="00DE2636"/>
    <w:rsid w:val="00DE75ED"/>
    <w:rsid w:val="00DF26F4"/>
    <w:rsid w:val="00E01670"/>
    <w:rsid w:val="00E0738D"/>
    <w:rsid w:val="00E23D49"/>
    <w:rsid w:val="00E23E3B"/>
    <w:rsid w:val="00E3062C"/>
    <w:rsid w:val="00E34F17"/>
    <w:rsid w:val="00E4165A"/>
    <w:rsid w:val="00E430C8"/>
    <w:rsid w:val="00E455D3"/>
    <w:rsid w:val="00E64712"/>
    <w:rsid w:val="00E74527"/>
    <w:rsid w:val="00E74BFD"/>
    <w:rsid w:val="00E82C41"/>
    <w:rsid w:val="00E87192"/>
    <w:rsid w:val="00EA1591"/>
    <w:rsid w:val="00EA399B"/>
    <w:rsid w:val="00EB15B4"/>
    <w:rsid w:val="00EE4ADA"/>
    <w:rsid w:val="00EF5E58"/>
    <w:rsid w:val="00F10F4B"/>
    <w:rsid w:val="00F11D7B"/>
    <w:rsid w:val="00F537C3"/>
    <w:rsid w:val="00F57084"/>
    <w:rsid w:val="00F63155"/>
    <w:rsid w:val="00F65257"/>
    <w:rsid w:val="00F708F0"/>
    <w:rsid w:val="00F75A85"/>
    <w:rsid w:val="00F76B82"/>
    <w:rsid w:val="00F770C2"/>
    <w:rsid w:val="00F7764B"/>
    <w:rsid w:val="00F8188B"/>
    <w:rsid w:val="00F83D17"/>
    <w:rsid w:val="00FA6BEF"/>
    <w:rsid w:val="00FB2DC8"/>
    <w:rsid w:val="00FD1E89"/>
    <w:rsid w:val="00FD4634"/>
    <w:rsid w:val="00FD5993"/>
    <w:rsid w:val="00FE01A1"/>
    <w:rsid w:val="00FE2AA3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C309"/>
  <w15:docId w15:val="{8A215EA0-E27F-4C35-A523-1EF9795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3E0B"/>
  </w:style>
  <w:style w:type="paragraph" w:styleId="Nadpis1">
    <w:name w:val="heading 1"/>
    <w:basedOn w:val="Normlny"/>
    <w:next w:val="Normlny"/>
    <w:link w:val="Nadpis1Char"/>
    <w:uiPriority w:val="99"/>
    <w:qFormat/>
    <w:rsid w:val="004E3E0B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E3E0B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E3E0B"/>
    <w:pPr>
      <w:ind w:left="720"/>
      <w:contextualSpacing/>
    </w:pPr>
  </w:style>
  <w:style w:type="paragraph" w:customStyle="1" w:styleId="Default">
    <w:name w:val="Default"/>
    <w:rsid w:val="004E3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5D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5DD2"/>
  </w:style>
  <w:style w:type="paragraph" w:styleId="Pta">
    <w:name w:val="footer"/>
    <w:basedOn w:val="Normlny"/>
    <w:link w:val="Pt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5DD2"/>
  </w:style>
  <w:style w:type="character" w:styleId="Odkaznakomentr">
    <w:name w:val="annotation reference"/>
    <w:basedOn w:val="Predvolenpsmoodseku"/>
    <w:uiPriority w:val="99"/>
    <w:semiHidden/>
    <w:unhideWhenUsed/>
    <w:rsid w:val="009C6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6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6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6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6EF4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5D0C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D0CD3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14</cp:revision>
  <cp:lastPrinted>2022-10-13T11:55:00Z</cp:lastPrinted>
  <dcterms:created xsi:type="dcterms:W3CDTF">2022-10-08T20:39:00Z</dcterms:created>
  <dcterms:modified xsi:type="dcterms:W3CDTF">2022-10-14T11:40:00Z</dcterms:modified>
</cp:coreProperties>
</file>