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380"/>
        <w:gridCol w:w="680"/>
        <w:gridCol w:w="680"/>
        <w:gridCol w:w="6040"/>
        <w:gridCol w:w="220"/>
        <w:gridCol w:w="1900"/>
        <w:gridCol w:w="40"/>
      </w:tblGrid>
      <w:tr w:rsidR="00EE1B8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EE1B84" w:rsidRDefault="00EE1B84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3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04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22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190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3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04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22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  <w:sz w:val="16"/>
              </w:rPr>
              <w:t>Príloha č. 1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3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04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22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  <w:sz w:val="16"/>
              </w:rPr>
              <w:t>k zákonu č. .../2022 Z. z.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Bilancia príjmov a výdavkov štátneho rozpočtu na rok 2023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E1B84" w:rsidRDefault="00EE1B84">
            <w:pPr>
              <w:jc w:val="center"/>
            </w:pP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3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8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604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22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1900" w:type="dxa"/>
          </w:tcPr>
          <w:p w:rsidR="00EE1B84" w:rsidRDefault="00EE1B84">
            <w:pPr>
              <w:pStyle w:val="EMPTYCELLSTYLE"/>
            </w:pP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EE1B84">
            <w:pPr>
              <w:jc w:val="center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Ukazovateľ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EE1B84" w:rsidRDefault="00EE1B84">
            <w:pPr>
              <w:jc w:val="center"/>
            </w:pP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b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color w:val="000000"/>
              </w:rPr>
              <w:t>Príjmy spolu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26 699 184 040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i/>
                <w:color w:val="000000"/>
              </w:rPr>
              <w:t>Daňové príjmy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16 795 409 000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A.1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color w:val="000000"/>
              </w:rPr>
              <w:t>Dane z príjmov a kapitálového majetku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3 961 651 000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daň z príjmov fyzickej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-62 716 000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daň z príjmov právnickej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3 655 697 000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daň z príjmov vyberaná zrážkou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368 670 000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A.2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color w:val="000000"/>
              </w:rPr>
              <w:t>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12 771 663 000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daň z pridanej hodnoty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10 009 813 000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spotrebné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2 543 316 000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dane z používania tovarov a z povolenia na výkon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132 782 000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iné 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85 752 000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A.3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color w:val="000000"/>
              </w:rPr>
              <w:t>Dane z medzinárodného obchodu a transakcií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41 232 000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podiel na vybratých finančných prostriedkoch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41 232 000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color w:val="000000"/>
              </w:rPr>
              <w:t>Sankcie uložené v daňovom konaní a sankcie súvisiace s úhradami za služby verejnosti poskytované Rozhlasom a televíziou Slovenska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20 863 000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B.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i/>
                <w:color w:val="000000"/>
              </w:rPr>
              <w:t>Nedaňové príjmy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2 129 737 694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i/>
                <w:color w:val="000000"/>
              </w:rPr>
              <w:t>Granty a transfery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7 774 037 346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Tuzemské granty a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45 232 489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Zahraničné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7 728 804 857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v tom:  prostriedky z rozpočtu Európskej únie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5 717 554 058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/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color w:val="000000"/>
              </w:rPr>
              <w:t>prostriedky z Plánu obnovy a odolnosti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2 011 250 799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color w:val="000000"/>
              </w:rPr>
              <w:t>Výdavky spolu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35 040 556 232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  <w:tr w:rsidR="00EE1B8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84" w:rsidRDefault="00EE1B84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E1B84" w:rsidRDefault="00806D33">
            <w:r>
              <w:rPr>
                <w:rFonts w:ascii="Arial" w:eastAsia="Arial" w:hAnsi="Arial" w:cs="Arial"/>
                <w:b/>
                <w:color w:val="000000"/>
              </w:rPr>
              <w:t>Prebytok / Schodok ( +/- )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E1B84" w:rsidRDefault="00806D33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-8 341 372 192</w:t>
            </w:r>
          </w:p>
        </w:tc>
        <w:tc>
          <w:tcPr>
            <w:tcW w:w="1" w:type="dxa"/>
          </w:tcPr>
          <w:p w:rsidR="00EE1B84" w:rsidRDefault="00EE1B84">
            <w:pPr>
              <w:pStyle w:val="EMPTYCELLSTYLE"/>
            </w:pPr>
          </w:p>
        </w:tc>
      </w:tr>
    </w:tbl>
    <w:p w:rsidR="00000000" w:rsidRDefault="00806D33"/>
    <w:sectPr w:rsidR="00000000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84"/>
    <w:rsid w:val="00806D33"/>
    <w:rsid w:val="00E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BF22F-749E-4093-907C-9821217A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2022-10-10T10:57:00Z</dcterms:created>
  <dcterms:modified xsi:type="dcterms:W3CDTF">2022-10-10T10:57:00Z</dcterms:modified>
</cp:coreProperties>
</file>